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81C" w:rsidRDefault="00ED2874" w:rsidP="00D718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81C">
        <w:rPr>
          <w:rFonts w:ascii="Times New Roman" w:hAnsi="Times New Roman" w:cs="Times New Roman"/>
          <w:b/>
          <w:sz w:val="28"/>
          <w:szCs w:val="28"/>
        </w:rPr>
        <w:t>Instructions for Special, Supplemental,</w:t>
      </w:r>
      <w:r w:rsidR="00D7181C" w:rsidRPr="00D7181C">
        <w:rPr>
          <w:rFonts w:ascii="Times New Roman" w:hAnsi="Times New Roman" w:cs="Times New Roman"/>
          <w:b/>
          <w:sz w:val="28"/>
          <w:szCs w:val="28"/>
        </w:rPr>
        <w:t xml:space="preserve"> and Deficiency Requests</w:t>
      </w:r>
    </w:p>
    <w:p w:rsidR="00BC5A16" w:rsidRDefault="00BC5A16" w:rsidP="00D718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A16" w:rsidRPr="00BC5A16" w:rsidRDefault="00BC5A16" w:rsidP="00BC5A16">
      <w:pPr>
        <w:rPr>
          <w:rFonts w:ascii="Times New Roman" w:hAnsi="Times New Roman" w:cs="Times New Roman"/>
          <w:b/>
          <w:sz w:val="24"/>
          <w:szCs w:val="24"/>
        </w:rPr>
      </w:pPr>
      <w:r w:rsidRPr="00BC5A16">
        <w:rPr>
          <w:rFonts w:ascii="Times New Roman" w:hAnsi="Times New Roman" w:cs="Times New Roman"/>
          <w:b/>
          <w:sz w:val="24"/>
          <w:szCs w:val="24"/>
        </w:rPr>
        <w:t>Introduction: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1052">
        <w:rPr>
          <w:rFonts w:ascii="Times New Roman" w:hAnsi="Times New Roman" w:cs="Times New Roman"/>
          <w:b/>
          <w:sz w:val="24"/>
          <w:szCs w:val="24"/>
        </w:rPr>
        <w:t>General Funds for non-recurring appropriations will be extremely scarce this year.  Agencies should make every attempt to live within available resources before requesting special or supplemental fund</w:t>
      </w:r>
      <w:r w:rsidR="00BA4436">
        <w:rPr>
          <w:rFonts w:ascii="Times New Roman" w:hAnsi="Times New Roman" w:cs="Times New Roman"/>
          <w:b/>
          <w:sz w:val="24"/>
          <w:szCs w:val="24"/>
        </w:rPr>
        <w:t>ing. Generally, only requests based on closing critical gaps in service will be conside</w:t>
      </w:r>
      <w:r w:rsidR="00E00C84">
        <w:rPr>
          <w:rFonts w:ascii="Times New Roman" w:hAnsi="Times New Roman" w:cs="Times New Roman"/>
          <w:b/>
          <w:sz w:val="24"/>
          <w:szCs w:val="24"/>
        </w:rPr>
        <w:t>red for funding during the 2019</w:t>
      </w:r>
      <w:r w:rsidR="00BA4436">
        <w:rPr>
          <w:rFonts w:ascii="Times New Roman" w:hAnsi="Times New Roman" w:cs="Times New Roman"/>
          <w:b/>
          <w:sz w:val="24"/>
          <w:szCs w:val="24"/>
        </w:rPr>
        <w:t xml:space="preserve"> legislative session.</w:t>
      </w:r>
    </w:p>
    <w:p w:rsidR="00933378" w:rsidRPr="00D7181C" w:rsidRDefault="00933378" w:rsidP="00D718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874" w:rsidRPr="00D7181C" w:rsidRDefault="004A6B44" w:rsidP="00D718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181C">
        <w:rPr>
          <w:rFonts w:ascii="Times New Roman" w:hAnsi="Times New Roman" w:cs="Times New Roman"/>
          <w:sz w:val="24"/>
          <w:szCs w:val="24"/>
        </w:rPr>
        <w:t xml:space="preserve">Enter information for agency, program and agency contacts.  </w:t>
      </w:r>
      <w:r w:rsidR="00145E70" w:rsidRPr="00D7181C">
        <w:rPr>
          <w:rFonts w:ascii="Times New Roman" w:hAnsi="Times New Roman" w:cs="Times New Roman"/>
          <w:sz w:val="24"/>
          <w:szCs w:val="24"/>
        </w:rPr>
        <w:t>For</w:t>
      </w:r>
      <w:r w:rsidR="00FA6C95" w:rsidRPr="00D7181C">
        <w:rPr>
          <w:rFonts w:ascii="Times New Roman" w:hAnsi="Times New Roman" w:cs="Times New Roman"/>
          <w:sz w:val="24"/>
          <w:szCs w:val="24"/>
        </w:rPr>
        <w:t xml:space="preserve"> </w:t>
      </w:r>
      <w:r w:rsidR="00FA6C95" w:rsidRPr="00D7181C">
        <w:rPr>
          <w:rFonts w:ascii="Times New Roman" w:hAnsi="Times New Roman" w:cs="Times New Roman"/>
          <w:b/>
          <w:sz w:val="24"/>
          <w:szCs w:val="24"/>
        </w:rPr>
        <w:t>Special, Supplemental</w:t>
      </w:r>
      <w:r w:rsidR="00D718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6C95" w:rsidRPr="00D7181C">
        <w:rPr>
          <w:rFonts w:ascii="Times New Roman" w:hAnsi="Times New Roman" w:cs="Times New Roman"/>
          <w:sz w:val="24"/>
          <w:szCs w:val="24"/>
        </w:rPr>
        <w:t xml:space="preserve">and </w:t>
      </w:r>
      <w:r w:rsidR="00FA6C95" w:rsidRPr="00D7181C">
        <w:rPr>
          <w:rFonts w:ascii="Times New Roman" w:hAnsi="Times New Roman" w:cs="Times New Roman"/>
          <w:b/>
          <w:sz w:val="24"/>
          <w:szCs w:val="24"/>
        </w:rPr>
        <w:t>Deficiency</w:t>
      </w:r>
      <w:r w:rsidR="00D7181C">
        <w:rPr>
          <w:rFonts w:ascii="Times New Roman" w:hAnsi="Times New Roman" w:cs="Times New Roman"/>
          <w:sz w:val="24"/>
          <w:szCs w:val="24"/>
        </w:rPr>
        <w:t xml:space="preserve"> Requests. </w:t>
      </w:r>
      <w:r w:rsidR="00D7181C" w:rsidRPr="00E7609F">
        <w:rPr>
          <w:rFonts w:ascii="Times New Roman" w:hAnsi="Times New Roman" w:cs="Times New Roman"/>
          <w:sz w:val="24"/>
          <w:szCs w:val="24"/>
          <w:u w:val="single"/>
        </w:rPr>
        <w:t>U</w:t>
      </w:r>
      <w:r w:rsidRPr="00E7609F">
        <w:rPr>
          <w:rFonts w:ascii="Times New Roman" w:hAnsi="Times New Roman" w:cs="Times New Roman"/>
          <w:sz w:val="24"/>
          <w:szCs w:val="24"/>
          <w:u w:val="single"/>
        </w:rPr>
        <w:t>se only one form for each request</w:t>
      </w:r>
      <w:r w:rsidRPr="00D7181C">
        <w:rPr>
          <w:rFonts w:ascii="Times New Roman" w:hAnsi="Times New Roman" w:cs="Times New Roman"/>
          <w:sz w:val="24"/>
          <w:szCs w:val="24"/>
        </w:rPr>
        <w:t>.</w:t>
      </w:r>
    </w:p>
    <w:p w:rsidR="004A6B44" w:rsidRPr="00FB3A98" w:rsidRDefault="004A6B44" w:rsidP="004A6B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the type of request:  </w:t>
      </w:r>
      <w:r w:rsidRPr="004A6B44">
        <w:rPr>
          <w:rFonts w:ascii="Times New Roman" w:hAnsi="Times New Roman" w:cs="Times New Roman"/>
          <w:b/>
          <w:sz w:val="24"/>
          <w:szCs w:val="24"/>
        </w:rPr>
        <w:t>Deficiency</w:t>
      </w:r>
      <w:r>
        <w:rPr>
          <w:rFonts w:ascii="Times New Roman" w:hAnsi="Times New Roman" w:cs="Times New Roman"/>
          <w:sz w:val="24"/>
          <w:szCs w:val="24"/>
        </w:rPr>
        <w:t xml:space="preserve"> (Expend</w:t>
      </w:r>
      <w:r w:rsidR="00E00C84">
        <w:rPr>
          <w:rFonts w:ascii="Times New Roman" w:hAnsi="Times New Roman" w:cs="Times New Roman"/>
          <w:sz w:val="24"/>
          <w:szCs w:val="24"/>
        </w:rPr>
        <w:t>itures exceeded revenues in FY18</w:t>
      </w:r>
      <w:r w:rsidR="000941F6">
        <w:rPr>
          <w:rFonts w:ascii="Times New Roman" w:hAnsi="Times New Roman" w:cs="Times New Roman"/>
          <w:sz w:val="24"/>
          <w:szCs w:val="24"/>
        </w:rPr>
        <w:t xml:space="preserve"> or prior year</w:t>
      </w:r>
      <w:r>
        <w:rPr>
          <w:rFonts w:ascii="Times New Roman" w:hAnsi="Times New Roman" w:cs="Times New Roman"/>
          <w:sz w:val="24"/>
          <w:szCs w:val="24"/>
        </w:rPr>
        <w:t xml:space="preserve">); </w:t>
      </w:r>
      <w:r w:rsidRPr="004A6B44">
        <w:rPr>
          <w:rFonts w:ascii="Times New Roman" w:hAnsi="Times New Roman" w:cs="Times New Roman"/>
          <w:b/>
          <w:sz w:val="24"/>
          <w:szCs w:val="24"/>
        </w:rPr>
        <w:t>Supplemental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0C84">
        <w:rPr>
          <w:rFonts w:ascii="Times New Roman" w:hAnsi="Times New Roman" w:cs="Times New Roman"/>
          <w:sz w:val="24"/>
          <w:szCs w:val="24"/>
        </w:rPr>
        <w:t>(Additional funds needed in FY19</w:t>
      </w:r>
      <w:r>
        <w:rPr>
          <w:rFonts w:ascii="Times New Roman" w:hAnsi="Times New Roman" w:cs="Times New Roman"/>
          <w:sz w:val="24"/>
          <w:szCs w:val="24"/>
        </w:rPr>
        <w:t xml:space="preserve"> – must</w:t>
      </w:r>
      <w:r w:rsidR="00E00C84">
        <w:rPr>
          <w:rFonts w:ascii="Times New Roman" w:hAnsi="Times New Roman" w:cs="Times New Roman"/>
          <w:sz w:val="24"/>
          <w:szCs w:val="24"/>
        </w:rPr>
        <w:t xml:space="preserve"> be spent by June 30, 2019</w:t>
      </w:r>
      <w:r w:rsidR="00FB3A98">
        <w:rPr>
          <w:rFonts w:ascii="Times New Roman" w:hAnsi="Times New Roman" w:cs="Times New Roman"/>
          <w:sz w:val="24"/>
          <w:szCs w:val="24"/>
        </w:rPr>
        <w:t xml:space="preserve">); </w:t>
      </w:r>
      <w:r w:rsidRPr="004A6B44">
        <w:rPr>
          <w:rFonts w:ascii="Times New Roman" w:hAnsi="Times New Roman" w:cs="Times New Roman"/>
          <w:b/>
          <w:sz w:val="24"/>
          <w:szCs w:val="24"/>
        </w:rPr>
        <w:t>Special</w:t>
      </w:r>
      <w:r>
        <w:rPr>
          <w:rFonts w:ascii="Times New Roman" w:hAnsi="Times New Roman" w:cs="Times New Roman"/>
          <w:sz w:val="24"/>
          <w:szCs w:val="24"/>
        </w:rPr>
        <w:t xml:space="preserve"> (Funds available for use upo</w:t>
      </w:r>
      <w:r w:rsidR="00E00C84">
        <w:rPr>
          <w:rFonts w:ascii="Times New Roman" w:hAnsi="Times New Roman" w:cs="Times New Roman"/>
          <w:sz w:val="24"/>
          <w:szCs w:val="24"/>
        </w:rPr>
        <w:t>n bill signing through 6/30/2020</w:t>
      </w:r>
      <w:r>
        <w:rPr>
          <w:rFonts w:ascii="Times New Roman" w:hAnsi="Times New Roman" w:cs="Times New Roman"/>
          <w:sz w:val="24"/>
          <w:szCs w:val="24"/>
        </w:rPr>
        <w:t>)</w:t>
      </w:r>
      <w:r w:rsidR="00FB3A98">
        <w:rPr>
          <w:rFonts w:ascii="Times New Roman" w:hAnsi="Times New Roman" w:cs="Times New Roman"/>
          <w:sz w:val="24"/>
          <w:szCs w:val="24"/>
        </w:rPr>
        <w:t xml:space="preserve">, or </w:t>
      </w:r>
      <w:r w:rsidR="00FB3A98" w:rsidRPr="00FB3A98">
        <w:rPr>
          <w:rFonts w:ascii="Times New Roman" w:hAnsi="Times New Roman" w:cs="Times New Roman"/>
          <w:b/>
          <w:sz w:val="24"/>
          <w:szCs w:val="24"/>
        </w:rPr>
        <w:t>Special (Language Only)</w:t>
      </w:r>
      <w:r w:rsidR="006F3708">
        <w:rPr>
          <w:rFonts w:ascii="Times New Roman" w:hAnsi="Times New Roman" w:cs="Times New Roman"/>
          <w:b/>
          <w:sz w:val="24"/>
          <w:szCs w:val="24"/>
        </w:rPr>
        <w:t xml:space="preserve">.  Language Only </w:t>
      </w:r>
      <w:r w:rsidR="006F3708" w:rsidRPr="006F3708">
        <w:rPr>
          <w:rFonts w:ascii="Times New Roman" w:hAnsi="Times New Roman" w:cs="Times New Roman"/>
          <w:sz w:val="24"/>
          <w:szCs w:val="24"/>
        </w:rPr>
        <w:t xml:space="preserve">requests included on this form often relate to extensions of prior appropriations and are generally found in Sections 5 and 6 of the General Appropriation Act.  </w:t>
      </w:r>
    </w:p>
    <w:p w:rsidR="004A6B44" w:rsidRDefault="004A6B44" w:rsidP="004A6B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Enter Revenue, Expenditure and FTE Information</w:t>
      </w:r>
      <w:r w:rsidR="00E16368">
        <w:rPr>
          <w:rFonts w:ascii="Times New Roman" w:hAnsi="Times New Roman" w:cs="Times New Roman"/>
          <w:sz w:val="24"/>
          <w:szCs w:val="24"/>
        </w:rPr>
        <w:t>.</w:t>
      </w:r>
    </w:p>
    <w:p w:rsidR="004A6B44" w:rsidRDefault="004A6B44" w:rsidP="004A6B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language that would need to appear in the bill describing the purpose of the appropriatio</w:t>
      </w:r>
      <w:r w:rsidR="00145E70">
        <w:rPr>
          <w:rFonts w:ascii="Times New Roman" w:hAnsi="Times New Roman" w:cs="Times New Roman"/>
          <w:sz w:val="24"/>
          <w:szCs w:val="24"/>
        </w:rPr>
        <w:t xml:space="preserve">n.  (Reference </w:t>
      </w:r>
      <w:r>
        <w:rPr>
          <w:rFonts w:ascii="Times New Roman" w:hAnsi="Times New Roman" w:cs="Times New Roman"/>
          <w:sz w:val="24"/>
          <w:szCs w:val="24"/>
        </w:rPr>
        <w:t>examples from</w:t>
      </w:r>
      <w:r w:rsidR="00145E70">
        <w:rPr>
          <w:rFonts w:ascii="Times New Roman" w:hAnsi="Times New Roman" w:cs="Times New Roman"/>
          <w:sz w:val="24"/>
          <w:szCs w:val="24"/>
        </w:rPr>
        <w:t xml:space="preserve"> previous General Appropriation Acts and capitalization and format instructions provided below).</w:t>
      </w:r>
    </w:p>
    <w:p w:rsidR="00145E70" w:rsidRDefault="00145E70" w:rsidP="004A6B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a </w:t>
      </w:r>
      <w:r w:rsidRPr="00145E70">
        <w:rPr>
          <w:rFonts w:ascii="Times New Roman" w:hAnsi="Times New Roman" w:cs="Times New Roman"/>
          <w:b/>
          <w:sz w:val="24"/>
          <w:szCs w:val="24"/>
        </w:rPr>
        <w:t xml:space="preserve">Special </w:t>
      </w:r>
      <w:r>
        <w:rPr>
          <w:rFonts w:ascii="Times New Roman" w:hAnsi="Times New Roman" w:cs="Times New Roman"/>
          <w:sz w:val="24"/>
          <w:szCs w:val="24"/>
        </w:rPr>
        <w:t>Appropriation, provide quantitative data regarding the results that you hope to achieve with the appropriation. Please be specific (e.g. to purchase ten vehicles for senior centers; to provide mediation training to 100 agency employees, etc.).</w:t>
      </w:r>
    </w:p>
    <w:p w:rsidR="00FB3A98" w:rsidRDefault="00FB3A98" w:rsidP="004A6B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Most requests for a Section 5 (Special Appropriation) are for funds to address some non-recurring budget purpose; however, in some cases, all you need is specific language.  In these cases, check the </w:t>
      </w:r>
      <w:r w:rsidRPr="00FB3A98">
        <w:rPr>
          <w:rFonts w:ascii="Times New Roman" w:hAnsi="Times New Roman" w:cs="Times New Roman"/>
          <w:b/>
          <w:sz w:val="24"/>
          <w:szCs w:val="24"/>
        </w:rPr>
        <w:t>Special (Language Only)</w:t>
      </w:r>
      <w:r>
        <w:rPr>
          <w:rFonts w:ascii="Times New Roman" w:hAnsi="Times New Roman" w:cs="Times New Roman"/>
          <w:sz w:val="24"/>
          <w:szCs w:val="24"/>
        </w:rPr>
        <w:t xml:space="preserve"> box and enter the requested language in the “Language” section of the form.</w:t>
      </w:r>
    </w:p>
    <w:p w:rsidR="00145E70" w:rsidRDefault="00145E70" w:rsidP="004A6B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</w:t>
      </w:r>
      <w:r w:rsidR="007E7EC5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five </w:t>
      </w:r>
      <w:r w:rsidR="007E7EC5">
        <w:rPr>
          <w:rFonts w:ascii="Times New Roman" w:hAnsi="Times New Roman" w:cs="Times New Roman"/>
          <w:sz w:val="24"/>
          <w:szCs w:val="24"/>
        </w:rPr>
        <w:t xml:space="preserve">other request justification/program description </w:t>
      </w:r>
      <w:r>
        <w:rPr>
          <w:rFonts w:ascii="Times New Roman" w:hAnsi="Times New Roman" w:cs="Times New Roman"/>
          <w:sz w:val="24"/>
          <w:szCs w:val="24"/>
        </w:rPr>
        <w:t>sections of the form.</w:t>
      </w:r>
    </w:p>
    <w:p w:rsidR="00D7181C" w:rsidRDefault="00D7181C" w:rsidP="00D718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Follow the capitalization and formatting conventions outline below:</w:t>
      </w:r>
    </w:p>
    <w:p w:rsidR="00D7181C" w:rsidRPr="009E4745" w:rsidRDefault="00D7181C" w:rsidP="00D718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Most words are not capitalized except at the beginning of a sentence; however, you should capitalize the following: </w:t>
      </w:r>
      <w:r w:rsidRPr="00772B41">
        <w:rPr>
          <w:rFonts w:ascii="Times New Roman" w:hAnsi="Times New Roman" w:cs="Times New Roman"/>
          <w:b/>
          <w:sz w:val="24"/>
          <w:szCs w:val="24"/>
        </w:rPr>
        <w:t>place names</w:t>
      </w:r>
      <w:r w:rsidRPr="00772B41">
        <w:rPr>
          <w:rFonts w:ascii="Times New Roman" w:hAnsi="Times New Roman" w:cs="Times New Roman"/>
          <w:sz w:val="24"/>
          <w:szCs w:val="24"/>
        </w:rPr>
        <w:t xml:space="preserve"> (e.g. </w:t>
      </w:r>
      <w:r w:rsidRPr="00772B41">
        <w:rPr>
          <w:rFonts w:ascii="Times New Roman" w:hAnsi="Times New Roman" w:cs="Times New Roman"/>
          <w:i/>
          <w:sz w:val="24"/>
          <w:szCs w:val="24"/>
        </w:rPr>
        <w:t>New Mexico</w:t>
      </w:r>
      <w:r w:rsidRPr="00772B41">
        <w:rPr>
          <w:rFonts w:ascii="Times New Roman" w:hAnsi="Times New Roman" w:cs="Times New Roman"/>
          <w:sz w:val="24"/>
          <w:szCs w:val="24"/>
        </w:rPr>
        <w:t xml:space="preserve">, </w:t>
      </w:r>
      <w:r w:rsidRPr="00772B41">
        <w:rPr>
          <w:rFonts w:ascii="Times New Roman" w:hAnsi="Times New Roman" w:cs="Times New Roman"/>
          <w:i/>
          <w:sz w:val="24"/>
          <w:szCs w:val="24"/>
        </w:rPr>
        <w:t>United States</w:t>
      </w:r>
      <w:r w:rsidRPr="00772B4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2B41">
        <w:rPr>
          <w:rFonts w:ascii="Times New Roman" w:hAnsi="Times New Roman" w:cs="Times New Roman"/>
          <w:i/>
          <w:sz w:val="24"/>
          <w:szCs w:val="24"/>
        </w:rPr>
        <w:t>Santa Fe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2B41">
        <w:rPr>
          <w:rFonts w:ascii="Times New Roman" w:hAnsi="Times New Roman" w:cs="Times New Roman"/>
          <w:sz w:val="24"/>
          <w:szCs w:val="24"/>
        </w:rPr>
        <w:t>county – note “county” is not capitalized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Ute </w:t>
      </w:r>
      <w:r w:rsidRPr="0077073F">
        <w:rPr>
          <w:rFonts w:ascii="Times New Roman" w:hAnsi="Times New Roman" w:cs="Times New Roman"/>
          <w:sz w:val="24"/>
          <w:szCs w:val="24"/>
        </w:rPr>
        <w:t>reservoir,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193">
        <w:rPr>
          <w:rFonts w:ascii="Times New Roman" w:hAnsi="Times New Roman" w:cs="Times New Roman"/>
          <w:i/>
          <w:sz w:val="24"/>
          <w:szCs w:val="24"/>
        </w:rPr>
        <w:t xml:space="preserve">Vaughn </w:t>
      </w:r>
      <w:r>
        <w:rPr>
          <w:rFonts w:ascii="Times New Roman" w:hAnsi="Times New Roman" w:cs="Times New Roman"/>
          <w:sz w:val="24"/>
          <w:szCs w:val="24"/>
        </w:rPr>
        <w:t xml:space="preserve">pipeline, etc.); </w:t>
      </w:r>
      <w:r>
        <w:rPr>
          <w:rFonts w:ascii="Times New Roman" w:hAnsi="Times New Roman" w:cs="Times New Roman"/>
          <w:b/>
          <w:sz w:val="24"/>
          <w:szCs w:val="24"/>
        </w:rPr>
        <w:t>proper</w:t>
      </w:r>
      <w:r w:rsidRPr="0077073F">
        <w:rPr>
          <w:rFonts w:ascii="Times New Roman" w:hAnsi="Times New Roman" w:cs="Times New Roman"/>
          <w:b/>
          <w:sz w:val="24"/>
          <w:szCs w:val="24"/>
        </w:rPr>
        <w:t xml:space="preserve"> names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073F">
        <w:rPr>
          <w:rFonts w:ascii="Times New Roman" w:hAnsi="Times New Roman" w:cs="Times New Roman"/>
          <w:sz w:val="24"/>
          <w:szCs w:val="24"/>
        </w:rPr>
        <w:t>(</w:t>
      </w:r>
      <w:r w:rsidRPr="0077073F">
        <w:rPr>
          <w:rFonts w:ascii="Times New Roman" w:hAnsi="Times New Roman" w:cs="Times New Roman"/>
          <w:i/>
          <w:sz w:val="24"/>
          <w:szCs w:val="24"/>
        </w:rPr>
        <w:t>Vigil-Giron, Gutierrez</w:t>
      </w:r>
      <w:r w:rsidRPr="0077073F">
        <w:rPr>
          <w:rFonts w:ascii="Times New Roman" w:hAnsi="Times New Roman" w:cs="Times New Roman"/>
          <w:sz w:val="24"/>
          <w:szCs w:val="24"/>
        </w:rPr>
        <w:t xml:space="preserve">, and </w:t>
      </w:r>
      <w:r w:rsidRPr="0077073F">
        <w:rPr>
          <w:rFonts w:ascii="Times New Roman" w:hAnsi="Times New Roman" w:cs="Times New Roman"/>
          <w:i/>
          <w:sz w:val="24"/>
          <w:szCs w:val="24"/>
        </w:rPr>
        <w:t>Kupfe</w:t>
      </w:r>
      <w:r w:rsidRPr="0077073F">
        <w:rPr>
          <w:rFonts w:ascii="Times New Roman" w:hAnsi="Times New Roman" w:cs="Times New Roman"/>
          <w:sz w:val="24"/>
          <w:szCs w:val="24"/>
        </w:rPr>
        <w:t>r cases</w:t>
      </w:r>
      <w:r>
        <w:rPr>
          <w:rFonts w:ascii="Times New Roman" w:hAnsi="Times New Roman" w:cs="Times New Roman"/>
          <w:sz w:val="24"/>
          <w:szCs w:val="24"/>
        </w:rPr>
        <w:t xml:space="preserve">); </w:t>
      </w:r>
      <w:r w:rsidRPr="009E4745">
        <w:rPr>
          <w:rFonts w:ascii="Times New Roman" w:hAnsi="Times New Roman" w:cs="Times New Roman"/>
          <w:b/>
          <w:sz w:val="24"/>
          <w:szCs w:val="24"/>
        </w:rPr>
        <w:t>legislative acts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72B41">
        <w:rPr>
          <w:rFonts w:ascii="Times New Roman" w:hAnsi="Times New Roman" w:cs="Times New Roman"/>
          <w:i/>
          <w:sz w:val="24"/>
          <w:szCs w:val="24"/>
        </w:rPr>
        <w:t>Title IV-E</w:t>
      </w:r>
      <w:r>
        <w:rPr>
          <w:rFonts w:ascii="Times New Roman" w:hAnsi="Times New Roman" w:cs="Times New Roman"/>
          <w:sz w:val="24"/>
          <w:szCs w:val="24"/>
        </w:rPr>
        <w:t xml:space="preserve"> funds, Section 12 of </w:t>
      </w:r>
      <w:r w:rsidRPr="00772B41">
        <w:rPr>
          <w:rFonts w:ascii="Times New Roman" w:hAnsi="Times New Roman" w:cs="Times New Roman"/>
          <w:i/>
          <w:sz w:val="24"/>
          <w:szCs w:val="24"/>
        </w:rPr>
        <w:t>Chapter 114 of Laws 2004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72B41">
        <w:rPr>
          <w:rFonts w:ascii="Times New Roman" w:hAnsi="Times New Roman" w:cs="Times New Roman"/>
          <w:i/>
          <w:sz w:val="24"/>
          <w:szCs w:val="24"/>
        </w:rPr>
        <w:t>Indian Education Act,</w:t>
      </w:r>
      <w:r>
        <w:rPr>
          <w:rFonts w:ascii="Times New Roman" w:hAnsi="Times New Roman" w:cs="Times New Roman"/>
          <w:sz w:val="24"/>
          <w:szCs w:val="24"/>
        </w:rPr>
        <w:t xml:space="preserve"> etc.); </w:t>
      </w:r>
      <w:r w:rsidRPr="009E4745">
        <w:rPr>
          <w:rFonts w:ascii="Times New Roman" w:hAnsi="Times New Roman" w:cs="Times New Roman"/>
          <w:b/>
          <w:i/>
          <w:sz w:val="24"/>
          <w:szCs w:val="24"/>
        </w:rPr>
        <w:t>months of the year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E4745">
        <w:rPr>
          <w:rFonts w:ascii="Times New Roman" w:hAnsi="Times New Roman" w:cs="Times New Roman"/>
          <w:i/>
          <w:sz w:val="24"/>
          <w:szCs w:val="24"/>
        </w:rPr>
        <w:t>May, June</w:t>
      </w:r>
      <w:r>
        <w:rPr>
          <w:rFonts w:ascii="Times New Roman" w:hAnsi="Times New Roman" w:cs="Times New Roman"/>
          <w:sz w:val="24"/>
          <w:szCs w:val="24"/>
        </w:rPr>
        <w:t xml:space="preserve">, etc.), and the </w:t>
      </w:r>
      <w:r w:rsidRPr="009E4745">
        <w:rPr>
          <w:rFonts w:ascii="Times New Roman" w:hAnsi="Times New Roman" w:cs="Times New Roman"/>
          <w:b/>
          <w:sz w:val="24"/>
          <w:szCs w:val="24"/>
        </w:rPr>
        <w:t xml:space="preserve">words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9E4745">
        <w:rPr>
          <w:rFonts w:ascii="Times New Roman" w:hAnsi="Times New Roman" w:cs="Times New Roman"/>
          <w:i/>
          <w:sz w:val="24"/>
          <w:szCs w:val="24"/>
        </w:rPr>
        <w:t xml:space="preserve">Indian” and “Native </w:t>
      </w:r>
      <w:r>
        <w:rPr>
          <w:rFonts w:ascii="Times New Roman" w:hAnsi="Times New Roman" w:cs="Times New Roman"/>
          <w:i/>
          <w:sz w:val="24"/>
          <w:szCs w:val="24"/>
        </w:rPr>
        <w:t>American.”</w:t>
      </w:r>
    </w:p>
    <w:p w:rsidR="00D7181C" w:rsidRDefault="00D7181C" w:rsidP="00D718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Pr="009E4745">
        <w:rPr>
          <w:rFonts w:ascii="Times New Roman" w:hAnsi="Times New Roman" w:cs="Times New Roman"/>
          <w:b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capitalize the names of age</w:t>
      </w:r>
      <w:r w:rsidRPr="009E4745">
        <w:rPr>
          <w:rFonts w:ascii="Times New Roman" w:hAnsi="Times New Roman" w:cs="Times New Roman"/>
          <w:sz w:val="24"/>
          <w:szCs w:val="24"/>
        </w:rPr>
        <w:t>ncies, departments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E4745">
        <w:rPr>
          <w:rFonts w:ascii="Times New Roman" w:hAnsi="Times New Roman" w:cs="Times New Roman"/>
          <w:sz w:val="24"/>
          <w:szCs w:val="24"/>
        </w:rPr>
        <w:t xml:space="preserve"> divisions</w:t>
      </w:r>
      <w:r>
        <w:rPr>
          <w:rFonts w:ascii="Times New Roman" w:hAnsi="Times New Roman" w:cs="Times New Roman"/>
          <w:sz w:val="24"/>
          <w:szCs w:val="24"/>
        </w:rPr>
        <w:t>, programs</w:t>
      </w:r>
      <w:r w:rsidRPr="009E47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 funds.</w:t>
      </w:r>
    </w:p>
    <w:p w:rsidR="00D7181C" w:rsidRDefault="00D7181C" w:rsidP="00D718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Clearly and concisely state the purpose of the non-recurring appropriation</w:t>
      </w:r>
      <w:r w:rsidR="00933378">
        <w:rPr>
          <w:rFonts w:ascii="Times New Roman" w:hAnsi="Times New Roman" w:cs="Times New Roman"/>
          <w:sz w:val="24"/>
          <w:szCs w:val="24"/>
        </w:rPr>
        <w:t>.  See examples below</w:t>
      </w:r>
    </w:p>
    <w:p w:rsidR="00D7181C" w:rsidRPr="00C958DD" w:rsidRDefault="00D7181C" w:rsidP="00C958DD">
      <w:pPr>
        <w:pStyle w:val="ListParagraph"/>
        <w:ind w:left="1440"/>
        <w:jc w:val="center"/>
        <w:rPr>
          <w:rFonts w:ascii="Times New Roman" w:hAnsi="Times New Roman" w:cs="Times New Roman"/>
          <w:sz w:val="24"/>
          <w:szCs w:val="24"/>
        </w:rPr>
      </w:pPr>
    </w:p>
    <w:p w:rsidR="00C958DD" w:rsidRPr="00933378" w:rsidRDefault="00FB3A98" w:rsidP="00C958D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              </w:t>
      </w:r>
      <w:r w:rsidR="00933378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C958DD" w:rsidRPr="00933378">
        <w:rPr>
          <w:rFonts w:ascii="Times New Roman" w:hAnsi="Times New Roman" w:cs="Times New Roman"/>
          <w:i/>
          <w:sz w:val="24"/>
          <w:szCs w:val="24"/>
        </w:rPr>
        <w:t>To provide funding to compensate victims of crime.</w:t>
      </w:r>
    </w:p>
    <w:p w:rsidR="00C958DD" w:rsidRPr="00933378" w:rsidRDefault="00933378" w:rsidP="00933378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93337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958DD" w:rsidRPr="00933378">
        <w:rPr>
          <w:rFonts w:ascii="Times New Roman" w:hAnsi="Times New Roman" w:cs="Times New Roman"/>
          <w:sz w:val="24"/>
          <w:szCs w:val="24"/>
        </w:rPr>
        <w:t xml:space="preserve"> </w:t>
      </w:r>
      <w:r w:rsidR="00C958DD" w:rsidRPr="00933378">
        <w:rPr>
          <w:rFonts w:ascii="Times New Roman" w:hAnsi="Times New Roman" w:cs="Times New Roman"/>
          <w:i/>
          <w:sz w:val="24"/>
          <w:szCs w:val="24"/>
        </w:rPr>
        <w:t xml:space="preserve">To provide oversight to regional housing authorities to include travel, audit and </w:t>
      </w:r>
    </w:p>
    <w:p w:rsidR="00C958DD" w:rsidRPr="00933378" w:rsidRDefault="00C958DD" w:rsidP="00933378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933378">
        <w:rPr>
          <w:rFonts w:ascii="Times New Roman" w:hAnsi="Times New Roman" w:cs="Times New Roman"/>
          <w:i/>
          <w:sz w:val="24"/>
          <w:szCs w:val="24"/>
        </w:rPr>
        <w:t xml:space="preserve">                          </w:t>
      </w:r>
      <w:proofErr w:type="gramStart"/>
      <w:r w:rsidRPr="00933378">
        <w:rPr>
          <w:rFonts w:ascii="Times New Roman" w:hAnsi="Times New Roman" w:cs="Times New Roman"/>
          <w:i/>
          <w:sz w:val="24"/>
          <w:szCs w:val="24"/>
        </w:rPr>
        <w:t>other</w:t>
      </w:r>
      <w:proofErr w:type="gramEnd"/>
      <w:r w:rsidRPr="00933378">
        <w:rPr>
          <w:rFonts w:ascii="Times New Roman" w:hAnsi="Times New Roman" w:cs="Times New Roman"/>
          <w:i/>
          <w:sz w:val="24"/>
          <w:szCs w:val="24"/>
        </w:rPr>
        <w:t xml:space="preserve"> expenses related to overnight functions</w:t>
      </w:r>
      <w:r w:rsidR="00EC4883">
        <w:rPr>
          <w:rFonts w:ascii="Times New Roman" w:hAnsi="Times New Roman" w:cs="Times New Roman"/>
          <w:i/>
          <w:sz w:val="24"/>
          <w:szCs w:val="24"/>
        </w:rPr>
        <w:t>.</w:t>
      </w:r>
      <w:r w:rsidRPr="0093337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33378" w:rsidRPr="00933378" w:rsidRDefault="00933378" w:rsidP="00933378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:rsidR="00C958DD" w:rsidRDefault="00933378" w:rsidP="00C958DD">
      <w:pPr>
        <w:rPr>
          <w:rFonts w:ascii="Times New Roman" w:hAnsi="Times New Roman" w:cs="Times New Roman"/>
          <w:i/>
          <w:sz w:val="24"/>
          <w:szCs w:val="24"/>
        </w:rPr>
      </w:pPr>
      <w:r w:rsidRPr="00933378"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0941F6">
        <w:rPr>
          <w:rFonts w:ascii="Times New Roman" w:hAnsi="Times New Roman" w:cs="Times New Roman"/>
          <w:i/>
          <w:sz w:val="24"/>
          <w:szCs w:val="24"/>
        </w:rPr>
        <w:t>For</w:t>
      </w:r>
      <w:r w:rsidR="00C958DD" w:rsidRPr="00933378">
        <w:rPr>
          <w:rFonts w:ascii="Times New Roman" w:hAnsi="Times New Roman" w:cs="Times New Roman"/>
          <w:i/>
          <w:sz w:val="24"/>
          <w:szCs w:val="24"/>
        </w:rPr>
        <w:t xml:space="preserve"> arbitration expenses related to tribal gaming.</w:t>
      </w:r>
    </w:p>
    <w:p w:rsidR="0046699A" w:rsidRPr="00E00C84" w:rsidRDefault="0046699A" w:rsidP="0046699A">
      <w:pPr>
        <w:pStyle w:val="ListParagraph"/>
        <w:numPr>
          <w:ilvl w:val="0"/>
          <w:numId w:val="1"/>
        </w:numPr>
        <w:spacing w:before="289" w:after="546" w:line="277" w:lineRule="exact"/>
        <w:ind w:right="72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  <w:r w:rsidRPr="006439CC">
        <w:rPr>
          <w:rFonts w:ascii="Times New Roman" w:eastAsia="Times New Roman" w:hAnsi="Times New Roman" w:cs="Times New Roman"/>
          <w:i/>
          <w:color w:val="000000"/>
          <w:sz w:val="24"/>
        </w:rPr>
        <w:t xml:space="preserve">Finalized requests for the documentation contained within this memo must be submitted to your Executive Budget Analyst at the State Budget Division, by close of business on </w:t>
      </w:r>
      <w:r w:rsidR="00E00C84" w:rsidRPr="00E00C84">
        <w:rPr>
          <w:rFonts w:ascii="Times New Roman" w:eastAsia="Times New Roman" w:hAnsi="Times New Roman" w:cs="Times New Roman"/>
          <w:b/>
          <w:i/>
          <w:color w:val="000000"/>
          <w:sz w:val="24"/>
        </w:rPr>
        <w:t>Friday, November 2, 2018</w:t>
      </w:r>
      <w:r w:rsidRPr="006439CC">
        <w:rPr>
          <w:rFonts w:ascii="Times New Roman" w:eastAsia="Times New Roman" w:hAnsi="Times New Roman" w:cs="Times New Roman"/>
          <w:i/>
          <w:color w:val="000000"/>
          <w:sz w:val="24"/>
        </w:rPr>
        <w:t>. Please deliver two signed copies to the State Budget Division and one signed copy to the Legislative Fin</w:t>
      </w:r>
      <w:bookmarkStart w:id="0" w:name="_GoBack"/>
      <w:bookmarkEnd w:id="0"/>
      <w:r w:rsidRPr="006439CC">
        <w:rPr>
          <w:rFonts w:ascii="Times New Roman" w:eastAsia="Times New Roman" w:hAnsi="Times New Roman" w:cs="Times New Roman"/>
          <w:i/>
          <w:color w:val="000000"/>
          <w:sz w:val="24"/>
        </w:rPr>
        <w:t xml:space="preserve">ance Committee.  </w:t>
      </w:r>
      <w:r w:rsidRPr="00E00C84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Also send an electronic copy as </w:t>
      </w:r>
      <w:r w:rsidR="00E00C84" w:rsidRPr="00E00C84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an Excel </w:t>
      </w:r>
      <w:r w:rsidRPr="00E00C84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document to </w:t>
      </w:r>
      <w:r w:rsidR="00E00C84" w:rsidRPr="00E00C84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Andrew Miner at andrew.miner@state.nm.us and (TBD)specials@nmlegis.gov.  </w:t>
      </w:r>
    </w:p>
    <w:p w:rsidR="0046699A" w:rsidRPr="006439CC" w:rsidRDefault="0046699A" w:rsidP="0046699A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:rsidR="00D7181C" w:rsidRPr="006439CC" w:rsidRDefault="00D7181C" w:rsidP="00D7181C">
      <w:pPr>
        <w:rPr>
          <w:rFonts w:ascii="Times New Roman" w:hAnsi="Times New Roman" w:cs="Times New Roman"/>
          <w:sz w:val="24"/>
          <w:szCs w:val="24"/>
        </w:rPr>
      </w:pPr>
    </w:p>
    <w:p w:rsidR="0077073F" w:rsidRPr="006439CC" w:rsidRDefault="0077073F" w:rsidP="0077073F">
      <w:pPr>
        <w:rPr>
          <w:rFonts w:ascii="Times New Roman" w:hAnsi="Times New Roman" w:cs="Times New Roman"/>
          <w:sz w:val="24"/>
          <w:szCs w:val="24"/>
        </w:rPr>
      </w:pPr>
    </w:p>
    <w:sectPr w:rsidR="0077073F" w:rsidRPr="006439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9066E"/>
    <w:multiLevelType w:val="hybridMultilevel"/>
    <w:tmpl w:val="AD6A6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64A6D"/>
    <w:multiLevelType w:val="hybridMultilevel"/>
    <w:tmpl w:val="F7807E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274641"/>
    <w:multiLevelType w:val="hybridMultilevel"/>
    <w:tmpl w:val="F59C2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32CB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C977BE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502E470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06324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52D73EF5"/>
    <w:multiLevelType w:val="hybridMultilevel"/>
    <w:tmpl w:val="44FCE9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874"/>
    <w:rsid w:val="000941F6"/>
    <w:rsid w:val="00145E70"/>
    <w:rsid w:val="003403E6"/>
    <w:rsid w:val="003C4128"/>
    <w:rsid w:val="0046699A"/>
    <w:rsid w:val="004A6B44"/>
    <w:rsid w:val="00551052"/>
    <w:rsid w:val="005A38CE"/>
    <w:rsid w:val="00621EED"/>
    <w:rsid w:val="006437CD"/>
    <w:rsid w:val="006439CC"/>
    <w:rsid w:val="0069485D"/>
    <w:rsid w:val="006F31C8"/>
    <w:rsid w:val="006F3708"/>
    <w:rsid w:val="00705B9D"/>
    <w:rsid w:val="00762543"/>
    <w:rsid w:val="0077073F"/>
    <w:rsid w:val="00772B41"/>
    <w:rsid w:val="007E7EC5"/>
    <w:rsid w:val="009048FD"/>
    <w:rsid w:val="00933378"/>
    <w:rsid w:val="009E4745"/>
    <w:rsid w:val="00A21193"/>
    <w:rsid w:val="00A60603"/>
    <w:rsid w:val="00A925E3"/>
    <w:rsid w:val="00BA4436"/>
    <w:rsid w:val="00BC5A16"/>
    <w:rsid w:val="00C958DD"/>
    <w:rsid w:val="00D7181C"/>
    <w:rsid w:val="00E00C84"/>
    <w:rsid w:val="00E16368"/>
    <w:rsid w:val="00E174E6"/>
    <w:rsid w:val="00E42A38"/>
    <w:rsid w:val="00E7609F"/>
    <w:rsid w:val="00EC4883"/>
    <w:rsid w:val="00ED2874"/>
    <w:rsid w:val="00F64B92"/>
    <w:rsid w:val="00FA6C95"/>
    <w:rsid w:val="00FB3A98"/>
    <w:rsid w:val="00FE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7B5631-5380-4184-9121-BE148B400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B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2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54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3337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00C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F. Blair</dc:creator>
  <cp:keywords/>
  <dc:description/>
  <cp:lastModifiedBy>Andrew Miner</cp:lastModifiedBy>
  <cp:revision>8</cp:revision>
  <cp:lastPrinted>2013-09-26T22:28:00Z</cp:lastPrinted>
  <dcterms:created xsi:type="dcterms:W3CDTF">2016-10-17T20:04:00Z</dcterms:created>
  <dcterms:modified xsi:type="dcterms:W3CDTF">2018-09-26T19:46:00Z</dcterms:modified>
</cp:coreProperties>
</file>