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charts/chart13.xml" ContentType="application/vnd.openxmlformats-officedocument.drawingml.chart+xml"/>
  <Override PartName="/word/theme/themeOverride12.xml" ContentType="application/vnd.openxmlformats-officedocument.themeOverride+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5.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bookmarkEnd w:id="0"/>
    <w:p w:rsidR="00A82D6E" w:rsidRPr="00955C8C" w:rsidRDefault="00A82D6E" w:rsidP="00CC3344">
      <w:pPr>
        <w:ind w:left="360" w:hanging="360"/>
        <w:rPr>
          <w:highlight w:val="yellow"/>
        </w:rPr>
      </w:pPr>
      <w:r>
        <w:rPr>
          <w:noProof/>
        </w:rPr>
        <mc:AlternateContent>
          <mc:Choice Requires="wpg">
            <w:drawing>
              <wp:anchor distT="0" distB="0" distL="114300" distR="114300" simplePos="0" relativeHeight="251671552" behindDoc="0" locked="0" layoutInCell="1" allowOverlap="1" wp14:anchorId="3870827C" wp14:editId="4F4AB373">
                <wp:simplePos x="0" y="0"/>
                <wp:positionH relativeFrom="column">
                  <wp:posOffset>-304800</wp:posOffset>
                </wp:positionH>
                <wp:positionV relativeFrom="paragraph">
                  <wp:posOffset>-304800</wp:posOffset>
                </wp:positionV>
                <wp:extent cx="6858000" cy="8997950"/>
                <wp:effectExtent l="0" t="0" r="0" b="3175"/>
                <wp:wrapNone/>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8997950"/>
                          <a:chOff x="1067562" y="1056132"/>
                          <a:chExt cx="68580" cy="89976"/>
                        </a:xfrm>
                      </wpg:grpSpPr>
                      <wps:wsp>
                        <wps:cNvPr id="22" name="Rectangle 3"/>
                        <wps:cNvSpPr>
                          <a:spLocks noChangeArrowheads="1"/>
                        </wps:cNvSpPr>
                        <wps:spPr bwMode="auto">
                          <a:xfrm>
                            <a:off x="1108710" y="1076706"/>
                            <a:ext cx="27432" cy="69402"/>
                          </a:xfrm>
                          <a:prstGeom prst="rect">
                            <a:avLst/>
                          </a:prstGeom>
                          <a:solidFill>
                            <a:srgbClr val="3891A7">
                              <a:alpha val="25999"/>
                            </a:srgbClr>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7DEC9"/>
                                  </a:outerShdw>
                                </a:effectLst>
                              </a14:hiddenEffects>
                            </a:ext>
                          </a:extLst>
                        </wps:spPr>
                        <wps:bodyPr rot="0" vert="horz" wrap="square" lIns="36576" tIns="36576" rIns="36576" bIns="36576" anchor="t" anchorCtr="0" upright="1">
                          <a:noAutofit/>
                        </wps:bodyPr>
                      </wps:wsp>
                      <wps:wsp>
                        <wps:cNvPr id="25" name="Rectangle 4"/>
                        <wps:cNvSpPr>
                          <a:spLocks noChangeArrowheads="1"/>
                        </wps:cNvSpPr>
                        <wps:spPr bwMode="auto">
                          <a:xfrm>
                            <a:off x="1067562" y="1056132"/>
                            <a:ext cx="36576" cy="24384"/>
                          </a:xfrm>
                          <a:prstGeom prst="rect">
                            <a:avLst/>
                          </a:prstGeom>
                          <a:solidFill>
                            <a:srgbClr val="29ADC8"/>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7DEC9"/>
                                  </a:outerShdw>
                                </a:effectLst>
                              </a14:hiddenEffects>
                            </a:ext>
                          </a:extLst>
                        </wps:spPr>
                        <wps:bodyPr rot="0" vert="horz" wrap="square" lIns="36576" tIns="36576" rIns="36576" bIns="36576" anchor="t" anchorCtr="0" upright="1">
                          <a:noAutofit/>
                        </wps:bodyPr>
                      </wps:wsp>
                      <wps:wsp>
                        <wps:cNvPr id="26" name="Rectangle 5"/>
                        <wps:cNvSpPr>
                          <a:spLocks noChangeArrowheads="1"/>
                        </wps:cNvSpPr>
                        <wps:spPr bwMode="auto">
                          <a:xfrm>
                            <a:off x="1072134" y="1062990"/>
                            <a:ext cx="59436" cy="45720"/>
                          </a:xfrm>
                          <a:prstGeom prst="rect">
                            <a:avLst/>
                          </a:prstGeom>
                          <a:solidFill>
                            <a:srgbClr val="F7E8AA"/>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7DEC9"/>
                                  </a:outerShdw>
                                </a:effectLst>
                              </a14:hiddenEffects>
                            </a:ext>
                          </a:extLst>
                        </wps:spPr>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C4228B" id="Group 21" o:spid="_x0000_s1026" style="position:absolute;margin-left:-24pt;margin-top:-24pt;width:540pt;height:708.5pt;z-index:251671552" coordorigin="10675,10561" coordsize="685,8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">
                <v:rect id="Rectangle 3" o:spid="_x0000_s1027" style="position:absolute;left:11087;top:10767;width:274;height:6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HwjcMA&#10;AADbAAAADwAAAGRycy9kb3ducmV2LnhtbERPy2rCQBTdC/2H4Ra6EZ00i1RSR+mDQIUiRAXp7pq5&#10;JsHMnZCZJvHvO0LB1eFwXpzlejSN6KlztWUFz/MIBHFhdc2lgsM+my1AOI+ssbFMCq7kYL16mCwx&#10;1XbgnPqdL0UoYZeigsr7NpXSFRUZdHPbEgftbDuDPtCulLrDIZSbRsZRlEiDNYeFClv6qKi47H6N&#10;grY/Bjxl0yT6/Pl+Yfd+3mxzpZ4ex7dXEJ5Gfzf/p7+0gjiG25fwA+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uHwjcMAAADbAAAADwAAAAAAAAAAAAAAAACYAgAAZHJzL2Rv&#10;d25yZXYueG1sUEsFBgAAAAAEAAQA9QAAAIgDAAAAAA==&#10;" fillcolor="#3891a7" stroked="f" strokecolor="black [0]" strokeweight="0" insetpen="t">
                  <v:fill opacity="16962f"/>
                  <v:shadow color="#e7dec9"/>
                  <v:textbox inset="2.88pt,2.88pt,2.88pt,2.88pt"/>
                </v:rect>
                <v:rect id="Rectangle 4" o:spid="_x0000_s1028" style="position:absolute;left:10675;top:10561;width:366;height: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kHOL8A&#10;AADbAAAADwAAAGRycy9kb3ducmV2LnhtbESPzQrCMBCE74LvEFbwpmkFRapRRFAKHsQfPC/N2hab&#10;TWmirW9vBMHjMDPfMMt1ZyrxosaVlhXE4wgEcWZ1ybmC62U3moNwHlljZZkUvMnBetXvLTHRtuUT&#10;vc4+FwHCLkEFhfd1IqXLCjLoxrYmDt7dNgZ9kE0udYNtgJtKTqJoJg2WHBYKrGlbUPY4P40CR9dj&#10;HB+Oetq+b3qvn7c2TfdKDQfdZgHCU+f/4V871QomU/h+CT9Arj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kWQc4vwAAANsAAAAPAAAAAAAAAAAAAAAAAJgCAABkcnMvZG93bnJl&#10;di54bWxQSwUGAAAAAAQABAD1AAAAhAMAAAAA&#10;" fillcolor="#29adc8" stroked="f" strokecolor="black [0]" strokeweight="0" insetpen="t">
                  <v:shadow color="#e7dec9"/>
                  <v:textbox inset="2.88pt,2.88pt,2.88pt,2.88pt"/>
                </v:rect>
                <v:rect id="Rectangle 5" o:spid="_x0000_s1029" style="position:absolute;left:10721;top:10629;width:594;height: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thlMQA&#10;AADbAAAADwAAAGRycy9kb3ducmV2LnhtbESPQWsCMRSE74L/ITyhNzdbS6WsRlGhtIce1BZ6fWye&#10;u1uTlyVJ193++kYQPA4z8w2zXPfWiI58aBwreMxyEMSl0w1XCr4+X6cvIEJE1mgck4KBAqxX49ES&#10;C+0ufKDuGCuRIBwKVFDH2BZShrImiyFzLXHyTs5bjEn6SmqPlwS3Rs7yfC4tNpwWamxpV1N5Pv5a&#10;Bc+b/tv64akz5615az72f91AP0o9TPrNAkSkPt7Dt/a7VjCbw/VL+gF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7YZTEAAAA2wAAAA8AAAAAAAAAAAAAAAAAmAIAAGRycy9k&#10;b3ducmV2LnhtbFBLBQYAAAAABAAEAPUAAACJAwAAAAA=&#10;" fillcolor="#f7e8aa" stroked="f" strokecolor="black [0]" strokeweight="0" insetpen="t">
                  <v:shadow color="#e7dec9"/>
                  <v:textbox inset="2.88pt,2.88pt,2.88pt,2.88pt"/>
                </v:rect>
              </v:group>
            </w:pict>
          </mc:Fallback>
        </mc:AlternateContent>
      </w:r>
      <w:r>
        <w:rPr>
          <w:noProof/>
        </w:rPr>
        <mc:AlternateContent>
          <mc:Choice Requires="wps">
            <w:drawing>
              <wp:anchor distT="36576" distB="36576" distL="36576" distR="36576" simplePos="0" relativeHeight="251672576" behindDoc="0" locked="0" layoutInCell="1" allowOverlap="1" wp14:anchorId="7FD32BE6" wp14:editId="634810B0">
                <wp:simplePos x="0" y="0"/>
                <wp:positionH relativeFrom="column">
                  <wp:posOffset>-181610</wp:posOffset>
                </wp:positionH>
                <wp:positionV relativeFrom="paragraph">
                  <wp:posOffset>3571240</wp:posOffset>
                </wp:positionV>
                <wp:extent cx="6739890" cy="2190115"/>
                <wp:effectExtent l="0" t="0" r="4445" b="1270"/>
                <wp:wrapNone/>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9890" cy="2190115"/>
                        </a:xfrm>
                        <a:prstGeom prst="rect">
                          <a:avLst/>
                        </a:prstGeom>
                        <a:noFill/>
                        <a:ln>
                          <a:noFill/>
                        </a:ln>
                        <a:effectLst/>
                        <a:extLst>
                          <a:ext uri="{909E8E84-426E-40DD-AFC4-6F175D3DCCD1}">
                            <a14:hiddenFill xmlns:a14="http://schemas.microsoft.com/office/drawing/2010/main">
                              <a:solidFill>
                                <a:schemeClr val="dk1">
                                  <a:lumMod val="0"/>
                                  <a:lumOff val="0"/>
                                </a:schemeClr>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000555" w:rsidRDefault="00000555" w:rsidP="00CC3344">
                            <w:pPr>
                              <w:pStyle w:val="Title"/>
                              <w:rPr>
                                <w:rFonts w:ascii="Cambria" w:hAnsi="Cambria"/>
                                <w:sz w:val="92"/>
                                <w:szCs w:val="92"/>
                              </w:rPr>
                            </w:pPr>
                            <w:r>
                              <w:rPr>
                                <w:rFonts w:ascii="Cambria" w:hAnsi="Cambria"/>
                                <w:sz w:val="92"/>
                                <w:szCs w:val="92"/>
                              </w:rPr>
                              <w:t xml:space="preserve">2015—2020 </w:t>
                            </w:r>
                          </w:p>
                          <w:p w:rsidR="00000555" w:rsidRDefault="00000555" w:rsidP="00CC3344">
                            <w:pPr>
                              <w:pStyle w:val="Title"/>
                              <w:rPr>
                                <w:rFonts w:ascii="Cambria" w:hAnsi="Cambria"/>
                                <w:sz w:val="92"/>
                                <w:szCs w:val="92"/>
                              </w:rPr>
                            </w:pPr>
                            <w:r>
                              <w:rPr>
                                <w:rFonts w:ascii="Cambria" w:hAnsi="Cambria"/>
                                <w:sz w:val="92"/>
                                <w:szCs w:val="92"/>
                              </w:rPr>
                              <w:t>New Mexico</w:t>
                            </w:r>
                          </w:p>
                          <w:p w:rsidR="00000555" w:rsidRDefault="00000555" w:rsidP="00CC3344">
                            <w:pPr>
                              <w:pStyle w:val="Title"/>
                              <w:rPr>
                                <w:rFonts w:ascii="Cambria" w:hAnsi="Cambria"/>
                                <w:sz w:val="92"/>
                                <w:szCs w:val="92"/>
                              </w:rPr>
                            </w:pPr>
                            <w:r>
                              <w:rPr>
                                <w:rFonts w:ascii="Cambria" w:hAnsi="Cambria"/>
                                <w:sz w:val="92"/>
                                <w:szCs w:val="92"/>
                              </w:rPr>
                              <w:t>Consolidated Plan</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D32BE6" id="_x0000_t202" coordsize="21600,21600" o:spt="202" path="m,l,21600r21600,l21600,xe">
                <v:stroke joinstyle="miter"/>
                <v:path gradientshapeok="t" o:connecttype="rect"/>
              </v:shapetype>
              <v:shape id="Text Box 20" o:spid="_x0000_s1026" type="#_x0000_t202" style="position:absolute;left:0;text-align:left;margin-left:-14.3pt;margin-top:281.2pt;width:530.7pt;height:172.45pt;z-index:2516725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" filled="f" fillcolor="black [0]" stroked="f" strokecolor="black [0]" strokeweight="0" insetpen="t">
                <v:textbox inset="2.85pt,2.85pt,2.85pt,2.85pt">
                  <w:txbxContent>
                    <w:p w:rsidR="00000555" w:rsidRDefault="00000555" w:rsidP="00CC3344">
                      <w:pPr>
                        <w:pStyle w:val="Title"/>
                        <w:rPr>
                          <w:rFonts w:ascii="Cambria" w:hAnsi="Cambria"/>
                          <w:sz w:val="92"/>
                          <w:szCs w:val="92"/>
                        </w:rPr>
                      </w:pPr>
                      <w:r>
                        <w:rPr>
                          <w:rFonts w:ascii="Cambria" w:hAnsi="Cambria"/>
                          <w:sz w:val="92"/>
                          <w:szCs w:val="92"/>
                        </w:rPr>
                        <w:t xml:space="preserve">2015—2020 </w:t>
                      </w:r>
                    </w:p>
                    <w:p w:rsidR="00000555" w:rsidRDefault="00000555" w:rsidP="00CC3344">
                      <w:pPr>
                        <w:pStyle w:val="Title"/>
                        <w:rPr>
                          <w:rFonts w:ascii="Cambria" w:hAnsi="Cambria"/>
                          <w:sz w:val="92"/>
                          <w:szCs w:val="92"/>
                        </w:rPr>
                      </w:pPr>
                      <w:r>
                        <w:rPr>
                          <w:rFonts w:ascii="Cambria" w:hAnsi="Cambria"/>
                          <w:sz w:val="92"/>
                          <w:szCs w:val="92"/>
                        </w:rPr>
                        <w:t>New Mexico</w:t>
                      </w:r>
                    </w:p>
                    <w:p w:rsidR="00000555" w:rsidRDefault="00000555" w:rsidP="00CC3344">
                      <w:pPr>
                        <w:pStyle w:val="Title"/>
                        <w:rPr>
                          <w:rFonts w:ascii="Cambria" w:hAnsi="Cambria"/>
                          <w:sz w:val="92"/>
                          <w:szCs w:val="92"/>
                        </w:rPr>
                      </w:pPr>
                      <w:r>
                        <w:rPr>
                          <w:rFonts w:ascii="Cambria" w:hAnsi="Cambria"/>
                          <w:sz w:val="92"/>
                          <w:szCs w:val="92"/>
                        </w:rPr>
                        <w:t>Consolidated Plan</w:t>
                      </w:r>
                    </w:p>
                  </w:txbxContent>
                </v:textbox>
              </v:shape>
            </w:pict>
          </mc:Fallback>
        </mc:AlternateContent>
      </w:r>
      <w:r>
        <w:rPr>
          <w:noProof/>
        </w:rPr>
        <mc:AlternateContent>
          <mc:Choice Requires="wps">
            <w:drawing>
              <wp:anchor distT="36576" distB="36576" distL="36576" distR="36576" simplePos="0" relativeHeight="251673600" behindDoc="0" locked="0" layoutInCell="1" allowOverlap="1" wp14:anchorId="5EB50C9F" wp14:editId="62B2240C">
                <wp:simplePos x="0" y="0"/>
                <wp:positionH relativeFrom="column">
                  <wp:posOffset>107315</wp:posOffset>
                </wp:positionH>
                <wp:positionV relativeFrom="paragraph">
                  <wp:posOffset>6130290</wp:posOffset>
                </wp:positionV>
                <wp:extent cx="6354445" cy="1633220"/>
                <wp:effectExtent l="2540" t="0" r="0" b="0"/>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4445" cy="1633220"/>
                        </a:xfrm>
                        <a:prstGeom prst="rect">
                          <a:avLst/>
                        </a:prstGeom>
                        <a:noFill/>
                        <a:ln>
                          <a:noFill/>
                        </a:ln>
                        <a:effectLst/>
                        <a:extLst>
                          <a:ext uri="{909E8E84-426E-40DD-AFC4-6F175D3DCCD1}">
                            <a14:hiddenFill xmlns:a14="http://schemas.microsoft.com/office/drawing/2010/main">
                              <a:solidFill>
                                <a:schemeClr val="dk1">
                                  <a:lumMod val="0"/>
                                  <a:lumOff val="0"/>
                                </a:schemeClr>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000555" w:rsidRDefault="00000555" w:rsidP="00CC3344">
                            <w:pPr>
                              <w:pStyle w:val="BodyText"/>
                              <w:widowControl w:val="0"/>
                              <w:jc w:val="right"/>
                              <w:rPr>
                                <w:sz w:val="48"/>
                                <w:szCs w:val="48"/>
                              </w:rPr>
                            </w:pPr>
                            <w:r>
                              <w:rPr>
                                <w:rFonts w:ascii="Cambria" w:hAnsi="Cambria"/>
                                <w:sz w:val="48"/>
                                <w:szCs w:val="48"/>
                              </w:rPr>
                              <w:t xml:space="preserve">New Mexico Mortgage Finance Authority                        </w:t>
                            </w:r>
                            <w:r>
                              <w:rPr>
                                <w:sz w:val="48"/>
                                <w:szCs w:val="48"/>
                              </w:rPr>
                              <w:t xml:space="preserve">——————————— </w:t>
                            </w:r>
                          </w:p>
                          <w:p w:rsidR="00000555" w:rsidRDefault="00000555" w:rsidP="00CC3344">
                            <w:pPr>
                              <w:pStyle w:val="BodyText"/>
                              <w:widowControl w:val="0"/>
                              <w:jc w:val="right"/>
                              <w:rPr>
                                <w:rFonts w:ascii="Cambria" w:hAnsi="Cambria"/>
                                <w:sz w:val="48"/>
                                <w:szCs w:val="48"/>
                              </w:rPr>
                            </w:pPr>
                            <w:r>
                              <w:rPr>
                                <w:rFonts w:ascii="Cambria" w:hAnsi="Cambria"/>
                                <w:sz w:val="48"/>
                                <w:szCs w:val="48"/>
                              </w:rPr>
                              <w:t xml:space="preserve">Department of Finance and Administration  </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B50C9F" id="Text Box 8" o:spid="_x0000_s1027" type="#_x0000_t202" style="position:absolute;left:0;text-align:left;margin-left:8.45pt;margin-top:482.7pt;width:500.35pt;height:128.6pt;z-index:2516736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" filled="f" fillcolor="black [0]" stroked="f" strokecolor="black [0]" strokeweight="0" insetpen="t">
                <v:textbox inset="2.85pt,2.85pt,2.85pt,2.85pt">
                  <w:txbxContent>
                    <w:p w:rsidR="00000555" w:rsidRDefault="00000555" w:rsidP="00CC3344">
                      <w:pPr>
                        <w:pStyle w:val="BodyText"/>
                        <w:widowControl w:val="0"/>
                        <w:jc w:val="right"/>
                        <w:rPr>
                          <w:sz w:val="48"/>
                          <w:szCs w:val="48"/>
                        </w:rPr>
                      </w:pPr>
                      <w:r>
                        <w:rPr>
                          <w:rFonts w:ascii="Cambria" w:hAnsi="Cambria"/>
                          <w:sz w:val="48"/>
                          <w:szCs w:val="48"/>
                        </w:rPr>
                        <w:t xml:space="preserve">New Mexico Mortgage Finance Authority                        </w:t>
                      </w:r>
                      <w:r>
                        <w:rPr>
                          <w:sz w:val="48"/>
                          <w:szCs w:val="48"/>
                        </w:rPr>
                        <w:t xml:space="preserve">——————————— </w:t>
                      </w:r>
                    </w:p>
                    <w:p w:rsidR="00000555" w:rsidRDefault="00000555" w:rsidP="00CC3344">
                      <w:pPr>
                        <w:pStyle w:val="BodyText"/>
                        <w:widowControl w:val="0"/>
                        <w:jc w:val="right"/>
                        <w:rPr>
                          <w:rFonts w:ascii="Cambria" w:hAnsi="Cambria"/>
                          <w:sz w:val="48"/>
                          <w:szCs w:val="48"/>
                        </w:rPr>
                      </w:pPr>
                      <w:r>
                        <w:rPr>
                          <w:rFonts w:ascii="Cambria" w:hAnsi="Cambria"/>
                          <w:sz w:val="48"/>
                          <w:szCs w:val="48"/>
                        </w:rPr>
                        <w:t xml:space="preserve">Department of Finance and Administration  </w:t>
                      </w:r>
                    </w:p>
                  </w:txbxContent>
                </v:textbox>
              </v:shape>
            </w:pict>
          </mc:Fallback>
        </mc:AlternateContent>
      </w:r>
      <w:r>
        <w:rPr>
          <w:noProof/>
        </w:rPr>
        <w:drawing>
          <wp:anchor distT="36576" distB="36576" distL="36576" distR="36576" simplePos="0" relativeHeight="251674624" behindDoc="0" locked="0" layoutInCell="1" allowOverlap="1" wp14:anchorId="671DDCF7" wp14:editId="7FB2CC30">
            <wp:simplePos x="0" y="0"/>
            <wp:positionH relativeFrom="column">
              <wp:posOffset>1052830</wp:posOffset>
            </wp:positionH>
            <wp:positionV relativeFrom="paragraph">
              <wp:posOffset>995680</wp:posOffset>
            </wp:positionV>
            <wp:extent cx="4142740" cy="2573655"/>
            <wp:effectExtent l="0" t="0" r="0" b="0"/>
            <wp:wrapNone/>
            <wp:docPr id="7" name="Picture 7" descr="Vigas_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igas_Color"/>
                    <pic:cNvPicPr>
                      <a:picLocks noChangeAspect="1" noChangeArrowheads="1"/>
                    </pic:cNvPicPr>
                  </pic:nvPicPr>
                  <pic:blipFill>
                    <a:blip r:embed="rId8" cstate="print">
                      <a:extLst>
                        <a:ext uri="{28A0092B-C50C-407E-A947-70E740481C1C}">
                          <a14:useLocalDpi xmlns:a14="http://schemas.microsoft.com/office/drawing/2010/main" val="0"/>
                        </a:ext>
                      </a:extLst>
                    </a:blip>
                    <a:srcRect t="8586" b="8586"/>
                    <a:stretch>
                      <a:fillRect/>
                    </a:stretch>
                  </pic:blipFill>
                  <pic:spPr bwMode="auto">
                    <a:xfrm>
                      <a:off x="0" y="0"/>
                      <a:ext cx="4142740" cy="257365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955C8C">
        <w:rPr>
          <w:highlight w:val="yellow"/>
        </w:rPr>
        <w:br w:type="page"/>
      </w:r>
    </w:p>
    <w:p w:rsidR="00A82D6E" w:rsidRDefault="00A82D6E"/>
    <w:p w:rsidR="00A82D6E" w:rsidRDefault="00A82D6E" w:rsidP="003E0C92">
      <w:pPr>
        <w:ind w:left="360" w:hanging="360"/>
        <w:rPr>
          <w:highlight w:val="yellow"/>
        </w:rPr>
      </w:pPr>
    </w:p>
    <w:p w:rsidR="003E0C92" w:rsidRPr="00955C8C" w:rsidRDefault="00B71DBB" w:rsidP="003E0C92">
      <w:pPr>
        <w:ind w:left="360" w:hanging="360"/>
        <w:rPr>
          <w:highlight w:val="yellow"/>
        </w:rPr>
      </w:pPr>
      <w:r>
        <w:rPr>
          <w:noProof/>
        </w:rPr>
        <w:drawing>
          <wp:anchor distT="0" distB="0" distL="114300" distR="114300" simplePos="0" relativeHeight="251675648" behindDoc="0" locked="0" layoutInCell="1" allowOverlap="1" wp14:anchorId="136F70BC" wp14:editId="354488BB">
            <wp:simplePos x="0" y="0"/>
            <wp:positionH relativeFrom="margin">
              <wp:posOffset>2226945</wp:posOffset>
            </wp:positionH>
            <wp:positionV relativeFrom="margin">
              <wp:posOffset>756285</wp:posOffset>
            </wp:positionV>
            <wp:extent cx="1908810" cy="7039610"/>
            <wp:effectExtent l="0" t="0" r="0" b="8890"/>
            <wp:wrapSquare wrapText="bothSides"/>
            <wp:docPr id="7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08810" cy="7039610"/>
                    </a:xfrm>
                    <a:prstGeom prst="rect">
                      <a:avLst/>
                    </a:prstGeom>
                    <a:noFill/>
                  </pic:spPr>
                </pic:pic>
              </a:graphicData>
            </a:graphic>
            <wp14:sizeRelH relativeFrom="page">
              <wp14:pctWidth>0</wp14:pctWidth>
            </wp14:sizeRelH>
            <wp14:sizeRelV relativeFrom="page">
              <wp14:pctHeight>0</wp14:pctHeight>
            </wp14:sizeRelV>
          </wp:anchor>
        </w:drawing>
      </w:r>
      <w:r w:rsidR="003E0C92" w:rsidRPr="00955C8C">
        <w:rPr>
          <w:highlight w:val="yellow"/>
        </w:rPr>
        <w:br w:type="page"/>
      </w:r>
    </w:p>
    <w:p w:rsidR="003458BE" w:rsidRDefault="003458BE" w:rsidP="00030AC4">
      <w:pPr>
        <w:jc w:val="center"/>
        <w:rPr>
          <w:rFonts w:ascii="CG Omega" w:hAnsi="CG Omega" w:cs="Arial"/>
          <w:b/>
          <w:color w:val="000080"/>
          <w:sz w:val="28"/>
          <w:szCs w:val="28"/>
          <w:highlight w:val="yellow"/>
        </w:rPr>
        <w:sectPr w:rsidR="003458BE" w:rsidSect="008B2F5B">
          <w:pgSz w:w="12240" w:h="15840"/>
          <w:pgMar w:top="1440" w:right="1440" w:bottom="1440" w:left="1440" w:header="720" w:footer="720" w:gutter="0"/>
          <w:cols w:space="720"/>
          <w:docGrid w:linePitch="360"/>
        </w:sectPr>
      </w:pPr>
    </w:p>
    <w:p w:rsidR="006A7833" w:rsidRPr="00AF6CE7" w:rsidRDefault="00DB23DD" w:rsidP="00030AC4">
      <w:pPr>
        <w:jc w:val="center"/>
        <w:rPr>
          <w:rFonts w:ascii="CG Omega" w:hAnsi="CG Omega"/>
          <w:b/>
          <w:smallCaps/>
          <w:sz w:val="42"/>
          <w:szCs w:val="42"/>
        </w:rPr>
      </w:pPr>
      <w:r w:rsidRPr="00AF6CE7">
        <w:rPr>
          <w:rFonts w:ascii="CG Omega" w:hAnsi="CG Omega"/>
          <w:b/>
          <w:smallCaps/>
          <w:sz w:val="42"/>
          <w:szCs w:val="42"/>
        </w:rPr>
        <w:lastRenderedPageBreak/>
        <w:t>201</w:t>
      </w:r>
      <w:r w:rsidR="00F912E4">
        <w:rPr>
          <w:rFonts w:ascii="CG Omega" w:hAnsi="CG Omega"/>
          <w:b/>
          <w:smallCaps/>
          <w:sz w:val="42"/>
          <w:szCs w:val="42"/>
        </w:rPr>
        <w:t>5</w:t>
      </w:r>
      <w:r w:rsidR="002841A5" w:rsidRPr="00AF6CE7">
        <w:rPr>
          <w:rFonts w:ascii="CG Omega" w:hAnsi="CG Omega"/>
          <w:b/>
          <w:smallCaps/>
          <w:sz w:val="42"/>
          <w:szCs w:val="42"/>
        </w:rPr>
        <w:t xml:space="preserve"> – </w:t>
      </w:r>
      <w:r w:rsidRPr="00AF6CE7">
        <w:rPr>
          <w:rFonts w:ascii="CG Omega" w:hAnsi="CG Omega"/>
          <w:b/>
          <w:smallCaps/>
          <w:sz w:val="42"/>
          <w:szCs w:val="42"/>
        </w:rPr>
        <w:t>2020</w:t>
      </w:r>
      <w:r w:rsidR="00B85175" w:rsidRPr="00AF6CE7">
        <w:rPr>
          <w:rFonts w:ascii="CG Omega" w:hAnsi="CG Omega"/>
          <w:b/>
          <w:smallCaps/>
          <w:sz w:val="42"/>
          <w:szCs w:val="42"/>
        </w:rPr>
        <w:t xml:space="preserve"> </w:t>
      </w:r>
      <w:r w:rsidR="006A7833" w:rsidRPr="00AF6CE7">
        <w:rPr>
          <w:rFonts w:ascii="CG Omega" w:hAnsi="CG Omega"/>
          <w:b/>
          <w:smallCaps/>
          <w:sz w:val="42"/>
          <w:szCs w:val="42"/>
        </w:rPr>
        <w:t>New Mexico</w:t>
      </w:r>
      <w:r w:rsidR="00072309" w:rsidRPr="00AF6CE7">
        <w:rPr>
          <w:rFonts w:ascii="CG Omega" w:hAnsi="CG Omega"/>
          <w:b/>
          <w:smallCaps/>
          <w:sz w:val="42"/>
          <w:szCs w:val="42"/>
        </w:rPr>
        <w:t xml:space="preserve"> </w:t>
      </w:r>
      <w:r w:rsidR="00B85175" w:rsidRPr="00AF6CE7">
        <w:rPr>
          <w:rFonts w:ascii="CG Omega" w:hAnsi="CG Omega"/>
          <w:b/>
          <w:smallCaps/>
          <w:sz w:val="42"/>
          <w:szCs w:val="42"/>
        </w:rPr>
        <w:t xml:space="preserve">Consolidated Plan </w:t>
      </w:r>
    </w:p>
    <w:p w:rsidR="00624E48" w:rsidRPr="00AF6CE7" w:rsidRDefault="000517D1" w:rsidP="00624E48">
      <w:pPr>
        <w:jc w:val="center"/>
        <w:rPr>
          <w:rFonts w:ascii="CG Omega" w:hAnsi="CG Omega"/>
          <w:b/>
          <w:smallCaps/>
          <w:sz w:val="42"/>
          <w:szCs w:val="42"/>
        </w:rPr>
      </w:pPr>
      <w:r w:rsidRPr="00AF6CE7">
        <w:rPr>
          <w:rFonts w:ascii="CG Omega" w:hAnsi="CG Omega"/>
          <w:b/>
          <w:smallCaps/>
          <w:sz w:val="42"/>
          <w:szCs w:val="42"/>
        </w:rPr>
        <w:t>for</w:t>
      </w:r>
      <w:r w:rsidR="006A7833" w:rsidRPr="00AF6CE7">
        <w:rPr>
          <w:rFonts w:ascii="CG Omega" w:hAnsi="CG Omega"/>
          <w:b/>
          <w:smallCaps/>
          <w:sz w:val="42"/>
          <w:szCs w:val="42"/>
        </w:rPr>
        <w:t xml:space="preserve"> </w:t>
      </w:r>
      <w:r w:rsidRPr="00AF6CE7">
        <w:rPr>
          <w:rFonts w:ascii="CG Omega" w:hAnsi="CG Omega"/>
          <w:b/>
          <w:smallCaps/>
          <w:sz w:val="42"/>
          <w:szCs w:val="42"/>
        </w:rPr>
        <w:t xml:space="preserve">Housing and Community Development </w:t>
      </w:r>
    </w:p>
    <w:p w:rsidR="00624E48" w:rsidRPr="00AF6CE7" w:rsidRDefault="00624E48" w:rsidP="00624E48">
      <w:pPr>
        <w:jc w:val="center"/>
        <w:rPr>
          <w:rFonts w:ascii="CG Omega" w:hAnsi="CG Omega"/>
          <w:b/>
          <w:smallCaps/>
          <w:sz w:val="42"/>
          <w:szCs w:val="42"/>
        </w:rPr>
      </w:pPr>
    </w:p>
    <w:p w:rsidR="00624E48" w:rsidRPr="00AF6CE7" w:rsidRDefault="00624E48" w:rsidP="00624E48">
      <w:pPr>
        <w:jc w:val="center"/>
        <w:rPr>
          <w:rFonts w:ascii="CG Omega" w:hAnsi="CG Omega"/>
          <w:b/>
          <w:smallCaps/>
          <w:sz w:val="42"/>
          <w:szCs w:val="42"/>
        </w:rPr>
      </w:pPr>
    </w:p>
    <w:p w:rsidR="00624E48" w:rsidRPr="00AF6CE7" w:rsidRDefault="00624E48" w:rsidP="00B85175">
      <w:pPr>
        <w:jc w:val="center"/>
        <w:rPr>
          <w:rFonts w:ascii="CG Omega" w:hAnsi="CG Omega" w:cs="Arial"/>
        </w:rPr>
      </w:pPr>
    </w:p>
    <w:p w:rsidR="00624E48" w:rsidRPr="00AF6CE7" w:rsidRDefault="00624E48" w:rsidP="00B85175">
      <w:pPr>
        <w:jc w:val="center"/>
        <w:rPr>
          <w:rFonts w:ascii="CG Omega" w:hAnsi="CG Omega" w:cs="Arial"/>
        </w:rPr>
      </w:pPr>
    </w:p>
    <w:p w:rsidR="00624E48" w:rsidRPr="00AF6CE7" w:rsidRDefault="00624E48" w:rsidP="00B85175">
      <w:pPr>
        <w:jc w:val="center"/>
        <w:rPr>
          <w:rFonts w:ascii="CG Omega" w:hAnsi="CG Omega" w:cs="Arial"/>
        </w:rPr>
      </w:pPr>
    </w:p>
    <w:p w:rsidR="00624E48" w:rsidRPr="00AF6CE7" w:rsidRDefault="00624E48" w:rsidP="00B85175">
      <w:pPr>
        <w:jc w:val="center"/>
        <w:rPr>
          <w:rFonts w:ascii="CG Omega" w:hAnsi="CG Omega" w:cs="Arial"/>
        </w:rPr>
      </w:pPr>
    </w:p>
    <w:p w:rsidR="00B85175" w:rsidRPr="00AF6CE7" w:rsidRDefault="00B85175" w:rsidP="00B85175">
      <w:pPr>
        <w:jc w:val="center"/>
        <w:rPr>
          <w:rFonts w:ascii="CG Omega" w:hAnsi="CG Omega" w:cs="Arial"/>
        </w:rPr>
      </w:pPr>
      <w:r w:rsidRPr="00AF6CE7">
        <w:rPr>
          <w:rFonts w:ascii="CG Omega" w:hAnsi="CG Omega" w:cs="Arial"/>
        </w:rPr>
        <w:t>Prepared for</w:t>
      </w:r>
      <w:r w:rsidR="006A7833" w:rsidRPr="00AF6CE7">
        <w:rPr>
          <w:rFonts w:ascii="CG Omega" w:hAnsi="CG Omega" w:cs="Arial"/>
        </w:rPr>
        <w:t xml:space="preserve"> the</w:t>
      </w:r>
      <w:r w:rsidRPr="00AF6CE7">
        <w:rPr>
          <w:rFonts w:ascii="CG Omega" w:hAnsi="CG Omega" w:cs="Arial"/>
        </w:rPr>
        <w:t>:</w:t>
      </w:r>
    </w:p>
    <w:p w:rsidR="00B85175" w:rsidRPr="00AF6CE7" w:rsidRDefault="006A7833" w:rsidP="00B85175">
      <w:pPr>
        <w:jc w:val="center"/>
        <w:rPr>
          <w:rFonts w:ascii="CG Omega" w:hAnsi="CG Omega" w:cs="Arial"/>
        </w:rPr>
      </w:pPr>
      <w:r w:rsidRPr="00AF6CE7">
        <w:rPr>
          <w:rFonts w:ascii="CG Omega" w:hAnsi="CG Omega" w:cs="Arial"/>
        </w:rPr>
        <w:t>New Mexico Mortgage Finance Authority</w:t>
      </w:r>
    </w:p>
    <w:p w:rsidR="006A7833" w:rsidRPr="00AF6CE7" w:rsidRDefault="006A7833" w:rsidP="006A7833">
      <w:pPr>
        <w:jc w:val="center"/>
        <w:rPr>
          <w:rFonts w:ascii="CG Omega" w:hAnsi="CG Omega" w:cs="Arial"/>
        </w:rPr>
      </w:pPr>
      <w:r w:rsidRPr="00AF6CE7">
        <w:rPr>
          <w:rFonts w:ascii="CG Omega" w:hAnsi="CG Omega" w:cs="Arial"/>
        </w:rPr>
        <w:t xml:space="preserve">344 4th Street </w:t>
      </w:r>
      <w:r w:rsidR="00CC3344">
        <w:rPr>
          <w:rFonts w:ascii="CG Omega" w:hAnsi="CG Omega" w:cs="Arial"/>
        </w:rPr>
        <w:t>SW</w:t>
      </w:r>
    </w:p>
    <w:p w:rsidR="00B85175" w:rsidRPr="00AF6CE7" w:rsidRDefault="006A7833" w:rsidP="006A7833">
      <w:pPr>
        <w:jc w:val="center"/>
        <w:rPr>
          <w:rFonts w:ascii="CG Omega" w:hAnsi="CG Omega" w:cs="Arial"/>
        </w:rPr>
      </w:pPr>
      <w:r w:rsidRPr="00AF6CE7">
        <w:rPr>
          <w:rFonts w:ascii="CG Omega" w:hAnsi="CG Omega" w:cs="Arial"/>
        </w:rPr>
        <w:t>Albuquerque, NM 87102-3206</w:t>
      </w:r>
    </w:p>
    <w:p w:rsidR="00526C80" w:rsidRPr="00AF6CE7" w:rsidRDefault="00526C80" w:rsidP="00526C80">
      <w:pPr>
        <w:jc w:val="center"/>
        <w:rPr>
          <w:rFonts w:ascii="CG Omega" w:hAnsi="CG Omega"/>
        </w:rPr>
      </w:pPr>
    </w:p>
    <w:p w:rsidR="00526C80" w:rsidRPr="00AF6CE7" w:rsidRDefault="00526C80" w:rsidP="00526C80">
      <w:pPr>
        <w:jc w:val="center"/>
        <w:rPr>
          <w:rFonts w:ascii="CG Omega" w:hAnsi="CG Omega"/>
        </w:rPr>
      </w:pPr>
      <w:r w:rsidRPr="00AF6CE7">
        <w:rPr>
          <w:rFonts w:ascii="CG Omega" w:hAnsi="CG Omega"/>
        </w:rPr>
        <w:t>and</w:t>
      </w:r>
    </w:p>
    <w:p w:rsidR="00526C80" w:rsidRPr="00AF6CE7" w:rsidRDefault="00526C80" w:rsidP="00526C80">
      <w:pPr>
        <w:jc w:val="center"/>
        <w:rPr>
          <w:rFonts w:ascii="CG Omega" w:hAnsi="CG Omega"/>
        </w:rPr>
      </w:pPr>
    </w:p>
    <w:p w:rsidR="00526C80" w:rsidRPr="00AF6CE7" w:rsidRDefault="00526C80" w:rsidP="00526C80">
      <w:pPr>
        <w:jc w:val="center"/>
        <w:rPr>
          <w:rFonts w:ascii="CG Omega" w:hAnsi="CG Omega"/>
        </w:rPr>
      </w:pPr>
      <w:r w:rsidRPr="00AF6CE7">
        <w:rPr>
          <w:rFonts w:ascii="CG Omega" w:hAnsi="CG Omega"/>
        </w:rPr>
        <w:t>New Mexico Department of Finance and Administration</w:t>
      </w:r>
    </w:p>
    <w:p w:rsidR="00526C80" w:rsidRPr="00AF6CE7" w:rsidRDefault="00526C80" w:rsidP="00526C80">
      <w:pPr>
        <w:jc w:val="center"/>
        <w:rPr>
          <w:rFonts w:ascii="CG Omega" w:hAnsi="CG Omega"/>
        </w:rPr>
      </w:pPr>
      <w:r w:rsidRPr="00AF6CE7">
        <w:rPr>
          <w:rFonts w:ascii="CG Omega" w:hAnsi="CG Omega"/>
        </w:rPr>
        <w:t>407 Galisteo</w:t>
      </w:r>
    </w:p>
    <w:p w:rsidR="00526C80" w:rsidRPr="00AF6CE7" w:rsidRDefault="00526C80" w:rsidP="00526C80">
      <w:pPr>
        <w:jc w:val="center"/>
        <w:rPr>
          <w:rFonts w:ascii="CG Omega" w:hAnsi="CG Omega"/>
        </w:rPr>
      </w:pPr>
      <w:r w:rsidRPr="00AF6CE7">
        <w:rPr>
          <w:rFonts w:ascii="CG Omega" w:hAnsi="CG Omega"/>
        </w:rPr>
        <w:t>Bataan Memorial Building, Room 202</w:t>
      </w:r>
    </w:p>
    <w:p w:rsidR="00526C80" w:rsidRPr="00AF6CE7" w:rsidRDefault="00526C80" w:rsidP="00526C80">
      <w:pPr>
        <w:jc w:val="center"/>
        <w:rPr>
          <w:rFonts w:ascii="CG Omega" w:hAnsi="CG Omega"/>
        </w:rPr>
      </w:pPr>
      <w:r w:rsidRPr="00AF6CE7">
        <w:rPr>
          <w:rFonts w:ascii="CG Omega" w:hAnsi="CG Omega"/>
        </w:rPr>
        <w:t>Santa Fe, NM 87501</w:t>
      </w:r>
    </w:p>
    <w:p w:rsidR="00B85175" w:rsidRPr="00AF6CE7" w:rsidRDefault="00B85175" w:rsidP="00150BF9">
      <w:pPr>
        <w:rPr>
          <w:rFonts w:ascii="CG Omega" w:hAnsi="CG Omega"/>
        </w:rPr>
      </w:pPr>
    </w:p>
    <w:p w:rsidR="00150BF9" w:rsidRPr="00AF6CE7" w:rsidRDefault="00150BF9" w:rsidP="00150BF9">
      <w:pPr>
        <w:rPr>
          <w:rFonts w:ascii="CG Omega" w:hAnsi="CG Omega"/>
        </w:rPr>
      </w:pPr>
    </w:p>
    <w:p w:rsidR="002721E3" w:rsidRPr="00AF6CE7" w:rsidRDefault="002721E3" w:rsidP="00150BF9">
      <w:pPr>
        <w:rPr>
          <w:rFonts w:ascii="CG Omega" w:hAnsi="CG Omega"/>
        </w:rPr>
      </w:pPr>
    </w:p>
    <w:p w:rsidR="00B85175" w:rsidRPr="00AF6CE7" w:rsidRDefault="00B85175" w:rsidP="00B85175">
      <w:pPr>
        <w:jc w:val="center"/>
        <w:rPr>
          <w:rFonts w:ascii="CG Omega" w:hAnsi="CG Omega"/>
        </w:rPr>
      </w:pPr>
    </w:p>
    <w:p w:rsidR="00B85175" w:rsidRPr="00AF6CE7" w:rsidRDefault="00B85175" w:rsidP="00B85175">
      <w:pPr>
        <w:jc w:val="center"/>
        <w:rPr>
          <w:rFonts w:ascii="CG Omega" w:hAnsi="CG Omega" w:cs="Arial"/>
          <w:szCs w:val="22"/>
        </w:rPr>
      </w:pPr>
      <w:r w:rsidRPr="00AF6CE7">
        <w:rPr>
          <w:rFonts w:ascii="CG Omega" w:hAnsi="CG Omega" w:cs="Arial"/>
          <w:szCs w:val="22"/>
        </w:rPr>
        <w:t xml:space="preserve"> Prepared by:</w:t>
      </w:r>
    </w:p>
    <w:p w:rsidR="00B85175" w:rsidRPr="00AF6CE7" w:rsidRDefault="00B85175" w:rsidP="00B85175">
      <w:pPr>
        <w:jc w:val="center"/>
        <w:rPr>
          <w:rFonts w:ascii="CG Omega" w:hAnsi="CG Omega"/>
        </w:rPr>
      </w:pPr>
      <w:r w:rsidRPr="00AF6CE7">
        <w:rPr>
          <w:rFonts w:ascii="CG Omega" w:hAnsi="CG Omega"/>
        </w:rPr>
        <w:t>Western Economic Services, LLC</w:t>
      </w:r>
    </w:p>
    <w:p w:rsidR="00B85175" w:rsidRPr="00AF6CE7" w:rsidRDefault="00B85175" w:rsidP="00B85175">
      <w:pPr>
        <w:jc w:val="center"/>
        <w:rPr>
          <w:rFonts w:ascii="CG Omega" w:hAnsi="CG Omega"/>
        </w:rPr>
      </w:pPr>
      <w:r w:rsidRPr="00AF6CE7">
        <w:rPr>
          <w:rFonts w:ascii="CG Omega" w:hAnsi="CG Omega"/>
        </w:rPr>
        <w:t>212 SE 18</w:t>
      </w:r>
      <w:r w:rsidRPr="00AF6CE7">
        <w:rPr>
          <w:rFonts w:ascii="CG Omega" w:hAnsi="CG Omega"/>
          <w:vertAlign w:val="superscript"/>
        </w:rPr>
        <w:t>th</w:t>
      </w:r>
      <w:r w:rsidRPr="00AF6CE7">
        <w:rPr>
          <w:rFonts w:ascii="CG Omega" w:hAnsi="CG Omega"/>
        </w:rPr>
        <w:t xml:space="preserve"> Avenue</w:t>
      </w:r>
    </w:p>
    <w:p w:rsidR="00B85175" w:rsidRPr="00AF6CE7" w:rsidRDefault="00B85175" w:rsidP="00B85175">
      <w:pPr>
        <w:jc w:val="center"/>
        <w:rPr>
          <w:rFonts w:ascii="CG Omega" w:hAnsi="CG Omega"/>
        </w:rPr>
      </w:pPr>
      <w:r w:rsidRPr="00AF6CE7">
        <w:rPr>
          <w:rFonts w:ascii="CG Omega" w:hAnsi="CG Omega"/>
        </w:rPr>
        <w:t>Portland, OR 97214</w:t>
      </w:r>
    </w:p>
    <w:p w:rsidR="00B85175" w:rsidRPr="00AF6CE7" w:rsidRDefault="00B85175" w:rsidP="00B85175">
      <w:pPr>
        <w:jc w:val="center"/>
        <w:rPr>
          <w:rFonts w:ascii="CG Omega" w:hAnsi="CG Omega"/>
          <w:sz w:val="28"/>
        </w:rPr>
      </w:pPr>
      <w:r w:rsidRPr="00AF6CE7">
        <w:rPr>
          <w:rFonts w:ascii="CG Omega" w:hAnsi="CG Omega"/>
        </w:rPr>
        <w:t>(503) 239-9091</w:t>
      </w:r>
    </w:p>
    <w:p w:rsidR="00B85175" w:rsidRPr="00AF6CE7" w:rsidRDefault="00B85175" w:rsidP="00B85175">
      <w:pPr>
        <w:jc w:val="center"/>
        <w:rPr>
          <w:rFonts w:ascii="CG Omega" w:hAnsi="CG Omega" w:cs="Arial"/>
          <w:szCs w:val="22"/>
        </w:rPr>
      </w:pPr>
      <w:r w:rsidRPr="00AF6CE7">
        <w:rPr>
          <w:rFonts w:ascii="CG Omega" w:hAnsi="CG Omega" w:cs="Arial"/>
          <w:szCs w:val="22"/>
        </w:rPr>
        <w:t>Toll-free: 1-866-937-9437</w:t>
      </w:r>
    </w:p>
    <w:p w:rsidR="00B85175" w:rsidRPr="00AF6CE7" w:rsidRDefault="00B85175" w:rsidP="00B85175">
      <w:pPr>
        <w:jc w:val="center"/>
        <w:rPr>
          <w:rFonts w:ascii="CG Omega" w:hAnsi="CG Omega" w:cs="Arial"/>
          <w:szCs w:val="22"/>
        </w:rPr>
      </w:pPr>
      <w:r w:rsidRPr="00AF6CE7">
        <w:rPr>
          <w:rFonts w:ascii="CG Omega" w:hAnsi="CG Omega" w:cs="Arial"/>
          <w:szCs w:val="22"/>
        </w:rPr>
        <w:t>Fax: (503) 239-0236</w:t>
      </w:r>
    </w:p>
    <w:p w:rsidR="00B85175" w:rsidRPr="00AF6CE7" w:rsidRDefault="00B85175" w:rsidP="00B85175">
      <w:pPr>
        <w:jc w:val="center"/>
        <w:rPr>
          <w:rFonts w:ascii="CG Omega" w:hAnsi="CG Omega" w:cs="Arial"/>
          <w:b/>
          <w:bCs/>
          <w:szCs w:val="72"/>
        </w:rPr>
      </w:pPr>
      <w:r w:rsidRPr="00AF6CE7">
        <w:rPr>
          <w:rFonts w:ascii="CG Omega" w:hAnsi="CG Omega" w:cs="Arial"/>
          <w:szCs w:val="22"/>
        </w:rPr>
        <w:t>http://www.westernes.com</w:t>
      </w:r>
    </w:p>
    <w:p w:rsidR="00030AC4" w:rsidRPr="00955C8C" w:rsidRDefault="00030AC4" w:rsidP="00B85175">
      <w:pPr>
        <w:pStyle w:val="BodyText"/>
        <w:jc w:val="center"/>
        <w:rPr>
          <w:rFonts w:ascii="CG Omega" w:hAnsi="CG Omega"/>
          <w:highlight w:val="yellow"/>
        </w:rPr>
      </w:pPr>
    </w:p>
    <w:p w:rsidR="00150BF9" w:rsidRPr="00955C8C" w:rsidRDefault="00150BF9" w:rsidP="0028107E">
      <w:pPr>
        <w:pStyle w:val="BodyText"/>
        <w:jc w:val="left"/>
        <w:rPr>
          <w:highlight w:val="yellow"/>
        </w:rPr>
      </w:pPr>
    </w:p>
    <w:p w:rsidR="00624E48" w:rsidRDefault="00624E48" w:rsidP="00624E48">
      <w:pPr>
        <w:rPr>
          <w:szCs w:val="20"/>
          <w:highlight w:val="yellow"/>
        </w:rPr>
      </w:pPr>
    </w:p>
    <w:p w:rsidR="00CA61F2" w:rsidRDefault="00CA61F2" w:rsidP="00624E48">
      <w:pPr>
        <w:rPr>
          <w:szCs w:val="20"/>
          <w:highlight w:val="yellow"/>
        </w:rPr>
      </w:pPr>
    </w:p>
    <w:p w:rsidR="00CA61F2" w:rsidRDefault="00CA61F2" w:rsidP="00624E48">
      <w:pPr>
        <w:rPr>
          <w:szCs w:val="20"/>
          <w:highlight w:val="yellow"/>
        </w:rPr>
      </w:pPr>
    </w:p>
    <w:p w:rsidR="00CA61F2" w:rsidRPr="00955C8C" w:rsidRDefault="00CA61F2" w:rsidP="00CA61F2">
      <w:pPr>
        <w:jc w:val="center"/>
        <w:rPr>
          <w:szCs w:val="20"/>
          <w:highlight w:val="yellow"/>
        </w:rPr>
      </w:pPr>
    </w:p>
    <w:p w:rsidR="00B85175" w:rsidRPr="00AF6CE7" w:rsidRDefault="00B71DBB" w:rsidP="00CA61F2">
      <w:pPr>
        <w:pStyle w:val="Heading2"/>
      </w:pPr>
      <w:r>
        <w:lastRenderedPageBreak/>
        <w:t>Final</w:t>
      </w:r>
      <w:r w:rsidRPr="00AF6CE7">
        <w:t xml:space="preserve"> </w:t>
      </w:r>
      <w:r w:rsidR="00DB23DD" w:rsidRPr="00AF6CE7">
        <w:t xml:space="preserve">Report for </w:t>
      </w:r>
      <w:r>
        <w:t>Board</w:t>
      </w:r>
      <w:r w:rsidR="00DB23DD" w:rsidRPr="00AF6CE7">
        <w:t xml:space="preserve"> Review</w:t>
      </w:r>
    </w:p>
    <w:p w:rsidR="00B85175" w:rsidRPr="00AF6CE7" w:rsidRDefault="00B71DBB" w:rsidP="00B85175">
      <w:pPr>
        <w:pStyle w:val="Heading2"/>
      </w:pPr>
      <w:r>
        <w:t>October 15</w:t>
      </w:r>
      <w:r w:rsidR="00DB23DD" w:rsidRPr="00AF6CE7">
        <w:t>, 2014</w:t>
      </w:r>
    </w:p>
    <w:p w:rsidR="0040477F" w:rsidRPr="00955C8C" w:rsidRDefault="00B85175" w:rsidP="000869BD">
      <w:pPr>
        <w:pStyle w:val="Header"/>
        <w:rPr>
          <w:rFonts w:ascii="CG Omega" w:hAnsi="CG Omega" w:cs="Arial"/>
          <w:b/>
          <w:color w:val="000080"/>
          <w:sz w:val="28"/>
          <w:szCs w:val="28"/>
          <w:highlight w:val="yellow"/>
        </w:rPr>
      </w:pPr>
      <w:r w:rsidRPr="00955C8C">
        <w:rPr>
          <w:highlight w:val="yellow"/>
        </w:rPr>
        <w:br w:type="page"/>
      </w:r>
    </w:p>
    <w:p w:rsidR="0040477F" w:rsidRPr="00955C8C" w:rsidRDefault="0040477F" w:rsidP="00C81A62">
      <w:pPr>
        <w:pStyle w:val="Header"/>
        <w:jc w:val="center"/>
        <w:rPr>
          <w:rFonts w:ascii="CG Omega" w:hAnsi="CG Omega" w:cs="Arial"/>
          <w:b/>
          <w:color w:val="000080"/>
          <w:sz w:val="28"/>
          <w:szCs w:val="28"/>
          <w:highlight w:val="yellow"/>
        </w:rPr>
      </w:pPr>
    </w:p>
    <w:p w:rsidR="00ED7489" w:rsidRPr="00955C8C" w:rsidRDefault="00ED7489" w:rsidP="00150BF9">
      <w:pPr>
        <w:pStyle w:val="Header"/>
        <w:rPr>
          <w:rFonts w:ascii="CG Omega" w:hAnsi="CG Omega" w:cs="Arial"/>
          <w:b/>
          <w:color w:val="000080"/>
          <w:sz w:val="28"/>
          <w:szCs w:val="28"/>
          <w:highlight w:val="yellow"/>
        </w:rPr>
        <w:sectPr w:rsidR="00ED7489" w:rsidRPr="00955C8C" w:rsidSect="008B2F5B">
          <w:pgSz w:w="12240" w:h="15840"/>
          <w:pgMar w:top="1440" w:right="1440" w:bottom="1440" w:left="1440" w:header="720" w:footer="720" w:gutter="0"/>
          <w:cols w:space="720"/>
          <w:docGrid w:linePitch="360"/>
        </w:sectPr>
      </w:pPr>
    </w:p>
    <w:p w:rsidR="00754A91" w:rsidRDefault="00760DAB" w:rsidP="002A5217">
      <w:pPr>
        <w:tabs>
          <w:tab w:val="right" w:pos="9360"/>
        </w:tabs>
        <w:rPr>
          <w:noProof/>
        </w:rPr>
      </w:pPr>
      <w:r w:rsidRPr="00043837">
        <w:rPr>
          <w:sz w:val="16"/>
          <w:szCs w:val="16"/>
          <w:highlight w:val="yellow"/>
        </w:rPr>
        <w:lastRenderedPageBreak/>
        <w:fldChar w:fldCharType="begin"/>
      </w:r>
      <w:r w:rsidRPr="00043837">
        <w:rPr>
          <w:sz w:val="16"/>
          <w:szCs w:val="16"/>
          <w:highlight w:val="yellow"/>
        </w:rPr>
        <w:instrText xml:space="preserve"> TOC \f \h \z \t "Heading 4,1,First Head,2" </w:instrText>
      </w:r>
      <w:r w:rsidRPr="00043837">
        <w:rPr>
          <w:sz w:val="16"/>
          <w:szCs w:val="16"/>
          <w:highlight w:val="yellow"/>
        </w:rPr>
        <w:fldChar w:fldCharType="end"/>
      </w:r>
      <w:r w:rsidRPr="00043837">
        <w:rPr>
          <w:sz w:val="16"/>
          <w:szCs w:val="16"/>
          <w:highlight w:val="yellow"/>
        </w:rPr>
        <w:fldChar w:fldCharType="begin"/>
      </w:r>
      <w:r w:rsidRPr="00043837">
        <w:rPr>
          <w:sz w:val="16"/>
          <w:szCs w:val="16"/>
          <w:highlight w:val="yellow"/>
        </w:rPr>
        <w:instrText xml:space="preserve"> TOC \f \h \z \t "Heading 4,1,First Head,2" </w:instrText>
      </w:r>
      <w:r w:rsidRPr="00043837">
        <w:rPr>
          <w:sz w:val="16"/>
          <w:szCs w:val="16"/>
          <w:highlight w:val="yellow"/>
        </w:rPr>
        <w:fldChar w:fldCharType="separate"/>
      </w:r>
    </w:p>
    <w:p w:rsidR="00754A91" w:rsidRDefault="00865F04">
      <w:pPr>
        <w:pStyle w:val="TOC1"/>
        <w:rPr>
          <w:rFonts w:asciiTheme="minorHAnsi" w:eastAsiaTheme="minorEastAsia" w:hAnsiTheme="minorHAnsi" w:cstheme="minorBidi"/>
          <w:b w:val="0"/>
          <w:smallCaps w:val="0"/>
          <w:noProof/>
          <w:sz w:val="22"/>
          <w:szCs w:val="22"/>
        </w:rPr>
      </w:pPr>
      <w:hyperlink w:anchor="_Toc399834553" w:history="1">
        <w:r w:rsidR="00754A91" w:rsidRPr="00603C3D">
          <w:rPr>
            <w:rStyle w:val="Hyperlink"/>
            <w:noProof/>
            <w:highlight w:val="yellow"/>
          </w:rPr>
          <w:t>I. Executive Summary</w:t>
        </w:r>
        <w:r w:rsidR="00754A91">
          <w:rPr>
            <w:noProof/>
            <w:webHidden/>
          </w:rPr>
          <w:tab/>
        </w:r>
        <w:r w:rsidR="00754A91">
          <w:rPr>
            <w:noProof/>
            <w:webHidden/>
          </w:rPr>
          <w:fldChar w:fldCharType="begin"/>
        </w:r>
        <w:r w:rsidR="00754A91">
          <w:rPr>
            <w:noProof/>
            <w:webHidden/>
          </w:rPr>
          <w:instrText xml:space="preserve"> PAGEREF _Toc399834553 \h </w:instrText>
        </w:r>
        <w:r w:rsidR="00754A91">
          <w:rPr>
            <w:noProof/>
            <w:webHidden/>
          </w:rPr>
        </w:r>
        <w:r w:rsidR="00754A91">
          <w:rPr>
            <w:noProof/>
            <w:webHidden/>
          </w:rPr>
          <w:fldChar w:fldCharType="separate"/>
        </w:r>
        <w:r w:rsidR="00754A91">
          <w:rPr>
            <w:noProof/>
            <w:webHidden/>
          </w:rPr>
          <w:t>1</w:t>
        </w:r>
        <w:r w:rsidR="00754A91">
          <w:rPr>
            <w:noProof/>
            <w:webHidden/>
          </w:rPr>
          <w:fldChar w:fldCharType="end"/>
        </w:r>
      </w:hyperlink>
    </w:p>
    <w:p w:rsidR="00754A91" w:rsidRDefault="00865F04">
      <w:pPr>
        <w:pStyle w:val="TOC2"/>
        <w:rPr>
          <w:rFonts w:asciiTheme="minorHAnsi" w:eastAsiaTheme="minorEastAsia" w:hAnsiTheme="minorHAnsi" w:cstheme="minorBidi"/>
          <w:noProof/>
          <w:sz w:val="22"/>
          <w:szCs w:val="22"/>
        </w:rPr>
      </w:pPr>
      <w:hyperlink w:anchor="_Toc399834554" w:history="1">
        <w:r w:rsidR="00754A91" w:rsidRPr="00603C3D">
          <w:rPr>
            <w:rStyle w:val="Hyperlink"/>
            <w:noProof/>
          </w:rPr>
          <w:t>A. Introduction</w:t>
        </w:r>
        <w:r w:rsidR="00754A91">
          <w:rPr>
            <w:noProof/>
            <w:webHidden/>
          </w:rPr>
          <w:tab/>
        </w:r>
        <w:r w:rsidR="00754A91">
          <w:rPr>
            <w:noProof/>
            <w:webHidden/>
          </w:rPr>
          <w:fldChar w:fldCharType="begin"/>
        </w:r>
        <w:r w:rsidR="00754A91">
          <w:rPr>
            <w:noProof/>
            <w:webHidden/>
          </w:rPr>
          <w:instrText xml:space="preserve"> PAGEREF _Toc399834554 \h </w:instrText>
        </w:r>
        <w:r w:rsidR="00754A91">
          <w:rPr>
            <w:noProof/>
            <w:webHidden/>
          </w:rPr>
        </w:r>
        <w:r w:rsidR="00754A91">
          <w:rPr>
            <w:noProof/>
            <w:webHidden/>
          </w:rPr>
          <w:fldChar w:fldCharType="separate"/>
        </w:r>
        <w:r w:rsidR="00754A91">
          <w:rPr>
            <w:noProof/>
            <w:webHidden/>
          </w:rPr>
          <w:t>1</w:t>
        </w:r>
        <w:r w:rsidR="00754A91">
          <w:rPr>
            <w:noProof/>
            <w:webHidden/>
          </w:rPr>
          <w:fldChar w:fldCharType="end"/>
        </w:r>
      </w:hyperlink>
    </w:p>
    <w:p w:rsidR="00754A91" w:rsidRDefault="00865F04">
      <w:pPr>
        <w:pStyle w:val="TOC2"/>
        <w:rPr>
          <w:rFonts w:asciiTheme="minorHAnsi" w:eastAsiaTheme="minorEastAsia" w:hAnsiTheme="minorHAnsi" w:cstheme="minorBidi"/>
          <w:noProof/>
          <w:sz w:val="22"/>
          <w:szCs w:val="22"/>
        </w:rPr>
      </w:pPr>
      <w:hyperlink w:anchor="_Toc399834555" w:history="1">
        <w:r w:rsidR="00754A91" w:rsidRPr="00603C3D">
          <w:rPr>
            <w:rStyle w:val="Hyperlink"/>
            <w:noProof/>
          </w:rPr>
          <w:t>B. New Mexico Background and Trends</w:t>
        </w:r>
        <w:r w:rsidR="00754A91">
          <w:rPr>
            <w:noProof/>
            <w:webHidden/>
          </w:rPr>
          <w:tab/>
        </w:r>
        <w:r w:rsidR="00754A91">
          <w:rPr>
            <w:noProof/>
            <w:webHidden/>
          </w:rPr>
          <w:fldChar w:fldCharType="begin"/>
        </w:r>
        <w:r w:rsidR="00754A91">
          <w:rPr>
            <w:noProof/>
            <w:webHidden/>
          </w:rPr>
          <w:instrText xml:space="preserve"> PAGEREF _Toc399834555 \h </w:instrText>
        </w:r>
        <w:r w:rsidR="00754A91">
          <w:rPr>
            <w:noProof/>
            <w:webHidden/>
          </w:rPr>
        </w:r>
        <w:r w:rsidR="00754A91">
          <w:rPr>
            <w:noProof/>
            <w:webHidden/>
          </w:rPr>
          <w:fldChar w:fldCharType="separate"/>
        </w:r>
        <w:r w:rsidR="00754A91">
          <w:rPr>
            <w:noProof/>
            <w:webHidden/>
          </w:rPr>
          <w:t>2</w:t>
        </w:r>
        <w:r w:rsidR="00754A91">
          <w:rPr>
            <w:noProof/>
            <w:webHidden/>
          </w:rPr>
          <w:fldChar w:fldCharType="end"/>
        </w:r>
      </w:hyperlink>
    </w:p>
    <w:p w:rsidR="00754A91" w:rsidRDefault="00865F04">
      <w:pPr>
        <w:pStyle w:val="TOC2"/>
        <w:rPr>
          <w:rFonts w:asciiTheme="minorHAnsi" w:eastAsiaTheme="minorEastAsia" w:hAnsiTheme="minorHAnsi" w:cstheme="minorBidi"/>
          <w:noProof/>
          <w:sz w:val="22"/>
          <w:szCs w:val="22"/>
        </w:rPr>
      </w:pPr>
      <w:hyperlink w:anchor="_Toc399834556" w:history="1">
        <w:r w:rsidR="00754A91" w:rsidRPr="00603C3D">
          <w:rPr>
            <w:rStyle w:val="Hyperlink"/>
            <w:noProof/>
          </w:rPr>
          <w:t>C. Five-Year Housing and Community Development Objectives and Strategies</w:t>
        </w:r>
        <w:r w:rsidR="00754A91">
          <w:rPr>
            <w:noProof/>
            <w:webHidden/>
          </w:rPr>
          <w:tab/>
        </w:r>
        <w:r w:rsidR="00754A91">
          <w:rPr>
            <w:noProof/>
            <w:webHidden/>
          </w:rPr>
          <w:fldChar w:fldCharType="begin"/>
        </w:r>
        <w:r w:rsidR="00754A91">
          <w:rPr>
            <w:noProof/>
            <w:webHidden/>
          </w:rPr>
          <w:instrText xml:space="preserve"> PAGEREF _Toc399834556 \h </w:instrText>
        </w:r>
        <w:r w:rsidR="00754A91">
          <w:rPr>
            <w:noProof/>
            <w:webHidden/>
          </w:rPr>
        </w:r>
        <w:r w:rsidR="00754A91">
          <w:rPr>
            <w:noProof/>
            <w:webHidden/>
          </w:rPr>
          <w:fldChar w:fldCharType="separate"/>
        </w:r>
        <w:r w:rsidR="00754A91">
          <w:rPr>
            <w:noProof/>
            <w:webHidden/>
          </w:rPr>
          <w:t>4</w:t>
        </w:r>
        <w:r w:rsidR="00754A91">
          <w:rPr>
            <w:noProof/>
            <w:webHidden/>
          </w:rPr>
          <w:fldChar w:fldCharType="end"/>
        </w:r>
      </w:hyperlink>
    </w:p>
    <w:p w:rsidR="00754A91" w:rsidRDefault="00865F04">
      <w:pPr>
        <w:pStyle w:val="TOC1"/>
        <w:rPr>
          <w:rFonts w:asciiTheme="minorHAnsi" w:eastAsiaTheme="minorEastAsia" w:hAnsiTheme="minorHAnsi" w:cstheme="minorBidi"/>
          <w:b w:val="0"/>
          <w:smallCaps w:val="0"/>
          <w:noProof/>
          <w:sz w:val="22"/>
          <w:szCs w:val="22"/>
        </w:rPr>
      </w:pPr>
      <w:hyperlink w:anchor="_Toc399834557" w:history="1">
        <w:r w:rsidR="00754A91" w:rsidRPr="00603C3D">
          <w:rPr>
            <w:rStyle w:val="Hyperlink"/>
            <w:noProof/>
            <w:highlight w:val="yellow"/>
          </w:rPr>
          <w:t>II.  Consolidated Plan Development Process</w:t>
        </w:r>
        <w:r w:rsidR="00754A91">
          <w:rPr>
            <w:noProof/>
            <w:webHidden/>
          </w:rPr>
          <w:tab/>
        </w:r>
        <w:r w:rsidR="00754A91">
          <w:rPr>
            <w:noProof/>
            <w:webHidden/>
          </w:rPr>
          <w:fldChar w:fldCharType="begin"/>
        </w:r>
        <w:r w:rsidR="00754A91">
          <w:rPr>
            <w:noProof/>
            <w:webHidden/>
          </w:rPr>
          <w:instrText xml:space="preserve"> PAGEREF _Toc399834557 \h </w:instrText>
        </w:r>
        <w:r w:rsidR="00754A91">
          <w:rPr>
            <w:noProof/>
            <w:webHidden/>
          </w:rPr>
        </w:r>
        <w:r w:rsidR="00754A91">
          <w:rPr>
            <w:noProof/>
            <w:webHidden/>
          </w:rPr>
          <w:fldChar w:fldCharType="separate"/>
        </w:r>
        <w:r w:rsidR="00754A91">
          <w:rPr>
            <w:noProof/>
            <w:webHidden/>
          </w:rPr>
          <w:t>12</w:t>
        </w:r>
        <w:r w:rsidR="00754A91">
          <w:rPr>
            <w:noProof/>
            <w:webHidden/>
          </w:rPr>
          <w:fldChar w:fldCharType="end"/>
        </w:r>
      </w:hyperlink>
    </w:p>
    <w:p w:rsidR="00754A91" w:rsidRDefault="00865F04">
      <w:pPr>
        <w:pStyle w:val="TOC2"/>
        <w:rPr>
          <w:rFonts w:asciiTheme="minorHAnsi" w:eastAsiaTheme="minorEastAsia" w:hAnsiTheme="minorHAnsi" w:cstheme="minorBidi"/>
          <w:noProof/>
          <w:sz w:val="22"/>
          <w:szCs w:val="22"/>
        </w:rPr>
      </w:pPr>
      <w:hyperlink w:anchor="_Toc399834558" w:history="1">
        <w:r w:rsidR="00754A91" w:rsidRPr="00603C3D">
          <w:rPr>
            <w:rStyle w:val="Hyperlink"/>
            <w:noProof/>
          </w:rPr>
          <w:t>A. Introduction</w:t>
        </w:r>
        <w:r w:rsidR="00754A91">
          <w:rPr>
            <w:noProof/>
            <w:webHidden/>
          </w:rPr>
          <w:tab/>
        </w:r>
        <w:r w:rsidR="00754A91">
          <w:rPr>
            <w:noProof/>
            <w:webHidden/>
          </w:rPr>
          <w:fldChar w:fldCharType="begin"/>
        </w:r>
        <w:r w:rsidR="00754A91">
          <w:rPr>
            <w:noProof/>
            <w:webHidden/>
          </w:rPr>
          <w:instrText xml:space="preserve"> PAGEREF _Toc399834558 \h </w:instrText>
        </w:r>
        <w:r w:rsidR="00754A91">
          <w:rPr>
            <w:noProof/>
            <w:webHidden/>
          </w:rPr>
        </w:r>
        <w:r w:rsidR="00754A91">
          <w:rPr>
            <w:noProof/>
            <w:webHidden/>
          </w:rPr>
          <w:fldChar w:fldCharType="separate"/>
        </w:r>
        <w:r w:rsidR="00754A91">
          <w:rPr>
            <w:noProof/>
            <w:webHidden/>
          </w:rPr>
          <w:t>12</w:t>
        </w:r>
        <w:r w:rsidR="00754A91">
          <w:rPr>
            <w:noProof/>
            <w:webHidden/>
          </w:rPr>
          <w:fldChar w:fldCharType="end"/>
        </w:r>
      </w:hyperlink>
    </w:p>
    <w:p w:rsidR="00754A91" w:rsidRDefault="00865F04">
      <w:pPr>
        <w:pStyle w:val="TOC2"/>
        <w:rPr>
          <w:rFonts w:asciiTheme="minorHAnsi" w:eastAsiaTheme="minorEastAsia" w:hAnsiTheme="minorHAnsi" w:cstheme="minorBidi"/>
          <w:noProof/>
          <w:sz w:val="22"/>
          <w:szCs w:val="22"/>
        </w:rPr>
      </w:pPr>
      <w:hyperlink w:anchor="_Toc399834559" w:history="1">
        <w:r w:rsidR="00754A91" w:rsidRPr="00603C3D">
          <w:rPr>
            <w:rStyle w:val="Hyperlink"/>
            <w:noProof/>
          </w:rPr>
          <w:t>B. Compliance with HUD Regulations</w:t>
        </w:r>
        <w:r w:rsidR="00754A91">
          <w:rPr>
            <w:noProof/>
            <w:webHidden/>
          </w:rPr>
          <w:tab/>
        </w:r>
        <w:r w:rsidR="00754A91">
          <w:rPr>
            <w:noProof/>
            <w:webHidden/>
          </w:rPr>
          <w:fldChar w:fldCharType="begin"/>
        </w:r>
        <w:r w:rsidR="00754A91">
          <w:rPr>
            <w:noProof/>
            <w:webHidden/>
          </w:rPr>
          <w:instrText xml:space="preserve"> PAGEREF _Toc399834559 \h </w:instrText>
        </w:r>
        <w:r w:rsidR="00754A91">
          <w:rPr>
            <w:noProof/>
            <w:webHidden/>
          </w:rPr>
        </w:r>
        <w:r w:rsidR="00754A91">
          <w:rPr>
            <w:noProof/>
            <w:webHidden/>
          </w:rPr>
          <w:fldChar w:fldCharType="separate"/>
        </w:r>
        <w:r w:rsidR="00754A91">
          <w:rPr>
            <w:noProof/>
            <w:webHidden/>
          </w:rPr>
          <w:t>13</w:t>
        </w:r>
        <w:r w:rsidR="00754A91">
          <w:rPr>
            <w:noProof/>
            <w:webHidden/>
          </w:rPr>
          <w:fldChar w:fldCharType="end"/>
        </w:r>
      </w:hyperlink>
    </w:p>
    <w:p w:rsidR="00754A91" w:rsidRDefault="00865F04">
      <w:pPr>
        <w:pStyle w:val="TOC2"/>
        <w:rPr>
          <w:rFonts w:asciiTheme="minorHAnsi" w:eastAsiaTheme="minorEastAsia" w:hAnsiTheme="minorHAnsi" w:cstheme="minorBidi"/>
          <w:noProof/>
          <w:sz w:val="22"/>
          <w:szCs w:val="22"/>
        </w:rPr>
      </w:pPr>
      <w:hyperlink w:anchor="_Toc399834560" w:history="1">
        <w:r w:rsidR="00754A91" w:rsidRPr="00603C3D">
          <w:rPr>
            <w:rStyle w:val="Hyperlink"/>
            <w:noProof/>
          </w:rPr>
          <w:t>C. Organizational Structure and Coordination</w:t>
        </w:r>
        <w:r w:rsidR="00754A91">
          <w:rPr>
            <w:noProof/>
            <w:webHidden/>
          </w:rPr>
          <w:tab/>
        </w:r>
        <w:r w:rsidR="00754A91">
          <w:rPr>
            <w:noProof/>
            <w:webHidden/>
          </w:rPr>
          <w:fldChar w:fldCharType="begin"/>
        </w:r>
        <w:r w:rsidR="00754A91">
          <w:rPr>
            <w:noProof/>
            <w:webHidden/>
          </w:rPr>
          <w:instrText xml:space="preserve"> PAGEREF _Toc399834560 \h </w:instrText>
        </w:r>
        <w:r w:rsidR="00754A91">
          <w:rPr>
            <w:noProof/>
            <w:webHidden/>
          </w:rPr>
        </w:r>
        <w:r w:rsidR="00754A91">
          <w:rPr>
            <w:noProof/>
            <w:webHidden/>
          </w:rPr>
          <w:fldChar w:fldCharType="separate"/>
        </w:r>
        <w:r w:rsidR="00754A91">
          <w:rPr>
            <w:noProof/>
            <w:webHidden/>
          </w:rPr>
          <w:t>16</w:t>
        </w:r>
        <w:r w:rsidR="00754A91">
          <w:rPr>
            <w:noProof/>
            <w:webHidden/>
          </w:rPr>
          <w:fldChar w:fldCharType="end"/>
        </w:r>
      </w:hyperlink>
    </w:p>
    <w:p w:rsidR="00754A91" w:rsidRDefault="00865F04">
      <w:pPr>
        <w:pStyle w:val="TOC2"/>
        <w:rPr>
          <w:rFonts w:asciiTheme="minorHAnsi" w:eastAsiaTheme="minorEastAsia" w:hAnsiTheme="minorHAnsi" w:cstheme="minorBidi"/>
          <w:noProof/>
          <w:sz w:val="22"/>
          <w:szCs w:val="22"/>
        </w:rPr>
      </w:pPr>
      <w:hyperlink w:anchor="_Toc399834561" w:history="1">
        <w:r w:rsidR="00754A91" w:rsidRPr="00603C3D">
          <w:rPr>
            <w:rStyle w:val="Hyperlink"/>
            <w:noProof/>
          </w:rPr>
          <w:t>D. Consultation Activities</w:t>
        </w:r>
        <w:r w:rsidR="00754A91">
          <w:rPr>
            <w:noProof/>
            <w:webHidden/>
          </w:rPr>
          <w:tab/>
        </w:r>
        <w:r w:rsidR="00754A91">
          <w:rPr>
            <w:noProof/>
            <w:webHidden/>
          </w:rPr>
          <w:fldChar w:fldCharType="begin"/>
        </w:r>
        <w:r w:rsidR="00754A91">
          <w:rPr>
            <w:noProof/>
            <w:webHidden/>
          </w:rPr>
          <w:instrText xml:space="preserve"> PAGEREF _Toc399834561 \h </w:instrText>
        </w:r>
        <w:r w:rsidR="00754A91">
          <w:rPr>
            <w:noProof/>
            <w:webHidden/>
          </w:rPr>
        </w:r>
        <w:r w:rsidR="00754A91">
          <w:rPr>
            <w:noProof/>
            <w:webHidden/>
          </w:rPr>
          <w:fldChar w:fldCharType="separate"/>
        </w:r>
        <w:r w:rsidR="00754A91">
          <w:rPr>
            <w:noProof/>
            <w:webHidden/>
          </w:rPr>
          <w:t>20</w:t>
        </w:r>
        <w:r w:rsidR="00754A91">
          <w:rPr>
            <w:noProof/>
            <w:webHidden/>
          </w:rPr>
          <w:fldChar w:fldCharType="end"/>
        </w:r>
      </w:hyperlink>
    </w:p>
    <w:p w:rsidR="00754A91" w:rsidRDefault="00865F04">
      <w:pPr>
        <w:pStyle w:val="TOC2"/>
        <w:rPr>
          <w:rFonts w:asciiTheme="minorHAnsi" w:eastAsiaTheme="minorEastAsia" w:hAnsiTheme="minorHAnsi" w:cstheme="minorBidi"/>
          <w:noProof/>
          <w:sz w:val="22"/>
          <w:szCs w:val="22"/>
        </w:rPr>
      </w:pPr>
      <w:hyperlink w:anchor="_Toc399834562" w:history="1">
        <w:r w:rsidR="00754A91" w:rsidRPr="00603C3D">
          <w:rPr>
            <w:rStyle w:val="Hyperlink"/>
            <w:noProof/>
          </w:rPr>
          <w:t>E. Efforts to Enhance Citizen Involvement</w:t>
        </w:r>
        <w:r w:rsidR="00754A91">
          <w:rPr>
            <w:noProof/>
            <w:webHidden/>
          </w:rPr>
          <w:tab/>
        </w:r>
        <w:r w:rsidR="00754A91">
          <w:rPr>
            <w:noProof/>
            <w:webHidden/>
          </w:rPr>
          <w:fldChar w:fldCharType="begin"/>
        </w:r>
        <w:r w:rsidR="00754A91">
          <w:rPr>
            <w:noProof/>
            <w:webHidden/>
          </w:rPr>
          <w:instrText xml:space="preserve"> PAGEREF _Toc399834562 \h </w:instrText>
        </w:r>
        <w:r w:rsidR="00754A91">
          <w:rPr>
            <w:noProof/>
            <w:webHidden/>
          </w:rPr>
        </w:r>
        <w:r w:rsidR="00754A91">
          <w:rPr>
            <w:noProof/>
            <w:webHidden/>
          </w:rPr>
          <w:fldChar w:fldCharType="separate"/>
        </w:r>
        <w:r w:rsidR="00754A91">
          <w:rPr>
            <w:noProof/>
            <w:webHidden/>
          </w:rPr>
          <w:t>20</w:t>
        </w:r>
        <w:r w:rsidR="00754A91">
          <w:rPr>
            <w:noProof/>
            <w:webHidden/>
          </w:rPr>
          <w:fldChar w:fldCharType="end"/>
        </w:r>
      </w:hyperlink>
    </w:p>
    <w:p w:rsidR="00754A91" w:rsidRDefault="00865F04">
      <w:pPr>
        <w:pStyle w:val="TOC2"/>
        <w:rPr>
          <w:rFonts w:asciiTheme="minorHAnsi" w:eastAsiaTheme="minorEastAsia" w:hAnsiTheme="minorHAnsi" w:cstheme="minorBidi"/>
          <w:noProof/>
          <w:sz w:val="22"/>
          <w:szCs w:val="22"/>
        </w:rPr>
      </w:pPr>
      <w:hyperlink w:anchor="_Toc399834563" w:history="1">
        <w:r w:rsidR="00754A91" w:rsidRPr="00603C3D">
          <w:rPr>
            <w:rStyle w:val="Hyperlink"/>
            <w:noProof/>
          </w:rPr>
          <w:t>F. Public Hearings and Approval Processes</w:t>
        </w:r>
        <w:r w:rsidR="00754A91">
          <w:rPr>
            <w:noProof/>
            <w:webHidden/>
          </w:rPr>
          <w:tab/>
        </w:r>
        <w:r w:rsidR="00754A91">
          <w:rPr>
            <w:noProof/>
            <w:webHidden/>
          </w:rPr>
          <w:fldChar w:fldCharType="begin"/>
        </w:r>
        <w:r w:rsidR="00754A91">
          <w:rPr>
            <w:noProof/>
            <w:webHidden/>
          </w:rPr>
          <w:instrText xml:space="preserve"> PAGEREF _Toc399834563 \h </w:instrText>
        </w:r>
        <w:r w:rsidR="00754A91">
          <w:rPr>
            <w:noProof/>
            <w:webHidden/>
          </w:rPr>
        </w:r>
        <w:r w:rsidR="00754A91">
          <w:rPr>
            <w:noProof/>
            <w:webHidden/>
          </w:rPr>
          <w:fldChar w:fldCharType="separate"/>
        </w:r>
        <w:r w:rsidR="00754A91">
          <w:rPr>
            <w:noProof/>
            <w:webHidden/>
          </w:rPr>
          <w:t>21</w:t>
        </w:r>
        <w:r w:rsidR="00754A91">
          <w:rPr>
            <w:noProof/>
            <w:webHidden/>
          </w:rPr>
          <w:fldChar w:fldCharType="end"/>
        </w:r>
      </w:hyperlink>
    </w:p>
    <w:p w:rsidR="00754A91" w:rsidRDefault="00865F04">
      <w:pPr>
        <w:pStyle w:val="TOC2"/>
        <w:rPr>
          <w:rFonts w:asciiTheme="minorHAnsi" w:eastAsiaTheme="minorEastAsia" w:hAnsiTheme="minorHAnsi" w:cstheme="minorBidi"/>
          <w:noProof/>
          <w:sz w:val="22"/>
          <w:szCs w:val="22"/>
        </w:rPr>
      </w:pPr>
      <w:hyperlink w:anchor="_Toc399834564" w:history="1">
        <w:r w:rsidR="00754A91" w:rsidRPr="00603C3D">
          <w:rPr>
            <w:rStyle w:val="Hyperlink"/>
            <w:noProof/>
          </w:rPr>
          <w:t>A. Introduction</w:t>
        </w:r>
        <w:r w:rsidR="00754A91">
          <w:rPr>
            <w:noProof/>
            <w:webHidden/>
          </w:rPr>
          <w:tab/>
        </w:r>
        <w:r w:rsidR="00754A91">
          <w:rPr>
            <w:noProof/>
            <w:webHidden/>
          </w:rPr>
          <w:fldChar w:fldCharType="begin"/>
        </w:r>
        <w:r w:rsidR="00754A91">
          <w:rPr>
            <w:noProof/>
            <w:webHidden/>
          </w:rPr>
          <w:instrText xml:space="preserve"> PAGEREF _Toc399834564 \h </w:instrText>
        </w:r>
        <w:r w:rsidR="00754A91">
          <w:rPr>
            <w:noProof/>
            <w:webHidden/>
          </w:rPr>
        </w:r>
        <w:r w:rsidR="00754A91">
          <w:rPr>
            <w:noProof/>
            <w:webHidden/>
          </w:rPr>
          <w:fldChar w:fldCharType="separate"/>
        </w:r>
        <w:r w:rsidR="00754A91">
          <w:rPr>
            <w:noProof/>
            <w:webHidden/>
          </w:rPr>
          <w:t>22</w:t>
        </w:r>
        <w:r w:rsidR="00754A91">
          <w:rPr>
            <w:noProof/>
            <w:webHidden/>
          </w:rPr>
          <w:fldChar w:fldCharType="end"/>
        </w:r>
      </w:hyperlink>
    </w:p>
    <w:p w:rsidR="00754A91" w:rsidRDefault="00865F04">
      <w:pPr>
        <w:pStyle w:val="TOC2"/>
        <w:rPr>
          <w:rFonts w:asciiTheme="minorHAnsi" w:eastAsiaTheme="minorEastAsia" w:hAnsiTheme="minorHAnsi" w:cstheme="minorBidi"/>
          <w:noProof/>
          <w:sz w:val="22"/>
          <w:szCs w:val="22"/>
        </w:rPr>
      </w:pPr>
      <w:hyperlink w:anchor="_Toc399834565" w:history="1">
        <w:r w:rsidR="00754A91" w:rsidRPr="00603C3D">
          <w:rPr>
            <w:rStyle w:val="Hyperlink"/>
            <w:noProof/>
          </w:rPr>
          <w:t>B. Demographic Trends</w:t>
        </w:r>
        <w:r w:rsidR="00754A91">
          <w:rPr>
            <w:noProof/>
            <w:webHidden/>
          </w:rPr>
          <w:tab/>
        </w:r>
        <w:r w:rsidR="00754A91">
          <w:rPr>
            <w:noProof/>
            <w:webHidden/>
          </w:rPr>
          <w:fldChar w:fldCharType="begin"/>
        </w:r>
        <w:r w:rsidR="00754A91">
          <w:rPr>
            <w:noProof/>
            <w:webHidden/>
          </w:rPr>
          <w:instrText xml:space="preserve"> PAGEREF _Toc399834565 \h </w:instrText>
        </w:r>
        <w:r w:rsidR="00754A91">
          <w:rPr>
            <w:noProof/>
            <w:webHidden/>
          </w:rPr>
        </w:r>
        <w:r w:rsidR="00754A91">
          <w:rPr>
            <w:noProof/>
            <w:webHidden/>
          </w:rPr>
          <w:fldChar w:fldCharType="separate"/>
        </w:r>
        <w:r w:rsidR="00754A91">
          <w:rPr>
            <w:noProof/>
            <w:webHidden/>
          </w:rPr>
          <w:t>22</w:t>
        </w:r>
        <w:r w:rsidR="00754A91">
          <w:rPr>
            <w:noProof/>
            <w:webHidden/>
          </w:rPr>
          <w:fldChar w:fldCharType="end"/>
        </w:r>
      </w:hyperlink>
    </w:p>
    <w:p w:rsidR="00754A91" w:rsidRDefault="00865F04">
      <w:pPr>
        <w:pStyle w:val="TOC2"/>
        <w:rPr>
          <w:rFonts w:asciiTheme="minorHAnsi" w:eastAsiaTheme="minorEastAsia" w:hAnsiTheme="minorHAnsi" w:cstheme="minorBidi"/>
          <w:noProof/>
          <w:sz w:val="22"/>
          <w:szCs w:val="22"/>
        </w:rPr>
      </w:pPr>
      <w:hyperlink w:anchor="_Toc399834566" w:history="1">
        <w:r w:rsidR="00754A91" w:rsidRPr="00603C3D">
          <w:rPr>
            <w:rStyle w:val="Hyperlink"/>
            <w:noProof/>
          </w:rPr>
          <w:t>C. Economic Conditions</w:t>
        </w:r>
        <w:r w:rsidR="00754A91">
          <w:rPr>
            <w:noProof/>
            <w:webHidden/>
          </w:rPr>
          <w:tab/>
        </w:r>
        <w:r w:rsidR="00754A91">
          <w:rPr>
            <w:noProof/>
            <w:webHidden/>
          </w:rPr>
          <w:fldChar w:fldCharType="begin"/>
        </w:r>
        <w:r w:rsidR="00754A91">
          <w:rPr>
            <w:noProof/>
            <w:webHidden/>
          </w:rPr>
          <w:instrText xml:space="preserve"> PAGEREF _Toc399834566 \h </w:instrText>
        </w:r>
        <w:r w:rsidR="00754A91">
          <w:rPr>
            <w:noProof/>
            <w:webHidden/>
          </w:rPr>
        </w:r>
        <w:r w:rsidR="00754A91">
          <w:rPr>
            <w:noProof/>
            <w:webHidden/>
          </w:rPr>
          <w:fldChar w:fldCharType="separate"/>
        </w:r>
        <w:r w:rsidR="00754A91">
          <w:rPr>
            <w:noProof/>
            <w:webHidden/>
          </w:rPr>
          <w:t>42</w:t>
        </w:r>
        <w:r w:rsidR="00754A91">
          <w:rPr>
            <w:noProof/>
            <w:webHidden/>
          </w:rPr>
          <w:fldChar w:fldCharType="end"/>
        </w:r>
      </w:hyperlink>
    </w:p>
    <w:p w:rsidR="00754A91" w:rsidRDefault="00865F04">
      <w:pPr>
        <w:pStyle w:val="TOC2"/>
        <w:rPr>
          <w:rFonts w:asciiTheme="minorHAnsi" w:eastAsiaTheme="minorEastAsia" w:hAnsiTheme="minorHAnsi" w:cstheme="minorBidi"/>
          <w:noProof/>
          <w:sz w:val="22"/>
          <w:szCs w:val="22"/>
        </w:rPr>
      </w:pPr>
      <w:hyperlink w:anchor="_Toc399834567" w:history="1">
        <w:r w:rsidR="00754A91" w:rsidRPr="00603C3D">
          <w:rPr>
            <w:rStyle w:val="Hyperlink"/>
            <w:noProof/>
          </w:rPr>
          <w:t>D. Summary</w:t>
        </w:r>
        <w:r w:rsidR="00754A91">
          <w:rPr>
            <w:noProof/>
            <w:webHidden/>
          </w:rPr>
          <w:tab/>
        </w:r>
        <w:r w:rsidR="00754A91">
          <w:rPr>
            <w:noProof/>
            <w:webHidden/>
          </w:rPr>
          <w:fldChar w:fldCharType="begin"/>
        </w:r>
        <w:r w:rsidR="00754A91">
          <w:rPr>
            <w:noProof/>
            <w:webHidden/>
          </w:rPr>
          <w:instrText xml:space="preserve"> PAGEREF _Toc399834567 \h </w:instrText>
        </w:r>
        <w:r w:rsidR="00754A91">
          <w:rPr>
            <w:noProof/>
            <w:webHidden/>
          </w:rPr>
        </w:r>
        <w:r w:rsidR="00754A91">
          <w:rPr>
            <w:noProof/>
            <w:webHidden/>
          </w:rPr>
          <w:fldChar w:fldCharType="separate"/>
        </w:r>
        <w:r w:rsidR="00754A91">
          <w:rPr>
            <w:noProof/>
            <w:webHidden/>
          </w:rPr>
          <w:t>51</w:t>
        </w:r>
        <w:r w:rsidR="00754A91">
          <w:rPr>
            <w:noProof/>
            <w:webHidden/>
          </w:rPr>
          <w:fldChar w:fldCharType="end"/>
        </w:r>
      </w:hyperlink>
    </w:p>
    <w:p w:rsidR="00754A91" w:rsidRDefault="00865F04">
      <w:pPr>
        <w:pStyle w:val="TOC2"/>
        <w:rPr>
          <w:rFonts w:asciiTheme="minorHAnsi" w:eastAsiaTheme="minorEastAsia" w:hAnsiTheme="minorHAnsi" w:cstheme="minorBidi"/>
          <w:noProof/>
          <w:sz w:val="22"/>
          <w:szCs w:val="22"/>
        </w:rPr>
      </w:pPr>
      <w:hyperlink w:anchor="_Toc399834568" w:history="1">
        <w:r w:rsidR="00754A91" w:rsidRPr="00603C3D">
          <w:rPr>
            <w:rStyle w:val="Hyperlink"/>
            <w:noProof/>
          </w:rPr>
          <w:t>A. Introduction</w:t>
        </w:r>
        <w:r w:rsidR="00754A91">
          <w:rPr>
            <w:noProof/>
            <w:webHidden/>
          </w:rPr>
          <w:tab/>
        </w:r>
        <w:r w:rsidR="00754A91">
          <w:rPr>
            <w:noProof/>
            <w:webHidden/>
          </w:rPr>
          <w:fldChar w:fldCharType="begin"/>
        </w:r>
        <w:r w:rsidR="00754A91">
          <w:rPr>
            <w:noProof/>
            <w:webHidden/>
          </w:rPr>
          <w:instrText xml:space="preserve"> PAGEREF _Toc399834568 \h </w:instrText>
        </w:r>
        <w:r w:rsidR="00754A91">
          <w:rPr>
            <w:noProof/>
            <w:webHidden/>
          </w:rPr>
        </w:r>
        <w:r w:rsidR="00754A91">
          <w:rPr>
            <w:noProof/>
            <w:webHidden/>
          </w:rPr>
          <w:fldChar w:fldCharType="separate"/>
        </w:r>
        <w:r w:rsidR="00754A91">
          <w:rPr>
            <w:noProof/>
            <w:webHidden/>
          </w:rPr>
          <w:t>52</w:t>
        </w:r>
        <w:r w:rsidR="00754A91">
          <w:rPr>
            <w:noProof/>
            <w:webHidden/>
          </w:rPr>
          <w:fldChar w:fldCharType="end"/>
        </w:r>
      </w:hyperlink>
    </w:p>
    <w:p w:rsidR="00754A91" w:rsidRDefault="00865F04">
      <w:pPr>
        <w:pStyle w:val="TOC2"/>
        <w:rPr>
          <w:rFonts w:asciiTheme="minorHAnsi" w:eastAsiaTheme="minorEastAsia" w:hAnsiTheme="minorHAnsi" w:cstheme="minorBidi"/>
          <w:noProof/>
          <w:sz w:val="22"/>
          <w:szCs w:val="22"/>
        </w:rPr>
      </w:pPr>
      <w:hyperlink w:anchor="_Toc399834569" w:history="1">
        <w:r w:rsidR="00754A91" w:rsidRPr="00603C3D">
          <w:rPr>
            <w:rStyle w:val="Hyperlink"/>
            <w:noProof/>
          </w:rPr>
          <w:t>B. Housing Stock</w:t>
        </w:r>
        <w:r w:rsidR="00754A91">
          <w:rPr>
            <w:noProof/>
            <w:webHidden/>
          </w:rPr>
          <w:tab/>
        </w:r>
        <w:r w:rsidR="00754A91">
          <w:rPr>
            <w:noProof/>
            <w:webHidden/>
          </w:rPr>
          <w:fldChar w:fldCharType="begin"/>
        </w:r>
        <w:r w:rsidR="00754A91">
          <w:rPr>
            <w:noProof/>
            <w:webHidden/>
          </w:rPr>
          <w:instrText xml:space="preserve"> PAGEREF _Toc399834569 \h </w:instrText>
        </w:r>
        <w:r w:rsidR="00754A91">
          <w:rPr>
            <w:noProof/>
            <w:webHidden/>
          </w:rPr>
        </w:r>
        <w:r w:rsidR="00754A91">
          <w:rPr>
            <w:noProof/>
            <w:webHidden/>
          </w:rPr>
          <w:fldChar w:fldCharType="separate"/>
        </w:r>
        <w:r w:rsidR="00754A91">
          <w:rPr>
            <w:noProof/>
            <w:webHidden/>
          </w:rPr>
          <w:t>52</w:t>
        </w:r>
        <w:r w:rsidR="00754A91">
          <w:rPr>
            <w:noProof/>
            <w:webHidden/>
          </w:rPr>
          <w:fldChar w:fldCharType="end"/>
        </w:r>
      </w:hyperlink>
    </w:p>
    <w:p w:rsidR="00754A91" w:rsidRDefault="00865F04">
      <w:pPr>
        <w:pStyle w:val="TOC2"/>
        <w:rPr>
          <w:rFonts w:asciiTheme="minorHAnsi" w:eastAsiaTheme="minorEastAsia" w:hAnsiTheme="minorHAnsi" w:cstheme="minorBidi"/>
          <w:noProof/>
          <w:sz w:val="22"/>
          <w:szCs w:val="22"/>
        </w:rPr>
      </w:pPr>
      <w:hyperlink w:anchor="_Toc399834570" w:history="1">
        <w:r w:rsidR="00754A91" w:rsidRPr="00603C3D">
          <w:rPr>
            <w:rStyle w:val="Hyperlink"/>
            <w:noProof/>
          </w:rPr>
          <w:t>C. Housing Production and Affordability</w:t>
        </w:r>
        <w:r w:rsidR="00754A91">
          <w:rPr>
            <w:noProof/>
            <w:webHidden/>
          </w:rPr>
          <w:tab/>
        </w:r>
        <w:r w:rsidR="00754A91">
          <w:rPr>
            <w:noProof/>
            <w:webHidden/>
          </w:rPr>
          <w:fldChar w:fldCharType="begin"/>
        </w:r>
        <w:r w:rsidR="00754A91">
          <w:rPr>
            <w:noProof/>
            <w:webHidden/>
          </w:rPr>
          <w:instrText xml:space="preserve"> PAGEREF _Toc399834570 \h </w:instrText>
        </w:r>
        <w:r w:rsidR="00754A91">
          <w:rPr>
            <w:noProof/>
            <w:webHidden/>
          </w:rPr>
        </w:r>
        <w:r w:rsidR="00754A91">
          <w:rPr>
            <w:noProof/>
            <w:webHidden/>
          </w:rPr>
          <w:fldChar w:fldCharType="separate"/>
        </w:r>
        <w:r w:rsidR="00754A91">
          <w:rPr>
            <w:noProof/>
            <w:webHidden/>
          </w:rPr>
          <w:t>56</w:t>
        </w:r>
        <w:r w:rsidR="00754A91">
          <w:rPr>
            <w:noProof/>
            <w:webHidden/>
          </w:rPr>
          <w:fldChar w:fldCharType="end"/>
        </w:r>
      </w:hyperlink>
    </w:p>
    <w:p w:rsidR="00754A91" w:rsidRDefault="00865F04">
      <w:pPr>
        <w:pStyle w:val="TOC2"/>
        <w:rPr>
          <w:rFonts w:asciiTheme="minorHAnsi" w:eastAsiaTheme="minorEastAsia" w:hAnsiTheme="minorHAnsi" w:cstheme="minorBidi"/>
          <w:noProof/>
          <w:sz w:val="22"/>
          <w:szCs w:val="22"/>
        </w:rPr>
      </w:pPr>
      <w:hyperlink w:anchor="_Toc399834571" w:history="1">
        <w:r w:rsidR="00754A91" w:rsidRPr="00603C3D">
          <w:rPr>
            <w:rStyle w:val="Hyperlink"/>
            <w:noProof/>
          </w:rPr>
          <w:t>D. Housing</w:t>
        </w:r>
        <w:r w:rsidR="00754A91">
          <w:rPr>
            <w:noProof/>
            <w:webHidden/>
          </w:rPr>
          <w:tab/>
        </w:r>
        <w:r w:rsidR="00754A91">
          <w:rPr>
            <w:noProof/>
            <w:webHidden/>
          </w:rPr>
          <w:fldChar w:fldCharType="begin"/>
        </w:r>
        <w:r w:rsidR="00754A91">
          <w:rPr>
            <w:noProof/>
            <w:webHidden/>
          </w:rPr>
          <w:instrText xml:space="preserve"> PAGEREF _Toc399834571 \h </w:instrText>
        </w:r>
        <w:r w:rsidR="00754A91">
          <w:rPr>
            <w:noProof/>
            <w:webHidden/>
          </w:rPr>
        </w:r>
        <w:r w:rsidR="00754A91">
          <w:rPr>
            <w:noProof/>
            <w:webHidden/>
          </w:rPr>
          <w:fldChar w:fldCharType="separate"/>
        </w:r>
        <w:r w:rsidR="00754A91">
          <w:rPr>
            <w:noProof/>
            <w:webHidden/>
          </w:rPr>
          <w:t>63</w:t>
        </w:r>
        <w:r w:rsidR="00754A91">
          <w:rPr>
            <w:noProof/>
            <w:webHidden/>
          </w:rPr>
          <w:fldChar w:fldCharType="end"/>
        </w:r>
      </w:hyperlink>
    </w:p>
    <w:p w:rsidR="00754A91" w:rsidRDefault="00865F04">
      <w:pPr>
        <w:pStyle w:val="TOC2"/>
        <w:rPr>
          <w:rFonts w:asciiTheme="minorHAnsi" w:eastAsiaTheme="minorEastAsia" w:hAnsiTheme="minorHAnsi" w:cstheme="minorBidi"/>
          <w:noProof/>
          <w:sz w:val="22"/>
          <w:szCs w:val="22"/>
        </w:rPr>
      </w:pPr>
      <w:hyperlink w:anchor="_Toc399834572" w:history="1">
        <w:r w:rsidR="00754A91" w:rsidRPr="00603C3D">
          <w:rPr>
            <w:rStyle w:val="Hyperlink"/>
            <w:noProof/>
          </w:rPr>
          <w:t>E. Lead-Based Paint Hazards and Actions to Overcome Hazards</w:t>
        </w:r>
        <w:r w:rsidR="00754A91">
          <w:rPr>
            <w:noProof/>
            <w:webHidden/>
          </w:rPr>
          <w:tab/>
        </w:r>
        <w:r w:rsidR="00754A91">
          <w:rPr>
            <w:noProof/>
            <w:webHidden/>
          </w:rPr>
          <w:fldChar w:fldCharType="begin"/>
        </w:r>
        <w:r w:rsidR="00754A91">
          <w:rPr>
            <w:noProof/>
            <w:webHidden/>
          </w:rPr>
          <w:instrText xml:space="preserve"> PAGEREF _Toc399834572 \h </w:instrText>
        </w:r>
        <w:r w:rsidR="00754A91">
          <w:rPr>
            <w:noProof/>
            <w:webHidden/>
          </w:rPr>
        </w:r>
        <w:r w:rsidR="00754A91">
          <w:rPr>
            <w:noProof/>
            <w:webHidden/>
          </w:rPr>
          <w:fldChar w:fldCharType="separate"/>
        </w:r>
        <w:r w:rsidR="00754A91">
          <w:rPr>
            <w:noProof/>
            <w:webHidden/>
          </w:rPr>
          <w:t>67</w:t>
        </w:r>
        <w:r w:rsidR="00754A91">
          <w:rPr>
            <w:noProof/>
            <w:webHidden/>
          </w:rPr>
          <w:fldChar w:fldCharType="end"/>
        </w:r>
      </w:hyperlink>
    </w:p>
    <w:p w:rsidR="00754A91" w:rsidRDefault="00865F04">
      <w:pPr>
        <w:pStyle w:val="TOC2"/>
        <w:rPr>
          <w:rFonts w:asciiTheme="minorHAnsi" w:eastAsiaTheme="minorEastAsia" w:hAnsiTheme="minorHAnsi" w:cstheme="minorBidi"/>
          <w:noProof/>
          <w:sz w:val="22"/>
          <w:szCs w:val="22"/>
        </w:rPr>
      </w:pPr>
      <w:hyperlink w:anchor="_Toc399834573" w:history="1">
        <w:r w:rsidR="00754A91" w:rsidRPr="00603C3D">
          <w:rPr>
            <w:rStyle w:val="Hyperlink"/>
            <w:noProof/>
          </w:rPr>
          <w:t>F. Public and Assisted Housing</w:t>
        </w:r>
        <w:r w:rsidR="00754A91">
          <w:rPr>
            <w:noProof/>
            <w:webHidden/>
          </w:rPr>
          <w:tab/>
        </w:r>
        <w:r w:rsidR="00754A91">
          <w:rPr>
            <w:noProof/>
            <w:webHidden/>
          </w:rPr>
          <w:fldChar w:fldCharType="begin"/>
        </w:r>
        <w:r w:rsidR="00754A91">
          <w:rPr>
            <w:noProof/>
            <w:webHidden/>
          </w:rPr>
          <w:instrText xml:space="preserve"> PAGEREF _Toc399834573 \h </w:instrText>
        </w:r>
        <w:r w:rsidR="00754A91">
          <w:rPr>
            <w:noProof/>
            <w:webHidden/>
          </w:rPr>
        </w:r>
        <w:r w:rsidR="00754A91">
          <w:rPr>
            <w:noProof/>
            <w:webHidden/>
          </w:rPr>
          <w:fldChar w:fldCharType="separate"/>
        </w:r>
        <w:r w:rsidR="00754A91">
          <w:rPr>
            <w:noProof/>
            <w:webHidden/>
          </w:rPr>
          <w:t>74</w:t>
        </w:r>
        <w:r w:rsidR="00754A91">
          <w:rPr>
            <w:noProof/>
            <w:webHidden/>
          </w:rPr>
          <w:fldChar w:fldCharType="end"/>
        </w:r>
      </w:hyperlink>
    </w:p>
    <w:p w:rsidR="00754A91" w:rsidRDefault="00865F04">
      <w:pPr>
        <w:pStyle w:val="TOC2"/>
        <w:rPr>
          <w:rFonts w:asciiTheme="minorHAnsi" w:eastAsiaTheme="minorEastAsia" w:hAnsiTheme="minorHAnsi" w:cstheme="minorBidi"/>
          <w:noProof/>
          <w:sz w:val="22"/>
          <w:szCs w:val="22"/>
        </w:rPr>
      </w:pPr>
      <w:hyperlink w:anchor="_Toc399834574" w:history="1">
        <w:r w:rsidR="00754A91" w:rsidRPr="00603C3D">
          <w:rPr>
            <w:rStyle w:val="Hyperlink"/>
            <w:noProof/>
          </w:rPr>
          <w:t>G. Housing Needs Forecast</w:t>
        </w:r>
        <w:r w:rsidR="00754A91">
          <w:rPr>
            <w:noProof/>
            <w:webHidden/>
          </w:rPr>
          <w:tab/>
        </w:r>
        <w:r w:rsidR="00754A91">
          <w:rPr>
            <w:noProof/>
            <w:webHidden/>
          </w:rPr>
          <w:fldChar w:fldCharType="begin"/>
        </w:r>
        <w:r w:rsidR="00754A91">
          <w:rPr>
            <w:noProof/>
            <w:webHidden/>
          </w:rPr>
          <w:instrText xml:space="preserve"> PAGEREF _Toc399834574 \h </w:instrText>
        </w:r>
        <w:r w:rsidR="00754A91">
          <w:rPr>
            <w:noProof/>
            <w:webHidden/>
          </w:rPr>
        </w:r>
        <w:r w:rsidR="00754A91">
          <w:rPr>
            <w:noProof/>
            <w:webHidden/>
          </w:rPr>
          <w:fldChar w:fldCharType="separate"/>
        </w:r>
        <w:r w:rsidR="00754A91">
          <w:rPr>
            <w:noProof/>
            <w:webHidden/>
          </w:rPr>
          <w:t>76</w:t>
        </w:r>
        <w:r w:rsidR="00754A91">
          <w:rPr>
            <w:noProof/>
            <w:webHidden/>
          </w:rPr>
          <w:fldChar w:fldCharType="end"/>
        </w:r>
      </w:hyperlink>
    </w:p>
    <w:p w:rsidR="00754A91" w:rsidRDefault="00865F04">
      <w:pPr>
        <w:pStyle w:val="TOC2"/>
        <w:rPr>
          <w:rFonts w:asciiTheme="minorHAnsi" w:eastAsiaTheme="minorEastAsia" w:hAnsiTheme="minorHAnsi" w:cstheme="minorBidi"/>
          <w:noProof/>
          <w:sz w:val="22"/>
          <w:szCs w:val="22"/>
        </w:rPr>
      </w:pPr>
      <w:hyperlink w:anchor="_Toc399834575" w:history="1">
        <w:r w:rsidR="00754A91" w:rsidRPr="00603C3D">
          <w:rPr>
            <w:rStyle w:val="Hyperlink"/>
            <w:noProof/>
          </w:rPr>
          <w:t>H. Disproportionate Needs</w:t>
        </w:r>
        <w:r w:rsidR="00754A91">
          <w:rPr>
            <w:noProof/>
            <w:webHidden/>
          </w:rPr>
          <w:tab/>
        </w:r>
        <w:r w:rsidR="00754A91">
          <w:rPr>
            <w:noProof/>
            <w:webHidden/>
          </w:rPr>
          <w:fldChar w:fldCharType="begin"/>
        </w:r>
        <w:r w:rsidR="00754A91">
          <w:rPr>
            <w:noProof/>
            <w:webHidden/>
          </w:rPr>
          <w:instrText xml:space="preserve"> PAGEREF _Toc399834575 \h </w:instrText>
        </w:r>
        <w:r w:rsidR="00754A91">
          <w:rPr>
            <w:noProof/>
            <w:webHidden/>
          </w:rPr>
        </w:r>
        <w:r w:rsidR="00754A91">
          <w:rPr>
            <w:noProof/>
            <w:webHidden/>
          </w:rPr>
          <w:fldChar w:fldCharType="separate"/>
        </w:r>
        <w:r w:rsidR="00754A91">
          <w:rPr>
            <w:noProof/>
            <w:webHidden/>
          </w:rPr>
          <w:t>77</w:t>
        </w:r>
        <w:r w:rsidR="00754A91">
          <w:rPr>
            <w:noProof/>
            <w:webHidden/>
          </w:rPr>
          <w:fldChar w:fldCharType="end"/>
        </w:r>
      </w:hyperlink>
    </w:p>
    <w:p w:rsidR="00754A91" w:rsidRDefault="00865F04">
      <w:pPr>
        <w:pStyle w:val="TOC2"/>
        <w:rPr>
          <w:rFonts w:asciiTheme="minorHAnsi" w:eastAsiaTheme="minorEastAsia" w:hAnsiTheme="minorHAnsi" w:cstheme="minorBidi"/>
          <w:noProof/>
          <w:sz w:val="22"/>
          <w:szCs w:val="22"/>
        </w:rPr>
      </w:pPr>
      <w:hyperlink w:anchor="_Toc399834576" w:history="1">
        <w:r w:rsidR="00754A91" w:rsidRPr="00603C3D">
          <w:rPr>
            <w:rStyle w:val="Hyperlink"/>
            <w:noProof/>
          </w:rPr>
          <w:t>I. Institutional Barriers to Affordable Housing</w:t>
        </w:r>
        <w:r w:rsidR="00754A91">
          <w:rPr>
            <w:noProof/>
            <w:webHidden/>
          </w:rPr>
          <w:tab/>
        </w:r>
        <w:r w:rsidR="00754A91">
          <w:rPr>
            <w:noProof/>
            <w:webHidden/>
          </w:rPr>
          <w:fldChar w:fldCharType="begin"/>
        </w:r>
        <w:r w:rsidR="00754A91">
          <w:rPr>
            <w:noProof/>
            <w:webHidden/>
          </w:rPr>
          <w:instrText xml:space="preserve"> PAGEREF _Toc399834576 \h </w:instrText>
        </w:r>
        <w:r w:rsidR="00754A91">
          <w:rPr>
            <w:noProof/>
            <w:webHidden/>
          </w:rPr>
        </w:r>
        <w:r w:rsidR="00754A91">
          <w:rPr>
            <w:noProof/>
            <w:webHidden/>
          </w:rPr>
          <w:fldChar w:fldCharType="separate"/>
        </w:r>
        <w:r w:rsidR="00754A91">
          <w:rPr>
            <w:noProof/>
            <w:webHidden/>
          </w:rPr>
          <w:t>79</w:t>
        </w:r>
        <w:r w:rsidR="00754A91">
          <w:rPr>
            <w:noProof/>
            <w:webHidden/>
          </w:rPr>
          <w:fldChar w:fldCharType="end"/>
        </w:r>
      </w:hyperlink>
    </w:p>
    <w:p w:rsidR="00754A91" w:rsidRDefault="00865F04">
      <w:pPr>
        <w:pStyle w:val="TOC2"/>
        <w:rPr>
          <w:rFonts w:asciiTheme="minorHAnsi" w:eastAsiaTheme="minorEastAsia" w:hAnsiTheme="minorHAnsi" w:cstheme="minorBidi"/>
          <w:noProof/>
          <w:sz w:val="22"/>
          <w:szCs w:val="22"/>
        </w:rPr>
      </w:pPr>
      <w:hyperlink w:anchor="_Toc399834577" w:history="1">
        <w:r w:rsidR="00754A91" w:rsidRPr="00603C3D">
          <w:rPr>
            <w:rStyle w:val="Hyperlink"/>
            <w:noProof/>
          </w:rPr>
          <w:t>J. Summary</w:t>
        </w:r>
        <w:r w:rsidR="00754A91">
          <w:rPr>
            <w:noProof/>
            <w:webHidden/>
          </w:rPr>
          <w:tab/>
        </w:r>
        <w:r w:rsidR="00754A91">
          <w:rPr>
            <w:noProof/>
            <w:webHidden/>
          </w:rPr>
          <w:fldChar w:fldCharType="begin"/>
        </w:r>
        <w:r w:rsidR="00754A91">
          <w:rPr>
            <w:noProof/>
            <w:webHidden/>
          </w:rPr>
          <w:instrText xml:space="preserve"> PAGEREF _Toc399834577 \h </w:instrText>
        </w:r>
        <w:r w:rsidR="00754A91">
          <w:rPr>
            <w:noProof/>
            <w:webHidden/>
          </w:rPr>
        </w:r>
        <w:r w:rsidR="00754A91">
          <w:rPr>
            <w:noProof/>
            <w:webHidden/>
          </w:rPr>
          <w:fldChar w:fldCharType="separate"/>
        </w:r>
        <w:r w:rsidR="00754A91">
          <w:rPr>
            <w:noProof/>
            <w:webHidden/>
          </w:rPr>
          <w:t>80</w:t>
        </w:r>
        <w:r w:rsidR="00754A91">
          <w:rPr>
            <w:noProof/>
            <w:webHidden/>
          </w:rPr>
          <w:fldChar w:fldCharType="end"/>
        </w:r>
      </w:hyperlink>
    </w:p>
    <w:p w:rsidR="00754A91" w:rsidRDefault="00865F04">
      <w:pPr>
        <w:pStyle w:val="TOC1"/>
        <w:rPr>
          <w:rFonts w:asciiTheme="minorHAnsi" w:eastAsiaTheme="minorEastAsia" w:hAnsiTheme="minorHAnsi" w:cstheme="minorBidi"/>
          <w:b w:val="0"/>
          <w:smallCaps w:val="0"/>
          <w:noProof/>
          <w:sz w:val="22"/>
          <w:szCs w:val="22"/>
        </w:rPr>
      </w:pPr>
      <w:hyperlink w:anchor="_Toc399834578" w:history="1">
        <w:r w:rsidR="00754A91" w:rsidRPr="00603C3D">
          <w:rPr>
            <w:rStyle w:val="Hyperlink"/>
            <w:noProof/>
            <w:highlight w:val="yellow"/>
          </w:rPr>
          <w:t>V.  Housing and Homeless Needs Assessment</w:t>
        </w:r>
        <w:r w:rsidR="00754A91">
          <w:rPr>
            <w:noProof/>
            <w:webHidden/>
          </w:rPr>
          <w:tab/>
        </w:r>
        <w:r w:rsidR="00754A91">
          <w:rPr>
            <w:noProof/>
            <w:webHidden/>
          </w:rPr>
          <w:fldChar w:fldCharType="begin"/>
        </w:r>
        <w:r w:rsidR="00754A91">
          <w:rPr>
            <w:noProof/>
            <w:webHidden/>
          </w:rPr>
          <w:instrText xml:space="preserve"> PAGEREF _Toc399834578 \h </w:instrText>
        </w:r>
        <w:r w:rsidR="00754A91">
          <w:rPr>
            <w:noProof/>
            <w:webHidden/>
          </w:rPr>
        </w:r>
        <w:r w:rsidR="00754A91">
          <w:rPr>
            <w:noProof/>
            <w:webHidden/>
          </w:rPr>
          <w:fldChar w:fldCharType="separate"/>
        </w:r>
        <w:r w:rsidR="00754A91">
          <w:rPr>
            <w:noProof/>
            <w:webHidden/>
          </w:rPr>
          <w:t>81</w:t>
        </w:r>
        <w:r w:rsidR="00754A91">
          <w:rPr>
            <w:noProof/>
            <w:webHidden/>
          </w:rPr>
          <w:fldChar w:fldCharType="end"/>
        </w:r>
      </w:hyperlink>
    </w:p>
    <w:p w:rsidR="00754A91" w:rsidRDefault="00865F04">
      <w:pPr>
        <w:pStyle w:val="TOC2"/>
        <w:rPr>
          <w:rFonts w:asciiTheme="minorHAnsi" w:eastAsiaTheme="minorEastAsia" w:hAnsiTheme="minorHAnsi" w:cstheme="minorBidi"/>
          <w:noProof/>
          <w:sz w:val="22"/>
          <w:szCs w:val="22"/>
        </w:rPr>
      </w:pPr>
      <w:hyperlink w:anchor="_Toc399834579" w:history="1">
        <w:r w:rsidR="00754A91" w:rsidRPr="00603C3D">
          <w:rPr>
            <w:rStyle w:val="Hyperlink"/>
            <w:noProof/>
          </w:rPr>
          <w:t>A. Introduction</w:t>
        </w:r>
        <w:r w:rsidR="00754A91">
          <w:rPr>
            <w:noProof/>
            <w:webHidden/>
          </w:rPr>
          <w:tab/>
        </w:r>
        <w:r w:rsidR="00754A91">
          <w:rPr>
            <w:noProof/>
            <w:webHidden/>
          </w:rPr>
          <w:fldChar w:fldCharType="begin"/>
        </w:r>
        <w:r w:rsidR="00754A91">
          <w:rPr>
            <w:noProof/>
            <w:webHidden/>
          </w:rPr>
          <w:instrText xml:space="preserve"> PAGEREF _Toc399834579 \h </w:instrText>
        </w:r>
        <w:r w:rsidR="00754A91">
          <w:rPr>
            <w:noProof/>
            <w:webHidden/>
          </w:rPr>
        </w:r>
        <w:r w:rsidR="00754A91">
          <w:rPr>
            <w:noProof/>
            <w:webHidden/>
          </w:rPr>
          <w:fldChar w:fldCharType="separate"/>
        </w:r>
        <w:r w:rsidR="00754A91">
          <w:rPr>
            <w:noProof/>
            <w:webHidden/>
          </w:rPr>
          <w:t>81</w:t>
        </w:r>
        <w:r w:rsidR="00754A91">
          <w:rPr>
            <w:noProof/>
            <w:webHidden/>
          </w:rPr>
          <w:fldChar w:fldCharType="end"/>
        </w:r>
      </w:hyperlink>
    </w:p>
    <w:p w:rsidR="00754A91" w:rsidRDefault="00865F04">
      <w:pPr>
        <w:pStyle w:val="TOC2"/>
        <w:rPr>
          <w:rFonts w:asciiTheme="minorHAnsi" w:eastAsiaTheme="minorEastAsia" w:hAnsiTheme="minorHAnsi" w:cstheme="minorBidi"/>
          <w:noProof/>
          <w:sz w:val="22"/>
          <w:szCs w:val="22"/>
        </w:rPr>
      </w:pPr>
      <w:hyperlink w:anchor="_Toc399834580" w:history="1">
        <w:r w:rsidR="00754A91" w:rsidRPr="00603C3D">
          <w:rPr>
            <w:rStyle w:val="Hyperlink"/>
            <w:noProof/>
          </w:rPr>
          <w:t>B. Housing Needs Assessment</w:t>
        </w:r>
        <w:r w:rsidR="00754A91">
          <w:rPr>
            <w:noProof/>
            <w:webHidden/>
          </w:rPr>
          <w:tab/>
        </w:r>
        <w:r w:rsidR="00754A91">
          <w:rPr>
            <w:noProof/>
            <w:webHidden/>
          </w:rPr>
          <w:fldChar w:fldCharType="begin"/>
        </w:r>
        <w:r w:rsidR="00754A91">
          <w:rPr>
            <w:noProof/>
            <w:webHidden/>
          </w:rPr>
          <w:instrText xml:space="preserve"> PAGEREF _Toc399834580 \h </w:instrText>
        </w:r>
        <w:r w:rsidR="00754A91">
          <w:rPr>
            <w:noProof/>
            <w:webHidden/>
          </w:rPr>
        </w:r>
        <w:r w:rsidR="00754A91">
          <w:rPr>
            <w:noProof/>
            <w:webHidden/>
          </w:rPr>
          <w:fldChar w:fldCharType="separate"/>
        </w:r>
        <w:r w:rsidR="00754A91">
          <w:rPr>
            <w:noProof/>
            <w:webHidden/>
          </w:rPr>
          <w:t>81</w:t>
        </w:r>
        <w:r w:rsidR="00754A91">
          <w:rPr>
            <w:noProof/>
            <w:webHidden/>
          </w:rPr>
          <w:fldChar w:fldCharType="end"/>
        </w:r>
      </w:hyperlink>
    </w:p>
    <w:p w:rsidR="00754A91" w:rsidRDefault="00865F04">
      <w:pPr>
        <w:pStyle w:val="TOC2"/>
        <w:rPr>
          <w:rFonts w:asciiTheme="minorHAnsi" w:eastAsiaTheme="minorEastAsia" w:hAnsiTheme="minorHAnsi" w:cstheme="minorBidi"/>
          <w:noProof/>
          <w:sz w:val="22"/>
          <w:szCs w:val="22"/>
        </w:rPr>
      </w:pPr>
      <w:hyperlink w:anchor="_Toc399834581" w:history="1">
        <w:r w:rsidR="00754A91" w:rsidRPr="00603C3D">
          <w:rPr>
            <w:rStyle w:val="Hyperlink"/>
            <w:noProof/>
          </w:rPr>
          <w:t>C. Priority Housing Needs Rankings</w:t>
        </w:r>
        <w:r w:rsidR="00754A91">
          <w:rPr>
            <w:noProof/>
            <w:webHidden/>
          </w:rPr>
          <w:tab/>
        </w:r>
        <w:r w:rsidR="00754A91">
          <w:rPr>
            <w:noProof/>
            <w:webHidden/>
          </w:rPr>
          <w:fldChar w:fldCharType="begin"/>
        </w:r>
        <w:r w:rsidR="00754A91">
          <w:rPr>
            <w:noProof/>
            <w:webHidden/>
          </w:rPr>
          <w:instrText xml:space="preserve"> PAGEREF _Toc399834581 \h </w:instrText>
        </w:r>
        <w:r w:rsidR="00754A91">
          <w:rPr>
            <w:noProof/>
            <w:webHidden/>
          </w:rPr>
        </w:r>
        <w:r w:rsidR="00754A91">
          <w:rPr>
            <w:noProof/>
            <w:webHidden/>
          </w:rPr>
          <w:fldChar w:fldCharType="separate"/>
        </w:r>
        <w:r w:rsidR="00754A91">
          <w:rPr>
            <w:noProof/>
            <w:webHidden/>
          </w:rPr>
          <w:t>84</w:t>
        </w:r>
        <w:r w:rsidR="00754A91">
          <w:rPr>
            <w:noProof/>
            <w:webHidden/>
          </w:rPr>
          <w:fldChar w:fldCharType="end"/>
        </w:r>
      </w:hyperlink>
    </w:p>
    <w:p w:rsidR="00754A91" w:rsidRDefault="00865F04">
      <w:pPr>
        <w:pStyle w:val="TOC2"/>
        <w:rPr>
          <w:rFonts w:asciiTheme="minorHAnsi" w:eastAsiaTheme="minorEastAsia" w:hAnsiTheme="minorHAnsi" w:cstheme="minorBidi"/>
          <w:noProof/>
          <w:sz w:val="22"/>
          <w:szCs w:val="22"/>
        </w:rPr>
      </w:pPr>
      <w:hyperlink w:anchor="_Toc399834582" w:history="1">
        <w:r w:rsidR="00754A91" w:rsidRPr="00603C3D">
          <w:rPr>
            <w:rStyle w:val="Hyperlink"/>
            <w:noProof/>
          </w:rPr>
          <w:t>D. Homeless Needs Assessment</w:t>
        </w:r>
        <w:r w:rsidR="00754A91">
          <w:rPr>
            <w:noProof/>
            <w:webHidden/>
          </w:rPr>
          <w:tab/>
        </w:r>
        <w:r w:rsidR="00754A91">
          <w:rPr>
            <w:noProof/>
            <w:webHidden/>
          </w:rPr>
          <w:fldChar w:fldCharType="begin"/>
        </w:r>
        <w:r w:rsidR="00754A91">
          <w:rPr>
            <w:noProof/>
            <w:webHidden/>
          </w:rPr>
          <w:instrText xml:space="preserve"> PAGEREF _Toc399834582 \h </w:instrText>
        </w:r>
        <w:r w:rsidR="00754A91">
          <w:rPr>
            <w:noProof/>
            <w:webHidden/>
          </w:rPr>
        </w:r>
        <w:r w:rsidR="00754A91">
          <w:rPr>
            <w:noProof/>
            <w:webHidden/>
          </w:rPr>
          <w:fldChar w:fldCharType="separate"/>
        </w:r>
        <w:r w:rsidR="00754A91">
          <w:rPr>
            <w:noProof/>
            <w:webHidden/>
          </w:rPr>
          <w:t>86</w:t>
        </w:r>
        <w:r w:rsidR="00754A91">
          <w:rPr>
            <w:noProof/>
            <w:webHidden/>
          </w:rPr>
          <w:fldChar w:fldCharType="end"/>
        </w:r>
      </w:hyperlink>
    </w:p>
    <w:p w:rsidR="00754A91" w:rsidRDefault="00865F04">
      <w:pPr>
        <w:pStyle w:val="TOC2"/>
        <w:rPr>
          <w:rFonts w:asciiTheme="minorHAnsi" w:eastAsiaTheme="minorEastAsia" w:hAnsiTheme="minorHAnsi" w:cstheme="minorBidi"/>
          <w:noProof/>
          <w:sz w:val="22"/>
          <w:szCs w:val="22"/>
        </w:rPr>
      </w:pPr>
      <w:hyperlink w:anchor="_Toc399834583" w:history="1">
        <w:r w:rsidR="00754A91" w:rsidRPr="00603C3D">
          <w:rPr>
            <w:rStyle w:val="Hyperlink"/>
            <w:noProof/>
          </w:rPr>
          <w:t>E. Non-Homeless Special Needs Assessment</w:t>
        </w:r>
        <w:r w:rsidR="00754A91">
          <w:rPr>
            <w:noProof/>
            <w:webHidden/>
          </w:rPr>
          <w:tab/>
        </w:r>
        <w:r w:rsidR="00754A91">
          <w:rPr>
            <w:noProof/>
            <w:webHidden/>
          </w:rPr>
          <w:fldChar w:fldCharType="begin"/>
        </w:r>
        <w:r w:rsidR="00754A91">
          <w:rPr>
            <w:noProof/>
            <w:webHidden/>
          </w:rPr>
          <w:instrText xml:space="preserve"> PAGEREF _Toc399834583 \h </w:instrText>
        </w:r>
        <w:r w:rsidR="00754A91">
          <w:rPr>
            <w:noProof/>
            <w:webHidden/>
          </w:rPr>
        </w:r>
        <w:r w:rsidR="00754A91">
          <w:rPr>
            <w:noProof/>
            <w:webHidden/>
          </w:rPr>
          <w:fldChar w:fldCharType="separate"/>
        </w:r>
        <w:r w:rsidR="00754A91">
          <w:rPr>
            <w:noProof/>
            <w:webHidden/>
          </w:rPr>
          <w:t>101</w:t>
        </w:r>
        <w:r w:rsidR="00754A91">
          <w:rPr>
            <w:noProof/>
            <w:webHidden/>
          </w:rPr>
          <w:fldChar w:fldCharType="end"/>
        </w:r>
      </w:hyperlink>
    </w:p>
    <w:p w:rsidR="00754A91" w:rsidRDefault="00865F04">
      <w:pPr>
        <w:pStyle w:val="TOC2"/>
        <w:rPr>
          <w:rFonts w:asciiTheme="minorHAnsi" w:eastAsiaTheme="minorEastAsia" w:hAnsiTheme="minorHAnsi" w:cstheme="minorBidi"/>
          <w:noProof/>
          <w:sz w:val="22"/>
          <w:szCs w:val="22"/>
        </w:rPr>
      </w:pPr>
      <w:hyperlink w:anchor="_Toc399834584" w:history="1">
        <w:r w:rsidR="00754A91" w:rsidRPr="00603C3D">
          <w:rPr>
            <w:rStyle w:val="Hyperlink"/>
            <w:noProof/>
          </w:rPr>
          <w:t>F. Summary</w:t>
        </w:r>
        <w:r w:rsidR="00754A91">
          <w:rPr>
            <w:noProof/>
            <w:webHidden/>
          </w:rPr>
          <w:tab/>
        </w:r>
        <w:r w:rsidR="00754A91">
          <w:rPr>
            <w:noProof/>
            <w:webHidden/>
          </w:rPr>
          <w:fldChar w:fldCharType="begin"/>
        </w:r>
        <w:r w:rsidR="00754A91">
          <w:rPr>
            <w:noProof/>
            <w:webHidden/>
          </w:rPr>
          <w:instrText xml:space="preserve"> PAGEREF _Toc399834584 \h </w:instrText>
        </w:r>
        <w:r w:rsidR="00754A91">
          <w:rPr>
            <w:noProof/>
            <w:webHidden/>
          </w:rPr>
        </w:r>
        <w:r w:rsidR="00754A91">
          <w:rPr>
            <w:noProof/>
            <w:webHidden/>
          </w:rPr>
          <w:fldChar w:fldCharType="separate"/>
        </w:r>
        <w:r w:rsidR="00754A91">
          <w:rPr>
            <w:noProof/>
            <w:webHidden/>
          </w:rPr>
          <w:t>115</w:t>
        </w:r>
        <w:r w:rsidR="00754A91">
          <w:rPr>
            <w:noProof/>
            <w:webHidden/>
          </w:rPr>
          <w:fldChar w:fldCharType="end"/>
        </w:r>
      </w:hyperlink>
    </w:p>
    <w:p w:rsidR="00754A91" w:rsidRDefault="00865F04">
      <w:pPr>
        <w:pStyle w:val="TOC1"/>
        <w:rPr>
          <w:rFonts w:asciiTheme="minorHAnsi" w:eastAsiaTheme="minorEastAsia" w:hAnsiTheme="minorHAnsi" w:cstheme="minorBidi"/>
          <w:b w:val="0"/>
          <w:smallCaps w:val="0"/>
          <w:noProof/>
          <w:sz w:val="22"/>
          <w:szCs w:val="22"/>
        </w:rPr>
      </w:pPr>
      <w:hyperlink w:anchor="_Toc399834585" w:history="1">
        <w:r w:rsidR="00754A91" w:rsidRPr="00603C3D">
          <w:rPr>
            <w:rStyle w:val="Hyperlink"/>
            <w:noProof/>
            <w:highlight w:val="yellow"/>
          </w:rPr>
          <w:t>VI.  Community Development Needs Assessment</w:t>
        </w:r>
        <w:r w:rsidR="00754A91">
          <w:rPr>
            <w:noProof/>
            <w:webHidden/>
          </w:rPr>
          <w:tab/>
        </w:r>
        <w:r w:rsidR="00754A91">
          <w:rPr>
            <w:noProof/>
            <w:webHidden/>
          </w:rPr>
          <w:fldChar w:fldCharType="begin"/>
        </w:r>
        <w:r w:rsidR="00754A91">
          <w:rPr>
            <w:noProof/>
            <w:webHidden/>
          </w:rPr>
          <w:instrText xml:space="preserve"> PAGEREF _Toc399834585 \h </w:instrText>
        </w:r>
        <w:r w:rsidR="00754A91">
          <w:rPr>
            <w:noProof/>
            <w:webHidden/>
          </w:rPr>
        </w:r>
        <w:r w:rsidR="00754A91">
          <w:rPr>
            <w:noProof/>
            <w:webHidden/>
          </w:rPr>
          <w:fldChar w:fldCharType="separate"/>
        </w:r>
        <w:r w:rsidR="00754A91">
          <w:rPr>
            <w:noProof/>
            <w:webHidden/>
          </w:rPr>
          <w:t>117</w:t>
        </w:r>
        <w:r w:rsidR="00754A91">
          <w:rPr>
            <w:noProof/>
            <w:webHidden/>
          </w:rPr>
          <w:fldChar w:fldCharType="end"/>
        </w:r>
      </w:hyperlink>
    </w:p>
    <w:p w:rsidR="00754A91" w:rsidRDefault="00865F04">
      <w:pPr>
        <w:pStyle w:val="TOC2"/>
        <w:rPr>
          <w:rFonts w:asciiTheme="minorHAnsi" w:eastAsiaTheme="minorEastAsia" w:hAnsiTheme="minorHAnsi" w:cstheme="minorBidi"/>
          <w:noProof/>
          <w:sz w:val="22"/>
          <w:szCs w:val="22"/>
        </w:rPr>
      </w:pPr>
      <w:hyperlink w:anchor="_Toc399834586" w:history="1">
        <w:r w:rsidR="00754A91" w:rsidRPr="00603C3D">
          <w:rPr>
            <w:rStyle w:val="Hyperlink"/>
            <w:noProof/>
          </w:rPr>
          <w:t>A. Introduction</w:t>
        </w:r>
        <w:r w:rsidR="00754A91">
          <w:rPr>
            <w:noProof/>
            <w:webHidden/>
          </w:rPr>
          <w:tab/>
        </w:r>
        <w:r w:rsidR="00754A91">
          <w:rPr>
            <w:noProof/>
            <w:webHidden/>
          </w:rPr>
          <w:fldChar w:fldCharType="begin"/>
        </w:r>
        <w:r w:rsidR="00754A91">
          <w:rPr>
            <w:noProof/>
            <w:webHidden/>
          </w:rPr>
          <w:instrText xml:space="preserve"> PAGEREF _Toc399834586 \h </w:instrText>
        </w:r>
        <w:r w:rsidR="00754A91">
          <w:rPr>
            <w:noProof/>
            <w:webHidden/>
          </w:rPr>
        </w:r>
        <w:r w:rsidR="00754A91">
          <w:rPr>
            <w:noProof/>
            <w:webHidden/>
          </w:rPr>
          <w:fldChar w:fldCharType="separate"/>
        </w:r>
        <w:r w:rsidR="00754A91">
          <w:rPr>
            <w:noProof/>
            <w:webHidden/>
          </w:rPr>
          <w:t>117</w:t>
        </w:r>
        <w:r w:rsidR="00754A91">
          <w:rPr>
            <w:noProof/>
            <w:webHidden/>
          </w:rPr>
          <w:fldChar w:fldCharType="end"/>
        </w:r>
      </w:hyperlink>
    </w:p>
    <w:p w:rsidR="00754A91" w:rsidRDefault="00865F04">
      <w:pPr>
        <w:pStyle w:val="TOC2"/>
        <w:rPr>
          <w:rFonts w:asciiTheme="minorHAnsi" w:eastAsiaTheme="minorEastAsia" w:hAnsiTheme="minorHAnsi" w:cstheme="minorBidi"/>
          <w:noProof/>
          <w:sz w:val="22"/>
          <w:szCs w:val="22"/>
        </w:rPr>
      </w:pPr>
      <w:hyperlink w:anchor="_Toc399834587" w:history="1">
        <w:r w:rsidR="00754A91" w:rsidRPr="00603C3D">
          <w:rPr>
            <w:rStyle w:val="Hyperlink"/>
            <w:noProof/>
          </w:rPr>
          <w:t>B. Community Development Needs Assessment</w:t>
        </w:r>
        <w:r w:rsidR="00754A91">
          <w:rPr>
            <w:noProof/>
            <w:webHidden/>
          </w:rPr>
          <w:tab/>
        </w:r>
        <w:r w:rsidR="00754A91">
          <w:rPr>
            <w:noProof/>
            <w:webHidden/>
          </w:rPr>
          <w:fldChar w:fldCharType="begin"/>
        </w:r>
        <w:r w:rsidR="00754A91">
          <w:rPr>
            <w:noProof/>
            <w:webHidden/>
          </w:rPr>
          <w:instrText xml:space="preserve"> PAGEREF _Toc399834587 \h </w:instrText>
        </w:r>
        <w:r w:rsidR="00754A91">
          <w:rPr>
            <w:noProof/>
            <w:webHidden/>
          </w:rPr>
        </w:r>
        <w:r w:rsidR="00754A91">
          <w:rPr>
            <w:noProof/>
            <w:webHidden/>
          </w:rPr>
          <w:fldChar w:fldCharType="separate"/>
        </w:r>
        <w:r w:rsidR="00754A91">
          <w:rPr>
            <w:noProof/>
            <w:webHidden/>
          </w:rPr>
          <w:t>117</w:t>
        </w:r>
        <w:r w:rsidR="00754A91">
          <w:rPr>
            <w:noProof/>
            <w:webHidden/>
          </w:rPr>
          <w:fldChar w:fldCharType="end"/>
        </w:r>
      </w:hyperlink>
    </w:p>
    <w:p w:rsidR="00754A91" w:rsidRDefault="00865F04">
      <w:pPr>
        <w:pStyle w:val="TOC2"/>
        <w:rPr>
          <w:rFonts w:asciiTheme="minorHAnsi" w:eastAsiaTheme="minorEastAsia" w:hAnsiTheme="minorHAnsi" w:cstheme="minorBidi"/>
          <w:noProof/>
          <w:sz w:val="22"/>
          <w:szCs w:val="22"/>
        </w:rPr>
      </w:pPr>
      <w:hyperlink w:anchor="_Toc399834588" w:history="1">
        <w:r w:rsidR="00754A91" w:rsidRPr="00603C3D">
          <w:rPr>
            <w:rStyle w:val="Hyperlink"/>
            <w:noProof/>
          </w:rPr>
          <w:t>C. Priority Community Development Needs Rankings</w:t>
        </w:r>
        <w:r w:rsidR="00754A91">
          <w:rPr>
            <w:noProof/>
            <w:webHidden/>
          </w:rPr>
          <w:tab/>
        </w:r>
        <w:r w:rsidR="00754A91">
          <w:rPr>
            <w:noProof/>
            <w:webHidden/>
          </w:rPr>
          <w:fldChar w:fldCharType="begin"/>
        </w:r>
        <w:r w:rsidR="00754A91">
          <w:rPr>
            <w:noProof/>
            <w:webHidden/>
          </w:rPr>
          <w:instrText xml:space="preserve"> PAGEREF _Toc399834588 \h </w:instrText>
        </w:r>
        <w:r w:rsidR="00754A91">
          <w:rPr>
            <w:noProof/>
            <w:webHidden/>
          </w:rPr>
        </w:r>
        <w:r w:rsidR="00754A91">
          <w:rPr>
            <w:noProof/>
            <w:webHidden/>
          </w:rPr>
          <w:fldChar w:fldCharType="separate"/>
        </w:r>
        <w:r w:rsidR="00754A91">
          <w:rPr>
            <w:noProof/>
            <w:webHidden/>
          </w:rPr>
          <w:t>120</w:t>
        </w:r>
        <w:r w:rsidR="00754A91">
          <w:rPr>
            <w:noProof/>
            <w:webHidden/>
          </w:rPr>
          <w:fldChar w:fldCharType="end"/>
        </w:r>
      </w:hyperlink>
    </w:p>
    <w:p w:rsidR="00754A91" w:rsidRDefault="00865F04">
      <w:pPr>
        <w:pStyle w:val="TOC2"/>
        <w:rPr>
          <w:rFonts w:asciiTheme="minorHAnsi" w:eastAsiaTheme="minorEastAsia" w:hAnsiTheme="minorHAnsi" w:cstheme="minorBidi"/>
          <w:noProof/>
          <w:sz w:val="22"/>
          <w:szCs w:val="22"/>
        </w:rPr>
      </w:pPr>
      <w:hyperlink w:anchor="_Toc399834589" w:history="1">
        <w:r w:rsidR="00754A91" w:rsidRPr="00603C3D">
          <w:rPr>
            <w:rStyle w:val="Hyperlink"/>
            <w:noProof/>
          </w:rPr>
          <w:t>D. Summary</w:t>
        </w:r>
        <w:r w:rsidR="00754A91">
          <w:rPr>
            <w:noProof/>
            <w:webHidden/>
          </w:rPr>
          <w:tab/>
        </w:r>
        <w:r w:rsidR="00754A91">
          <w:rPr>
            <w:noProof/>
            <w:webHidden/>
          </w:rPr>
          <w:fldChar w:fldCharType="begin"/>
        </w:r>
        <w:r w:rsidR="00754A91">
          <w:rPr>
            <w:noProof/>
            <w:webHidden/>
          </w:rPr>
          <w:instrText xml:space="preserve"> PAGEREF _Toc399834589 \h </w:instrText>
        </w:r>
        <w:r w:rsidR="00754A91">
          <w:rPr>
            <w:noProof/>
            <w:webHidden/>
          </w:rPr>
        </w:r>
        <w:r w:rsidR="00754A91">
          <w:rPr>
            <w:noProof/>
            <w:webHidden/>
          </w:rPr>
          <w:fldChar w:fldCharType="separate"/>
        </w:r>
        <w:r w:rsidR="00754A91">
          <w:rPr>
            <w:noProof/>
            <w:webHidden/>
          </w:rPr>
          <w:t>122</w:t>
        </w:r>
        <w:r w:rsidR="00754A91">
          <w:rPr>
            <w:noProof/>
            <w:webHidden/>
          </w:rPr>
          <w:fldChar w:fldCharType="end"/>
        </w:r>
      </w:hyperlink>
    </w:p>
    <w:p w:rsidR="00754A91" w:rsidRDefault="00865F04">
      <w:pPr>
        <w:pStyle w:val="TOC1"/>
        <w:rPr>
          <w:rFonts w:asciiTheme="minorHAnsi" w:eastAsiaTheme="minorEastAsia" w:hAnsiTheme="minorHAnsi" w:cstheme="minorBidi"/>
          <w:b w:val="0"/>
          <w:smallCaps w:val="0"/>
          <w:noProof/>
          <w:sz w:val="22"/>
          <w:szCs w:val="22"/>
        </w:rPr>
      </w:pPr>
      <w:hyperlink w:anchor="_Toc399834590" w:history="1">
        <w:r w:rsidR="00754A91" w:rsidRPr="00603C3D">
          <w:rPr>
            <w:rStyle w:val="Hyperlink"/>
            <w:noProof/>
            <w:highlight w:val="yellow"/>
          </w:rPr>
          <w:t>VII. Strategic Plan</w:t>
        </w:r>
        <w:r w:rsidR="00754A91">
          <w:rPr>
            <w:noProof/>
            <w:webHidden/>
          </w:rPr>
          <w:tab/>
        </w:r>
        <w:r w:rsidR="00754A91">
          <w:rPr>
            <w:noProof/>
            <w:webHidden/>
          </w:rPr>
          <w:fldChar w:fldCharType="begin"/>
        </w:r>
        <w:r w:rsidR="00754A91">
          <w:rPr>
            <w:noProof/>
            <w:webHidden/>
          </w:rPr>
          <w:instrText xml:space="preserve"> PAGEREF _Toc399834590 \h </w:instrText>
        </w:r>
        <w:r w:rsidR="00754A91">
          <w:rPr>
            <w:noProof/>
            <w:webHidden/>
          </w:rPr>
        </w:r>
        <w:r w:rsidR="00754A91">
          <w:rPr>
            <w:noProof/>
            <w:webHidden/>
          </w:rPr>
          <w:fldChar w:fldCharType="separate"/>
        </w:r>
        <w:r w:rsidR="00754A91">
          <w:rPr>
            <w:noProof/>
            <w:webHidden/>
          </w:rPr>
          <w:t>122</w:t>
        </w:r>
        <w:r w:rsidR="00754A91">
          <w:rPr>
            <w:noProof/>
            <w:webHidden/>
          </w:rPr>
          <w:fldChar w:fldCharType="end"/>
        </w:r>
      </w:hyperlink>
    </w:p>
    <w:p w:rsidR="00754A91" w:rsidRDefault="00865F04">
      <w:pPr>
        <w:pStyle w:val="TOC2"/>
        <w:rPr>
          <w:rFonts w:asciiTheme="minorHAnsi" w:eastAsiaTheme="minorEastAsia" w:hAnsiTheme="minorHAnsi" w:cstheme="minorBidi"/>
          <w:noProof/>
          <w:sz w:val="22"/>
          <w:szCs w:val="22"/>
        </w:rPr>
      </w:pPr>
      <w:hyperlink w:anchor="_Toc399834591" w:history="1">
        <w:r w:rsidR="00754A91" w:rsidRPr="00603C3D">
          <w:rPr>
            <w:rStyle w:val="Hyperlink"/>
            <w:noProof/>
          </w:rPr>
          <w:t>A. Overview of Consolidated Plan National Goals</w:t>
        </w:r>
        <w:r w:rsidR="00754A91">
          <w:rPr>
            <w:noProof/>
            <w:webHidden/>
          </w:rPr>
          <w:tab/>
        </w:r>
        <w:r w:rsidR="00754A91">
          <w:rPr>
            <w:noProof/>
            <w:webHidden/>
          </w:rPr>
          <w:fldChar w:fldCharType="begin"/>
        </w:r>
        <w:r w:rsidR="00754A91">
          <w:rPr>
            <w:noProof/>
            <w:webHidden/>
          </w:rPr>
          <w:instrText xml:space="preserve"> PAGEREF _Toc399834591 \h </w:instrText>
        </w:r>
        <w:r w:rsidR="00754A91">
          <w:rPr>
            <w:noProof/>
            <w:webHidden/>
          </w:rPr>
        </w:r>
        <w:r w:rsidR="00754A91">
          <w:rPr>
            <w:noProof/>
            <w:webHidden/>
          </w:rPr>
          <w:fldChar w:fldCharType="separate"/>
        </w:r>
        <w:r w:rsidR="00754A91">
          <w:rPr>
            <w:noProof/>
            <w:webHidden/>
          </w:rPr>
          <w:t>123</w:t>
        </w:r>
        <w:r w:rsidR="00754A91">
          <w:rPr>
            <w:noProof/>
            <w:webHidden/>
          </w:rPr>
          <w:fldChar w:fldCharType="end"/>
        </w:r>
      </w:hyperlink>
    </w:p>
    <w:p w:rsidR="00754A91" w:rsidRDefault="00865F04">
      <w:pPr>
        <w:pStyle w:val="TOC2"/>
        <w:rPr>
          <w:rFonts w:asciiTheme="minorHAnsi" w:eastAsiaTheme="minorEastAsia" w:hAnsiTheme="minorHAnsi" w:cstheme="minorBidi"/>
          <w:noProof/>
          <w:sz w:val="22"/>
          <w:szCs w:val="22"/>
        </w:rPr>
      </w:pPr>
      <w:hyperlink w:anchor="_Toc399834592" w:history="1">
        <w:r w:rsidR="00754A91" w:rsidRPr="00603C3D">
          <w:rPr>
            <w:rStyle w:val="Hyperlink"/>
            <w:noProof/>
          </w:rPr>
          <w:t>B. Context in Which Activities will be Conducted</w:t>
        </w:r>
        <w:r w:rsidR="00754A91">
          <w:rPr>
            <w:noProof/>
            <w:webHidden/>
          </w:rPr>
          <w:tab/>
        </w:r>
        <w:r w:rsidR="00754A91">
          <w:rPr>
            <w:noProof/>
            <w:webHidden/>
          </w:rPr>
          <w:fldChar w:fldCharType="begin"/>
        </w:r>
        <w:r w:rsidR="00754A91">
          <w:rPr>
            <w:noProof/>
            <w:webHidden/>
          </w:rPr>
          <w:instrText xml:space="preserve"> PAGEREF _Toc399834592 \h </w:instrText>
        </w:r>
        <w:r w:rsidR="00754A91">
          <w:rPr>
            <w:noProof/>
            <w:webHidden/>
          </w:rPr>
        </w:r>
        <w:r w:rsidR="00754A91">
          <w:rPr>
            <w:noProof/>
            <w:webHidden/>
          </w:rPr>
          <w:fldChar w:fldCharType="separate"/>
        </w:r>
        <w:r w:rsidR="00754A91">
          <w:rPr>
            <w:noProof/>
            <w:webHidden/>
          </w:rPr>
          <w:t>123</w:t>
        </w:r>
        <w:r w:rsidR="00754A91">
          <w:rPr>
            <w:noProof/>
            <w:webHidden/>
          </w:rPr>
          <w:fldChar w:fldCharType="end"/>
        </w:r>
      </w:hyperlink>
    </w:p>
    <w:p w:rsidR="00754A91" w:rsidRDefault="00865F04">
      <w:pPr>
        <w:pStyle w:val="TOC2"/>
        <w:rPr>
          <w:rFonts w:asciiTheme="minorHAnsi" w:eastAsiaTheme="minorEastAsia" w:hAnsiTheme="minorHAnsi" w:cstheme="minorBidi"/>
          <w:noProof/>
          <w:sz w:val="22"/>
          <w:szCs w:val="22"/>
        </w:rPr>
      </w:pPr>
      <w:hyperlink w:anchor="_Toc399834593" w:history="1">
        <w:r w:rsidR="00754A91" w:rsidRPr="00603C3D">
          <w:rPr>
            <w:rStyle w:val="Hyperlink"/>
            <w:noProof/>
          </w:rPr>
          <w:t>C. Strategic Goals of the New Mexico Consolidated Plan</w:t>
        </w:r>
        <w:r w:rsidR="00754A91">
          <w:rPr>
            <w:noProof/>
            <w:webHidden/>
          </w:rPr>
          <w:tab/>
        </w:r>
        <w:r w:rsidR="00754A91">
          <w:rPr>
            <w:noProof/>
            <w:webHidden/>
          </w:rPr>
          <w:fldChar w:fldCharType="begin"/>
        </w:r>
        <w:r w:rsidR="00754A91">
          <w:rPr>
            <w:noProof/>
            <w:webHidden/>
          </w:rPr>
          <w:instrText xml:space="preserve"> PAGEREF _Toc399834593 \h </w:instrText>
        </w:r>
        <w:r w:rsidR="00754A91">
          <w:rPr>
            <w:noProof/>
            <w:webHidden/>
          </w:rPr>
        </w:r>
        <w:r w:rsidR="00754A91">
          <w:rPr>
            <w:noProof/>
            <w:webHidden/>
          </w:rPr>
          <w:fldChar w:fldCharType="separate"/>
        </w:r>
        <w:r w:rsidR="00754A91">
          <w:rPr>
            <w:noProof/>
            <w:webHidden/>
          </w:rPr>
          <w:t>125</w:t>
        </w:r>
        <w:r w:rsidR="00754A91">
          <w:rPr>
            <w:noProof/>
            <w:webHidden/>
          </w:rPr>
          <w:fldChar w:fldCharType="end"/>
        </w:r>
      </w:hyperlink>
    </w:p>
    <w:p w:rsidR="00754A91" w:rsidRDefault="00865F04">
      <w:pPr>
        <w:pStyle w:val="TOC1"/>
        <w:rPr>
          <w:rFonts w:asciiTheme="minorHAnsi" w:eastAsiaTheme="minorEastAsia" w:hAnsiTheme="minorHAnsi" w:cstheme="minorBidi"/>
          <w:b w:val="0"/>
          <w:smallCaps w:val="0"/>
          <w:noProof/>
          <w:sz w:val="22"/>
          <w:szCs w:val="22"/>
        </w:rPr>
      </w:pPr>
      <w:hyperlink w:anchor="_Toc399834594" w:history="1">
        <w:r w:rsidR="00754A91" w:rsidRPr="00603C3D">
          <w:rPr>
            <w:rStyle w:val="Hyperlink"/>
            <w:noProof/>
            <w:highlight w:val="yellow"/>
          </w:rPr>
          <w:t>Appendix A: Citizen Participation Plan</w:t>
        </w:r>
        <w:r w:rsidR="00754A91">
          <w:rPr>
            <w:noProof/>
            <w:webHidden/>
          </w:rPr>
          <w:tab/>
        </w:r>
        <w:r w:rsidR="00754A91">
          <w:rPr>
            <w:noProof/>
            <w:webHidden/>
          </w:rPr>
          <w:fldChar w:fldCharType="begin"/>
        </w:r>
        <w:r w:rsidR="00754A91">
          <w:rPr>
            <w:noProof/>
            <w:webHidden/>
          </w:rPr>
          <w:instrText xml:space="preserve"> PAGEREF _Toc399834594 \h </w:instrText>
        </w:r>
        <w:r w:rsidR="00754A91">
          <w:rPr>
            <w:noProof/>
            <w:webHidden/>
          </w:rPr>
        </w:r>
        <w:r w:rsidR="00754A91">
          <w:rPr>
            <w:noProof/>
            <w:webHidden/>
          </w:rPr>
          <w:fldChar w:fldCharType="separate"/>
        </w:r>
        <w:r w:rsidR="00754A91">
          <w:rPr>
            <w:noProof/>
            <w:webHidden/>
          </w:rPr>
          <w:t>133</w:t>
        </w:r>
        <w:r w:rsidR="00754A91">
          <w:rPr>
            <w:noProof/>
            <w:webHidden/>
          </w:rPr>
          <w:fldChar w:fldCharType="end"/>
        </w:r>
      </w:hyperlink>
    </w:p>
    <w:p w:rsidR="00754A91" w:rsidRDefault="00865F04">
      <w:pPr>
        <w:pStyle w:val="TOC1"/>
        <w:rPr>
          <w:rFonts w:asciiTheme="minorHAnsi" w:eastAsiaTheme="minorEastAsia" w:hAnsiTheme="minorHAnsi" w:cstheme="minorBidi"/>
          <w:b w:val="0"/>
          <w:smallCaps w:val="0"/>
          <w:noProof/>
          <w:sz w:val="22"/>
          <w:szCs w:val="22"/>
        </w:rPr>
      </w:pPr>
      <w:hyperlink w:anchor="_Toc399834595" w:history="1">
        <w:r w:rsidR="00754A91" w:rsidRPr="00603C3D">
          <w:rPr>
            <w:rStyle w:val="Hyperlink"/>
            <w:noProof/>
            <w:highlight w:val="yellow"/>
          </w:rPr>
          <w:t>Appendix B: Analysis of Impediments to Fair Housing Choice</w:t>
        </w:r>
        <w:r w:rsidR="00754A91">
          <w:rPr>
            <w:noProof/>
            <w:webHidden/>
          </w:rPr>
          <w:tab/>
        </w:r>
        <w:r w:rsidR="00754A91">
          <w:rPr>
            <w:noProof/>
            <w:webHidden/>
          </w:rPr>
          <w:fldChar w:fldCharType="begin"/>
        </w:r>
        <w:r w:rsidR="00754A91">
          <w:rPr>
            <w:noProof/>
            <w:webHidden/>
          </w:rPr>
          <w:instrText xml:space="preserve"> PAGEREF _Toc399834595 \h </w:instrText>
        </w:r>
        <w:r w:rsidR="00754A91">
          <w:rPr>
            <w:noProof/>
            <w:webHidden/>
          </w:rPr>
        </w:r>
        <w:r w:rsidR="00754A91">
          <w:rPr>
            <w:noProof/>
            <w:webHidden/>
          </w:rPr>
          <w:fldChar w:fldCharType="separate"/>
        </w:r>
        <w:r w:rsidR="00754A91">
          <w:rPr>
            <w:noProof/>
            <w:webHidden/>
          </w:rPr>
          <w:t>144</w:t>
        </w:r>
        <w:r w:rsidR="00754A91">
          <w:rPr>
            <w:noProof/>
            <w:webHidden/>
          </w:rPr>
          <w:fldChar w:fldCharType="end"/>
        </w:r>
      </w:hyperlink>
    </w:p>
    <w:p w:rsidR="00754A91" w:rsidRDefault="00865F04">
      <w:pPr>
        <w:pStyle w:val="TOC1"/>
        <w:rPr>
          <w:rFonts w:asciiTheme="minorHAnsi" w:eastAsiaTheme="minorEastAsia" w:hAnsiTheme="minorHAnsi" w:cstheme="minorBidi"/>
          <w:b w:val="0"/>
          <w:smallCaps w:val="0"/>
          <w:noProof/>
          <w:sz w:val="22"/>
          <w:szCs w:val="22"/>
        </w:rPr>
      </w:pPr>
      <w:hyperlink w:anchor="_Toc399834596" w:history="1">
        <w:r w:rsidR="00754A91" w:rsidRPr="00603C3D">
          <w:rPr>
            <w:rStyle w:val="Hyperlink"/>
            <w:noProof/>
            <w:highlight w:val="yellow"/>
          </w:rPr>
          <w:t>Appendix C: Additional Plan Data</w:t>
        </w:r>
        <w:r w:rsidR="00754A91">
          <w:rPr>
            <w:noProof/>
            <w:webHidden/>
          </w:rPr>
          <w:tab/>
        </w:r>
        <w:r w:rsidR="00754A91">
          <w:rPr>
            <w:noProof/>
            <w:webHidden/>
          </w:rPr>
          <w:fldChar w:fldCharType="begin"/>
        </w:r>
        <w:r w:rsidR="00754A91">
          <w:rPr>
            <w:noProof/>
            <w:webHidden/>
          </w:rPr>
          <w:instrText xml:space="preserve"> PAGEREF _Toc399834596 \h </w:instrText>
        </w:r>
        <w:r w:rsidR="00754A91">
          <w:rPr>
            <w:noProof/>
            <w:webHidden/>
          </w:rPr>
        </w:r>
        <w:r w:rsidR="00754A91">
          <w:rPr>
            <w:noProof/>
            <w:webHidden/>
          </w:rPr>
          <w:fldChar w:fldCharType="separate"/>
        </w:r>
        <w:r w:rsidR="00754A91">
          <w:rPr>
            <w:noProof/>
            <w:webHidden/>
          </w:rPr>
          <w:t>150</w:t>
        </w:r>
        <w:r w:rsidR="00754A91">
          <w:rPr>
            <w:noProof/>
            <w:webHidden/>
          </w:rPr>
          <w:fldChar w:fldCharType="end"/>
        </w:r>
      </w:hyperlink>
    </w:p>
    <w:p w:rsidR="00754A91" w:rsidRDefault="00865F04">
      <w:pPr>
        <w:pStyle w:val="TOC1"/>
        <w:rPr>
          <w:rFonts w:asciiTheme="minorHAnsi" w:eastAsiaTheme="minorEastAsia" w:hAnsiTheme="minorHAnsi" w:cstheme="minorBidi"/>
          <w:b w:val="0"/>
          <w:smallCaps w:val="0"/>
          <w:noProof/>
          <w:sz w:val="22"/>
          <w:szCs w:val="22"/>
        </w:rPr>
      </w:pPr>
      <w:hyperlink w:anchor="_Toc399834597" w:history="1">
        <w:r w:rsidR="00754A91" w:rsidRPr="00603C3D">
          <w:rPr>
            <w:rStyle w:val="Hyperlink"/>
            <w:noProof/>
            <w:highlight w:val="yellow"/>
          </w:rPr>
          <w:t>Appendix D: Public Involvement Process</w:t>
        </w:r>
        <w:r w:rsidR="00754A91">
          <w:rPr>
            <w:noProof/>
            <w:webHidden/>
          </w:rPr>
          <w:tab/>
        </w:r>
        <w:r w:rsidR="00754A91">
          <w:rPr>
            <w:noProof/>
            <w:webHidden/>
          </w:rPr>
          <w:fldChar w:fldCharType="begin"/>
        </w:r>
        <w:r w:rsidR="00754A91">
          <w:rPr>
            <w:noProof/>
            <w:webHidden/>
          </w:rPr>
          <w:instrText xml:space="preserve"> PAGEREF _Toc399834597 \h </w:instrText>
        </w:r>
        <w:r w:rsidR="00754A91">
          <w:rPr>
            <w:noProof/>
            <w:webHidden/>
          </w:rPr>
        </w:r>
        <w:r w:rsidR="00754A91">
          <w:rPr>
            <w:noProof/>
            <w:webHidden/>
          </w:rPr>
          <w:fldChar w:fldCharType="separate"/>
        </w:r>
        <w:r w:rsidR="00754A91">
          <w:rPr>
            <w:noProof/>
            <w:webHidden/>
          </w:rPr>
          <w:t>164</w:t>
        </w:r>
        <w:r w:rsidR="00754A91">
          <w:rPr>
            <w:noProof/>
            <w:webHidden/>
          </w:rPr>
          <w:fldChar w:fldCharType="end"/>
        </w:r>
      </w:hyperlink>
    </w:p>
    <w:p w:rsidR="00B46928" w:rsidRPr="000E02BB" w:rsidRDefault="00760DAB" w:rsidP="002A5217">
      <w:pPr>
        <w:tabs>
          <w:tab w:val="right" w:pos="9360"/>
        </w:tabs>
        <w:jc w:val="both"/>
      </w:pPr>
      <w:r w:rsidRPr="00043837">
        <w:rPr>
          <w:highlight w:val="yellow"/>
        </w:rPr>
        <w:fldChar w:fldCharType="end"/>
      </w:r>
    </w:p>
    <w:p w:rsidR="00B46928" w:rsidRPr="000E02BB" w:rsidRDefault="00B46928" w:rsidP="002A5217">
      <w:pPr>
        <w:tabs>
          <w:tab w:val="right" w:pos="9360"/>
        </w:tabs>
        <w:jc w:val="both"/>
      </w:pPr>
    </w:p>
    <w:p w:rsidR="00B46928" w:rsidRPr="000E02BB" w:rsidRDefault="00B46928" w:rsidP="002A5217">
      <w:pPr>
        <w:tabs>
          <w:tab w:val="right" w:pos="9360"/>
        </w:tabs>
        <w:jc w:val="both"/>
      </w:pPr>
    </w:p>
    <w:p w:rsidR="007C4B5F" w:rsidRPr="000E02BB" w:rsidRDefault="007C4B5F" w:rsidP="002A5217">
      <w:pPr>
        <w:tabs>
          <w:tab w:val="right" w:pos="9360"/>
        </w:tabs>
        <w:jc w:val="both"/>
        <w:rPr>
          <w:rFonts w:ascii="CG Omega" w:hAnsi="CG Omega"/>
          <w:b/>
          <w:smallCaps/>
          <w:sz w:val="28"/>
          <w:u w:val="single"/>
        </w:rPr>
      </w:pPr>
      <w:r w:rsidRPr="000E02BB">
        <w:rPr>
          <w:rFonts w:ascii="CG Omega" w:hAnsi="CG Omega"/>
          <w:b/>
          <w:smallCaps/>
          <w:sz w:val="28"/>
          <w:u w:val="single"/>
        </w:rPr>
        <w:t>Priority Needs Tables</w:t>
      </w:r>
    </w:p>
    <w:p w:rsidR="007C4B5F" w:rsidRPr="000E02BB" w:rsidRDefault="007C4B5F" w:rsidP="002A5217">
      <w:pPr>
        <w:tabs>
          <w:tab w:val="right" w:pos="9360"/>
        </w:tabs>
        <w:jc w:val="both"/>
        <w:rPr>
          <w:rFonts w:ascii="CG Omega" w:hAnsi="CG Omega"/>
        </w:rPr>
      </w:pPr>
    </w:p>
    <w:p w:rsidR="007C4B5F" w:rsidRPr="000E02BB" w:rsidRDefault="008301A7" w:rsidP="002A5217">
      <w:pPr>
        <w:tabs>
          <w:tab w:val="right" w:pos="9360"/>
        </w:tabs>
        <w:jc w:val="both"/>
        <w:rPr>
          <w:rFonts w:ascii="CG Omega" w:hAnsi="CG Omega"/>
          <w:b/>
        </w:rPr>
      </w:pPr>
      <w:r>
        <w:rPr>
          <w:rFonts w:ascii="CG Omega" w:hAnsi="CG Omega"/>
          <w:b/>
        </w:rPr>
        <w:t>Priority Housing Needs Table 2A</w:t>
      </w:r>
      <w:r w:rsidR="00B236A1" w:rsidRPr="000E02BB">
        <w:rPr>
          <w:rFonts w:ascii="CG Omega" w:hAnsi="CG Omega"/>
          <w:b/>
        </w:rPr>
        <w:tab/>
      </w:r>
      <w:r w:rsidR="00C42A31">
        <w:rPr>
          <w:rFonts w:ascii="CG Omega" w:hAnsi="CG Omega"/>
          <w:b/>
        </w:rPr>
        <w:t>8</w:t>
      </w:r>
      <w:r w:rsidR="00277064">
        <w:rPr>
          <w:rFonts w:ascii="CG Omega" w:hAnsi="CG Omega"/>
          <w:b/>
        </w:rPr>
        <w:t>7</w:t>
      </w:r>
    </w:p>
    <w:p w:rsidR="007C4B5F" w:rsidRPr="000E02BB" w:rsidRDefault="007C4B5F" w:rsidP="002A5217">
      <w:pPr>
        <w:tabs>
          <w:tab w:val="right" w:pos="9360"/>
        </w:tabs>
        <w:jc w:val="both"/>
        <w:rPr>
          <w:rFonts w:ascii="CG Omega" w:hAnsi="CG Omega"/>
          <w:b/>
          <w:sz w:val="12"/>
          <w:szCs w:val="12"/>
        </w:rPr>
      </w:pPr>
    </w:p>
    <w:p w:rsidR="007C4B5F" w:rsidRPr="000E02BB" w:rsidRDefault="007C4B5F" w:rsidP="002A5217">
      <w:pPr>
        <w:tabs>
          <w:tab w:val="right" w:pos="9360"/>
        </w:tabs>
        <w:jc w:val="both"/>
        <w:rPr>
          <w:rFonts w:ascii="CG Omega" w:hAnsi="CG Omega"/>
          <w:b/>
          <w:sz w:val="12"/>
          <w:szCs w:val="12"/>
        </w:rPr>
      </w:pPr>
    </w:p>
    <w:p w:rsidR="007C4B5F" w:rsidRPr="000E02BB" w:rsidRDefault="007C4B5F" w:rsidP="002A5217">
      <w:pPr>
        <w:tabs>
          <w:tab w:val="right" w:pos="9360"/>
        </w:tabs>
        <w:jc w:val="both"/>
        <w:rPr>
          <w:rFonts w:ascii="CG Omega" w:hAnsi="CG Omega"/>
          <w:b/>
        </w:rPr>
      </w:pPr>
      <w:r w:rsidRPr="000E02BB">
        <w:rPr>
          <w:rFonts w:ascii="CG Omega" w:hAnsi="CG Omega"/>
          <w:b/>
        </w:rPr>
        <w:t>Priority Commun</w:t>
      </w:r>
      <w:r w:rsidR="00B46928" w:rsidRPr="000E02BB">
        <w:rPr>
          <w:rFonts w:ascii="CG Omega" w:hAnsi="CG Omega"/>
          <w:b/>
        </w:rPr>
        <w:t>i</w:t>
      </w:r>
      <w:r w:rsidR="00B236A1" w:rsidRPr="000E02BB">
        <w:rPr>
          <w:rFonts w:ascii="CG Omega" w:hAnsi="CG Omega"/>
          <w:b/>
        </w:rPr>
        <w:t>ty Development Needs Table 2B</w:t>
      </w:r>
      <w:r w:rsidR="00B236A1" w:rsidRPr="000E02BB">
        <w:rPr>
          <w:rFonts w:ascii="CG Omega" w:hAnsi="CG Omega"/>
          <w:b/>
        </w:rPr>
        <w:tab/>
      </w:r>
      <w:r w:rsidR="005E214C" w:rsidRPr="000E02BB">
        <w:rPr>
          <w:rFonts w:ascii="CG Omega" w:hAnsi="CG Omega"/>
          <w:b/>
        </w:rPr>
        <w:t>1</w:t>
      </w:r>
      <w:r w:rsidR="00C42A31">
        <w:rPr>
          <w:rFonts w:ascii="CG Omega" w:hAnsi="CG Omega"/>
          <w:b/>
        </w:rPr>
        <w:t>2</w:t>
      </w:r>
      <w:r w:rsidR="00E61D35">
        <w:rPr>
          <w:rFonts w:ascii="CG Omega" w:hAnsi="CG Omega"/>
          <w:b/>
        </w:rPr>
        <w:t>3</w:t>
      </w:r>
    </w:p>
    <w:p w:rsidR="007C4B5F" w:rsidRPr="00955C8C" w:rsidRDefault="007C4B5F" w:rsidP="002A5217">
      <w:pPr>
        <w:tabs>
          <w:tab w:val="right" w:pos="9360"/>
        </w:tabs>
        <w:jc w:val="both"/>
        <w:rPr>
          <w:rFonts w:ascii="CG Omega" w:hAnsi="CG Omega"/>
          <w:smallCaps/>
          <w:sz w:val="32"/>
          <w:szCs w:val="32"/>
          <w:highlight w:val="yellow"/>
        </w:rPr>
      </w:pPr>
    </w:p>
    <w:p w:rsidR="00ED7489" w:rsidRPr="00955C8C" w:rsidRDefault="00ED7489" w:rsidP="00ED7489">
      <w:pPr>
        <w:tabs>
          <w:tab w:val="left" w:pos="8520"/>
        </w:tabs>
        <w:jc w:val="both"/>
        <w:rPr>
          <w:rFonts w:ascii="CG Omega" w:hAnsi="CG Omega"/>
          <w:smallCaps/>
          <w:sz w:val="18"/>
          <w:szCs w:val="18"/>
          <w:highlight w:val="yellow"/>
        </w:rPr>
      </w:pPr>
    </w:p>
    <w:p w:rsidR="0040477F" w:rsidRPr="00955C8C" w:rsidRDefault="0040477F" w:rsidP="00C81A62">
      <w:pPr>
        <w:pStyle w:val="Header"/>
        <w:jc w:val="center"/>
        <w:rPr>
          <w:rFonts w:ascii="CG Omega" w:hAnsi="CG Omega" w:cs="Arial"/>
          <w:b/>
          <w:color w:val="000080"/>
          <w:sz w:val="28"/>
          <w:szCs w:val="28"/>
          <w:highlight w:val="yellow"/>
        </w:rPr>
        <w:sectPr w:rsidR="0040477F" w:rsidRPr="00955C8C" w:rsidSect="00892D73">
          <w:headerReference w:type="default" r:id="rId10"/>
          <w:footerReference w:type="default" r:id="rId11"/>
          <w:headerReference w:type="first" r:id="rId12"/>
          <w:footerReference w:type="first" r:id="rId13"/>
          <w:pgSz w:w="12240" w:h="15840" w:code="1"/>
          <w:pgMar w:top="1800" w:right="1440" w:bottom="1440" w:left="1440" w:header="1080" w:footer="720" w:gutter="0"/>
          <w:pgNumType w:fmt="lowerRoman" w:start="1"/>
          <w:cols w:space="720"/>
          <w:titlePg/>
          <w:docGrid w:linePitch="360"/>
        </w:sectPr>
      </w:pPr>
    </w:p>
    <w:p w:rsidR="00623759" w:rsidRPr="00955C8C" w:rsidRDefault="00623759" w:rsidP="005249F1">
      <w:pPr>
        <w:pStyle w:val="Subhead1"/>
        <w:rPr>
          <w:highlight w:val="yellow"/>
        </w:rPr>
      </w:pPr>
      <w:r w:rsidRPr="00955C8C">
        <w:rPr>
          <w:highlight w:val="yellow"/>
        </w:rPr>
        <w:lastRenderedPageBreak/>
        <w:fldChar w:fldCharType="begin"/>
      </w:r>
      <w:r w:rsidRPr="00955C8C">
        <w:rPr>
          <w:highlight w:val="yellow"/>
        </w:rPr>
        <w:instrText xml:space="preserve"> TC  "</w:instrText>
      </w:r>
      <w:bookmarkStart w:id="1" w:name="_Toc233426563"/>
      <w:bookmarkStart w:id="2" w:name="_Toc233426748"/>
      <w:bookmarkStart w:id="3" w:name="_Toc399834553"/>
      <w:r w:rsidRPr="00955C8C">
        <w:rPr>
          <w:highlight w:val="yellow"/>
        </w:rPr>
        <w:instrText xml:space="preserve">I. </w:instrText>
      </w:r>
      <w:bookmarkEnd w:id="1"/>
      <w:bookmarkEnd w:id="2"/>
      <w:r w:rsidR="00890A39" w:rsidRPr="00955C8C">
        <w:rPr>
          <w:highlight w:val="yellow"/>
        </w:rPr>
        <w:instrText>Executive Summary</w:instrText>
      </w:r>
      <w:bookmarkEnd w:id="3"/>
      <w:r w:rsidRPr="00955C8C">
        <w:rPr>
          <w:highlight w:val="yellow"/>
        </w:rPr>
        <w:instrText xml:space="preserve">" </w:instrText>
      </w:r>
      <w:r w:rsidRPr="00955C8C">
        <w:rPr>
          <w:highlight w:val="yellow"/>
        </w:rPr>
        <w:fldChar w:fldCharType="end"/>
      </w:r>
    </w:p>
    <w:p w:rsidR="00F01CBA" w:rsidRPr="005A15DA" w:rsidRDefault="00F01CBA" w:rsidP="00BB666B">
      <w:pPr>
        <w:pStyle w:val="FirstHead"/>
      </w:pPr>
      <w:bookmarkStart w:id="4" w:name="_Toc233426564"/>
      <w:bookmarkStart w:id="5" w:name="_Toc233426749"/>
      <w:bookmarkStart w:id="6" w:name="_Toc399834554"/>
      <w:r w:rsidRPr="005A15DA">
        <w:t>A. Introduction</w:t>
      </w:r>
      <w:bookmarkEnd w:id="4"/>
      <w:bookmarkEnd w:id="5"/>
      <w:bookmarkEnd w:id="6"/>
    </w:p>
    <w:p w:rsidR="00F01CBA" w:rsidRPr="00CA61F2" w:rsidRDefault="00F01CBA" w:rsidP="00F01CBA">
      <w:pPr>
        <w:pStyle w:val="BodyText"/>
        <w:tabs>
          <w:tab w:val="num" w:pos="360"/>
        </w:tabs>
        <w:rPr>
          <w:rFonts w:ascii="CG Omega" w:hAnsi="CG Omega"/>
          <w:sz w:val="16"/>
          <w:szCs w:val="16"/>
        </w:rPr>
      </w:pPr>
    </w:p>
    <w:p w:rsidR="00F01CBA" w:rsidRPr="005A15DA" w:rsidRDefault="00F01CBA" w:rsidP="00F01CBA">
      <w:pPr>
        <w:pStyle w:val="BodyText"/>
        <w:rPr>
          <w:rFonts w:ascii="CG Omega" w:hAnsi="CG Omega"/>
          <w:szCs w:val="24"/>
        </w:rPr>
      </w:pPr>
      <w:r w:rsidRPr="005A15DA">
        <w:rPr>
          <w:rFonts w:ascii="CG Omega" w:eastAsia="MS Mincho" w:hAnsi="CG Omega"/>
          <w:szCs w:val="24"/>
        </w:rPr>
        <w:t>In 1994, the U.S. Department of Housing and Urban Development</w:t>
      </w:r>
      <w:r w:rsidR="00B96CA2" w:rsidRPr="005A15DA">
        <w:rPr>
          <w:rFonts w:ascii="CG Omega" w:eastAsia="MS Mincho" w:hAnsi="CG Omega"/>
          <w:szCs w:val="24"/>
        </w:rPr>
        <w:t xml:space="preserve"> (HUD)</w:t>
      </w:r>
      <w:r w:rsidRPr="005A15DA">
        <w:rPr>
          <w:rFonts w:ascii="CG Omega" w:eastAsia="MS Mincho" w:hAnsi="CG Omega"/>
          <w:szCs w:val="24"/>
        </w:rPr>
        <w:t xml:space="preserve"> issued new rules consolidating the p</w:t>
      </w:r>
      <w:r w:rsidR="00E447E3" w:rsidRPr="005A15DA">
        <w:rPr>
          <w:rFonts w:ascii="CG Omega" w:eastAsia="MS Mincho" w:hAnsi="CG Omega"/>
          <w:szCs w:val="24"/>
        </w:rPr>
        <w:t>lanning, application, reporting</w:t>
      </w:r>
      <w:r w:rsidRPr="005A15DA">
        <w:rPr>
          <w:rFonts w:ascii="CG Omega" w:eastAsia="MS Mincho" w:hAnsi="CG Omega"/>
          <w:szCs w:val="24"/>
        </w:rPr>
        <w:t xml:space="preserve"> and citizen participation processes fo</w:t>
      </w:r>
      <w:r w:rsidR="00B96CA2" w:rsidRPr="005A15DA">
        <w:rPr>
          <w:rFonts w:ascii="CG Omega" w:eastAsia="MS Mincho" w:hAnsi="CG Omega"/>
          <w:szCs w:val="24"/>
        </w:rPr>
        <w:t xml:space="preserve">r four formula grant programs: </w:t>
      </w:r>
      <w:r w:rsidRPr="005A15DA">
        <w:rPr>
          <w:rFonts w:ascii="CG Omega" w:eastAsia="MS Mincho" w:hAnsi="CG Omega"/>
          <w:szCs w:val="24"/>
        </w:rPr>
        <w:t>Community Development Block Grant</w:t>
      </w:r>
      <w:r w:rsidR="002A5217" w:rsidRPr="005A15DA">
        <w:rPr>
          <w:rFonts w:ascii="CG Omega" w:eastAsia="MS Mincho" w:hAnsi="CG Omega"/>
          <w:szCs w:val="24"/>
        </w:rPr>
        <w:t>s</w:t>
      </w:r>
      <w:r w:rsidRPr="005A15DA">
        <w:rPr>
          <w:rFonts w:ascii="CG Omega" w:eastAsia="MS Mincho" w:hAnsi="CG Omega"/>
          <w:szCs w:val="24"/>
        </w:rPr>
        <w:t xml:space="preserve"> (CDBG), Home Investment Partnership</w:t>
      </w:r>
      <w:r w:rsidR="002A5217" w:rsidRPr="005A15DA">
        <w:rPr>
          <w:rFonts w:ascii="CG Omega" w:eastAsia="MS Mincho" w:hAnsi="CG Omega"/>
          <w:szCs w:val="24"/>
        </w:rPr>
        <w:t>s</w:t>
      </w:r>
      <w:r w:rsidRPr="005A15DA">
        <w:rPr>
          <w:rFonts w:ascii="CG Omega" w:eastAsia="MS Mincho" w:hAnsi="CG Omega"/>
          <w:szCs w:val="24"/>
        </w:rPr>
        <w:t xml:space="preserve"> (HOME),</w:t>
      </w:r>
      <w:r w:rsidR="00CA7E96" w:rsidRPr="005A15DA">
        <w:rPr>
          <w:rFonts w:ascii="CG Omega" w:eastAsia="MS Mincho" w:hAnsi="CG Omega"/>
          <w:szCs w:val="24"/>
        </w:rPr>
        <w:t xml:space="preserve"> Emergency Solutions</w:t>
      </w:r>
      <w:r w:rsidR="00E447E3" w:rsidRPr="005A15DA">
        <w:rPr>
          <w:rFonts w:ascii="CG Omega" w:eastAsia="MS Mincho" w:hAnsi="CG Omega"/>
          <w:szCs w:val="24"/>
        </w:rPr>
        <w:t xml:space="preserve"> Grants (ESG)</w:t>
      </w:r>
      <w:r w:rsidRPr="005A15DA">
        <w:rPr>
          <w:rFonts w:ascii="CG Omega" w:eastAsia="MS Mincho" w:hAnsi="CG Omega"/>
          <w:szCs w:val="24"/>
        </w:rPr>
        <w:t xml:space="preserve"> and </w:t>
      </w:r>
      <w:r w:rsidR="00072309" w:rsidRPr="005A15DA">
        <w:rPr>
          <w:rFonts w:ascii="CG Omega" w:eastAsia="MS Mincho" w:hAnsi="CG Omega"/>
          <w:szCs w:val="24"/>
        </w:rPr>
        <w:t>Housing Opportunities for Persons</w:t>
      </w:r>
      <w:r w:rsidRPr="005A15DA">
        <w:rPr>
          <w:rFonts w:ascii="CG Omega" w:eastAsia="MS Mincho" w:hAnsi="CG Omega"/>
          <w:szCs w:val="24"/>
        </w:rPr>
        <w:t xml:space="preserve"> wit</w:t>
      </w:r>
      <w:r w:rsidR="00B96CA2" w:rsidRPr="005A15DA">
        <w:rPr>
          <w:rFonts w:ascii="CG Omega" w:eastAsia="MS Mincho" w:hAnsi="CG Omega"/>
          <w:szCs w:val="24"/>
        </w:rPr>
        <w:t>h AIDS (HOPWA).  The new single-</w:t>
      </w:r>
      <w:r w:rsidRPr="005A15DA">
        <w:rPr>
          <w:rFonts w:ascii="CG Omega" w:eastAsia="MS Mincho" w:hAnsi="CG Omega"/>
          <w:szCs w:val="24"/>
        </w:rPr>
        <w:t>planning process was intended to more comprehensiv</w:t>
      </w:r>
      <w:r w:rsidR="00B96CA2" w:rsidRPr="005A15DA">
        <w:rPr>
          <w:rFonts w:ascii="CG Omega" w:eastAsia="MS Mincho" w:hAnsi="CG Omega"/>
          <w:szCs w:val="24"/>
        </w:rPr>
        <w:t xml:space="preserve">ely fulfill three basic goals: </w:t>
      </w:r>
      <w:r w:rsidRPr="005A15DA">
        <w:rPr>
          <w:rFonts w:ascii="CG Omega" w:eastAsia="MS Mincho" w:hAnsi="CG Omega"/>
          <w:szCs w:val="24"/>
        </w:rPr>
        <w:t>to provide decent housing, to provid</w:t>
      </w:r>
      <w:r w:rsidR="00E447E3" w:rsidRPr="005A15DA">
        <w:rPr>
          <w:rFonts w:ascii="CG Omega" w:eastAsia="MS Mincho" w:hAnsi="CG Omega"/>
          <w:szCs w:val="24"/>
        </w:rPr>
        <w:t>e a suitable living environment</w:t>
      </w:r>
      <w:r w:rsidRPr="005A15DA">
        <w:rPr>
          <w:rFonts w:ascii="CG Omega" w:eastAsia="MS Mincho" w:hAnsi="CG Omega"/>
          <w:szCs w:val="24"/>
        </w:rPr>
        <w:t xml:space="preserve"> and to expand economic opportunities.  It was termed the </w:t>
      </w:r>
      <w:r w:rsidRPr="005A15DA">
        <w:rPr>
          <w:rFonts w:ascii="CG Omega" w:eastAsia="MS Mincho" w:hAnsi="CG Omega"/>
          <w:i/>
          <w:szCs w:val="24"/>
        </w:rPr>
        <w:t>Consolidated Plan for Housing and Community Development</w:t>
      </w:r>
      <w:r w:rsidRPr="005A15DA">
        <w:rPr>
          <w:rFonts w:ascii="CG Omega" w:eastAsia="MS Mincho" w:hAnsi="CG Omega"/>
          <w:szCs w:val="24"/>
        </w:rPr>
        <w:t>.</w:t>
      </w:r>
      <w:r w:rsidR="0099496A" w:rsidRPr="005A15DA">
        <w:rPr>
          <w:rFonts w:ascii="CG Omega" w:eastAsia="MS Mincho" w:hAnsi="CG Omega"/>
          <w:szCs w:val="24"/>
        </w:rPr>
        <w:t xml:space="preserve"> </w:t>
      </w:r>
    </w:p>
    <w:p w:rsidR="00F01CBA" w:rsidRPr="00CA61F2" w:rsidRDefault="00F01CBA" w:rsidP="00F01CBA">
      <w:pPr>
        <w:pStyle w:val="BodyText"/>
        <w:rPr>
          <w:rFonts w:ascii="CG Omega" w:hAnsi="CG Omega"/>
          <w:sz w:val="16"/>
          <w:szCs w:val="16"/>
        </w:rPr>
      </w:pPr>
    </w:p>
    <w:p w:rsidR="00F01CBA" w:rsidRPr="005A15DA" w:rsidRDefault="00F74902" w:rsidP="00F01CBA">
      <w:pPr>
        <w:suppressAutoHyphens/>
        <w:jc w:val="both"/>
        <w:rPr>
          <w:rFonts w:ascii="CG Omega" w:hAnsi="CG Omega"/>
        </w:rPr>
      </w:pPr>
      <w:r w:rsidRPr="005A15DA">
        <w:rPr>
          <w:rFonts w:ascii="CG Omega" w:hAnsi="CG Omega"/>
        </w:rPr>
        <w:t>According to HUD, t</w:t>
      </w:r>
      <w:r w:rsidR="00F01CBA" w:rsidRPr="005A15DA">
        <w:rPr>
          <w:rFonts w:ascii="CG Omega" w:hAnsi="CG Omega"/>
        </w:rPr>
        <w:t>he Consolidated Plan is designed to be a collaborative process whereby a community establishes a unified vision for</w:t>
      </w:r>
      <w:r w:rsidR="002B743B" w:rsidRPr="005A15DA">
        <w:rPr>
          <w:rFonts w:ascii="CG Omega" w:hAnsi="CG Omega"/>
        </w:rPr>
        <w:t xml:space="preserve"> housing and</w:t>
      </w:r>
      <w:r w:rsidR="00B96CA2" w:rsidRPr="005A15DA">
        <w:rPr>
          <w:rFonts w:ascii="CG Omega" w:hAnsi="CG Omega"/>
        </w:rPr>
        <w:t xml:space="preserve"> community development actions.</w:t>
      </w:r>
      <w:r w:rsidR="00F01CBA" w:rsidRPr="005A15DA">
        <w:rPr>
          <w:rFonts w:ascii="CG Omega" w:hAnsi="CG Omega"/>
        </w:rPr>
        <w:t xml:space="preserve"> It offers </w:t>
      </w:r>
      <w:r w:rsidR="00413825">
        <w:rPr>
          <w:rFonts w:ascii="CG Omega" w:hAnsi="CG Omega"/>
        </w:rPr>
        <w:t>entitlement communities</w:t>
      </w:r>
      <w:r w:rsidR="00F01CBA" w:rsidRPr="005A15DA">
        <w:rPr>
          <w:rFonts w:ascii="CG Omega" w:hAnsi="CG Omega"/>
        </w:rPr>
        <w:t xml:space="preserve"> the opportunity to shape these housing and community development programs into effective, coordinated neighborhood and community development strategies.  It also </w:t>
      </w:r>
      <w:r w:rsidR="00B96CA2" w:rsidRPr="005A15DA">
        <w:rPr>
          <w:rFonts w:ascii="CG Omega" w:hAnsi="CG Omega"/>
        </w:rPr>
        <w:t>allows</w:t>
      </w:r>
      <w:r w:rsidR="00F01CBA" w:rsidRPr="005A15DA">
        <w:rPr>
          <w:rFonts w:ascii="CG Omega" w:hAnsi="CG Omega"/>
        </w:rPr>
        <w:t xml:space="preserve"> for strategic planning and</w:t>
      </w:r>
      <w:r w:rsidR="007D7CDD" w:rsidRPr="005A15DA">
        <w:rPr>
          <w:rFonts w:ascii="CG Omega" w:hAnsi="CG Omega"/>
        </w:rPr>
        <w:t xml:space="preserve"> citizen participation to occur</w:t>
      </w:r>
      <w:r w:rsidR="00B96CA2" w:rsidRPr="005A15DA">
        <w:rPr>
          <w:rFonts w:ascii="CG Omega" w:hAnsi="CG Omega"/>
        </w:rPr>
        <w:t xml:space="preserve"> in a comprehensive context, thereby reducing</w:t>
      </w:r>
      <w:r w:rsidR="00F01CBA" w:rsidRPr="005A15DA">
        <w:rPr>
          <w:rFonts w:ascii="CG Omega" w:hAnsi="CG Omega"/>
        </w:rPr>
        <w:t xml:space="preserve"> duplicat</w:t>
      </w:r>
      <w:r w:rsidR="002B743B" w:rsidRPr="005A15DA">
        <w:rPr>
          <w:rFonts w:ascii="CG Omega" w:hAnsi="CG Omega"/>
        </w:rPr>
        <w:t>ion of effort</w:t>
      </w:r>
      <w:r w:rsidR="00F01CBA" w:rsidRPr="005A15DA">
        <w:rPr>
          <w:rFonts w:ascii="CG Omega" w:hAnsi="CG Omega"/>
        </w:rPr>
        <w:t>.</w:t>
      </w:r>
    </w:p>
    <w:p w:rsidR="00F01CBA" w:rsidRPr="00CA61F2" w:rsidRDefault="00F01CBA" w:rsidP="00F01CBA">
      <w:pPr>
        <w:suppressAutoHyphens/>
        <w:jc w:val="both"/>
        <w:rPr>
          <w:rFonts w:ascii="CG Omega" w:hAnsi="CG Omega"/>
          <w:sz w:val="16"/>
          <w:szCs w:val="16"/>
        </w:rPr>
      </w:pPr>
    </w:p>
    <w:p w:rsidR="00F01CBA" w:rsidRPr="005A15DA" w:rsidRDefault="00F01CBA" w:rsidP="00F01CBA">
      <w:pPr>
        <w:suppressAutoHyphens/>
        <w:jc w:val="both"/>
        <w:rPr>
          <w:rFonts w:ascii="CG Omega" w:hAnsi="CG Omega"/>
        </w:rPr>
      </w:pPr>
      <w:r w:rsidRPr="005A15DA">
        <w:rPr>
          <w:rFonts w:ascii="CG Omega" w:hAnsi="CG Omega"/>
        </w:rPr>
        <w:t>As the lead agency</w:t>
      </w:r>
      <w:r w:rsidR="00C11455" w:rsidRPr="005A15DA">
        <w:rPr>
          <w:rFonts w:ascii="CG Omega" w:hAnsi="CG Omega"/>
        </w:rPr>
        <w:t xml:space="preserve"> for the Consolidated Pl</w:t>
      </w:r>
      <w:r w:rsidR="00E11F4A" w:rsidRPr="005A15DA">
        <w:rPr>
          <w:rFonts w:ascii="CG Omega" w:hAnsi="CG Omega"/>
        </w:rPr>
        <w:t xml:space="preserve">an, the New Mexico Mortgage Finance </w:t>
      </w:r>
      <w:r w:rsidR="00C11455" w:rsidRPr="005A15DA">
        <w:rPr>
          <w:rFonts w:ascii="CG Omega" w:hAnsi="CG Omega"/>
        </w:rPr>
        <w:t>Authority</w:t>
      </w:r>
      <w:r w:rsidR="00E447E3" w:rsidRPr="005A15DA">
        <w:rPr>
          <w:rFonts w:ascii="CG Omega" w:hAnsi="CG Omega"/>
        </w:rPr>
        <w:t xml:space="preserve"> </w:t>
      </w:r>
      <w:r w:rsidR="00CA7E96" w:rsidRPr="005A15DA">
        <w:rPr>
          <w:rFonts w:ascii="CG Omega" w:hAnsi="CG Omega"/>
        </w:rPr>
        <w:t>(</w:t>
      </w:r>
      <w:r w:rsidR="00E11F4A" w:rsidRPr="005A15DA">
        <w:rPr>
          <w:rFonts w:ascii="CG Omega" w:hAnsi="CG Omega"/>
        </w:rPr>
        <w:t>MFA</w:t>
      </w:r>
      <w:r w:rsidR="00C2544F" w:rsidRPr="005A15DA">
        <w:rPr>
          <w:rFonts w:ascii="CG Omega" w:hAnsi="CG Omega"/>
        </w:rPr>
        <w:t xml:space="preserve">) </w:t>
      </w:r>
      <w:r w:rsidR="00B96CA2" w:rsidRPr="005A15DA">
        <w:rPr>
          <w:rFonts w:ascii="CG Omega" w:hAnsi="CG Omega"/>
        </w:rPr>
        <w:t xml:space="preserve">hereby </w:t>
      </w:r>
      <w:r w:rsidRPr="005A15DA">
        <w:rPr>
          <w:rFonts w:ascii="CG Omega" w:hAnsi="CG Omega"/>
        </w:rPr>
        <w:t>follows HUD’s guidelines for citizen and community involvement.  Furthermore, it is responsible for overseeing these citizen participation requirements, those that accompany the Consolidated Plan and CDBG, HOME</w:t>
      </w:r>
      <w:r w:rsidR="00413825">
        <w:rPr>
          <w:rFonts w:ascii="CG Omega" w:hAnsi="CG Omega"/>
        </w:rPr>
        <w:t>,</w:t>
      </w:r>
      <w:r w:rsidRPr="005A15DA">
        <w:rPr>
          <w:rFonts w:ascii="CG Omega" w:hAnsi="CG Omega"/>
        </w:rPr>
        <w:t xml:space="preserve"> </w:t>
      </w:r>
      <w:r w:rsidR="00916CF3" w:rsidRPr="005A15DA">
        <w:rPr>
          <w:rFonts w:ascii="CG Omega" w:hAnsi="CG Omega"/>
        </w:rPr>
        <w:t xml:space="preserve">HOPWA </w:t>
      </w:r>
      <w:r w:rsidRPr="005A15DA">
        <w:rPr>
          <w:rFonts w:ascii="CG Omega" w:hAnsi="CG Omega"/>
        </w:rPr>
        <w:t>a</w:t>
      </w:r>
      <w:r w:rsidR="00CA7E96" w:rsidRPr="005A15DA">
        <w:rPr>
          <w:rFonts w:ascii="CG Omega" w:hAnsi="CG Omega"/>
        </w:rPr>
        <w:t xml:space="preserve">nd </w:t>
      </w:r>
      <w:r w:rsidRPr="005A15DA">
        <w:rPr>
          <w:rFonts w:ascii="CG Omega" w:hAnsi="CG Omega"/>
        </w:rPr>
        <w:t>ESG programs, as well</w:t>
      </w:r>
      <w:r w:rsidR="00C11455" w:rsidRPr="005A15DA">
        <w:rPr>
          <w:rFonts w:ascii="CG Omega" w:hAnsi="CG Omega"/>
        </w:rPr>
        <w:t xml:space="preserve"> as those that complement </w:t>
      </w:r>
      <w:r w:rsidR="00CC3344">
        <w:rPr>
          <w:rFonts w:ascii="CG Omega" w:hAnsi="CG Omega"/>
        </w:rPr>
        <w:t>MFA</w:t>
      </w:r>
      <w:r w:rsidRPr="005A15DA">
        <w:rPr>
          <w:rFonts w:ascii="CG Omega" w:hAnsi="CG Omega"/>
        </w:rPr>
        <w:t xml:space="preserve"> planning pr</w:t>
      </w:r>
      <w:r w:rsidR="00C11455" w:rsidRPr="005A15DA">
        <w:rPr>
          <w:rFonts w:ascii="CG Omega" w:hAnsi="CG Omega"/>
        </w:rPr>
        <w:t>ocesses already at work in the state</w:t>
      </w:r>
      <w:r w:rsidRPr="005A15DA">
        <w:rPr>
          <w:rFonts w:ascii="CG Omega" w:hAnsi="CG Omega"/>
        </w:rPr>
        <w:t xml:space="preserve">.  </w:t>
      </w:r>
      <w:r w:rsidR="00916CF3" w:rsidRPr="005A15DA">
        <w:rPr>
          <w:rFonts w:ascii="CG Omega" w:hAnsi="CG Omega"/>
        </w:rPr>
        <w:t>The New Mexico Department of Finance and Administration (DFA), Local Governments Division</w:t>
      </w:r>
      <w:r w:rsidR="00CC3344">
        <w:rPr>
          <w:rFonts w:ascii="CG Omega" w:hAnsi="CG Omega"/>
        </w:rPr>
        <w:t xml:space="preserve"> (LGD)</w:t>
      </w:r>
      <w:r w:rsidR="00916CF3" w:rsidRPr="005A15DA">
        <w:rPr>
          <w:rFonts w:ascii="CG Omega" w:hAnsi="CG Omega"/>
        </w:rPr>
        <w:t>, is responsible for overseeing that communities meet all CDBG citizen participation requirements.</w:t>
      </w:r>
    </w:p>
    <w:p w:rsidR="00C81A62" w:rsidRPr="00CA61F2" w:rsidRDefault="00C81A62" w:rsidP="00F01CBA">
      <w:pPr>
        <w:rPr>
          <w:rFonts w:ascii="CG Omega" w:hAnsi="CG Omega"/>
          <w:sz w:val="16"/>
          <w:szCs w:val="16"/>
        </w:rPr>
      </w:pPr>
    </w:p>
    <w:p w:rsidR="00F01CBA" w:rsidRPr="005A15DA" w:rsidRDefault="00C2544F" w:rsidP="00F01CBA">
      <w:pPr>
        <w:jc w:val="both"/>
        <w:rPr>
          <w:rFonts w:ascii="CG Omega" w:hAnsi="CG Omega"/>
          <w:b/>
          <w:bCs/>
          <w:smallCaps/>
        </w:rPr>
      </w:pPr>
      <w:r w:rsidRPr="005A15DA">
        <w:rPr>
          <w:rFonts w:ascii="CG Omega" w:hAnsi="CG Omega"/>
          <w:b/>
          <w:bCs/>
          <w:smallCaps/>
        </w:rPr>
        <w:t>Purpose of the Consolidated Plan</w:t>
      </w:r>
    </w:p>
    <w:p w:rsidR="002D3C90" w:rsidRPr="00CA61F2" w:rsidRDefault="002D3C90" w:rsidP="002D3C90">
      <w:pPr>
        <w:tabs>
          <w:tab w:val="left" w:pos="720"/>
          <w:tab w:val="left" w:pos="8520"/>
        </w:tabs>
        <w:jc w:val="both"/>
        <w:rPr>
          <w:rFonts w:ascii="CG Omega" w:hAnsi="CG Omega"/>
          <w:sz w:val="16"/>
          <w:szCs w:val="16"/>
        </w:rPr>
      </w:pPr>
    </w:p>
    <w:p w:rsidR="00F01CBA" w:rsidRPr="005A15DA" w:rsidRDefault="00F01CBA" w:rsidP="00F01CBA">
      <w:pPr>
        <w:pStyle w:val="BodyText"/>
        <w:rPr>
          <w:rFonts w:ascii="CG Omega" w:hAnsi="CG Omega"/>
        </w:rPr>
      </w:pPr>
      <w:r w:rsidRPr="005A15DA">
        <w:rPr>
          <w:rFonts w:ascii="CG Omega" w:hAnsi="CG Omega"/>
        </w:rPr>
        <w:t xml:space="preserve">The </w:t>
      </w:r>
      <w:r w:rsidR="005A15DA" w:rsidRPr="005A15DA">
        <w:rPr>
          <w:rFonts w:ascii="CG Omega" w:hAnsi="CG Omega"/>
          <w:i/>
          <w:iCs/>
        </w:rPr>
        <w:t>201</w:t>
      </w:r>
      <w:r w:rsidR="008F5AE9">
        <w:rPr>
          <w:rFonts w:ascii="CG Omega" w:hAnsi="CG Omega"/>
          <w:i/>
          <w:iCs/>
        </w:rPr>
        <w:t>5</w:t>
      </w:r>
      <w:r w:rsidR="005A15DA" w:rsidRPr="005A15DA">
        <w:rPr>
          <w:rFonts w:ascii="CG Omega" w:hAnsi="CG Omega"/>
          <w:i/>
          <w:iCs/>
        </w:rPr>
        <w:t>–2020</w:t>
      </w:r>
      <w:r w:rsidRPr="005A15DA">
        <w:rPr>
          <w:rFonts w:ascii="CG Omega" w:hAnsi="CG Omega"/>
          <w:i/>
        </w:rPr>
        <w:t xml:space="preserve"> </w:t>
      </w:r>
      <w:r w:rsidR="00E11F4A" w:rsidRPr="005A15DA">
        <w:rPr>
          <w:rFonts w:ascii="CG Omega" w:hAnsi="CG Omega"/>
          <w:i/>
        </w:rPr>
        <w:t>New Mexico</w:t>
      </w:r>
      <w:r w:rsidR="006C78A1" w:rsidRPr="005A15DA">
        <w:rPr>
          <w:rFonts w:ascii="CG Omega" w:hAnsi="CG Omega"/>
        </w:rPr>
        <w:t xml:space="preserve"> </w:t>
      </w:r>
      <w:r w:rsidRPr="005A15DA">
        <w:rPr>
          <w:rFonts w:ascii="CG Omega" w:hAnsi="CG Omega"/>
          <w:i/>
        </w:rPr>
        <w:t>Consolidated Pla</w:t>
      </w:r>
      <w:r w:rsidR="006C78A1" w:rsidRPr="005A15DA">
        <w:rPr>
          <w:rFonts w:ascii="CG Omega" w:hAnsi="CG Omega"/>
          <w:i/>
        </w:rPr>
        <w:t>n</w:t>
      </w:r>
      <w:r w:rsidR="000517D1" w:rsidRPr="005A15DA">
        <w:rPr>
          <w:rFonts w:ascii="CG Omega" w:hAnsi="CG Omega"/>
          <w:i/>
        </w:rPr>
        <w:t xml:space="preserve"> for Housing and Community Development</w:t>
      </w:r>
      <w:r w:rsidRPr="005A15DA">
        <w:rPr>
          <w:rFonts w:ascii="CG Omega" w:hAnsi="CG Omega"/>
          <w:i/>
        </w:rPr>
        <w:t xml:space="preserve"> </w:t>
      </w:r>
      <w:r w:rsidRPr="005A15DA">
        <w:rPr>
          <w:rFonts w:ascii="CG Omega" w:hAnsi="CG Omega"/>
        </w:rPr>
        <w:t xml:space="preserve">is the comprehensive </w:t>
      </w:r>
      <w:r w:rsidR="00E447E3" w:rsidRPr="005A15DA">
        <w:rPr>
          <w:rFonts w:ascii="CG Omega" w:hAnsi="CG Omega"/>
        </w:rPr>
        <w:t>five</w:t>
      </w:r>
      <w:r w:rsidRPr="005A15DA">
        <w:rPr>
          <w:rFonts w:ascii="CG Omega" w:hAnsi="CG Omega"/>
        </w:rPr>
        <w:t xml:space="preserve">-year planning document identifying the needs and respective resource investments in </w:t>
      </w:r>
      <w:r w:rsidR="00C11455" w:rsidRPr="005A15DA">
        <w:rPr>
          <w:rFonts w:ascii="CG Omega" w:hAnsi="CG Omega"/>
        </w:rPr>
        <w:t>satisfying the state’</w:t>
      </w:r>
      <w:r w:rsidR="006857D4" w:rsidRPr="005A15DA">
        <w:rPr>
          <w:rFonts w:ascii="CG Omega" w:hAnsi="CG Omega"/>
        </w:rPr>
        <w:t>s</w:t>
      </w:r>
      <w:r w:rsidRPr="005A15DA">
        <w:rPr>
          <w:rFonts w:ascii="CG Omega" w:hAnsi="CG Omega"/>
        </w:rPr>
        <w:t xml:space="preserve"> housing, homeless, non-homeless special </w:t>
      </w:r>
      <w:r w:rsidR="007D7CDD" w:rsidRPr="005A15DA">
        <w:rPr>
          <w:rFonts w:ascii="CG Omega" w:hAnsi="CG Omega"/>
        </w:rPr>
        <w:t xml:space="preserve">needs </w:t>
      </w:r>
      <w:r w:rsidRPr="005A15DA">
        <w:rPr>
          <w:rFonts w:ascii="CG Omega" w:hAnsi="CG Omega"/>
        </w:rPr>
        <w:t>population</w:t>
      </w:r>
      <w:r w:rsidR="007E15A1" w:rsidRPr="005A15DA">
        <w:rPr>
          <w:rFonts w:ascii="CG Omega" w:hAnsi="CG Omega"/>
        </w:rPr>
        <w:t>s</w:t>
      </w:r>
      <w:r w:rsidRPr="005A15DA">
        <w:rPr>
          <w:rFonts w:ascii="CG Omega" w:hAnsi="CG Omega"/>
        </w:rPr>
        <w:t xml:space="preserve">, </w:t>
      </w:r>
      <w:r w:rsidR="00241BA7" w:rsidRPr="005A15DA">
        <w:rPr>
          <w:rFonts w:ascii="CG Omega" w:hAnsi="CG Omega"/>
        </w:rPr>
        <w:t>community development</w:t>
      </w:r>
      <w:r w:rsidRPr="005A15DA">
        <w:rPr>
          <w:rFonts w:ascii="CG Omega" w:hAnsi="CG Omega"/>
        </w:rPr>
        <w:t xml:space="preserve"> and economic development needs.  </w:t>
      </w:r>
    </w:p>
    <w:p w:rsidR="00AC65DF" w:rsidRPr="00CA61F2" w:rsidRDefault="00AC65DF" w:rsidP="002D3C90">
      <w:pPr>
        <w:tabs>
          <w:tab w:val="left" w:pos="720"/>
          <w:tab w:val="left" w:pos="8520"/>
        </w:tabs>
        <w:jc w:val="both"/>
        <w:rPr>
          <w:rFonts w:ascii="CG Omega" w:hAnsi="CG Omega"/>
          <w:sz w:val="16"/>
          <w:szCs w:val="16"/>
          <w:highlight w:val="yellow"/>
        </w:rPr>
      </w:pPr>
    </w:p>
    <w:p w:rsidR="00AC65DF" w:rsidRPr="005A15DA" w:rsidRDefault="00F01CBA" w:rsidP="002D3C90">
      <w:pPr>
        <w:tabs>
          <w:tab w:val="left" w:pos="720"/>
          <w:tab w:val="left" w:pos="8520"/>
        </w:tabs>
        <w:jc w:val="both"/>
        <w:rPr>
          <w:rFonts w:ascii="CG Omega" w:hAnsi="CG Omega"/>
          <w:sz w:val="22"/>
          <w:szCs w:val="22"/>
        </w:rPr>
      </w:pPr>
      <w:r w:rsidRPr="005A15DA">
        <w:rPr>
          <w:rFonts w:ascii="CG Omega" w:hAnsi="CG Omega"/>
          <w:b/>
          <w:bCs/>
          <w:smallCaps/>
        </w:rPr>
        <w:t>Goals of the Consolidated Plan</w:t>
      </w:r>
    </w:p>
    <w:p w:rsidR="00AC65DF" w:rsidRPr="00CA61F2" w:rsidRDefault="00AC65DF" w:rsidP="002D3C90">
      <w:pPr>
        <w:tabs>
          <w:tab w:val="left" w:pos="720"/>
          <w:tab w:val="left" w:pos="8520"/>
        </w:tabs>
        <w:jc w:val="both"/>
        <w:rPr>
          <w:rFonts w:ascii="CG Omega" w:hAnsi="CG Omega"/>
          <w:sz w:val="16"/>
          <w:szCs w:val="16"/>
        </w:rPr>
      </w:pPr>
    </w:p>
    <w:p w:rsidR="00AC65DF" w:rsidRPr="005A15DA" w:rsidRDefault="00F01CBA" w:rsidP="002D3C90">
      <w:pPr>
        <w:tabs>
          <w:tab w:val="left" w:pos="720"/>
          <w:tab w:val="left" w:pos="8520"/>
        </w:tabs>
        <w:jc w:val="both"/>
        <w:rPr>
          <w:rFonts w:ascii="CG Omega" w:hAnsi="CG Omega"/>
        </w:rPr>
      </w:pPr>
      <w:r w:rsidRPr="005A15DA">
        <w:rPr>
          <w:rFonts w:ascii="CG Omega" w:hAnsi="CG Omega"/>
        </w:rPr>
        <w:t xml:space="preserve">The goals of </w:t>
      </w:r>
      <w:r w:rsidR="00CA7E96" w:rsidRPr="005A15DA">
        <w:rPr>
          <w:rFonts w:ascii="CG Omega" w:hAnsi="CG Omega"/>
        </w:rPr>
        <w:t>the</w:t>
      </w:r>
      <w:r w:rsidR="00B02A00" w:rsidRPr="005A15DA">
        <w:rPr>
          <w:rFonts w:ascii="CG Omega" w:hAnsi="CG Omega"/>
        </w:rPr>
        <w:t xml:space="preserve"> programs administered by </w:t>
      </w:r>
      <w:r w:rsidR="00CC3344">
        <w:rPr>
          <w:rFonts w:ascii="CG Omega" w:hAnsi="CG Omega"/>
        </w:rPr>
        <w:t>MFA</w:t>
      </w:r>
      <w:r w:rsidRPr="005A15DA">
        <w:rPr>
          <w:rFonts w:ascii="CG Omega" w:hAnsi="CG Omega"/>
        </w:rPr>
        <w:t xml:space="preserve"> </w:t>
      </w:r>
      <w:r w:rsidR="00CA2A8E" w:rsidRPr="005A15DA">
        <w:rPr>
          <w:rFonts w:ascii="CG Omega" w:hAnsi="CG Omega"/>
        </w:rPr>
        <w:t xml:space="preserve">and DFA </w:t>
      </w:r>
      <w:r w:rsidRPr="005A15DA">
        <w:rPr>
          <w:rFonts w:ascii="CG Omega" w:hAnsi="CG Omega"/>
        </w:rPr>
        <w:t>are to provide decent housing, a suitable living environment and expanded econ</w:t>
      </w:r>
      <w:r w:rsidR="00C11455" w:rsidRPr="005A15DA">
        <w:rPr>
          <w:rFonts w:ascii="CG Omega" w:hAnsi="CG Omega"/>
        </w:rPr>
        <w:t>omic opportunities for the state’s</w:t>
      </w:r>
      <w:r w:rsidR="006857D4" w:rsidRPr="005A15DA">
        <w:rPr>
          <w:rFonts w:ascii="CG Omega" w:hAnsi="CG Omega"/>
        </w:rPr>
        <w:t xml:space="preserve"> </w:t>
      </w:r>
      <w:r w:rsidR="001A7190" w:rsidRPr="005A15DA">
        <w:rPr>
          <w:rFonts w:ascii="CG Omega" w:hAnsi="CG Omega"/>
        </w:rPr>
        <w:t>low- and moderate-income</w:t>
      </w:r>
      <w:r w:rsidR="00CA7E96" w:rsidRPr="005A15DA">
        <w:rPr>
          <w:rFonts w:ascii="CG Omega" w:hAnsi="CG Omega"/>
        </w:rPr>
        <w:t xml:space="preserve"> residents. </w:t>
      </w:r>
      <w:r w:rsidR="00CC3344">
        <w:rPr>
          <w:rFonts w:ascii="CG Omega" w:hAnsi="CG Omega"/>
        </w:rPr>
        <w:t>MFA</w:t>
      </w:r>
      <w:r w:rsidRPr="005A15DA">
        <w:rPr>
          <w:rFonts w:ascii="CG Omega" w:hAnsi="CG Omega"/>
        </w:rPr>
        <w:t xml:space="preserve"> </w:t>
      </w:r>
      <w:r w:rsidR="00CA2A8E" w:rsidRPr="005A15DA">
        <w:rPr>
          <w:rFonts w:ascii="CG Omega" w:hAnsi="CG Omega"/>
        </w:rPr>
        <w:t>and DFA strive</w:t>
      </w:r>
      <w:r w:rsidRPr="005A15DA">
        <w:rPr>
          <w:rFonts w:ascii="CG Omega" w:hAnsi="CG Omega"/>
        </w:rPr>
        <w:t xml:space="preserve"> to accomplish these goals by </w:t>
      </w:r>
      <w:r w:rsidRPr="005A15DA">
        <w:rPr>
          <w:rFonts w:ascii="CG Omega" w:hAnsi="CG Omega"/>
        </w:rPr>
        <w:lastRenderedPageBreak/>
        <w:t>maximizing and effectively utilizing all available funding resources to conduct housing and community development activities that will serve the economically disadvantaged residents</w:t>
      </w:r>
      <w:r w:rsidR="002B743B" w:rsidRPr="005A15DA">
        <w:rPr>
          <w:rFonts w:ascii="CG Omega" w:hAnsi="CG Omega"/>
        </w:rPr>
        <w:t xml:space="preserve"> of the </w:t>
      </w:r>
      <w:r w:rsidR="006C78A1" w:rsidRPr="005A15DA">
        <w:rPr>
          <w:rFonts w:ascii="CG Omega" w:hAnsi="CG Omega"/>
        </w:rPr>
        <w:t>state</w:t>
      </w:r>
      <w:r w:rsidRPr="005A15DA">
        <w:rPr>
          <w:rFonts w:ascii="CG Omega" w:hAnsi="CG Omega"/>
        </w:rPr>
        <w:t>.  By addressing need and creating opportunity at the individual</w:t>
      </w:r>
      <w:r w:rsidR="00241BA7" w:rsidRPr="005A15DA">
        <w:rPr>
          <w:rFonts w:ascii="CG Omega" w:hAnsi="CG Omega"/>
        </w:rPr>
        <w:t xml:space="preserve"> and neighborhood levels, </w:t>
      </w:r>
      <w:r w:rsidR="00CC3344">
        <w:rPr>
          <w:rFonts w:ascii="CG Omega" w:hAnsi="CG Omega"/>
        </w:rPr>
        <w:t>MFA</w:t>
      </w:r>
      <w:r w:rsidR="00241BA7" w:rsidRPr="005A15DA">
        <w:rPr>
          <w:rFonts w:ascii="CG Omega" w:hAnsi="CG Omega"/>
        </w:rPr>
        <w:t xml:space="preserve"> </w:t>
      </w:r>
      <w:r w:rsidR="00CA2A8E" w:rsidRPr="005A15DA">
        <w:rPr>
          <w:rFonts w:ascii="CG Omega" w:hAnsi="CG Omega"/>
        </w:rPr>
        <w:t xml:space="preserve">and DFA </w:t>
      </w:r>
      <w:r w:rsidRPr="005A15DA">
        <w:rPr>
          <w:rFonts w:ascii="CG Omega" w:hAnsi="CG Omega"/>
        </w:rPr>
        <w:t>hope to improve the quality of li</w:t>
      </w:r>
      <w:r w:rsidR="00C11455" w:rsidRPr="005A15DA">
        <w:rPr>
          <w:rFonts w:ascii="CG Omega" w:hAnsi="CG Omega"/>
        </w:rPr>
        <w:t>fe for all residents of the state</w:t>
      </w:r>
      <w:r w:rsidRPr="005A15DA">
        <w:rPr>
          <w:rFonts w:ascii="CG Omega" w:hAnsi="CG Omega"/>
        </w:rPr>
        <w:t>.  These goals are further explained as follows:</w:t>
      </w:r>
    </w:p>
    <w:p w:rsidR="00F01CBA" w:rsidRPr="00955C8C" w:rsidRDefault="00F01CBA" w:rsidP="00F01CBA">
      <w:pPr>
        <w:tabs>
          <w:tab w:val="left" w:pos="-720"/>
          <w:tab w:val="left" w:pos="-239"/>
          <w:tab w:val="left" w:pos="242"/>
          <w:tab w:val="left" w:pos="723"/>
          <w:tab w:val="left" w:pos="1204"/>
          <w:tab w:val="left" w:pos="1685"/>
          <w:tab w:val="left" w:pos="2166"/>
          <w:tab w:val="left" w:pos="2647"/>
          <w:tab w:val="left" w:pos="3128"/>
          <w:tab w:val="left" w:pos="3609"/>
          <w:tab w:val="left" w:pos="4090"/>
          <w:tab w:val="left" w:pos="4571"/>
          <w:tab w:val="left" w:pos="5052"/>
          <w:tab w:val="left" w:pos="5533"/>
          <w:tab w:val="left" w:pos="6014"/>
          <w:tab w:val="left" w:pos="6495"/>
          <w:tab w:val="left" w:pos="6976"/>
          <w:tab w:val="left" w:pos="7457"/>
          <w:tab w:val="left" w:pos="7938"/>
          <w:tab w:val="left" w:pos="8419"/>
        </w:tabs>
        <w:ind w:right="-720"/>
        <w:jc w:val="both"/>
        <w:rPr>
          <w:rFonts w:ascii="CG Omega" w:hAnsi="CG Omega"/>
          <w:sz w:val="10"/>
          <w:szCs w:val="10"/>
          <w:highlight w:val="yellow"/>
        </w:rPr>
      </w:pPr>
    </w:p>
    <w:p w:rsidR="00F01CBA" w:rsidRPr="005A15DA" w:rsidRDefault="007D7CDD" w:rsidP="0049477B">
      <w:pPr>
        <w:numPr>
          <w:ilvl w:val="0"/>
          <w:numId w:val="11"/>
        </w:numPr>
        <w:tabs>
          <w:tab w:val="left" w:pos="-720"/>
          <w:tab w:val="left" w:pos="-239"/>
          <w:tab w:val="left" w:pos="723"/>
          <w:tab w:val="left" w:pos="1204"/>
          <w:tab w:val="left" w:pos="1685"/>
          <w:tab w:val="left" w:pos="2166"/>
          <w:tab w:val="left" w:pos="2647"/>
          <w:tab w:val="left" w:pos="3128"/>
          <w:tab w:val="left" w:pos="3609"/>
          <w:tab w:val="left" w:pos="4090"/>
          <w:tab w:val="left" w:pos="4571"/>
          <w:tab w:val="left" w:pos="5052"/>
          <w:tab w:val="left" w:pos="5533"/>
          <w:tab w:val="left" w:pos="6014"/>
          <w:tab w:val="left" w:pos="6495"/>
          <w:tab w:val="left" w:pos="6976"/>
          <w:tab w:val="left" w:pos="7457"/>
          <w:tab w:val="left" w:pos="7938"/>
          <w:tab w:val="left" w:pos="8419"/>
        </w:tabs>
        <w:ind w:right="-18"/>
        <w:jc w:val="both"/>
        <w:rPr>
          <w:rFonts w:ascii="CG Omega" w:hAnsi="CG Omega"/>
        </w:rPr>
      </w:pPr>
      <w:r w:rsidRPr="005A15DA">
        <w:rPr>
          <w:rFonts w:ascii="CG Omega" w:hAnsi="CG Omega"/>
          <w:i/>
        </w:rPr>
        <w:t>Providing</w:t>
      </w:r>
      <w:r w:rsidR="00F01CBA" w:rsidRPr="005A15DA">
        <w:rPr>
          <w:rFonts w:ascii="CG Omega" w:hAnsi="CG Omega"/>
          <w:i/>
        </w:rPr>
        <w:t xml:space="preserve"> decent housing</w:t>
      </w:r>
      <w:r w:rsidR="00B96CA2" w:rsidRPr="005A15DA">
        <w:rPr>
          <w:rFonts w:ascii="CG Omega" w:hAnsi="CG Omega"/>
        </w:rPr>
        <w:t xml:space="preserve"> means</w:t>
      </w:r>
      <w:r w:rsidR="00F01CBA" w:rsidRPr="005A15DA">
        <w:rPr>
          <w:rFonts w:ascii="CG Omega" w:hAnsi="CG Omega"/>
        </w:rPr>
        <w:t xml:space="preserve"> helping homeless persons obtain appropriate housing and assisting those at risk of homelessness; preserving the affordable housing stock; increasing availability of permanent ho</w:t>
      </w:r>
      <w:r w:rsidR="006857D4" w:rsidRPr="005A15DA">
        <w:rPr>
          <w:rFonts w:ascii="CG Omega" w:hAnsi="CG Omega"/>
        </w:rPr>
        <w:t xml:space="preserve">using that is affordable to </w:t>
      </w:r>
      <w:r w:rsidR="001A7190" w:rsidRPr="005A15DA">
        <w:rPr>
          <w:rFonts w:ascii="CG Omega" w:hAnsi="CG Omega"/>
        </w:rPr>
        <w:t>low- and moderate-income</w:t>
      </w:r>
      <w:r w:rsidR="00F01CBA" w:rsidRPr="005A15DA">
        <w:rPr>
          <w:rFonts w:ascii="CG Omega" w:hAnsi="CG Omega"/>
        </w:rPr>
        <w:t xml:space="preserve"> persons without discrimination; and increasing the supply of supportive housing.</w:t>
      </w:r>
    </w:p>
    <w:p w:rsidR="00F01CBA" w:rsidRPr="005A15DA" w:rsidRDefault="00F01CBA" w:rsidP="00F01CBA">
      <w:pPr>
        <w:tabs>
          <w:tab w:val="left" w:pos="-720"/>
          <w:tab w:val="left" w:pos="-239"/>
          <w:tab w:val="left" w:pos="360"/>
          <w:tab w:val="left" w:pos="723"/>
          <w:tab w:val="left" w:pos="1204"/>
          <w:tab w:val="left" w:pos="1685"/>
          <w:tab w:val="left" w:pos="2166"/>
          <w:tab w:val="left" w:pos="2647"/>
          <w:tab w:val="left" w:pos="3128"/>
          <w:tab w:val="left" w:pos="3609"/>
          <w:tab w:val="left" w:pos="4090"/>
          <w:tab w:val="left" w:pos="4571"/>
          <w:tab w:val="left" w:pos="5052"/>
          <w:tab w:val="left" w:pos="5533"/>
          <w:tab w:val="left" w:pos="6014"/>
          <w:tab w:val="left" w:pos="6495"/>
          <w:tab w:val="left" w:pos="6976"/>
          <w:tab w:val="left" w:pos="7457"/>
          <w:tab w:val="left" w:pos="7938"/>
          <w:tab w:val="left" w:pos="8419"/>
        </w:tabs>
        <w:ind w:right="-720"/>
        <w:jc w:val="both"/>
        <w:rPr>
          <w:rFonts w:ascii="CG Omega" w:hAnsi="CG Omega"/>
          <w:sz w:val="10"/>
          <w:szCs w:val="10"/>
        </w:rPr>
      </w:pPr>
    </w:p>
    <w:p w:rsidR="00F01CBA" w:rsidRPr="005A15DA" w:rsidRDefault="00F01CBA" w:rsidP="0049477B">
      <w:pPr>
        <w:numPr>
          <w:ilvl w:val="0"/>
          <w:numId w:val="11"/>
        </w:numPr>
        <w:tabs>
          <w:tab w:val="left" w:pos="-720"/>
          <w:tab w:val="left" w:pos="-239"/>
          <w:tab w:val="left" w:pos="723"/>
          <w:tab w:val="left" w:pos="1204"/>
          <w:tab w:val="left" w:pos="1685"/>
          <w:tab w:val="left" w:pos="2166"/>
          <w:tab w:val="left" w:pos="2647"/>
          <w:tab w:val="left" w:pos="3128"/>
          <w:tab w:val="left" w:pos="3609"/>
          <w:tab w:val="left" w:pos="4090"/>
          <w:tab w:val="left" w:pos="4571"/>
          <w:tab w:val="left" w:pos="5052"/>
          <w:tab w:val="left" w:pos="5533"/>
          <w:tab w:val="left" w:pos="6014"/>
          <w:tab w:val="left" w:pos="6495"/>
          <w:tab w:val="left" w:pos="6976"/>
          <w:tab w:val="left" w:pos="7457"/>
          <w:tab w:val="left" w:pos="7938"/>
          <w:tab w:val="left" w:pos="8419"/>
        </w:tabs>
        <w:ind w:right="-18"/>
        <w:jc w:val="both"/>
        <w:rPr>
          <w:rFonts w:ascii="CG Omega" w:hAnsi="CG Omega"/>
        </w:rPr>
      </w:pPr>
      <w:r w:rsidRPr="005A15DA">
        <w:rPr>
          <w:rFonts w:ascii="CG Omega" w:hAnsi="CG Omega"/>
          <w:i/>
        </w:rPr>
        <w:t>Provid</w:t>
      </w:r>
      <w:r w:rsidR="007D7CDD" w:rsidRPr="005A15DA">
        <w:rPr>
          <w:rFonts w:ascii="CG Omega" w:hAnsi="CG Omega"/>
          <w:i/>
        </w:rPr>
        <w:t>ing</w:t>
      </w:r>
      <w:r w:rsidRPr="005A15DA">
        <w:rPr>
          <w:rFonts w:ascii="CG Omega" w:hAnsi="CG Omega"/>
          <w:i/>
        </w:rPr>
        <w:t xml:space="preserve"> a suitable living environment</w:t>
      </w:r>
      <w:r w:rsidR="00B96CA2" w:rsidRPr="005A15DA">
        <w:rPr>
          <w:rFonts w:ascii="CG Omega" w:hAnsi="CG Omega"/>
        </w:rPr>
        <w:t xml:space="preserve"> entails</w:t>
      </w:r>
      <w:r w:rsidRPr="005A15DA">
        <w:rPr>
          <w:rFonts w:ascii="CG Omega" w:hAnsi="CG Omega"/>
        </w:rPr>
        <w:t xml:space="preserve"> improving the safety and livability of neighborhoods; increasing access to quality facilities and services; and reducing the isolation of income groups within an area </w:t>
      </w:r>
      <w:r w:rsidR="006857D4" w:rsidRPr="005A15DA">
        <w:rPr>
          <w:rFonts w:ascii="CG Omega" w:hAnsi="CG Omega"/>
        </w:rPr>
        <w:t xml:space="preserve">through </w:t>
      </w:r>
      <w:r w:rsidR="0062037C" w:rsidRPr="005A15DA">
        <w:rPr>
          <w:rFonts w:ascii="CG Omega" w:hAnsi="CG Omega"/>
        </w:rPr>
        <w:t>integration</w:t>
      </w:r>
      <w:r w:rsidR="006857D4" w:rsidRPr="005A15DA">
        <w:rPr>
          <w:rFonts w:ascii="CG Omega" w:hAnsi="CG Omega"/>
        </w:rPr>
        <w:t xml:space="preserve"> of </w:t>
      </w:r>
      <w:r w:rsidR="001A7190" w:rsidRPr="005A15DA">
        <w:rPr>
          <w:rFonts w:ascii="CG Omega" w:hAnsi="CG Omega"/>
        </w:rPr>
        <w:t>low-income</w:t>
      </w:r>
      <w:r w:rsidRPr="005A15DA">
        <w:rPr>
          <w:rFonts w:ascii="CG Omega" w:hAnsi="CG Omega"/>
        </w:rPr>
        <w:t xml:space="preserve"> housing opportunities.</w:t>
      </w:r>
    </w:p>
    <w:p w:rsidR="00F01CBA" w:rsidRPr="005A15DA" w:rsidRDefault="00F01CBA" w:rsidP="00F01CBA">
      <w:pPr>
        <w:tabs>
          <w:tab w:val="left" w:pos="-720"/>
          <w:tab w:val="left" w:pos="-239"/>
          <w:tab w:val="left" w:pos="360"/>
          <w:tab w:val="left" w:pos="723"/>
          <w:tab w:val="left" w:pos="1204"/>
          <w:tab w:val="left" w:pos="1685"/>
          <w:tab w:val="left" w:pos="2166"/>
          <w:tab w:val="left" w:pos="2647"/>
          <w:tab w:val="left" w:pos="3128"/>
          <w:tab w:val="left" w:pos="3609"/>
          <w:tab w:val="left" w:pos="4090"/>
          <w:tab w:val="left" w:pos="4571"/>
          <w:tab w:val="left" w:pos="5052"/>
          <w:tab w:val="left" w:pos="5533"/>
          <w:tab w:val="left" w:pos="6014"/>
          <w:tab w:val="left" w:pos="6495"/>
          <w:tab w:val="left" w:pos="6976"/>
          <w:tab w:val="left" w:pos="7457"/>
          <w:tab w:val="left" w:pos="7938"/>
          <w:tab w:val="left" w:pos="8419"/>
        </w:tabs>
        <w:ind w:right="-720"/>
        <w:jc w:val="both"/>
        <w:rPr>
          <w:rFonts w:ascii="CG Omega" w:hAnsi="CG Omega"/>
          <w:sz w:val="10"/>
          <w:szCs w:val="10"/>
        </w:rPr>
      </w:pPr>
    </w:p>
    <w:p w:rsidR="00F01CBA" w:rsidRPr="005A15DA" w:rsidRDefault="00F01CBA" w:rsidP="0049477B">
      <w:pPr>
        <w:numPr>
          <w:ilvl w:val="0"/>
          <w:numId w:val="11"/>
        </w:numPr>
        <w:tabs>
          <w:tab w:val="left" w:pos="-720"/>
          <w:tab w:val="left" w:pos="-239"/>
          <w:tab w:val="left" w:pos="723"/>
          <w:tab w:val="left" w:pos="1204"/>
          <w:tab w:val="left" w:pos="1685"/>
          <w:tab w:val="left" w:pos="2166"/>
          <w:tab w:val="left" w:pos="2647"/>
          <w:tab w:val="left" w:pos="3128"/>
          <w:tab w:val="left" w:pos="3609"/>
          <w:tab w:val="left" w:pos="4090"/>
          <w:tab w:val="left" w:pos="4571"/>
          <w:tab w:val="left" w:pos="5052"/>
          <w:tab w:val="left" w:pos="5533"/>
          <w:tab w:val="left" w:pos="6014"/>
          <w:tab w:val="left" w:pos="6495"/>
          <w:tab w:val="left" w:pos="6976"/>
          <w:tab w:val="left" w:pos="7457"/>
          <w:tab w:val="left" w:pos="7938"/>
          <w:tab w:val="left" w:pos="8419"/>
        </w:tabs>
        <w:ind w:right="-18"/>
        <w:jc w:val="both"/>
        <w:rPr>
          <w:rFonts w:ascii="CG Omega" w:hAnsi="CG Omega"/>
        </w:rPr>
      </w:pPr>
      <w:r w:rsidRPr="005A15DA">
        <w:rPr>
          <w:rFonts w:ascii="CG Omega" w:hAnsi="CG Omega"/>
          <w:i/>
        </w:rPr>
        <w:t>Expand</w:t>
      </w:r>
      <w:r w:rsidR="007D7CDD" w:rsidRPr="005A15DA">
        <w:rPr>
          <w:rFonts w:ascii="CG Omega" w:hAnsi="CG Omega"/>
          <w:i/>
        </w:rPr>
        <w:t>ing</w:t>
      </w:r>
      <w:r w:rsidRPr="005A15DA">
        <w:rPr>
          <w:rFonts w:ascii="CG Omega" w:hAnsi="CG Omega"/>
          <w:i/>
        </w:rPr>
        <w:t xml:space="preserve"> economic opportunities</w:t>
      </w:r>
      <w:r w:rsidR="00B96CA2" w:rsidRPr="005A15DA">
        <w:rPr>
          <w:rFonts w:ascii="CG Omega" w:hAnsi="CG Omega"/>
        </w:rPr>
        <w:t xml:space="preserve"> involves</w:t>
      </w:r>
      <w:r w:rsidRPr="005A15DA">
        <w:rPr>
          <w:rFonts w:ascii="CG Omega" w:hAnsi="CG Omega"/>
        </w:rPr>
        <w:t xml:space="preserve"> </w:t>
      </w:r>
      <w:r w:rsidR="006857D4" w:rsidRPr="005A15DA">
        <w:rPr>
          <w:rFonts w:ascii="CG Omega" w:hAnsi="CG Omega"/>
        </w:rPr>
        <w:t>creating jobs</w:t>
      </w:r>
      <w:r w:rsidR="00B96CA2" w:rsidRPr="005A15DA">
        <w:rPr>
          <w:rFonts w:ascii="CG Omega" w:hAnsi="CG Omega"/>
        </w:rPr>
        <w:t xml:space="preserve"> that are</w:t>
      </w:r>
      <w:r w:rsidR="006857D4" w:rsidRPr="005A15DA">
        <w:rPr>
          <w:rFonts w:ascii="CG Omega" w:hAnsi="CG Omega"/>
        </w:rPr>
        <w:t xml:space="preserve"> accessible to </w:t>
      </w:r>
      <w:r w:rsidR="001A7190" w:rsidRPr="005A15DA">
        <w:rPr>
          <w:rFonts w:ascii="CG Omega" w:hAnsi="CG Omega"/>
        </w:rPr>
        <w:t>low- and moderate-income</w:t>
      </w:r>
      <w:r w:rsidRPr="005A15DA">
        <w:rPr>
          <w:rFonts w:ascii="CG Omega" w:hAnsi="CG Omega"/>
        </w:rPr>
        <w:t xml:space="preserve"> persons; making mortg</w:t>
      </w:r>
      <w:r w:rsidR="006857D4" w:rsidRPr="005A15DA">
        <w:rPr>
          <w:rFonts w:ascii="CG Omega" w:hAnsi="CG Omega"/>
        </w:rPr>
        <w:t xml:space="preserve">age financing available for </w:t>
      </w:r>
      <w:r w:rsidR="001A7190" w:rsidRPr="005A15DA">
        <w:rPr>
          <w:rFonts w:ascii="CG Omega" w:hAnsi="CG Omega"/>
        </w:rPr>
        <w:t>low- and moderate-income</w:t>
      </w:r>
      <w:r w:rsidRPr="005A15DA">
        <w:rPr>
          <w:rFonts w:ascii="CG Omega" w:hAnsi="CG Omega"/>
        </w:rPr>
        <w:t xml:space="preserve"> persons at reasonable rates; providing access to credit for development activities that promote long-term economic and social viability of the community; and empowering low-income persons to achieve self-sufficiency to reduce ge</w:t>
      </w:r>
      <w:r w:rsidR="00B72571" w:rsidRPr="005A15DA">
        <w:rPr>
          <w:rFonts w:ascii="CG Omega" w:hAnsi="CG Omega"/>
        </w:rPr>
        <w:t>nerational poverty in federally-</w:t>
      </w:r>
      <w:r w:rsidRPr="005A15DA">
        <w:rPr>
          <w:rFonts w:ascii="CG Omega" w:hAnsi="CG Omega"/>
        </w:rPr>
        <w:t>assisted and public housing.</w:t>
      </w:r>
    </w:p>
    <w:p w:rsidR="00F01CBA" w:rsidRPr="00CA61F2" w:rsidRDefault="00F01CBA" w:rsidP="002D3C90">
      <w:pPr>
        <w:tabs>
          <w:tab w:val="left" w:pos="720"/>
          <w:tab w:val="left" w:pos="8520"/>
        </w:tabs>
        <w:jc w:val="both"/>
        <w:rPr>
          <w:rFonts w:ascii="CG Omega" w:hAnsi="CG Omega"/>
          <w:sz w:val="16"/>
          <w:szCs w:val="16"/>
          <w:highlight w:val="yellow"/>
        </w:rPr>
      </w:pPr>
    </w:p>
    <w:p w:rsidR="00CB71BD" w:rsidRPr="005A15DA" w:rsidRDefault="004A04A4" w:rsidP="00BB666B">
      <w:pPr>
        <w:pStyle w:val="FirstHead"/>
      </w:pPr>
      <w:bookmarkStart w:id="7" w:name="_Toc233426565"/>
      <w:bookmarkStart w:id="8" w:name="_Toc233426750"/>
      <w:bookmarkStart w:id="9" w:name="_Toc399834555"/>
      <w:r w:rsidRPr="005A15DA">
        <w:t>B</w:t>
      </w:r>
      <w:r w:rsidR="00CB71BD" w:rsidRPr="005A15DA">
        <w:t xml:space="preserve">. </w:t>
      </w:r>
      <w:r w:rsidR="00E11F4A" w:rsidRPr="005A15DA">
        <w:t>New Mexico</w:t>
      </w:r>
      <w:r w:rsidR="00CB71BD" w:rsidRPr="005A15DA">
        <w:t xml:space="preserve"> Background and Trends</w:t>
      </w:r>
      <w:bookmarkEnd w:id="7"/>
      <w:bookmarkEnd w:id="8"/>
      <w:bookmarkEnd w:id="9"/>
    </w:p>
    <w:p w:rsidR="00CB71BD" w:rsidRPr="00CA61F2" w:rsidRDefault="00CB71BD" w:rsidP="00CB71BD">
      <w:pPr>
        <w:pStyle w:val="BodyText"/>
        <w:tabs>
          <w:tab w:val="num" w:pos="360"/>
        </w:tabs>
        <w:rPr>
          <w:rFonts w:ascii="CG Omega" w:hAnsi="CG Omega"/>
          <w:sz w:val="16"/>
          <w:szCs w:val="16"/>
          <w:highlight w:val="yellow"/>
        </w:rPr>
      </w:pPr>
    </w:p>
    <w:p w:rsidR="00A74FEC" w:rsidRPr="000E02BB" w:rsidRDefault="00A74FEC" w:rsidP="00A74FEC">
      <w:pPr>
        <w:jc w:val="both"/>
        <w:rPr>
          <w:rFonts w:ascii="CG Omega" w:hAnsi="CG Omega"/>
          <w:b/>
          <w:smallCaps/>
        </w:rPr>
      </w:pPr>
      <w:r w:rsidRPr="000E02BB">
        <w:rPr>
          <w:rFonts w:ascii="CG Omega" w:hAnsi="CG Omega"/>
          <w:b/>
          <w:smallCaps/>
        </w:rPr>
        <w:t>Demographic Profile</w:t>
      </w:r>
    </w:p>
    <w:p w:rsidR="00E218AF" w:rsidRPr="00CA61F2" w:rsidRDefault="00E218AF" w:rsidP="00E218AF">
      <w:pPr>
        <w:jc w:val="both"/>
        <w:rPr>
          <w:rFonts w:ascii="CG Omega" w:hAnsi="CG Omega"/>
          <w:sz w:val="16"/>
          <w:szCs w:val="16"/>
          <w:highlight w:val="yellow"/>
        </w:rPr>
      </w:pPr>
    </w:p>
    <w:p w:rsidR="004C2599" w:rsidRPr="00955C8C" w:rsidRDefault="004C2599" w:rsidP="004C2599">
      <w:pPr>
        <w:jc w:val="both"/>
        <w:rPr>
          <w:rFonts w:ascii="CG Omega" w:hAnsi="CG Omega"/>
          <w:highlight w:val="yellow"/>
        </w:rPr>
      </w:pPr>
      <w:r w:rsidRPr="008A2BA1">
        <w:rPr>
          <w:rFonts w:ascii="CG Omega" w:hAnsi="CG Omega"/>
        </w:rPr>
        <w:t>Between 1980 and 20</w:t>
      </w:r>
      <w:r w:rsidR="00945EFE">
        <w:rPr>
          <w:rFonts w:ascii="CG Omega" w:hAnsi="CG Omega"/>
        </w:rPr>
        <w:t>13</w:t>
      </w:r>
      <w:r w:rsidRPr="008A2BA1">
        <w:rPr>
          <w:rFonts w:ascii="CG Omega" w:hAnsi="CG Omega"/>
        </w:rPr>
        <w:t>, the population in New Mexico increased from 1.3 million in 1980 to over 2 million. In the last thirteen years, from 2000 through 2013, total population growth equaled 14.6 percent.  In 2010, the majority of the population, 68.4</w:t>
      </w:r>
      <w:r>
        <w:rPr>
          <w:rFonts w:ascii="CG Omega" w:hAnsi="CG Omega"/>
        </w:rPr>
        <w:t xml:space="preserve"> </w:t>
      </w:r>
      <w:r w:rsidRPr="008A2BA1">
        <w:rPr>
          <w:rFonts w:ascii="CG Omega" w:hAnsi="CG Omega"/>
        </w:rPr>
        <w:t xml:space="preserve">percent, was white, followed by other at 15.0 percent, American Indian at 9.4 percent, two or more races at 3.7 percent, </w:t>
      </w:r>
      <w:r w:rsidR="00CC3344">
        <w:rPr>
          <w:rFonts w:ascii="CG Omega" w:hAnsi="CG Omega"/>
        </w:rPr>
        <w:t>Black</w:t>
      </w:r>
      <w:r w:rsidRPr="008A2BA1">
        <w:rPr>
          <w:rFonts w:ascii="CG Omega" w:hAnsi="CG Omega"/>
        </w:rPr>
        <w:t xml:space="preserve"> at 2.1 percent, Asian at 1.4 percent and Native Hawaiian/Pacific Islander at 0.1 percent.  As for ethnicity, persons of Hispanic descent comprised 46.3 percent of the population.  </w:t>
      </w:r>
      <w:r w:rsidRPr="00DF3169">
        <w:rPr>
          <w:rFonts w:ascii="CG Omega" w:hAnsi="CG Omega"/>
        </w:rPr>
        <w:t xml:space="preserve">Geographic analysis of racial and ethnic data showed that Hispanic and American Indian populations were </w:t>
      </w:r>
      <w:r w:rsidR="007E2BF2">
        <w:rPr>
          <w:rFonts w:ascii="CG Omega" w:hAnsi="CG Omega"/>
        </w:rPr>
        <w:t>heavily</w:t>
      </w:r>
      <w:r w:rsidRPr="00DF3169">
        <w:rPr>
          <w:rFonts w:ascii="CG Omega" w:hAnsi="CG Omega"/>
        </w:rPr>
        <w:t xml:space="preserve"> concentrated in certain parts of the state.  </w:t>
      </w:r>
      <w:r w:rsidRPr="008A2BA1">
        <w:rPr>
          <w:rFonts w:ascii="CG Omega" w:hAnsi="CG Omega"/>
        </w:rPr>
        <w:t>Slightly over 20 percent of the population aged 5 or older in New Mexico had one or more disabilities at the time of the 2000 census</w:t>
      </w:r>
      <w:r w:rsidRPr="00E237FF">
        <w:rPr>
          <w:rFonts w:ascii="CG Omega" w:hAnsi="CG Omega"/>
        </w:rPr>
        <w:t xml:space="preserve">.  In terms of population growth, the state is expected to grow to close to 2.4 million persons </w:t>
      </w:r>
      <w:r>
        <w:rPr>
          <w:rFonts w:ascii="CG Omega" w:hAnsi="CG Omega"/>
        </w:rPr>
        <w:t xml:space="preserve">and over 900,000 households </w:t>
      </w:r>
      <w:r w:rsidRPr="00E237FF">
        <w:rPr>
          <w:rFonts w:ascii="CG Omega" w:hAnsi="CG Omega"/>
        </w:rPr>
        <w:t xml:space="preserve">by 2020 and to 2.8 million persons </w:t>
      </w:r>
      <w:r>
        <w:rPr>
          <w:rFonts w:ascii="CG Omega" w:hAnsi="CG Omega"/>
        </w:rPr>
        <w:t xml:space="preserve">and </w:t>
      </w:r>
      <w:r w:rsidR="00CC3344">
        <w:rPr>
          <w:rFonts w:ascii="CG Omega" w:hAnsi="CG Omega"/>
        </w:rPr>
        <w:t>one</w:t>
      </w:r>
      <w:r>
        <w:rPr>
          <w:rFonts w:ascii="CG Omega" w:hAnsi="CG Omega"/>
        </w:rPr>
        <w:t xml:space="preserve"> million households </w:t>
      </w:r>
      <w:r w:rsidRPr="00E237FF">
        <w:rPr>
          <w:rFonts w:ascii="CG Omega" w:hAnsi="CG Omega"/>
        </w:rPr>
        <w:t>by 2040.</w:t>
      </w:r>
    </w:p>
    <w:p w:rsidR="00765293" w:rsidRPr="00CA61F2" w:rsidRDefault="00765293" w:rsidP="00E218AF">
      <w:pPr>
        <w:jc w:val="both"/>
        <w:rPr>
          <w:rFonts w:ascii="CG Omega" w:hAnsi="CG Omega"/>
          <w:smallCaps/>
          <w:sz w:val="16"/>
          <w:szCs w:val="16"/>
          <w:highlight w:val="yellow"/>
          <w:lang w:val="en"/>
        </w:rPr>
      </w:pPr>
    </w:p>
    <w:p w:rsidR="00A74FEC" w:rsidRPr="000E02BB" w:rsidRDefault="003567DC" w:rsidP="00A74FEC">
      <w:pPr>
        <w:jc w:val="both"/>
        <w:rPr>
          <w:rFonts w:ascii="CG Omega" w:hAnsi="CG Omega"/>
          <w:b/>
          <w:smallCaps/>
        </w:rPr>
      </w:pPr>
      <w:r w:rsidRPr="000E02BB">
        <w:rPr>
          <w:rFonts w:ascii="CG Omega" w:hAnsi="CG Omega"/>
          <w:b/>
          <w:smallCaps/>
        </w:rPr>
        <w:t>Economic Profile</w:t>
      </w:r>
    </w:p>
    <w:p w:rsidR="00E218AF" w:rsidRPr="00CA61F2" w:rsidRDefault="00E218AF" w:rsidP="00E218AF">
      <w:pPr>
        <w:jc w:val="both"/>
        <w:rPr>
          <w:rFonts w:ascii="CG Omega" w:hAnsi="CG Omega"/>
          <w:sz w:val="16"/>
          <w:szCs w:val="16"/>
          <w:highlight w:val="yellow"/>
        </w:rPr>
      </w:pPr>
    </w:p>
    <w:p w:rsidR="004C2599" w:rsidRPr="00955C8C" w:rsidRDefault="004C2599" w:rsidP="004C2599">
      <w:pPr>
        <w:jc w:val="both"/>
        <w:rPr>
          <w:rFonts w:ascii="CG Omega" w:hAnsi="CG Omega"/>
          <w:highlight w:val="yellow"/>
        </w:rPr>
      </w:pPr>
      <w:r w:rsidRPr="008A2BA1">
        <w:rPr>
          <w:rFonts w:ascii="CG Omega" w:hAnsi="CG Omega"/>
        </w:rPr>
        <w:t>From 1990 through 2013, the labor force in New Mexico, defined as people either working or looking for work, rose from about 712,000 persons to about 935,890</w:t>
      </w:r>
      <w:r w:rsidR="008E1186">
        <w:rPr>
          <w:rFonts w:ascii="CG Omega" w:hAnsi="CG Omega"/>
        </w:rPr>
        <w:t xml:space="preserve"> persons.  While during the mid-</w:t>
      </w:r>
      <w:r w:rsidRPr="008A2BA1">
        <w:rPr>
          <w:rFonts w:ascii="CG Omega" w:hAnsi="CG Omega"/>
        </w:rPr>
        <w:t>1990s New Mexico’s unemployment rate was higher than the national rate, during the recession of the last few years the unemployment rate for the state has remained below national levels.  In 2012 the statewide unemployment rate was at 6.9 percent, after having fallen from 7.9 percent in 2010.   In 20</w:t>
      </w:r>
      <w:r>
        <w:rPr>
          <w:rFonts w:ascii="CG Omega" w:hAnsi="CG Omega"/>
        </w:rPr>
        <w:t>13</w:t>
      </w:r>
      <w:r w:rsidRPr="008A2BA1">
        <w:rPr>
          <w:rFonts w:ascii="CG Omega" w:hAnsi="CG Omega"/>
        </w:rPr>
        <w:t xml:space="preserve">, the real average earning per job in New Mexico was $46,673, and real per capita income was $35,682, but both of these figures were below national averages.  </w:t>
      </w:r>
      <w:r w:rsidRPr="002970B3">
        <w:rPr>
          <w:rFonts w:ascii="CG Omega" w:hAnsi="CG Omega"/>
          <w:lang w:val="en"/>
        </w:rPr>
        <w:t>In New Mexico the poverty rate in 2012 was 20.6 percent with 421,123 persons living in poverty; this rate was significantly higher than the national average of 15 percent at that time</w:t>
      </w:r>
      <w:r>
        <w:rPr>
          <w:rStyle w:val="FootnoteReference"/>
          <w:rFonts w:ascii="CG Omega" w:hAnsi="CG Omega"/>
          <w:lang w:val="en"/>
        </w:rPr>
        <w:footnoteReference w:id="1"/>
      </w:r>
      <w:r w:rsidRPr="002970B3">
        <w:rPr>
          <w:rFonts w:ascii="CG Omega" w:hAnsi="CG Omega"/>
          <w:lang w:val="en"/>
        </w:rPr>
        <w:t xml:space="preserve">. </w:t>
      </w:r>
      <w:r>
        <w:rPr>
          <w:rFonts w:ascii="CG Omega" w:hAnsi="CG Omega"/>
          <w:lang w:val="en"/>
        </w:rPr>
        <w:t>The poverty rate in the state has continued to rise since 2000.</w:t>
      </w:r>
      <w:r w:rsidRPr="002970B3">
        <w:rPr>
          <w:rFonts w:ascii="CG Omega" w:hAnsi="CG Omega"/>
          <w:lang w:val="en"/>
        </w:rPr>
        <w:t xml:space="preserve"> </w:t>
      </w:r>
      <w:r w:rsidRPr="00FB49C7">
        <w:rPr>
          <w:rFonts w:ascii="CG Omega" w:hAnsi="CG Omega"/>
          <w:lang w:val="en"/>
        </w:rPr>
        <w:t>Persons in poverty were also concentrated in select census tracts across the state.</w:t>
      </w:r>
    </w:p>
    <w:p w:rsidR="00765293" w:rsidRPr="00CA61F2" w:rsidRDefault="00765293" w:rsidP="00E218AF">
      <w:pPr>
        <w:jc w:val="both"/>
        <w:rPr>
          <w:rFonts w:ascii="CG Omega" w:hAnsi="CG Omega"/>
          <w:sz w:val="16"/>
          <w:szCs w:val="16"/>
          <w:highlight w:val="yellow"/>
        </w:rPr>
      </w:pPr>
    </w:p>
    <w:p w:rsidR="00E218AF" w:rsidRPr="000A7CAC" w:rsidRDefault="0095592F" w:rsidP="00E218AF">
      <w:pPr>
        <w:jc w:val="both"/>
        <w:rPr>
          <w:rFonts w:ascii="CG Omega" w:hAnsi="CG Omega"/>
          <w:b/>
          <w:smallCaps/>
        </w:rPr>
      </w:pPr>
      <w:r w:rsidRPr="000A7CAC">
        <w:rPr>
          <w:rFonts w:ascii="CG Omega" w:hAnsi="CG Omega"/>
          <w:b/>
          <w:smallCaps/>
        </w:rPr>
        <w:t>New Mexico</w:t>
      </w:r>
      <w:r w:rsidR="00E218AF" w:rsidRPr="000A7CAC">
        <w:rPr>
          <w:rFonts w:ascii="CG Omega" w:hAnsi="CG Omega"/>
          <w:b/>
          <w:smallCaps/>
        </w:rPr>
        <w:t xml:space="preserve"> Housing Market</w:t>
      </w:r>
    </w:p>
    <w:p w:rsidR="00E218AF" w:rsidRPr="00CA61F2" w:rsidRDefault="00E218AF" w:rsidP="00E218AF">
      <w:pPr>
        <w:jc w:val="both"/>
        <w:rPr>
          <w:rFonts w:ascii="CG Omega" w:hAnsi="CG Omega"/>
          <w:sz w:val="16"/>
          <w:szCs w:val="16"/>
          <w:highlight w:val="yellow"/>
        </w:rPr>
      </w:pPr>
    </w:p>
    <w:p w:rsidR="00EE311F" w:rsidRDefault="00EE311F" w:rsidP="00EE311F">
      <w:pPr>
        <w:jc w:val="both"/>
        <w:rPr>
          <w:rFonts w:ascii="CG Omega" w:hAnsi="CG Omega"/>
          <w:bCs/>
        </w:rPr>
      </w:pPr>
      <w:r w:rsidRPr="008E7570">
        <w:rPr>
          <w:rFonts w:ascii="CG Omega" w:hAnsi="CG Omega"/>
        </w:rPr>
        <w:t xml:space="preserve">In 2000, the state of New Mexico had 780,579 total housing units.  Since that time, the total housing stock increased each year through </w:t>
      </w:r>
      <w:r w:rsidRPr="000A7CAC">
        <w:rPr>
          <w:rFonts w:ascii="CG Omega" w:hAnsi="CG Omega"/>
        </w:rPr>
        <w:t>2012 by a total of over 126,000 units</w:t>
      </w:r>
      <w:r w:rsidRPr="008E7570">
        <w:rPr>
          <w:rFonts w:ascii="CG Omega" w:hAnsi="CG Omega"/>
        </w:rPr>
        <w:t xml:space="preserve">.  </w:t>
      </w:r>
      <w:r w:rsidRPr="00291D14">
        <w:rPr>
          <w:rFonts w:ascii="CG Omega" w:hAnsi="CG Omega"/>
        </w:rPr>
        <w:t>Of the total housing stock counted in the 20</w:t>
      </w:r>
      <w:r>
        <w:rPr>
          <w:rFonts w:ascii="CG Omega" w:hAnsi="CG Omega"/>
        </w:rPr>
        <w:t>12 American Community Survey</w:t>
      </w:r>
      <w:r w:rsidR="007E2BF2">
        <w:rPr>
          <w:rFonts w:ascii="CG Omega" w:hAnsi="CG Omega"/>
        </w:rPr>
        <w:t xml:space="preserve"> (ACS)</w:t>
      </w:r>
      <w:r w:rsidRPr="00291D14">
        <w:rPr>
          <w:rFonts w:ascii="CG Omega" w:hAnsi="CG Omega"/>
        </w:rPr>
        <w:t xml:space="preserve">, 615,159 units were </w:t>
      </w:r>
      <w:r w:rsidR="00BB2854">
        <w:rPr>
          <w:rFonts w:ascii="CG Omega" w:hAnsi="CG Omega"/>
        </w:rPr>
        <w:t>single family</w:t>
      </w:r>
      <w:r w:rsidRPr="00291D14">
        <w:rPr>
          <w:rFonts w:ascii="CG Omega" w:hAnsi="CG Omega"/>
        </w:rPr>
        <w:t xml:space="preserve"> units.  Another 149,074 were mobile homes.  Of the 90</w:t>
      </w:r>
      <w:r>
        <w:rPr>
          <w:rFonts w:ascii="CG Omega" w:hAnsi="CG Omega"/>
        </w:rPr>
        <w:t xml:space="preserve">1,388 </w:t>
      </w:r>
      <w:r w:rsidRPr="00291D14">
        <w:rPr>
          <w:rFonts w:ascii="CG Omega" w:hAnsi="CG Omega"/>
        </w:rPr>
        <w:t xml:space="preserve">housing units counted in New Mexico in the 2010 census, 791,395 units were occupied, with 542,122 counted as </w:t>
      </w:r>
      <w:r w:rsidR="00BB2854">
        <w:rPr>
          <w:rFonts w:ascii="CG Omega" w:hAnsi="CG Omega"/>
        </w:rPr>
        <w:t>owner occupied</w:t>
      </w:r>
      <w:r w:rsidRPr="00291D14">
        <w:rPr>
          <w:rFonts w:ascii="CG Omega" w:hAnsi="CG Omega"/>
        </w:rPr>
        <w:t xml:space="preserve"> and 249,273</w:t>
      </w:r>
      <w:r>
        <w:rPr>
          <w:rFonts w:ascii="CG Omega" w:hAnsi="CG Omega"/>
        </w:rPr>
        <w:t xml:space="preserve"> counted as </w:t>
      </w:r>
      <w:r w:rsidR="00BB2854">
        <w:rPr>
          <w:rFonts w:ascii="CG Omega" w:hAnsi="CG Omega"/>
        </w:rPr>
        <w:t>renter occupied</w:t>
      </w:r>
      <w:r>
        <w:rPr>
          <w:rFonts w:ascii="CG Omega" w:hAnsi="CG Omega"/>
        </w:rPr>
        <w:t>.</w:t>
      </w:r>
      <w:r w:rsidRPr="00291D14">
        <w:rPr>
          <w:rFonts w:ascii="CG Omega" w:hAnsi="CG Omega"/>
        </w:rPr>
        <w:t xml:space="preserve"> This equated to a homeownership rate of 68.5 percent.  T</w:t>
      </w:r>
      <w:r w:rsidRPr="00291D14">
        <w:rPr>
          <w:rFonts w:ascii="CG Omega" w:hAnsi="CG Omega"/>
          <w:bCs/>
        </w:rPr>
        <w:t xml:space="preserve">he </w:t>
      </w:r>
      <w:r>
        <w:rPr>
          <w:rFonts w:ascii="CG Omega" w:hAnsi="CG Omega"/>
          <w:bCs/>
        </w:rPr>
        <w:t xml:space="preserve">real value of </w:t>
      </w:r>
      <w:r w:rsidRPr="00291D14">
        <w:rPr>
          <w:rFonts w:ascii="CG Omega" w:hAnsi="CG Omega"/>
          <w:bCs/>
        </w:rPr>
        <w:t xml:space="preserve">construction of </w:t>
      </w:r>
      <w:r w:rsidR="00BB2854">
        <w:rPr>
          <w:rFonts w:ascii="CG Omega" w:hAnsi="CG Omega"/>
          <w:bCs/>
        </w:rPr>
        <w:t>single family</w:t>
      </w:r>
      <w:r w:rsidRPr="00291D14">
        <w:rPr>
          <w:rFonts w:ascii="CG Omega" w:hAnsi="CG Omega"/>
          <w:bCs/>
        </w:rPr>
        <w:t xml:space="preserve"> dwellings generally increased from 1980 through 2013, </w:t>
      </w:r>
      <w:r>
        <w:rPr>
          <w:rFonts w:ascii="CG Omega" w:hAnsi="CG Omega"/>
          <w:bCs/>
        </w:rPr>
        <w:t xml:space="preserve">reaching almost $220,000 in 2012.  Home values and rental rates were </w:t>
      </w:r>
      <w:r w:rsidRPr="00291D14">
        <w:rPr>
          <w:rFonts w:ascii="CG Omega" w:hAnsi="CG Omega"/>
          <w:bCs/>
        </w:rPr>
        <w:t xml:space="preserve">generally higher in urban areas near major cities like Albuquerque and Santa Fe.  </w:t>
      </w:r>
      <w:r w:rsidRPr="00291D14">
        <w:rPr>
          <w:rFonts w:ascii="CG Omega" w:hAnsi="CG Omega"/>
        </w:rPr>
        <w:t xml:space="preserve">There were </w:t>
      </w:r>
      <w:r>
        <w:rPr>
          <w:rFonts w:ascii="CG Omega" w:hAnsi="CG Omega"/>
        </w:rPr>
        <w:t>141,93</w:t>
      </w:r>
      <w:r w:rsidRPr="00291D14">
        <w:rPr>
          <w:rFonts w:ascii="CG Omega" w:hAnsi="CG Omega"/>
        </w:rPr>
        <w:t>0 owners and 101,9</w:t>
      </w:r>
      <w:r>
        <w:rPr>
          <w:rFonts w:ascii="CG Omega" w:hAnsi="CG Omega"/>
        </w:rPr>
        <w:t>85</w:t>
      </w:r>
      <w:r w:rsidRPr="00291D14">
        <w:rPr>
          <w:rFonts w:ascii="CG Omega" w:hAnsi="CG Omega"/>
        </w:rPr>
        <w:t xml:space="preserve"> renters that had an unmet housing need, such as a cost burden or overcrowding problem, in New Mexico at the time of the 2010 census. </w:t>
      </w:r>
      <w:r>
        <w:rPr>
          <w:rFonts w:ascii="CG Omega" w:hAnsi="CG Omega"/>
        </w:rPr>
        <w:t>This included 91,065 owners and 92,045 renter households at or below 80 percent M</w:t>
      </w:r>
      <w:r w:rsidR="00B71DBB">
        <w:rPr>
          <w:rFonts w:ascii="CG Omega" w:hAnsi="CG Omega"/>
        </w:rPr>
        <w:t xml:space="preserve">edian </w:t>
      </w:r>
      <w:r>
        <w:rPr>
          <w:rFonts w:ascii="CG Omega" w:hAnsi="CG Omega"/>
        </w:rPr>
        <w:t>F</w:t>
      </w:r>
      <w:r w:rsidR="00B71DBB">
        <w:rPr>
          <w:rFonts w:ascii="CG Omega" w:hAnsi="CG Omega"/>
        </w:rPr>
        <w:t xml:space="preserve">amily </w:t>
      </w:r>
      <w:r>
        <w:rPr>
          <w:rFonts w:ascii="CG Omega" w:hAnsi="CG Omega"/>
        </w:rPr>
        <w:t>I</w:t>
      </w:r>
      <w:r w:rsidR="00B71DBB">
        <w:rPr>
          <w:rFonts w:ascii="CG Omega" w:hAnsi="CG Omega"/>
        </w:rPr>
        <w:t>ncome</w:t>
      </w:r>
      <w:r>
        <w:rPr>
          <w:rFonts w:ascii="CG Omega" w:hAnsi="CG Omega"/>
        </w:rPr>
        <w:t xml:space="preserve"> with unmet need. </w:t>
      </w:r>
      <w:r w:rsidRPr="00291D14">
        <w:rPr>
          <w:rFonts w:ascii="CG Omega" w:hAnsi="CG Omega"/>
        </w:rPr>
        <w:t xml:space="preserve"> </w:t>
      </w:r>
      <w:r w:rsidRPr="00E73966">
        <w:rPr>
          <w:rFonts w:ascii="CG Omega" w:hAnsi="CG Omega"/>
        </w:rPr>
        <w:t xml:space="preserve">By 2020, </w:t>
      </w:r>
      <w:r w:rsidRPr="00E73966">
        <w:rPr>
          <w:rFonts w:ascii="CG Omega" w:hAnsi="CG Omega"/>
          <w:bCs/>
        </w:rPr>
        <w:t>there are expected to be roughly 169,664 owner and 121,913 renter households wit</w:t>
      </w:r>
      <w:r>
        <w:rPr>
          <w:rFonts w:ascii="CG Omega" w:hAnsi="CG Omega"/>
          <w:bCs/>
        </w:rPr>
        <w:t xml:space="preserve">h housing problems in the state, which is expected to include 108,859 owner and 110,031 renter households at or below 80 percent MFI with unmet need. There is no disproportionately greater need of housing problems for racial or ethnic groups on a statewide scale. </w:t>
      </w:r>
    </w:p>
    <w:p w:rsidR="00765293" w:rsidRPr="00CA61F2" w:rsidRDefault="00765293" w:rsidP="00E218AF">
      <w:pPr>
        <w:rPr>
          <w:rFonts w:ascii="CG Omega" w:hAnsi="CG Omega"/>
          <w:b/>
          <w:sz w:val="16"/>
          <w:szCs w:val="16"/>
          <w:highlight w:val="yellow"/>
        </w:rPr>
      </w:pPr>
    </w:p>
    <w:p w:rsidR="00E218AF" w:rsidRPr="00945ED0" w:rsidRDefault="00E218AF" w:rsidP="00E218AF">
      <w:pPr>
        <w:jc w:val="both"/>
        <w:rPr>
          <w:rFonts w:ascii="CG Omega" w:hAnsi="CG Omega"/>
          <w:b/>
          <w:smallCaps/>
        </w:rPr>
      </w:pPr>
      <w:r w:rsidRPr="00945ED0">
        <w:rPr>
          <w:rFonts w:ascii="CG Omega" w:hAnsi="CG Omega"/>
          <w:b/>
          <w:smallCaps/>
        </w:rPr>
        <w:t>Housing and Homeless Needs Assessment</w:t>
      </w:r>
    </w:p>
    <w:p w:rsidR="00E218AF" w:rsidRPr="00CA61F2" w:rsidRDefault="00E218AF" w:rsidP="00E218AF">
      <w:pPr>
        <w:rPr>
          <w:rFonts w:ascii="CG Omega" w:hAnsi="CG Omega"/>
          <w:sz w:val="16"/>
          <w:szCs w:val="16"/>
          <w:highlight w:val="yellow"/>
        </w:rPr>
      </w:pPr>
    </w:p>
    <w:p w:rsidR="00C81670" w:rsidRPr="004C2599" w:rsidRDefault="00945ED0" w:rsidP="00C81670">
      <w:pPr>
        <w:jc w:val="both"/>
        <w:rPr>
          <w:rFonts w:ascii="CG Omega" w:hAnsi="CG Omega"/>
          <w:bCs/>
        </w:rPr>
      </w:pPr>
      <w:r>
        <w:rPr>
          <w:rFonts w:ascii="CG Omega" w:hAnsi="CG Omega"/>
          <w:bCs/>
        </w:rPr>
        <w:t>Results from the 2014</w:t>
      </w:r>
      <w:r w:rsidR="00C81670" w:rsidRPr="00945ED0">
        <w:rPr>
          <w:rFonts w:ascii="CG Omega" w:hAnsi="CG Omega"/>
          <w:bCs/>
        </w:rPr>
        <w:t xml:space="preserve"> Housing and Community Development Needs Survey showed that </w:t>
      </w:r>
      <w:r w:rsidR="00FB13FE" w:rsidRPr="00945ED0">
        <w:rPr>
          <w:rFonts w:ascii="CG Omega" w:hAnsi="CG Omega"/>
          <w:bCs/>
        </w:rPr>
        <w:t>construction of new rental housing and rental assistance</w:t>
      </w:r>
      <w:r w:rsidR="00C81670" w:rsidRPr="00945ED0">
        <w:rPr>
          <w:rFonts w:ascii="CG Omega" w:hAnsi="CG Omega"/>
          <w:bCs/>
        </w:rPr>
        <w:t xml:space="preserve"> were both considered to have a </w:t>
      </w:r>
      <w:r w:rsidR="00C81670" w:rsidRPr="00945ED0">
        <w:rPr>
          <w:rFonts w:ascii="CG Omega" w:hAnsi="CG Omega"/>
          <w:bCs/>
        </w:rPr>
        <w:lastRenderedPageBreak/>
        <w:t>high need for funding</w:t>
      </w:r>
      <w:r w:rsidRPr="00945ED0">
        <w:rPr>
          <w:rFonts w:ascii="CG Omega" w:hAnsi="CG Omega"/>
          <w:bCs/>
        </w:rPr>
        <w:t xml:space="preserve">. Homeowner housing rehabilitation, first-time </w:t>
      </w:r>
      <w:r w:rsidR="00CC3344">
        <w:rPr>
          <w:rFonts w:ascii="CG Omega" w:hAnsi="CG Omega"/>
          <w:bCs/>
        </w:rPr>
        <w:t>homebuyer</w:t>
      </w:r>
      <w:r w:rsidRPr="00945ED0">
        <w:rPr>
          <w:rFonts w:ascii="CG Omega" w:hAnsi="CG Omega"/>
          <w:bCs/>
        </w:rPr>
        <w:t xml:space="preserve"> assistance, rental housing rehabilitation, and energy efficient retrofits were prioritized as well</w:t>
      </w:r>
      <w:r w:rsidR="00C81670" w:rsidRPr="00945ED0">
        <w:rPr>
          <w:rFonts w:ascii="CG Omega" w:hAnsi="CG Omega"/>
          <w:bCs/>
        </w:rPr>
        <w:t xml:space="preserve">. </w:t>
      </w:r>
      <w:r w:rsidR="00715D0F" w:rsidRPr="004C2599">
        <w:rPr>
          <w:rFonts w:ascii="CG Omega" w:hAnsi="CG Omega"/>
          <w:bCs/>
        </w:rPr>
        <w:t>Comments received from focus group meetings in the state showed that there is an increased need for new rental properties and the need for improved water infrastructure to accommodate growth.</w:t>
      </w:r>
    </w:p>
    <w:p w:rsidR="00C81670" w:rsidRPr="00CA61F2" w:rsidRDefault="00C81670" w:rsidP="00C81670">
      <w:pPr>
        <w:jc w:val="both"/>
        <w:rPr>
          <w:rFonts w:ascii="CG Omega" w:hAnsi="CG Omega"/>
          <w:bCs/>
          <w:sz w:val="16"/>
          <w:szCs w:val="16"/>
          <w:highlight w:val="yellow"/>
        </w:rPr>
      </w:pPr>
    </w:p>
    <w:p w:rsidR="00C81670" w:rsidRPr="00D66D4B" w:rsidRDefault="00916CF3" w:rsidP="00C81670">
      <w:pPr>
        <w:jc w:val="both"/>
        <w:rPr>
          <w:rFonts w:ascii="CG Omega" w:hAnsi="CG Omega"/>
          <w:bCs/>
        </w:rPr>
      </w:pPr>
      <w:r w:rsidRPr="00D66D4B">
        <w:rPr>
          <w:rFonts w:ascii="CG Omega" w:hAnsi="CG Omega"/>
          <w:bCs/>
        </w:rPr>
        <w:t>One organization handles the two Continuums of Care</w:t>
      </w:r>
      <w:r w:rsidR="000F42FA">
        <w:rPr>
          <w:rFonts w:ascii="CG Omega" w:hAnsi="CG Omega"/>
          <w:bCs/>
        </w:rPr>
        <w:t xml:space="preserve"> (CoC)</w:t>
      </w:r>
      <w:r w:rsidRPr="00D66D4B">
        <w:rPr>
          <w:rFonts w:ascii="CG Omega" w:hAnsi="CG Omega"/>
          <w:bCs/>
        </w:rPr>
        <w:t xml:space="preserve"> that address homeless needs throughout the state.</w:t>
      </w:r>
      <w:r w:rsidR="00C81670" w:rsidRPr="00D66D4B">
        <w:rPr>
          <w:rFonts w:ascii="CG Omega" w:hAnsi="CG Omega"/>
          <w:bCs/>
        </w:rPr>
        <w:t xml:space="preserve"> A count of the homeless population in the state showed that more than </w:t>
      </w:r>
      <w:r w:rsidR="000A7CAC" w:rsidRPr="00D66D4B">
        <w:rPr>
          <w:rFonts w:ascii="CG Omega" w:hAnsi="CG Omega"/>
          <w:bCs/>
        </w:rPr>
        <w:t>2,819</w:t>
      </w:r>
      <w:r w:rsidR="00C81670" w:rsidRPr="00D66D4B">
        <w:rPr>
          <w:rFonts w:ascii="CG Omega" w:hAnsi="CG Omega"/>
          <w:bCs/>
        </w:rPr>
        <w:t xml:space="preserve"> persons were home</w:t>
      </w:r>
      <w:r w:rsidR="000A7CAC" w:rsidRPr="00D66D4B">
        <w:rPr>
          <w:rFonts w:ascii="CG Omega" w:hAnsi="CG Omega"/>
          <w:bCs/>
        </w:rPr>
        <w:t>less in New Mexico in 2013</w:t>
      </w:r>
      <w:r w:rsidR="00C81670" w:rsidRPr="00D66D4B">
        <w:rPr>
          <w:rFonts w:ascii="CG Omega" w:hAnsi="CG Omega"/>
          <w:bCs/>
        </w:rPr>
        <w:t xml:space="preserve">, including </w:t>
      </w:r>
      <w:r w:rsidR="00D66D4B" w:rsidRPr="00D66D4B">
        <w:rPr>
          <w:rFonts w:ascii="CG Omega" w:hAnsi="CG Omega"/>
          <w:bCs/>
        </w:rPr>
        <w:t>323</w:t>
      </w:r>
      <w:r w:rsidR="00C81670" w:rsidRPr="00D66D4B">
        <w:rPr>
          <w:rFonts w:ascii="CG Omega" w:hAnsi="CG Omega"/>
          <w:bCs/>
        </w:rPr>
        <w:t xml:space="preserve"> homeless families with children and </w:t>
      </w:r>
      <w:r w:rsidR="000A7CAC" w:rsidRPr="00D66D4B">
        <w:rPr>
          <w:rFonts w:ascii="CG Omega" w:hAnsi="CG Omega"/>
          <w:bCs/>
        </w:rPr>
        <w:t>525</w:t>
      </w:r>
      <w:r w:rsidR="00C81670" w:rsidRPr="00D66D4B">
        <w:rPr>
          <w:rFonts w:ascii="CG Omega" w:hAnsi="CG Omega"/>
          <w:bCs/>
        </w:rPr>
        <w:t xml:space="preserve"> chronically homeless persons.</w:t>
      </w:r>
    </w:p>
    <w:p w:rsidR="00C81670" w:rsidRPr="00CA61F2" w:rsidRDefault="00C81670" w:rsidP="00C81670">
      <w:pPr>
        <w:jc w:val="both"/>
        <w:rPr>
          <w:rFonts w:ascii="CG Omega" w:hAnsi="CG Omega"/>
          <w:bCs/>
          <w:sz w:val="16"/>
          <w:szCs w:val="16"/>
          <w:highlight w:val="yellow"/>
        </w:rPr>
      </w:pPr>
    </w:p>
    <w:p w:rsidR="00C81670" w:rsidRPr="00D66D4B" w:rsidRDefault="00C81670" w:rsidP="00C81670">
      <w:pPr>
        <w:jc w:val="both"/>
        <w:rPr>
          <w:rFonts w:ascii="CG Omega" w:hAnsi="CG Omega"/>
          <w:bCs/>
        </w:rPr>
      </w:pPr>
      <w:r w:rsidRPr="00D66D4B">
        <w:rPr>
          <w:rFonts w:ascii="CG Omega" w:hAnsi="CG Omega"/>
          <w:bCs/>
        </w:rPr>
        <w:t>Non-homeless special needs populations in the state include the elderly and frail elderly, persons living with disabilities, persons with alcohol or other drug addiction, victims of domestic violence, and persons living with HIV</w:t>
      </w:r>
      <w:r w:rsidR="000F42FA">
        <w:rPr>
          <w:rFonts w:ascii="CG Omega" w:hAnsi="CG Omega"/>
          <w:bCs/>
        </w:rPr>
        <w:t>/AIDS</w:t>
      </w:r>
      <w:r w:rsidRPr="00D66D4B">
        <w:rPr>
          <w:rFonts w:ascii="CG Omega" w:hAnsi="CG Omega"/>
          <w:bCs/>
        </w:rPr>
        <w:t xml:space="preserve"> and their families.  These populations are not homeless, but are at the risk of becoming homeless and therefore often require housing and service programs.  The needs of the special needs groups are relative to the programs currently provided.  For example, the elderly population is expected to </w:t>
      </w:r>
      <w:r w:rsidR="00D66D4B">
        <w:rPr>
          <w:rFonts w:ascii="CG Omega" w:hAnsi="CG Omega"/>
          <w:bCs/>
        </w:rPr>
        <w:t>continue to grow</w:t>
      </w:r>
      <w:r w:rsidRPr="00D66D4B">
        <w:rPr>
          <w:rFonts w:ascii="CG Omega" w:hAnsi="CG Omega"/>
          <w:bCs/>
        </w:rPr>
        <w:t xml:space="preserve"> in the near future and will require increased access to home services as well as assisted living and nursing home facilities.</w:t>
      </w:r>
    </w:p>
    <w:p w:rsidR="00765293" w:rsidRPr="00F80970" w:rsidRDefault="00765293" w:rsidP="002B743B">
      <w:pPr>
        <w:jc w:val="both"/>
        <w:rPr>
          <w:rFonts w:ascii="CG Omega" w:hAnsi="CG Omega"/>
          <w:highlight w:val="yellow"/>
        </w:rPr>
      </w:pPr>
    </w:p>
    <w:p w:rsidR="00E218AF" w:rsidRPr="00613415" w:rsidRDefault="00E218AF" w:rsidP="002B743B">
      <w:pPr>
        <w:jc w:val="both"/>
        <w:rPr>
          <w:rFonts w:ascii="CG Omega" w:hAnsi="CG Omega"/>
          <w:b/>
          <w:smallCaps/>
        </w:rPr>
      </w:pPr>
      <w:r w:rsidRPr="00613415">
        <w:rPr>
          <w:rFonts w:ascii="CG Omega" w:hAnsi="CG Omega"/>
          <w:b/>
          <w:smallCaps/>
        </w:rPr>
        <w:t>Community Development Needs Assessment</w:t>
      </w:r>
    </w:p>
    <w:p w:rsidR="00B92C2E" w:rsidRPr="00F80970" w:rsidRDefault="00B92C2E" w:rsidP="002B743B">
      <w:pPr>
        <w:jc w:val="both"/>
        <w:rPr>
          <w:rFonts w:ascii="CG Omega" w:hAnsi="CG Omega"/>
          <w:highlight w:val="yellow"/>
        </w:rPr>
      </w:pPr>
    </w:p>
    <w:p w:rsidR="009B12B1" w:rsidRPr="00955C8C" w:rsidRDefault="009B12B1" w:rsidP="009B12B1">
      <w:pPr>
        <w:jc w:val="both"/>
        <w:rPr>
          <w:rFonts w:ascii="CG Omega" w:hAnsi="CG Omega"/>
          <w:highlight w:val="yellow"/>
        </w:rPr>
      </w:pPr>
      <w:r w:rsidRPr="00FB13FE">
        <w:rPr>
          <w:rFonts w:ascii="CG Omega" w:hAnsi="CG Omega"/>
        </w:rPr>
        <w:t>The 2014 Housing and Community Development Survey provided data on perceived community development needs. Respondents indicated that funding should be primarily devoted to housing and economic development and also to water systems and infrastructure.</w:t>
      </w:r>
      <w:r>
        <w:rPr>
          <w:rFonts w:ascii="CG Omega" w:hAnsi="CG Omega"/>
        </w:rPr>
        <w:t xml:space="preserve"> Attraction of new businesses and retention of existing business received high rankings in terms of economic development activities, while water systems and street/road improvements received high rankings in regard to infrastructure.</w:t>
      </w:r>
      <w:r w:rsidRPr="00FB13FE">
        <w:rPr>
          <w:rFonts w:ascii="CG Omega" w:hAnsi="CG Omega"/>
        </w:rPr>
        <w:t xml:space="preserve"> </w:t>
      </w:r>
      <w:r>
        <w:rPr>
          <w:rFonts w:ascii="CG Omega" w:hAnsi="CG Omega"/>
        </w:rPr>
        <w:t>The water system is also a high priority across the state as demonstrated by Governor Susana Martinez’s new plan that allocated resources to update New Mexico’s outdated infrastructure. As for public services, r</w:t>
      </w:r>
      <w:r w:rsidRPr="00613415">
        <w:rPr>
          <w:rFonts w:ascii="CG Omega" w:hAnsi="CG Omega"/>
        </w:rPr>
        <w:t>espondents</w:t>
      </w:r>
      <w:r>
        <w:rPr>
          <w:rFonts w:ascii="CG Omega" w:hAnsi="CG Omega"/>
        </w:rPr>
        <w:t xml:space="preserve"> to the survey</w:t>
      </w:r>
      <w:r w:rsidRPr="00613415">
        <w:rPr>
          <w:rFonts w:ascii="CG Omega" w:hAnsi="CG Omega"/>
        </w:rPr>
        <w:t xml:space="preserve"> noted mostly high levels of need for </w:t>
      </w:r>
      <w:r w:rsidR="00B71DBB">
        <w:rPr>
          <w:rFonts w:ascii="CG Omega" w:hAnsi="CG Omega"/>
        </w:rPr>
        <w:t>childcare</w:t>
      </w:r>
      <w:r w:rsidRPr="00613415">
        <w:rPr>
          <w:rFonts w:ascii="CG Omega" w:hAnsi="CG Omega"/>
        </w:rPr>
        <w:t xml:space="preserve"> facilities, healthcare and residential treatment facilities, and mental heal</w:t>
      </w:r>
      <w:r>
        <w:rPr>
          <w:rFonts w:ascii="CG Omega" w:hAnsi="CG Omega"/>
        </w:rPr>
        <w:t>th/chemical dependency services.</w:t>
      </w:r>
    </w:p>
    <w:p w:rsidR="00765293" w:rsidRPr="00F80970" w:rsidRDefault="00765293" w:rsidP="002B743B">
      <w:pPr>
        <w:jc w:val="both"/>
        <w:rPr>
          <w:rFonts w:ascii="CG Omega" w:hAnsi="CG Omega"/>
          <w:highlight w:val="yellow"/>
        </w:rPr>
      </w:pPr>
    </w:p>
    <w:p w:rsidR="00E46D3F" w:rsidRPr="00377958" w:rsidRDefault="00E46D3F" w:rsidP="00BB666B">
      <w:pPr>
        <w:pStyle w:val="FirstHead"/>
      </w:pPr>
      <w:bookmarkStart w:id="10" w:name="_Toc399834556"/>
      <w:r w:rsidRPr="00724541">
        <w:t xml:space="preserve">C. </w:t>
      </w:r>
      <w:r w:rsidR="00F66636" w:rsidRPr="00724541">
        <w:t>Five-Year Housing and Community Development Objectives and Strategies</w:t>
      </w:r>
      <w:bookmarkEnd w:id="10"/>
    </w:p>
    <w:p w:rsidR="000C5638" w:rsidRPr="00F80970" w:rsidRDefault="000C5638" w:rsidP="000C5638">
      <w:pPr>
        <w:jc w:val="both"/>
        <w:rPr>
          <w:rFonts w:ascii="CG Omega" w:hAnsi="CG Omega" w:cs="Arial"/>
          <w:b/>
          <w:bCs/>
        </w:rPr>
      </w:pPr>
    </w:p>
    <w:p w:rsidR="000C5638" w:rsidRPr="00377958" w:rsidRDefault="000C5638" w:rsidP="000C5638">
      <w:pPr>
        <w:jc w:val="both"/>
        <w:rPr>
          <w:rFonts w:ascii="CG Omega" w:hAnsi="CG Omega" w:cs="Arial"/>
          <w:bCs/>
          <w:szCs w:val="28"/>
        </w:rPr>
      </w:pPr>
      <w:r w:rsidRPr="00377958">
        <w:rPr>
          <w:rFonts w:ascii="CG Omega" w:hAnsi="CG Omega" w:cs="Arial"/>
          <w:bCs/>
          <w:szCs w:val="28"/>
        </w:rPr>
        <w:t xml:space="preserve">The following list presents the overriding strategies and goals of the New Mexico Five-Year Consolidated Plan for Housing and Community Development, including selected performance criteria associated with each strategy and goal.  Furthermore, there may be </w:t>
      </w:r>
      <w:r w:rsidRPr="00377958">
        <w:rPr>
          <w:rFonts w:ascii="CG Omega" w:hAnsi="CG Omega" w:cs="Arial"/>
          <w:bCs/>
          <w:szCs w:val="28"/>
        </w:rPr>
        <w:lastRenderedPageBreak/>
        <w:t>a need to direct such housing resources by use of project selection criteria, which may be updated annually, based upon year-to-year need and local circumstances.</w:t>
      </w:r>
    </w:p>
    <w:p w:rsidR="000C5638" w:rsidRPr="00F80970" w:rsidRDefault="000C5638" w:rsidP="000C5638">
      <w:pPr>
        <w:tabs>
          <w:tab w:val="left" w:pos="-1440"/>
          <w:tab w:val="left" w:pos="-720"/>
          <w:tab w:val="left" w:pos="0"/>
          <w:tab w:val="left" w:pos="2160"/>
          <w:tab w:val="left" w:pos="2556"/>
          <w:tab w:val="left" w:pos="2880"/>
          <w:tab w:val="left" w:pos="3600"/>
          <w:tab w:val="left" w:pos="4320"/>
          <w:tab w:val="left" w:pos="5040"/>
          <w:tab w:val="left" w:pos="5760"/>
          <w:tab w:val="left" w:pos="6480"/>
          <w:tab w:val="left" w:pos="7200"/>
          <w:tab w:val="left" w:pos="7920"/>
          <w:tab w:val="left" w:pos="8640"/>
        </w:tabs>
        <w:spacing w:line="1" w:lineRule="atLeast"/>
        <w:jc w:val="both"/>
        <w:rPr>
          <w:rFonts w:ascii="CG Omega" w:eastAsia="MS Mincho" w:hAnsi="CG Omega" w:cs="Arial"/>
        </w:rPr>
      </w:pPr>
    </w:p>
    <w:p w:rsidR="00CE0821" w:rsidRPr="000E3CCA" w:rsidRDefault="00CE0821" w:rsidP="00CE0821">
      <w:pPr>
        <w:jc w:val="both"/>
        <w:rPr>
          <w:rFonts w:ascii="CG Omega" w:hAnsi="CG Omega" w:cs="Arial"/>
        </w:rPr>
      </w:pPr>
      <w:r w:rsidRPr="000E3CCA">
        <w:rPr>
          <w:rFonts w:ascii="CG Omega" w:hAnsi="CG Omega" w:cs="Arial"/>
        </w:rPr>
        <w:t>The strategies the state will pursue over the next five years are as follows:</w:t>
      </w:r>
    </w:p>
    <w:p w:rsidR="00CE0821" w:rsidRPr="000E3CCA" w:rsidRDefault="00CE0821" w:rsidP="00CE0821">
      <w:pPr>
        <w:jc w:val="both"/>
        <w:rPr>
          <w:rFonts w:ascii="CG Omega" w:hAnsi="CG Omega" w:cs="Arial"/>
          <w:sz w:val="16"/>
          <w:szCs w:val="16"/>
        </w:rPr>
      </w:pPr>
    </w:p>
    <w:p w:rsidR="00CE0821" w:rsidRPr="000E3CCA" w:rsidRDefault="00CE0821" w:rsidP="0049477B">
      <w:pPr>
        <w:numPr>
          <w:ilvl w:val="0"/>
          <w:numId w:val="21"/>
        </w:numPr>
        <w:jc w:val="both"/>
        <w:rPr>
          <w:rFonts w:ascii="CG Omega" w:hAnsi="CG Omega" w:cs="Arial"/>
        </w:rPr>
      </w:pPr>
      <w:r w:rsidRPr="000E3CCA">
        <w:rPr>
          <w:rFonts w:ascii="CG Omega" w:hAnsi="CG Omega" w:cs="Arial"/>
        </w:rPr>
        <w:t>Expand the supply of quality affordable housing</w:t>
      </w:r>
      <w:r w:rsidR="000F42FA">
        <w:rPr>
          <w:rFonts w:ascii="CG Omega" w:hAnsi="CG Omega" w:cs="Arial"/>
        </w:rPr>
        <w:t>.</w:t>
      </w:r>
    </w:p>
    <w:p w:rsidR="00CE0821" w:rsidRPr="000E3CCA" w:rsidRDefault="00CE0821" w:rsidP="0049477B">
      <w:pPr>
        <w:numPr>
          <w:ilvl w:val="1"/>
          <w:numId w:val="21"/>
        </w:numPr>
        <w:tabs>
          <w:tab w:val="num" w:pos="1080"/>
        </w:tabs>
        <w:spacing w:after="120"/>
        <w:jc w:val="both"/>
        <w:rPr>
          <w:rFonts w:ascii="CG Omega" w:hAnsi="CG Omega" w:cs="Arial"/>
        </w:rPr>
      </w:pPr>
      <w:r>
        <w:rPr>
          <w:rFonts w:ascii="CG Omega" w:hAnsi="CG Omega" w:cs="Arial"/>
        </w:rPr>
        <w:t>Finance multi</w:t>
      </w:r>
      <w:r w:rsidRPr="000E3CCA">
        <w:rPr>
          <w:rFonts w:ascii="CG Omega" w:hAnsi="CG Omega" w:cs="Arial"/>
        </w:rPr>
        <w:t>family rental new construction</w:t>
      </w:r>
      <w:r w:rsidR="000F42FA">
        <w:rPr>
          <w:rFonts w:ascii="CG Omega" w:hAnsi="CG Omega" w:cs="Arial"/>
        </w:rPr>
        <w:t>.</w:t>
      </w:r>
    </w:p>
    <w:p w:rsidR="00CE0821" w:rsidRPr="000E3CCA" w:rsidRDefault="00CE0821" w:rsidP="0049477B">
      <w:pPr>
        <w:numPr>
          <w:ilvl w:val="0"/>
          <w:numId w:val="21"/>
        </w:numPr>
        <w:jc w:val="both"/>
        <w:rPr>
          <w:rFonts w:ascii="CG Omega" w:hAnsi="CG Omega" w:cs="Arial"/>
        </w:rPr>
      </w:pPr>
      <w:r w:rsidRPr="000E3CCA">
        <w:rPr>
          <w:rFonts w:ascii="CG Omega" w:hAnsi="CG Omega" w:cs="Arial"/>
        </w:rPr>
        <w:t>Increase opportunities for homeownership</w:t>
      </w:r>
      <w:r w:rsidR="000F42FA">
        <w:rPr>
          <w:rFonts w:ascii="CG Omega" w:hAnsi="CG Omega" w:cs="Arial"/>
        </w:rPr>
        <w:t>.</w:t>
      </w:r>
    </w:p>
    <w:p w:rsidR="00CE0821" w:rsidRPr="000E3CCA" w:rsidRDefault="00CE0821" w:rsidP="0049477B">
      <w:pPr>
        <w:numPr>
          <w:ilvl w:val="1"/>
          <w:numId w:val="21"/>
        </w:numPr>
        <w:spacing w:after="120"/>
        <w:jc w:val="both"/>
        <w:rPr>
          <w:rFonts w:ascii="CG Omega" w:hAnsi="CG Omega" w:cs="Arial"/>
        </w:rPr>
      </w:pPr>
      <w:r w:rsidRPr="000E3CCA">
        <w:rPr>
          <w:rFonts w:ascii="CG Omega" w:hAnsi="CG Omega" w:cs="Arial"/>
        </w:rPr>
        <w:t>Provide financial assistance to prospective homeowners</w:t>
      </w:r>
      <w:r w:rsidR="000F42FA">
        <w:rPr>
          <w:rFonts w:ascii="CG Omega" w:hAnsi="CG Omega" w:cs="Arial"/>
        </w:rPr>
        <w:t>.</w:t>
      </w:r>
    </w:p>
    <w:p w:rsidR="00CE0821" w:rsidRPr="000E3CCA" w:rsidRDefault="00CE0821" w:rsidP="0049477B">
      <w:pPr>
        <w:numPr>
          <w:ilvl w:val="0"/>
          <w:numId w:val="21"/>
        </w:numPr>
        <w:jc w:val="both"/>
        <w:rPr>
          <w:rFonts w:ascii="CG Omega" w:hAnsi="CG Omega" w:cs="Arial"/>
        </w:rPr>
      </w:pPr>
      <w:r w:rsidRPr="000E3CCA">
        <w:rPr>
          <w:rFonts w:ascii="CG Omega" w:hAnsi="CG Omega" w:cs="Arial"/>
        </w:rPr>
        <w:t>Preserve the state’s existing affordable housing stock</w:t>
      </w:r>
      <w:r w:rsidR="000F42FA">
        <w:rPr>
          <w:rFonts w:ascii="CG Omega" w:hAnsi="CG Omega" w:cs="Arial"/>
        </w:rPr>
        <w:t>.</w:t>
      </w:r>
    </w:p>
    <w:p w:rsidR="00CE0821" w:rsidRPr="000E3CCA" w:rsidRDefault="00CE0821" w:rsidP="0049477B">
      <w:pPr>
        <w:numPr>
          <w:ilvl w:val="1"/>
          <w:numId w:val="21"/>
        </w:numPr>
        <w:jc w:val="both"/>
        <w:rPr>
          <w:rFonts w:ascii="CG Omega" w:hAnsi="CG Omega" w:cs="Arial"/>
        </w:rPr>
      </w:pPr>
      <w:r w:rsidRPr="000E3CCA">
        <w:rPr>
          <w:rFonts w:ascii="CG Omega" w:hAnsi="CG Omega" w:cs="Arial"/>
        </w:rPr>
        <w:t xml:space="preserve">Provide resources for </w:t>
      </w:r>
      <w:r w:rsidR="00B71DBB">
        <w:rPr>
          <w:rFonts w:ascii="CG Omega" w:hAnsi="CG Omega" w:cs="Arial"/>
        </w:rPr>
        <w:t>owner occupied</w:t>
      </w:r>
      <w:r w:rsidRPr="000E3CCA">
        <w:rPr>
          <w:rFonts w:ascii="CG Omega" w:hAnsi="CG Omega" w:cs="Arial"/>
        </w:rPr>
        <w:t xml:space="preserve"> homeowner housing rehabilitation</w:t>
      </w:r>
      <w:r w:rsidR="000F42FA">
        <w:rPr>
          <w:rFonts w:ascii="CG Omega" w:hAnsi="CG Omega" w:cs="Arial"/>
        </w:rPr>
        <w:t>.</w:t>
      </w:r>
    </w:p>
    <w:p w:rsidR="00CE0821" w:rsidRPr="000E3CCA" w:rsidRDefault="00CE0821" w:rsidP="0049477B">
      <w:pPr>
        <w:numPr>
          <w:ilvl w:val="1"/>
          <w:numId w:val="21"/>
        </w:numPr>
        <w:spacing w:after="120"/>
        <w:jc w:val="both"/>
        <w:rPr>
          <w:rFonts w:ascii="CG Omega" w:hAnsi="CG Omega" w:cs="Arial"/>
        </w:rPr>
      </w:pPr>
      <w:r w:rsidRPr="000E3CCA">
        <w:rPr>
          <w:rFonts w:ascii="CG Omega" w:hAnsi="CG Omega" w:cs="Arial"/>
        </w:rPr>
        <w:t>Finance multifamily rental acquisition and rehabilitation</w:t>
      </w:r>
      <w:r w:rsidR="000F42FA">
        <w:rPr>
          <w:rFonts w:ascii="CG Omega" w:hAnsi="CG Omega" w:cs="Arial"/>
        </w:rPr>
        <w:t>.</w:t>
      </w:r>
    </w:p>
    <w:p w:rsidR="00CE0821" w:rsidRPr="000E3CCA" w:rsidRDefault="00CE0821" w:rsidP="0049477B">
      <w:pPr>
        <w:numPr>
          <w:ilvl w:val="0"/>
          <w:numId w:val="21"/>
        </w:numPr>
        <w:jc w:val="both"/>
        <w:rPr>
          <w:rFonts w:ascii="CG Omega" w:hAnsi="CG Omega" w:cs="Arial"/>
        </w:rPr>
      </w:pPr>
      <w:r w:rsidRPr="000E3CCA">
        <w:rPr>
          <w:rFonts w:ascii="CG Omega" w:hAnsi="CG Omega" w:cs="Arial"/>
        </w:rPr>
        <w:t>Provide housing for special needs populations</w:t>
      </w:r>
      <w:r>
        <w:rPr>
          <w:rFonts w:ascii="CG Omega" w:hAnsi="CG Omega" w:cs="Arial"/>
        </w:rPr>
        <w:t>, including HIV/AIDS</w:t>
      </w:r>
      <w:r w:rsidR="000F42FA">
        <w:rPr>
          <w:rFonts w:ascii="CG Omega" w:hAnsi="CG Omega" w:cs="Arial"/>
        </w:rPr>
        <w:t>.</w:t>
      </w:r>
    </w:p>
    <w:p w:rsidR="00CE0821" w:rsidRPr="000E3CCA" w:rsidRDefault="00CE0821" w:rsidP="0049477B">
      <w:pPr>
        <w:numPr>
          <w:ilvl w:val="1"/>
          <w:numId w:val="21"/>
        </w:numPr>
        <w:jc w:val="both"/>
        <w:rPr>
          <w:rFonts w:ascii="CG Omega" w:hAnsi="CG Omega" w:cs="Arial"/>
        </w:rPr>
      </w:pPr>
      <w:r w:rsidRPr="000E3CCA">
        <w:rPr>
          <w:rFonts w:ascii="CG Omega" w:hAnsi="CG Omega" w:cs="Arial"/>
        </w:rPr>
        <w:t>Encourage the development of special needs housing with services</w:t>
      </w:r>
      <w:r w:rsidR="000F42FA">
        <w:rPr>
          <w:rFonts w:ascii="CG Omega" w:hAnsi="CG Omega" w:cs="Arial"/>
        </w:rPr>
        <w:t>.</w:t>
      </w:r>
    </w:p>
    <w:p w:rsidR="00CE0821" w:rsidRPr="000E3CCA" w:rsidRDefault="00CE0821" w:rsidP="0049477B">
      <w:pPr>
        <w:numPr>
          <w:ilvl w:val="1"/>
          <w:numId w:val="21"/>
        </w:numPr>
        <w:jc w:val="both"/>
        <w:rPr>
          <w:rFonts w:ascii="CG Omega" w:hAnsi="CG Omega" w:cs="Arial"/>
        </w:rPr>
      </w:pPr>
      <w:r w:rsidRPr="000E3CCA">
        <w:rPr>
          <w:rFonts w:ascii="CG Omega" w:hAnsi="CG Omega" w:cs="Arial"/>
        </w:rPr>
        <w:t>Expand housing opportunities and access for special needs populations</w:t>
      </w:r>
      <w:r w:rsidR="000F42FA">
        <w:rPr>
          <w:rFonts w:ascii="CG Omega" w:hAnsi="CG Omega" w:cs="Arial"/>
        </w:rPr>
        <w:t>.</w:t>
      </w:r>
    </w:p>
    <w:p w:rsidR="00CE0821" w:rsidRPr="000E3CCA" w:rsidRDefault="00CE0821" w:rsidP="0049477B">
      <w:pPr>
        <w:numPr>
          <w:ilvl w:val="1"/>
          <w:numId w:val="21"/>
        </w:numPr>
        <w:spacing w:after="120"/>
        <w:jc w:val="both"/>
        <w:rPr>
          <w:rFonts w:ascii="CG Omega" w:hAnsi="CG Omega" w:cs="Arial"/>
        </w:rPr>
      </w:pPr>
      <w:r w:rsidRPr="000E3CCA">
        <w:rPr>
          <w:rFonts w:ascii="CG Omega" w:hAnsi="CG Omega" w:cs="Arial"/>
        </w:rPr>
        <w:t xml:space="preserve">Fund </w:t>
      </w:r>
      <w:r w:rsidR="00CC3344">
        <w:rPr>
          <w:rFonts w:ascii="CG Omega" w:hAnsi="CG Omega" w:cs="Arial"/>
        </w:rPr>
        <w:t>nonprofit</w:t>
      </w:r>
      <w:r w:rsidRPr="000E3CCA">
        <w:rPr>
          <w:rFonts w:ascii="CG Omega" w:hAnsi="CG Omega" w:cs="Arial"/>
        </w:rPr>
        <w:t xml:space="preserve"> entities providing housing and related services for persons living with HIV/AIDS</w:t>
      </w:r>
      <w:r w:rsidR="000F42FA">
        <w:rPr>
          <w:rFonts w:ascii="CG Omega" w:hAnsi="CG Omega" w:cs="Arial"/>
        </w:rPr>
        <w:t>.</w:t>
      </w:r>
      <w:r w:rsidRPr="000E3CCA">
        <w:rPr>
          <w:rFonts w:ascii="CG Omega" w:hAnsi="CG Omega" w:cs="Arial"/>
        </w:rPr>
        <w:t xml:space="preserve">  </w:t>
      </w:r>
    </w:p>
    <w:p w:rsidR="00CE0821" w:rsidRPr="000E3CCA" w:rsidRDefault="00CE0821" w:rsidP="0049477B">
      <w:pPr>
        <w:numPr>
          <w:ilvl w:val="0"/>
          <w:numId w:val="21"/>
        </w:numPr>
        <w:jc w:val="both"/>
        <w:rPr>
          <w:rFonts w:ascii="CG Omega" w:hAnsi="CG Omega" w:cs="Arial"/>
        </w:rPr>
      </w:pPr>
      <w:r w:rsidRPr="000E3CCA">
        <w:rPr>
          <w:rFonts w:ascii="CG Omega" w:hAnsi="CG Omega" w:cs="Arial"/>
        </w:rPr>
        <w:t>Reduce the incidence of homelessness</w:t>
      </w:r>
      <w:r w:rsidR="000F42FA">
        <w:rPr>
          <w:rFonts w:ascii="CG Omega" w:hAnsi="CG Omega" w:cs="Arial"/>
        </w:rPr>
        <w:t>.</w:t>
      </w:r>
    </w:p>
    <w:p w:rsidR="00CE0821" w:rsidRPr="000E3CCA" w:rsidRDefault="00CE0821" w:rsidP="0049477B">
      <w:pPr>
        <w:numPr>
          <w:ilvl w:val="1"/>
          <w:numId w:val="21"/>
        </w:numPr>
        <w:jc w:val="both"/>
        <w:rPr>
          <w:rFonts w:ascii="CG Omega" w:hAnsi="CG Omega" w:cs="Arial"/>
        </w:rPr>
      </w:pPr>
      <w:r w:rsidRPr="000E3CCA">
        <w:rPr>
          <w:rFonts w:ascii="CG Omega" w:hAnsi="CG Omega" w:cs="Arial"/>
        </w:rPr>
        <w:t>Increase the level and range of services provided to the homeless and persons at risk of homelessness</w:t>
      </w:r>
      <w:r w:rsidR="000F42FA">
        <w:rPr>
          <w:rFonts w:ascii="CG Omega" w:hAnsi="CG Omega" w:cs="Arial"/>
        </w:rPr>
        <w:t>.</w:t>
      </w:r>
    </w:p>
    <w:p w:rsidR="00CE0821" w:rsidRPr="000E3CCA" w:rsidRDefault="00CE0821" w:rsidP="0049477B">
      <w:pPr>
        <w:numPr>
          <w:ilvl w:val="1"/>
          <w:numId w:val="21"/>
        </w:numPr>
        <w:spacing w:after="120"/>
        <w:jc w:val="both"/>
        <w:rPr>
          <w:rFonts w:ascii="CG Omega" w:hAnsi="CG Omega" w:cs="Arial"/>
        </w:rPr>
      </w:pPr>
      <w:r w:rsidRPr="000E3CCA">
        <w:rPr>
          <w:rFonts w:ascii="CG Omega" w:hAnsi="CG Omega" w:cs="Arial"/>
        </w:rPr>
        <w:t>Increase the number of available living environments, especially permanent housing situations</w:t>
      </w:r>
      <w:r w:rsidR="000F42FA">
        <w:rPr>
          <w:rFonts w:ascii="CG Omega" w:hAnsi="CG Omega" w:cs="Arial"/>
        </w:rPr>
        <w:t>,</w:t>
      </w:r>
      <w:r w:rsidRPr="000E3CCA">
        <w:rPr>
          <w:rFonts w:ascii="CG Omega" w:hAnsi="CG Omega" w:cs="Arial"/>
        </w:rPr>
        <w:t xml:space="preserve"> for persons who have been homeless or are at risk of homelessness.</w:t>
      </w:r>
    </w:p>
    <w:p w:rsidR="00CE0821" w:rsidRPr="000E3CCA" w:rsidRDefault="00CE0821" w:rsidP="0049477B">
      <w:pPr>
        <w:numPr>
          <w:ilvl w:val="0"/>
          <w:numId w:val="21"/>
        </w:numPr>
        <w:jc w:val="both"/>
        <w:rPr>
          <w:rFonts w:ascii="CG Omega" w:hAnsi="CG Omega" w:cs="Arial"/>
        </w:rPr>
      </w:pPr>
      <w:r w:rsidRPr="000E3CCA">
        <w:rPr>
          <w:rFonts w:ascii="CG Omega" w:hAnsi="CG Omega" w:cs="Arial"/>
        </w:rPr>
        <w:t>Enhance the quality of New Mexico’s community development activities.</w:t>
      </w:r>
    </w:p>
    <w:p w:rsidR="00CE0821" w:rsidRPr="000E3CCA" w:rsidRDefault="00CE0821" w:rsidP="0049477B">
      <w:pPr>
        <w:numPr>
          <w:ilvl w:val="1"/>
          <w:numId w:val="21"/>
        </w:numPr>
        <w:jc w:val="both"/>
        <w:rPr>
          <w:rFonts w:ascii="CG Omega" w:hAnsi="CG Omega" w:cs="Arial"/>
        </w:rPr>
      </w:pPr>
      <w:r w:rsidRPr="000E3CCA">
        <w:rPr>
          <w:rFonts w:ascii="CG Omega" w:hAnsi="CG Omega" w:cs="Arial"/>
        </w:rPr>
        <w:t xml:space="preserve">Fund improvements to CDBG </w:t>
      </w:r>
      <w:r w:rsidR="007E2BF2">
        <w:rPr>
          <w:rFonts w:ascii="CG Omega" w:hAnsi="CG Omega" w:cs="Arial"/>
        </w:rPr>
        <w:t>non-</w:t>
      </w:r>
      <w:r w:rsidRPr="000E3CCA">
        <w:rPr>
          <w:rFonts w:ascii="CG Omega" w:hAnsi="CG Omega" w:cs="Arial"/>
        </w:rPr>
        <w:t>entitlement area water and sewer facilities</w:t>
      </w:r>
      <w:r w:rsidR="000F42FA">
        <w:rPr>
          <w:rFonts w:ascii="CG Omega" w:hAnsi="CG Omega" w:cs="Arial"/>
        </w:rPr>
        <w:t>.</w:t>
      </w:r>
    </w:p>
    <w:p w:rsidR="00CE0821" w:rsidRPr="000E3CCA" w:rsidRDefault="00CE0821" w:rsidP="0049477B">
      <w:pPr>
        <w:numPr>
          <w:ilvl w:val="1"/>
          <w:numId w:val="21"/>
        </w:numPr>
        <w:jc w:val="both"/>
        <w:rPr>
          <w:rFonts w:ascii="CG Omega" w:hAnsi="CG Omega" w:cs="Arial"/>
        </w:rPr>
      </w:pPr>
      <w:r w:rsidRPr="000E3CCA">
        <w:rPr>
          <w:rFonts w:ascii="CG Omega" w:hAnsi="CG Omega" w:cs="Arial"/>
        </w:rPr>
        <w:t xml:space="preserve">Fund improvements to CDBG </w:t>
      </w:r>
      <w:r w:rsidR="007E2BF2">
        <w:rPr>
          <w:rFonts w:ascii="CG Omega" w:hAnsi="CG Omega" w:cs="Arial"/>
        </w:rPr>
        <w:t>non-</w:t>
      </w:r>
      <w:r w:rsidRPr="000E3CCA">
        <w:rPr>
          <w:rFonts w:ascii="CG Omega" w:hAnsi="CG Omega" w:cs="Arial"/>
        </w:rPr>
        <w:t>entitlement area streets and storm sewers.</w:t>
      </w:r>
    </w:p>
    <w:p w:rsidR="00CE0821" w:rsidRPr="000E3CCA" w:rsidRDefault="00CE0821" w:rsidP="0049477B">
      <w:pPr>
        <w:numPr>
          <w:ilvl w:val="1"/>
          <w:numId w:val="21"/>
        </w:numPr>
        <w:jc w:val="both"/>
        <w:rPr>
          <w:rFonts w:ascii="CG Omega" w:hAnsi="CG Omega" w:cs="Arial"/>
        </w:rPr>
      </w:pPr>
      <w:r w:rsidRPr="000E3CCA">
        <w:rPr>
          <w:rFonts w:ascii="CG Omega" w:hAnsi="CG Omega" w:cs="Arial"/>
        </w:rPr>
        <w:t xml:space="preserve">Fund infrastructure </w:t>
      </w:r>
      <w:r w:rsidR="0096049E">
        <w:rPr>
          <w:rFonts w:ascii="CG Omega" w:hAnsi="CG Omega" w:cs="Arial"/>
        </w:rPr>
        <w:t xml:space="preserve">CDBG </w:t>
      </w:r>
      <w:r w:rsidRPr="000E3CCA">
        <w:rPr>
          <w:rFonts w:ascii="CG Omega" w:hAnsi="CG Omega" w:cs="Arial"/>
        </w:rPr>
        <w:t>improvements in the colonias</w:t>
      </w:r>
      <w:r w:rsidR="000F42FA">
        <w:rPr>
          <w:rFonts w:ascii="CG Omega" w:hAnsi="CG Omega" w:cs="Arial"/>
        </w:rPr>
        <w:t>.</w:t>
      </w:r>
    </w:p>
    <w:p w:rsidR="00CE0821" w:rsidRPr="000E3CCA" w:rsidRDefault="00CE0821" w:rsidP="0049477B">
      <w:pPr>
        <w:numPr>
          <w:ilvl w:val="1"/>
          <w:numId w:val="21"/>
        </w:numPr>
        <w:spacing w:after="120"/>
        <w:jc w:val="both"/>
        <w:rPr>
          <w:rFonts w:ascii="CG Omega" w:hAnsi="CG Omega" w:cs="Arial"/>
        </w:rPr>
      </w:pPr>
      <w:r w:rsidRPr="000E3CCA">
        <w:rPr>
          <w:rFonts w:ascii="CG Omega" w:hAnsi="CG Omega" w:cs="Arial"/>
        </w:rPr>
        <w:t>Continue set-aside for planning that includes comprehensive planning, asset management, preliminary engineering reports and any other studies or plans listed in</w:t>
      </w:r>
      <w:r w:rsidR="007E2BF2">
        <w:rPr>
          <w:rFonts w:ascii="CG Omega" w:hAnsi="CG Omega" w:cs="Arial"/>
        </w:rPr>
        <w:t xml:space="preserve"> CDBG</w:t>
      </w:r>
      <w:r w:rsidRPr="000E3CCA">
        <w:rPr>
          <w:rFonts w:ascii="CG Omega" w:hAnsi="CG Omega" w:cs="Arial"/>
        </w:rPr>
        <w:t xml:space="preserve"> rules and regulations</w:t>
      </w:r>
    </w:p>
    <w:p w:rsidR="00CE0821" w:rsidRPr="00F80970" w:rsidRDefault="00CE0821" w:rsidP="00CE0821">
      <w:pPr>
        <w:jc w:val="both"/>
        <w:rPr>
          <w:rFonts w:ascii="CG Omega" w:hAnsi="CG Omega" w:cs="Arial"/>
        </w:rPr>
      </w:pPr>
    </w:p>
    <w:p w:rsidR="00CE0821" w:rsidRPr="000E3CCA" w:rsidRDefault="00CE0821" w:rsidP="00CE0821">
      <w:pPr>
        <w:jc w:val="both"/>
        <w:rPr>
          <w:rFonts w:ascii="CG Omega" w:hAnsi="CG Omega" w:cs="Arial"/>
        </w:rPr>
      </w:pPr>
      <w:r w:rsidRPr="000E3CCA">
        <w:rPr>
          <w:rFonts w:ascii="CG Omega" w:hAnsi="CG Omega" w:cs="Arial"/>
        </w:rPr>
        <w:t>Each of the strategies identified above, as well as the objectives consistent with each strategy are discussed in greater detail below. Performance measurement criteria are presented at the end of each strategy narrative.</w:t>
      </w:r>
    </w:p>
    <w:p w:rsidR="00CE0821" w:rsidRPr="000E3CCA" w:rsidRDefault="00CE0821" w:rsidP="00CE0821">
      <w:pPr>
        <w:jc w:val="both"/>
        <w:rPr>
          <w:rFonts w:ascii="CG Omega" w:hAnsi="CG Omega" w:cs="Arial"/>
          <w:sz w:val="16"/>
          <w:szCs w:val="16"/>
          <w:highlight w:val="yellow"/>
        </w:rPr>
      </w:pPr>
    </w:p>
    <w:p w:rsidR="00CE0821" w:rsidRPr="000E3CCA" w:rsidRDefault="00CE0821" w:rsidP="00CE0821">
      <w:pPr>
        <w:keepNext/>
        <w:pBdr>
          <w:bottom w:val="double" w:sz="4" w:space="1" w:color="008000"/>
        </w:pBdr>
        <w:outlineLvl w:val="0"/>
        <w:rPr>
          <w:rFonts w:ascii="CG Omega" w:hAnsi="CG Omega"/>
          <w:b/>
          <w:color w:val="008000"/>
          <w:spacing w:val="-2"/>
          <w:sz w:val="26"/>
          <w:szCs w:val="20"/>
          <w:u w:val="single"/>
        </w:rPr>
      </w:pPr>
      <w:r w:rsidRPr="000E3CCA">
        <w:rPr>
          <w:rFonts w:ascii="CG Omega" w:hAnsi="CG Omega"/>
          <w:b/>
          <w:smallCaps/>
          <w:color w:val="008000"/>
          <w:sz w:val="26"/>
          <w:szCs w:val="20"/>
        </w:rPr>
        <w:t>Strategy 1: Expand the Supply of Quality Affordable Housing</w:t>
      </w:r>
    </w:p>
    <w:p w:rsidR="00CE0821" w:rsidRPr="000E3CCA" w:rsidRDefault="00CE0821" w:rsidP="00CE0821">
      <w:pPr>
        <w:jc w:val="both"/>
        <w:rPr>
          <w:rFonts w:ascii="CG Omega" w:hAnsi="CG Omega" w:cs="Arial"/>
          <w:b/>
          <w:sz w:val="16"/>
          <w:szCs w:val="16"/>
          <w:u w:val="single"/>
        </w:rPr>
      </w:pPr>
    </w:p>
    <w:p w:rsidR="00CE0821" w:rsidRPr="000E3CCA" w:rsidRDefault="00CE0821" w:rsidP="00CE0821">
      <w:pPr>
        <w:jc w:val="both"/>
        <w:rPr>
          <w:rFonts w:ascii="CG Omega" w:hAnsi="CG Omega" w:cs="Arial"/>
        </w:rPr>
      </w:pPr>
      <w:r w:rsidRPr="000E3CCA">
        <w:rPr>
          <w:rFonts w:ascii="CG Omega" w:hAnsi="CG Omega" w:cs="Arial"/>
        </w:rPr>
        <w:t xml:space="preserve">The population throughout New Mexico continues to increase, and this growth is occurring more quickly in the urban areas and declining in the rural areas of the state.  The demand for quality affordable housing will continue to rise along with population, but at different rates depending on the local community’s economic, demographic and housing market conditions.  The goal of </w:t>
      </w:r>
      <w:r w:rsidR="00CC3344">
        <w:rPr>
          <w:rFonts w:ascii="CG Omega" w:hAnsi="CG Omega" w:cs="Arial"/>
        </w:rPr>
        <w:t>MFA</w:t>
      </w:r>
      <w:r w:rsidRPr="000E3CCA">
        <w:rPr>
          <w:rFonts w:ascii="CG Omega" w:hAnsi="CG Omega" w:cs="Arial"/>
        </w:rPr>
        <w:t xml:space="preserve">’s housing programs is, as stated in MFA’s mandate, “to finance the acquisition, construction, rehabilitation, and improvement of residential housing for persons and families of low or moderate income within the state.”  MFA wishes to distribute program resources equitably and in response to specific needs around the state.  MFA will continue to work with CHDOs, for-profits, </w:t>
      </w:r>
      <w:r w:rsidR="00CC3344">
        <w:rPr>
          <w:rFonts w:ascii="CG Omega" w:hAnsi="CG Omega" w:cs="Arial"/>
        </w:rPr>
        <w:t>nonprofit</w:t>
      </w:r>
      <w:r w:rsidRPr="000E3CCA">
        <w:rPr>
          <w:rFonts w:ascii="CG Omega" w:hAnsi="CG Omega" w:cs="Arial"/>
        </w:rPr>
        <w:t xml:space="preserve">s, regional and local housing authorities, tribal housing entities, lenders, </w:t>
      </w:r>
      <w:r>
        <w:rPr>
          <w:rFonts w:ascii="CG Omega" w:hAnsi="CG Omega" w:cs="Arial"/>
        </w:rPr>
        <w:t>local and tribal governments</w:t>
      </w:r>
      <w:r w:rsidRPr="000E3CCA">
        <w:rPr>
          <w:rFonts w:ascii="CG Omega" w:hAnsi="CG Omega" w:cs="Arial"/>
        </w:rPr>
        <w:t xml:space="preserve"> and other agencies to facilitate the production of additional suitable affordable housing choices.</w:t>
      </w:r>
    </w:p>
    <w:p w:rsidR="00CE0821" w:rsidRPr="000E3CCA" w:rsidRDefault="00CE0821" w:rsidP="00CE0821">
      <w:pPr>
        <w:jc w:val="both"/>
        <w:rPr>
          <w:rFonts w:ascii="CG Omega" w:hAnsi="CG Omega" w:cs="Arial"/>
          <w:sz w:val="16"/>
          <w:szCs w:val="16"/>
        </w:rPr>
      </w:pPr>
    </w:p>
    <w:p w:rsidR="00CE0821" w:rsidRPr="000E3CCA" w:rsidRDefault="00CE0821" w:rsidP="00CE0821">
      <w:pPr>
        <w:jc w:val="both"/>
        <w:rPr>
          <w:rFonts w:ascii="CG Omega" w:hAnsi="CG Omega" w:cs="Arial"/>
          <w:b/>
          <w:smallCaps/>
        </w:rPr>
      </w:pPr>
      <w:r w:rsidRPr="000E3CCA">
        <w:rPr>
          <w:rFonts w:ascii="CG Omega" w:hAnsi="CG Omega" w:cs="Arial"/>
          <w:b/>
          <w:smallCaps/>
        </w:rPr>
        <w:t>Objectives</w:t>
      </w:r>
    </w:p>
    <w:p w:rsidR="00CE0821" w:rsidRPr="000E3CCA" w:rsidRDefault="00CE0821" w:rsidP="00CE0821">
      <w:pPr>
        <w:jc w:val="both"/>
        <w:rPr>
          <w:rFonts w:ascii="CG Omega" w:hAnsi="CG Omega" w:cs="Arial"/>
          <w:b/>
          <w:sz w:val="16"/>
          <w:szCs w:val="16"/>
        </w:rPr>
      </w:pPr>
    </w:p>
    <w:p w:rsidR="00CE0821" w:rsidRPr="000E3CCA" w:rsidRDefault="00CE0821" w:rsidP="00CE0821">
      <w:pPr>
        <w:jc w:val="both"/>
        <w:rPr>
          <w:rFonts w:ascii="CG Omega" w:hAnsi="CG Omega" w:cs="Arial"/>
          <w:b/>
        </w:rPr>
      </w:pPr>
      <w:r w:rsidRPr="000E3CCA">
        <w:rPr>
          <w:rFonts w:ascii="CG Omega" w:hAnsi="CG Omega" w:cs="Arial"/>
          <w:b/>
        </w:rPr>
        <w:t>Finance Multifamily Rental Housing New Construction</w:t>
      </w:r>
    </w:p>
    <w:p w:rsidR="00CE0821" w:rsidRPr="000E3CCA" w:rsidRDefault="00CE0821" w:rsidP="00CE0821">
      <w:pPr>
        <w:jc w:val="both"/>
        <w:rPr>
          <w:rFonts w:ascii="CG Omega" w:hAnsi="CG Omega" w:cs="Arial"/>
          <w:b/>
          <w:sz w:val="16"/>
          <w:szCs w:val="16"/>
        </w:rPr>
      </w:pPr>
    </w:p>
    <w:p w:rsidR="00CE0821" w:rsidRPr="000E3CCA" w:rsidRDefault="00CE0821" w:rsidP="00CE0821">
      <w:pPr>
        <w:jc w:val="both"/>
        <w:rPr>
          <w:rFonts w:ascii="CG Omega" w:hAnsi="CG Omega" w:cs="Arial"/>
        </w:rPr>
      </w:pPr>
      <w:r w:rsidRPr="000E3CCA">
        <w:rPr>
          <w:rFonts w:ascii="CG Omega" w:hAnsi="CG Omega" w:cs="Arial"/>
        </w:rPr>
        <w:t xml:space="preserve">Because New Mexico’s population is expanding in the more urban areas and a portion of this population may not be ready for homeownership, there remains a need to provide affordable new construction rental opportunities.  Furthermore, in areas of static, or potentially declining populations, there remain opportunities to redevelop sites with desirable rental housing, thereby assisting to resuscitate communities in New Mexico.  The new construction must be handled in a thoughtful manner that takes into consideration the issues and the long term viability of the entire community.  </w:t>
      </w:r>
    </w:p>
    <w:p w:rsidR="00CE0821" w:rsidRPr="009440E4" w:rsidRDefault="00CE0821" w:rsidP="00CE0821">
      <w:pPr>
        <w:jc w:val="both"/>
        <w:rPr>
          <w:rFonts w:ascii="CG Omega" w:hAnsi="CG Omega" w:cs="Arial"/>
          <w:sz w:val="16"/>
          <w:szCs w:val="16"/>
        </w:rPr>
      </w:pPr>
    </w:p>
    <w:p w:rsidR="00CE0821" w:rsidRPr="000E3CCA" w:rsidRDefault="00CE0821" w:rsidP="00CE0821">
      <w:pPr>
        <w:jc w:val="both"/>
        <w:rPr>
          <w:rFonts w:ascii="CG Omega" w:hAnsi="CG Omega" w:cs="Arial"/>
        </w:rPr>
      </w:pPr>
      <w:r w:rsidRPr="000E3CCA">
        <w:rPr>
          <w:rFonts w:ascii="CG Omega" w:hAnsi="CG Omega" w:cs="Arial"/>
        </w:rPr>
        <w:t xml:space="preserve">This objective can be accomplished through the following goals: </w:t>
      </w:r>
    </w:p>
    <w:p w:rsidR="00CE0821" w:rsidRPr="000E3CCA" w:rsidRDefault="00CE0821" w:rsidP="0049477B">
      <w:pPr>
        <w:numPr>
          <w:ilvl w:val="0"/>
          <w:numId w:val="24"/>
        </w:numPr>
        <w:jc w:val="both"/>
        <w:rPr>
          <w:rFonts w:ascii="CG Omega" w:hAnsi="CG Omega" w:cs="Arial"/>
          <w:b/>
        </w:rPr>
      </w:pPr>
      <w:r w:rsidRPr="000E3CCA">
        <w:rPr>
          <w:rFonts w:ascii="CG Omega" w:hAnsi="CG Omega" w:cs="Arial"/>
        </w:rPr>
        <w:t>Encourag</w:t>
      </w:r>
      <w:r w:rsidR="000F42FA">
        <w:rPr>
          <w:rFonts w:ascii="CG Omega" w:hAnsi="CG Omega" w:cs="Arial"/>
        </w:rPr>
        <w:t>e</w:t>
      </w:r>
      <w:r w:rsidRPr="000E3CCA">
        <w:rPr>
          <w:rFonts w:ascii="CG Omega" w:hAnsi="CG Omega" w:cs="Arial"/>
        </w:rPr>
        <w:t xml:space="preserve"> leveraging of federal resources to generate </w:t>
      </w:r>
      <w:r w:rsidR="00CC3344">
        <w:rPr>
          <w:rFonts w:ascii="CG Omega" w:hAnsi="CG Omega" w:cs="Arial"/>
        </w:rPr>
        <w:t>multifamily</w:t>
      </w:r>
      <w:r w:rsidRPr="000E3CCA">
        <w:rPr>
          <w:rFonts w:ascii="CG Omega" w:hAnsi="CG Omega" w:cs="Arial"/>
        </w:rPr>
        <w:t xml:space="preserve"> rental housing new construction</w:t>
      </w:r>
      <w:r w:rsidR="000F42FA">
        <w:rPr>
          <w:rFonts w:ascii="CG Omega" w:hAnsi="CG Omega" w:cs="Arial"/>
        </w:rPr>
        <w:t>.</w:t>
      </w:r>
    </w:p>
    <w:p w:rsidR="00CE0821" w:rsidRPr="000E3CCA" w:rsidRDefault="00CE0821" w:rsidP="0049477B">
      <w:pPr>
        <w:numPr>
          <w:ilvl w:val="0"/>
          <w:numId w:val="24"/>
        </w:numPr>
        <w:jc w:val="both"/>
        <w:rPr>
          <w:rFonts w:ascii="CG Omega" w:hAnsi="CG Omega" w:cs="Arial"/>
          <w:b/>
        </w:rPr>
      </w:pPr>
      <w:r w:rsidRPr="000E3CCA">
        <w:rPr>
          <w:rFonts w:ascii="CG Omega" w:hAnsi="CG Omega" w:cs="Arial"/>
        </w:rPr>
        <w:t>Facilitat</w:t>
      </w:r>
      <w:r w:rsidR="000F42FA">
        <w:rPr>
          <w:rFonts w:ascii="CG Omega" w:hAnsi="CG Omega" w:cs="Arial"/>
        </w:rPr>
        <w:t>e</w:t>
      </w:r>
      <w:r w:rsidRPr="000E3CCA">
        <w:rPr>
          <w:rFonts w:ascii="CG Omega" w:hAnsi="CG Omega" w:cs="Arial"/>
        </w:rPr>
        <w:t xml:space="preserve"> CHDO set</w:t>
      </w:r>
      <w:r w:rsidR="000F42FA">
        <w:rPr>
          <w:rFonts w:ascii="CG Omega" w:hAnsi="CG Omega" w:cs="Arial"/>
        </w:rPr>
        <w:t>-</w:t>
      </w:r>
      <w:r w:rsidRPr="000E3CCA">
        <w:rPr>
          <w:rFonts w:ascii="CG Omega" w:hAnsi="CG Omega" w:cs="Arial"/>
        </w:rPr>
        <w:t xml:space="preserve">aside resources for </w:t>
      </w:r>
      <w:r w:rsidR="00CC3344">
        <w:rPr>
          <w:rFonts w:ascii="CG Omega" w:hAnsi="CG Omega" w:cs="Arial"/>
        </w:rPr>
        <w:t>multifamily</w:t>
      </w:r>
      <w:r w:rsidRPr="000E3CCA">
        <w:rPr>
          <w:rFonts w:ascii="CG Omega" w:hAnsi="CG Omega" w:cs="Arial"/>
        </w:rPr>
        <w:t xml:space="preserve"> new construction</w:t>
      </w:r>
      <w:r w:rsidR="00F80970">
        <w:rPr>
          <w:rFonts w:ascii="CG Omega" w:hAnsi="CG Omega" w:cs="Arial"/>
        </w:rPr>
        <w:t>.</w:t>
      </w:r>
    </w:p>
    <w:p w:rsidR="00CE0821" w:rsidRPr="000E3CCA" w:rsidRDefault="00CE0821" w:rsidP="0049477B">
      <w:pPr>
        <w:numPr>
          <w:ilvl w:val="0"/>
          <w:numId w:val="24"/>
        </w:numPr>
        <w:jc w:val="both"/>
        <w:rPr>
          <w:rFonts w:ascii="CG Omega" w:hAnsi="CG Omega" w:cs="Arial"/>
        </w:rPr>
      </w:pPr>
      <w:r w:rsidRPr="000E3CCA">
        <w:rPr>
          <w:rFonts w:ascii="CG Omega" w:hAnsi="CG Omega" w:cs="Arial"/>
        </w:rPr>
        <w:t>Fund rental redevelopment opportunities as opportunities are identified.</w:t>
      </w:r>
    </w:p>
    <w:p w:rsidR="00CE0821" w:rsidRPr="00F80970" w:rsidRDefault="00CE0821" w:rsidP="00CE0821">
      <w:pPr>
        <w:jc w:val="both"/>
        <w:rPr>
          <w:rFonts w:ascii="CG Omega" w:hAnsi="CG Omega" w:cs="Arial"/>
          <w:sz w:val="20"/>
          <w:szCs w:val="20"/>
          <w:highlight w:val="yellow"/>
        </w:rPr>
      </w:pPr>
    </w:p>
    <w:p w:rsidR="00CE0821" w:rsidRPr="00F80970" w:rsidRDefault="00CE0821" w:rsidP="00CE0821">
      <w:pPr>
        <w:pBdr>
          <w:bottom w:val="double" w:sz="4" w:space="1" w:color="0000FF"/>
        </w:pBdr>
        <w:jc w:val="both"/>
        <w:rPr>
          <w:rFonts w:ascii="CG Omega" w:hAnsi="CG Omega" w:cs="Arial"/>
          <w:b/>
          <w:color w:val="0000FF"/>
          <w:spacing w:val="3"/>
        </w:rPr>
      </w:pPr>
      <w:r w:rsidRPr="00F80970">
        <w:rPr>
          <w:rFonts w:ascii="CG Omega" w:hAnsi="CG Omega" w:cs="Arial"/>
          <w:b/>
          <w:smallCaps/>
          <w:color w:val="0000FF"/>
        </w:rPr>
        <w:t>Performance Measurement Criteria</w:t>
      </w:r>
    </w:p>
    <w:p w:rsidR="00CE0821" w:rsidRPr="009440E4" w:rsidRDefault="00CE0821" w:rsidP="00CE0821">
      <w:pPr>
        <w:rPr>
          <w:rFonts w:ascii="CG Omega" w:hAnsi="CG Omega"/>
          <w:sz w:val="16"/>
          <w:szCs w:val="16"/>
        </w:rPr>
      </w:pPr>
    </w:p>
    <w:p w:rsidR="00CE0821" w:rsidRPr="000E3CCA" w:rsidRDefault="00CE0821" w:rsidP="00CE0821">
      <w:pPr>
        <w:jc w:val="both"/>
        <w:rPr>
          <w:rFonts w:ascii="CG Omega" w:hAnsi="CG Omega" w:cs="Arial"/>
          <w:b/>
        </w:rPr>
      </w:pPr>
      <w:r w:rsidRPr="000E3CCA">
        <w:rPr>
          <w:rFonts w:ascii="CG Omega" w:hAnsi="CG Omega" w:cs="Arial"/>
          <w:b/>
        </w:rPr>
        <w:t xml:space="preserve">Finance </w:t>
      </w:r>
      <w:r w:rsidR="00CC3344">
        <w:rPr>
          <w:rFonts w:ascii="CG Omega" w:hAnsi="CG Omega" w:cs="Arial"/>
          <w:b/>
        </w:rPr>
        <w:t>Multifamily</w:t>
      </w:r>
      <w:r w:rsidRPr="000E3CCA">
        <w:rPr>
          <w:rFonts w:ascii="CG Omega" w:hAnsi="CG Omega" w:cs="Arial"/>
          <w:b/>
        </w:rPr>
        <w:t xml:space="preserve"> Rental Housing New Construction</w:t>
      </w:r>
    </w:p>
    <w:p w:rsidR="00CE0821" w:rsidRPr="000E3CCA" w:rsidRDefault="00CE0821" w:rsidP="00CE0821">
      <w:pPr>
        <w:ind w:left="360"/>
        <w:jc w:val="both"/>
        <w:rPr>
          <w:rFonts w:ascii="CG Omega" w:hAnsi="CG Omega" w:cs="Arial"/>
          <w:i/>
          <w:sz w:val="16"/>
          <w:szCs w:val="16"/>
        </w:rPr>
      </w:pPr>
    </w:p>
    <w:p w:rsidR="00CE0821" w:rsidRPr="000E3CCA" w:rsidRDefault="00CE0821" w:rsidP="00CE0821">
      <w:pPr>
        <w:ind w:left="720" w:hanging="360"/>
        <w:jc w:val="both"/>
        <w:rPr>
          <w:rFonts w:ascii="CG Omega" w:hAnsi="CG Omega" w:cs="Arial"/>
        </w:rPr>
      </w:pPr>
      <w:r w:rsidRPr="000E3CCA">
        <w:rPr>
          <w:rFonts w:ascii="CG Omega" w:hAnsi="CG Omega" w:cs="Arial"/>
          <w:i/>
        </w:rPr>
        <w:t>Availability/Accessibility</w:t>
      </w:r>
      <w:r w:rsidRPr="000E3CCA">
        <w:rPr>
          <w:rFonts w:ascii="CG Omega" w:hAnsi="CG Omega" w:cs="Arial"/>
        </w:rPr>
        <w:t>: The number of eligible households that benefit from new rental construction</w:t>
      </w:r>
      <w:r w:rsidR="000F42FA">
        <w:rPr>
          <w:rFonts w:ascii="CG Omega" w:hAnsi="CG Omega" w:cs="Arial"/>
        </w:rPr>
        <w:t>.</w:t>
      </w:r>
    </w:p>
    <w:p w:rsidR="00CE0821" w:rsidRPr="000E3CCA" w:rsidRDefault="00CE0821" w:rsidP="00CE0821">
      <w:pPr>
        <w:ind w:left="720" w:hanging="360"/>
        <w:jc w:val="both"/>
        <w:rPr>
          <w:rFonts w:ascii="CG Omega" w:hAnsi="CG Omega" w:cs="Arial"/>
        </w:rPr>
      </w:pPr>
      <w:r w:rsidRPr="000E3CCA">
        <w:rPr>
          <w:rFonts w:ascii="CG Omega" w:hAnsi="CG Omega" w:cs="Arial"/>
          <w:i/>
        </w:rPr>
        <w:t>Affordability</w:t>
      </w:r>
      <w:r w:rsidRPr="000E3CCA">
        <w:rPr>
          <w:rFonts w:ascii="CG Omega" w:hAnsi="CG Omega" w:cs="Arial"/>
        </w:rPr>
        <w:t xml:space="preserve">: The number of affordable rental housing units that have been </w:t>
      </w:r>
      <w:r>
        <w:rPr>
          <w:rFonts w:ascii="CG Omega" w:hAnsi="CG Omega" w:cs="Arial"/>
        </w:rPr>
        <w:t>financed</w:t>
      </w:r>
      <w:r w:rsidR="000F42FA">
        <w:rPr>
          <w:rFonts w:ascii="CG Omega" w:hAnsi="CG Omega" w:cs="Arial"/>
        </w:rPr>
        <w:t>.</w:t>
      </w:r>
    </w:p>
    <w:p w:rsidR="00CE0821" w:rsidRPr="000E3CCA" w:rsidRDefault="00CE0821" w:rsidP="00CE0821">
      <w:pPr>
        <w:ind w:left="720" w:hanging="360"/>
        <w:jc w:val="both"/>
        <w:rPr>
          <w:rFonts w:ascii="CG Omega" w:hAnsi="CG Omega" w:cs="Arial"/>
        </w:rPr>
      </w:pPr>
      <w:r w:rsidRPr="000E3CCA">
        <w:rPr>
          <w:rFonts w:ascii="CG Omega" w:hAnsi="CG Omega" w:cs="Arial"/>
          <w:i/>
        </w:rPr>
        <w:lastRenderedPageBreak/>
        <w:t>Sustainability</w:t>
      </w:r>
      <w:r w:rsidRPr="000E3CCA">
        <w:rPr>
          <w:rFonts w:ascii="CG Omega" w:hAnsi="CG Omega" w:cs="Arial"/>
        </w:rPr>
        <w:t>: The number of affordable rental housing units that have been added to the affordable rental housing stock</w:t>
      </w:r>
      <w:r w:rsidR="000F42FA">
        <w:rPr>
          <w:rFonts w:ascii="CG Omega" w:hAnsi="CG Omega" w:cs="Arial"/>
        </w:rPr>
        <w:t>.</w:t>
      </w:r>
    </w:p>
    <w:p w:rsidR="00CE0821" w:rsidRPr="009440E4" w:rsidRDefault="00CE0821" w:rsidP="00CE0821">
      <w:pPr>
        <w:jc w:val="both"/>
        <w:rPr>
          <w:rFonts w:ascii="CG Omega" w:hAnsi="CG Omega" w:cs="Arial"/>
          <w:sz w:val="16"/>
          <w:szCs w:val="16"/>
        </w:rPr>
      </w:pPr>
    </w:p>
    <w:p w:rsidR="00CE0821" w:rsidRPr="000E3CCA" w:rsidRDefault="00CE0821" w:rsidP="00CE0821">
      <w:pPr>
        <w:keepNext/>
        <w:pBdr>
          <w:bottom w:val="double" w:sz="4" w:space="1" w:color="008000"/>
        </w:pBdr>
        <w:outlineLvl w:val="0"/>
        <w:rPr>
          <w:rFonts w:ascii="CG Omega" w:hAnsi="CG Omega"/>
          <w:b/>
          <w:color w:val="008000"/>
          <w:spacing w:val="-2"/>
          <w:sz w:val="26"/>
          <w:szCs w:val="20"/>
          <w:u w:val="single"/>
        </w:rPr>
      </w:pPr>
      <w:r w:rsidRPr="000E3CCA">
        <w:rPr>
          <w:rFonts w:ascii="CG Omega" w:hAnsi="CG Omega"/>
          <w:b/>
          <w:smallCaps/>
          <w:color w:val="008000"/>
          <w:sz w:val="26"/>
          <w:szCs w:val="20"/>
        </w:rPr>
        <w:t>Strategy 2: Increase Opportunities for Homeownership</w:t>
      </w:r>
    </w:p>
    <w:p w:rsidR="00CE0821" w:rsidRPr="00F80970" w:rsidRDefault="00CE0821" w:rsidP="00CE0821">
      <w:pPr>
        <w:jc w:val="both"/>
        <w:rPr>
          <w:rFonts w:ascii="CG Omega" w:hAnsi="CG Omega" w:cs="Arial"/>
          <w:b/>
          <w:sz w:val="20"/>
          <w:szCs w:val="20"/>
        </w:rPr>
      </w:pPr>
    </w:p>
    <w:p w:rsidR="00CE0821" w:rsidRPr="00F80970" w:rsidRDefault="00CE0821" w:rsidP="00CE0821">
      <w:pPr>
        <w:jc w:val="both"/>
        <w:rPr>
          <w:rFonts w:ascii="CG Omega" w:hAnsi="CG Omega" w:cs="Arial"/>
        </w:rPr>
      </w:pPr>
      <w:r w:rsidRPr="00F80970">
        <w:rPr>
          <w:rFonts w:ascii="CG Omega" w:hAnsi="CG Omega" w:cs="Arial"/>
        </w:rPr>
        <w:t xml:space="preserve">MFA and its service providers are committed to enhancing opportunities for homeownership to eligible low-income citizens.  </w:t>
      </w:r>
    </w:p>
    <w:p w:rsidR="00CE0821" w:rsidRPr="009440E4" w:rsidRDefault="00CE0821" w:rsidP="00CE0821">
      <w:pPr>
        <w:jc w:val="both"/>
        <w:rPr>
          <w:rFonts w:ascii="CG Omega" w:hAnsi="CG Omega" w:cs="Arial"/>
          <w:sz w:val="16"/>
          <w:szCs w:val="16"/>
        </w:rPr>
      </w:pPr>
    </w:p>
    <w:p w:rsidR="00CE0821" w:rsidRPr="00F80970" w:rsidRDefault="00CE0821" w:rsidP="00CE0821">
      <w:pPr>
        <w:jc w:val="both"/>
        <w:rPr>
          <w:rFonts w:ascii="CG Omega" w:hAnsi="CG Omega" w:cs="Arial"/>
          <w:b/>
          <w:smallCaps/>
        </w:rPr>
      </w:pPr>
      <w:r w:rsidRPr="00F80970">
        <w:rPr>
          <w:rFonts w:ascii="CG Omega" w:hAnsi="CG Omega" w:cs="Arial"/>
          <w:b/>
          <w:smallCaps/>
        </w:rPr>
        <w:t>Objectives</w:t>
      </w:r>
    </w:p>
    <w:p w:rsidR="00CE0821" w:rsidRPr="00F80970" w:rsidRDefault="00CE0821" w:rsidP="00CE0821">
      <w:pPr>
        <w:jc w:val="both"/>
        <w:rPr>
          <w:rFonts w:ascii="CG Omega" w:hAnsi="CG Omega" w:cs="Arial"/>
          <w:b/>
          <w:sz w:val="20"/>
          <w:szCs w:val="20"/>
        </w:rPr>
      </w:pPr>
    </w:p>
    <w:p w:rsidR="00CE0821" w:rsidRPr="000E3CCA" w:rsidRDefault="00CE0821" w:rsidP="00CE0821">
      <w:pPr>
        <w:jc w:val="both"/>
        <w:rPr>
          <w:rFonts w:ascii="CG Omega" w:hAnsi="CG Omega" w:cs="Arial"/>
          <w:b/>
        </w:rPr>
      </w:pPr>
      <w:r w:rsidRPr="000E3CCA">
        <w:rPr>
          <w:rFonts w:ascii="CG Omega" w:hAnsi="CG Omega" w:cs="Arial"/>
          <w:b/>
        </w:rPr>
        <w:t>Provide Financial Assistance to First-Time Homebuyers</w:t>
      </w:r>
    </w:p>
    <w:p w:rsidR="00CE0821" w:rsidRPr="000E3CCA" w:rsidRDefault="00CE0821" w:rsidP="00CE0821">
      <w:pPr>
        <w:jc w:val="both"/>
        <w:rPr>
          <w:rFonts w:ascii="CG Omega" w:hAnsi="CG Omega" w:cs="Arial"/>
          <w:b/>
          <w:sz w:val="16"/>
          <w:szCs w:val="16"/>
        </w:rPr>
      </w:pPr>
    </w:p>
    <w:p w:rsidR="00CE0821" w:rsidRPr="000E3CCA" w:rsidRDefault="00CE0821" w:rsidP="00CE0821">
      <w:pPr>
        <w:jc w:val="both"/>
        <w:rPr>
          <w:rFonts w:ascii="CG Omega" w:hAnsi="CG Omega" w:cs="Arial"/>
        </w:rPr>
      </w:pPr>
      <w:r w:rsidRPr="000E3CCA">
        <w:rPr>
          <w:rFonts w:ascii="CG Omega" w:hAnsi="CG Omega" w:cs="Arial"/>
        </w:rPr>
        <w:t xml:space="preserve">This objective can be accomplished through the following goals: </w:t>
      </w:r>
    </w:p>
    <w:p w:rsidR="00CE0821" w:rsidRPr="000E3CCA" w:rsidRDefault="00CE0821" w:rsidP="0049477B">
      <w:pPr>
        <w:numPr>
          <w:ilvl w:val="0"/>
          <w:numId w:val="23"/>
        </w:numPr>
        <w:jc w:val="both"/>
        <w:rPr>
          <w:rFonts w:ascii="CG Omega" w:hAnsi="CG Omega" w:cs="Arial"/>
        </w:rPr>
      </w:pPr>
      <w:r w:rsidRPr="000E3CCA">
        <w:rPr>
          <w:rFonts w:ascii="CG Omega" w:hAnsi="CG Omega" w:cs="Arial"/>
        </w:rPr>
        <w:t>Furnishing homebuyer education classes, financial counseling and post-purchase educational opportunities</w:t>
      </w:r>
      <w:r w:rsidR="000F42FA">
        <w:rPr>
          <w:rFonts w:ascii="CG Omega" w:hAnsi="CG Omega" w:cs="Arial"/>
        </w:rPr>
        <w:t>.</w:t>
      </w:r>
    </w:p>
    <w:p w:rsidR="00CE0821" w:rsidRPr="000E3CCA" w:rsidRDefault="00CE0821" w:rsidP="0049477B">
      <w:pPr>
        <w:numPr>
          <w:ilvl w:val="0"/>
          <w:numId w:val="23"/>
        </w:numPr>
        <w:jc w:val="both"/>
        <w:rPr>
          <w:rFonts w:ascii="CG Omega" w:hAnsi="CG Omega" w:cs="Arial"/>
        </w:rPr>
      </w:pPr>
      <w:r w:rsidRPr="000E3CCA">
        <w:rPr>
          <w:rFonts w:ascii="CG Omega" w:hAnsi="CG Omega" w:cs="Arial"/>
        </w:rPr>
        <w:t>Providing loans, financing and access to credit to qualified low-income buyers</w:t>
      </w:r>
      <w:r w:rsidR="000F42FA">
        <w:rPr>
          <w:rFonts w:ascii="CG Omega" w:hAnsi="CG Omega" w:cs="Arial"/>
        </w:rPr>
        <w:t>.</w:t>
      </w:r>
    </w:p>
    <w:p w:rsidR="00CE0821" w:rsidRPr="000E3CCA" w:rsidRDefault="00CE0821" w:rsidP="009440E4">
      <w:pPr>
        <w:numPr>
          <w:ilvl w:val="0"/>
          <w:numId w:val="23"/>
        </w:numPr>
        <w:jc w:val="both"/>
        <w:rPr>
          <w:rFonts w:ascii="CG Omega" w:hAnsi="CG Omega" w:cs="Arial"/>
        </w:rPr>
      </w:pPr>
      <w:r w:rsidRPr="000E3CCA">
        <w:rPr>
          <w:rFonts w:ascii="CG Omega" w:hAnsi="CG Omega" w:cs="Arial"/>
        </w:rPr>
        <w:t>Providing down payment assistance, providing closing cost assistance, reducing the principal loan amount, or buying down the interest rate</w:t>
      </w:r>
      <w:r w:rsidR="000F42FA">
        <w:rPr>
          <w:rFonts w:ascii="CG Omega" w:hAnsi="CG Omega" w:cs="Arial"/>
        </w:rPr>
        <w:t>.</w:t>
      </w:r>
    </w:p>
    <w:p w:rsidR="00CE0821" w:rsidRPr="000E3CCA" w:rsidRDefault="00CE0821" w:rsidP="00F80970">
      <w:pPr>
        <w:ind w:left="360"/>
        <w:jc w:val="both"/>
        <w:rPr>
          <w:rFonts w:ascii="CG Omega" w:hAnsi="CG Omega" w:cs="Arial"/>
          <w:sz w:val="16"/>
          <w:szCs w:val="16"/>
        </w:rPr>
      </w:pPr>
    </w:p>
    <w:p w:rsidR="00CE0821" w:rsidRPr="000E3CCA" w:rsidRDefault="00CE0821" w:rsidP="00CE0821">
      <w:pPr>
        <w:pBdr>
          <w:bottom w:val="double" w:sz="4" w:space="1" w:color="0000FF"/>
        </w:pBdr>
        <w:jc w:val="both"/>
        <w:rPr>
          <w:rFonts w:ascii="CG Omega" w:hAnsi="CG Omega" w:cs="Arial"/>
          <w:b/>
          <w:color w:val="0000FF"/>
          <w:spacing w:val="3"/>
        </w:rPr>
      </w:pPr>
      <w:r w:rsidRPr="000E3CCA">
        <w:rPr>
          <w:rFonts w:ascii="CG Omega" w:hAnsi="CG Omega" w:cs="Arial"/>
          <w:b/>
          <w:smallCaps/>
          <w:color w:val="0000FF"/>
        </w:rPr>
        <w:t>Performance Measurement Criteria</w:t>
      </w:r>
    </w:p>
    <w:p w:rsidR="00CE0821" w:rsidRPr="000E3CCA" w:rsidRDefault="00CE0821" w:rsidP="00CE0821">
      <w:pPr>
        <w:jc w:val="both"/>
        <w:rPr>
          <w:rFonts w:ascii="CG Omega" w:hAnsi="CG Omega" w:cs="Arial"/>
          <w:b/>
          <w:sz w:val="16"/>
          <w:szCs w:val="16"/>
        </w:rPr>
      </w:pPr>
    </w:p>
    <w:p w:rsidR="00CE0821" w:rsidRPr="000E3CCA" w:rsidRDefault="00CE0821" w:rsidP="00CE0821">
      <w:pPr>
        <w:jc w:val="both"/>
        <w:rPr>
          <w:rFonts w:ascii="CG Omega" w:hAnsi="CG Omega" w:cs="Arial"/>
          <w:b/>
        </w:rPr>
      </w:pPr>
      <w:r w:rsidRPr="000E3CCA">
        <w:rPr>
          <w:rFonts w:ascii="CG Omega" w:hAnsi="CG Omega" w:cs="Arial"/>
          <w:b/>
        </w:rPr>
        <w:t>Provide Financial Assistance to First-Time Homebuyers:</w:t>
      </w:r>
    </w:p>
    <w:p w:rsidR="00CE0821" w:rsidRPr="000E3CCA" w:rsidRDefault="00CE0821" w:rsidP="00CE0821">
      <w:pPr>
        <w:ind w:left="360"/>
        <w:jc w:val="both"/>
        <w:rPr>
          <w:rFonts w:ascii="CG Omega" w:hAnsi="CG Omega" w:cs="Arial"/>
          <w:i/>
          <w:sz w:val="16"/>
          <w:szCs w:val="16"/>
        </w:rPr>
      </w:pPr>
    </w:p>
    <w:p w:rsidR="00CE0821" w:rsidRPr="000E3CCA" w:rsidRDefault="00CE0821" w:rsidP="00CE0821">
      <w:pPr>
        <w:ind w:left="720" w:hanging="360"/>
        <w:jc w:val="both"/>
        <w:rPr>
          <w:rFonts w:ascii="CG Omega" w:hAnsi="CG Omega" w:cs="Arial"/>
        </w:rPr>
      </w:pPr>
      <w:r w:rsidRPr="000E3CCA">
        <w:rPr>
          <w:rFonts w:ascii="CG Omega" w:hAnsi="CG Omega" w:cs="Arial"/>
          <w:i/>
        </w:rPr>
        <w:t>Availability/Accessibility</w:t>
      </w:r>
      <w:r w:rsidRPr="000E3CCA">
        <w:rPr>
          <w:rFonts w:ascii="CG Omega" w:hAnsi="CG Omega" w:cs="Arial"/>
        </w:rPr>
        <w:t>: The number of eligible households that have received educational training, financial counseling or post-purchase educational opportunities</w:t>
      </w:r>
      <w:r w:rsidR="000F42FA">
        <w:rPr>
          <w:rFonts w:ascii="CG Omega" w:hAnsi="CG Omega" w:cs="Arial"/>
        </w:rPr>
        <w:t>.</w:t>
      </w:r>
      <w:r w:rsidRPr="000E3CCA">
        <w:rPr>
          <w:rFonts w:ascii="CG Omega" w:hAnsi="CG Omega" w:cs="Arial"/>
        </w:rPr>
        <w:t xml:space="preserve"> </w:t>
      </w:r>
    </w:p>
    <w:p w:rsidR="00CE0821" w:rsidRPr="000E3CCA" w:rsidRDefault="00CE0821" w:rsidP="00CE0821">
      <w:pPr>
        <w:ind w:left="720" w:hanging="360"/>
        <w:jc w:val="both"/>
        <w:rPr>
          <w:rFonts w:ascii="CG Omega" w:hAnsi="CG Omega" w:cs="Arial"/>
        </w:rPr>
      </w:pPr>
      <w:r w:rsidRPr="000E3CCA">
        <w:rPr>
          <w:rFonts w:ascii="CG Omega" w:hAnsi="CG Omega" w:cs="Arial"/>
          <w:i/>
        </w:rPr>
        <w:t>Affordability</w:t>
      </w:r>
      <w:r w:rsidRPr="000E3CCA">
        <w:rPr>
          <w:rFonts w:ascii="CG Omega" w:hAnsi="CG Omega" w:cs="Arial"/>
        </w:rPr>
        <w:t>:  The number of eligible households that have been able to purchase their first home</w:t>
      </w:r>
      <w:r w:rsidR="000F42FA">
        <w:rPr>
          <w:rFonts w:ascii="CG Omega" w:hAnsi="CG Omega" w:cs="Arial"/>
        </w:rPr>
        <w:t>.</w:t>
      </w:r>
    </w:p>
    <w:p w:rsidR="00CE0821" w:rsidRPr="000E3CCA" w:rsidRDefault="00CE0821" w:rsidP="00CE0821">
      <w:pPr>
        <w:ind w:left="720" w:hanging="360"/>
        <w:jc w:val="both"/>
        <w:rPr>
          <w:rFonts w:ascii="CG Omega" w:hAnsi="CG Omega" w:cs="Arial"/>
        </w:rPr>
      </w:pPr>
      <w:r w:rsidRPr="000E3CCA">
        <w:rPr>
          <w:rFonts w:ascii="CG Omega" w:hAnsi="CG Omega" w:cs="Arial"/>
          <w:i/>
        </w:rPr>
        <w:t>Sustainability</w:t>
      </w:r>
      <w:r w:rsidRPr="000E3CCA">
        <w:rPr>
          <w:rFonts w:ascii="CG Omega" w:hAnsi="CG Omega" w:cs="Arial"/>
        </w:rPr>
        <w:t>:  The number of affordable units that have been acquired by first-time homebuyers through MFA assistance</w:t>
      </w:r>
      <w:r w:rsidR="000F42FA">
        <w:rPr>
          <w:rFonts w:ascii="CG Omega" w:hAnsi="CG Omega" w:cs="Arial"/>
        </w:rPr>
        <w:t>.</w:t>
      </w:r>
    </w:p>
    <w:p w:rsidR="00CE0821" w:rsidRPr="000E3CCA" w:rsidRDefault="00CE0821" w:rsidP="00CE0821">
      <w:pPr>
        <w:keepNext/>
        <w:pBdr>
          <w:bottom w:val="double" w:sz="4" w:space="1" w:color="008000"/>
        </w:pBdr>
        <w:outlineLvl w:val="0"/>
        <w:rPr>
          <w:rFonts w:ascii="CG Omega" w:hAnsi="CG Omega"/>
          <w:b/>
          <w:color w:val="008000"/>
          <w:spacing w:val="-2"/>
          <w:sz w:val="26"/>
          <w:szCs w:val="20"/>
          <w:u w:val="single"/>
        </w:rPr>
      </w:pPr>
      <w:r w:rsidRPr="000E3CCA">
        <w:rPr>
          <w:rFonts w:ascii="CG Omega" w:hAnsi="CG Omega"/>
          <w:b/>
          <w:smallCaps/>
          <w:color w:val="008000"/>
          <w:sz w:val="26"/>
          <w:szCs w:val="20"/>
        </w:rPr>
        <w:t>Strategy 3: Preserve the State’s Affordable Housing Stock</w:t>
      </w:r>
    </w:p>
    <w:p w:rsidR="00CE0821" w:rsidRPr="000E3CCA" w:rsidRDefault="00CE0821" w:rsidP="00CE0821">
      <w:pPr>
        <w:jc w:val="both"/>
        <w:rPr>
          <w:rFonts w:ascii="CG Omega" w:hAnsi="CG Omega" w:cs="Arial"/>
          <w:sz w:val="16"/>
          <w:szCs w:val="16"/>
        </w:rPr>
      </w:pPr>
    </w:p>
    <w:p w:rsidR="00CE0821" w:rsidRPr="000E3CCA" w:rsidRDefault="00CE0821" w:rsidP="00CE0821">
      <w:pPr>
        <w:jc w:val="both"/>
        <w:rPr>
          <w:rFonts w:ascii="CG Omega" w:hAnsi="CG Omega" w:cs="Arial"/>
        </w:rPr>
      </w:pPr>
      <w:r w:rsidRPr="000E3CCA">
        <w:rPr>
          <w:rFonts w:ascii="CG Omega" w:hAnsi="CG Omega" w:cs="Arial"/>
        </w:rPr>
        <w:t xml:space="preserve">The state of New Mexico has many housing units that are indicative of key cultural and societal values, but at the same time these units are in need of repair and maintenance.  Furthermore, some areas of the state are growing slowly, thereby affecting demand for existing structures in need of upkeep.  It is the position of </w:t>
      </w:r>
      <w:r w:rsidR="00CC3344">
        <w:rPr>
          <w:rFonts w:ascii="CG Omega" w:hAnsi="CG Omega" w:cs="Arial"/>
        </w:rPr>
        <w:t>MFA</w:t>
      </w:r>
      <w:r w:rsidRPr="000E3CCA">
        <w:rPr>
          <w:rFonts w:ascii="CG Omega" w:hAnsi="CG Omega" w:cs="Arial"/>
        </w:rPr>
        <w:t xml:space="preserve"> that for those homes that are suitable for rehabilitation, efforts need to be taken to preserve properties suitable for repair as well as those properties with historic, architectural or cultural value for future generations.</w:t>
      </w:r>
    </w:p>
    <w:p w:rsidR="00CE0821" w:rsidRPr="000E3CCA" w:rsidRDefault="00CE0821" w:rsidP="00CE0821">
      <w:pPr>
        <w:jc w:val="both"/>
        <w:rPr>
          <w:rFonts w:ascii="CG Omega" w:hAnsi="CG Omega" w:cs="Arial"/>
          <w:sz w:val="16"/>
          <w:szCs w:val="16"/>
        </w:rPr>
      </w:pPr>
    </w:p>
    <w:p w:rsidR="00CE0821" w:rsidRPr="000E3CCA" w:rsidRDefault="00CE0821" w:rsidP="00CE0821">
      <w:pPr>
        <w:spacing w:after="120"/>
        <w:jc w:val="both"/>
        <w:rPr>
          <w:rFonts w:ascii="CG Omega" w:hAnsi="CG Omega" w:cs="Arial"/>
          <w:b/>
        </w:rPr>
      </w:pPr>
      <w:r w:rsidRPr="000E3CCA">
        <w:rPr>
          <w:rFonts w:ascii="CG Omega" w:hAnsi="CG Omega" w:cs="Arial"/>
          <w:b/>
        </w:rPr>
        <w:t>Provide Resources for O</w:t>
      </w:r>
      <w:r w:rsidR="009440E4">
        <w:rPr>
          <w:rFonts w:ascii="CG Omega" w:hAnsi="CG Omega" w:cs="Arial"/>
          <w:b/>
        </w:rPr>
        <w:t xml:space="preserve">wner </w:t>
      </w:r>
      <w:r w:rsidRPr="000E3CCA">
        <w:rPr>
          <w:rFonts w:ascii="CG Omega" w:hAnsi="CG Omega" w:cs="Arial"/>
          <w:b/>
        </w:rPr>
        <w:t>Occupied Homeowner Housing Rehabilitation</w:t>
      </w:r>
    </w:p>
    <w:p w:rsidR="00CE0821" w:rsidRPr="000E3CCA" w:rsidRDefault="00CE0821" w:rsidP="00CE0821">
      <w:pPr>
        <w:spacing w:after="120"/>
        <w:jc w:val="both"/>
        <w:rPr>
          <w:rFonts w:ascii="CG Omega" w:hAnsi="CG Omega" w:cs="Arial"/>
        </w:rPr>
      </w:pPr>
      <w:r w:rsidRPr="000E3CCA">
        <w:rPr>
          <w:rFonts w:ascii="CG Omega" w:hAnsi="CG Omega" w:cs="Arial"/>
        </w:rPr>
        <w:lastRenderedPageBreak/>
        <w:t xml:space="preserve">This objective can be accomplished through the following goals: </w:t>
      </w:r>
    </w:p>
    <w:p w:rsidR="00CE0821" w:rsidRPr="000E3CCA" w:rsidRDefault="00CE0821" w:rsidP="0049477B">
      <w:pPr>
        <w:numPr>
          <w:ilvl w:val="0"/>
          <w:numId w:val="25"/>
        </w:numPr>
        <w:jc w:val="both"/>
        <w:rPr>
          <w:rFonts w:ascii="CG Omega" w:hAnsi="CG Omega" w:cs="Arial"/>
        </w:rPr>
      </w:pPr>
      <w:r w:rsidRPr="000E3CCA">
        <w:rPr>
          <w:rFonts w:ascii="CG Omega" w:hAnsi="CG Omega" w:cs="Arial"/>
        </w:rPr>
        <w:t xml:space="preserve">Facilitating </w:t>
      </w:r>
      <w:r w:rsidR="00B71DBB">
        <w:rPr>
          <w:rFonts w:ascii="CG Omega" w:hAnsi="CG Omega" w:cs="Arial"/>
        </w:rPr>
        <w:t>owner occupied</w:t>
      </w:r>
      <w:r w:rsidRPr="000E3CCA">
        <w:rPr>
          <w:rFonts w:ascii="CG Omega" w:hAnsi="CG Omega" w:cs="Arial"/>
        </w:rPr>
        <w:t xml:space="preserve"> housing rehabilitation</w:t>
      </w:r>
      <w:r w:rsidR="000F42FA">
        <w:rPr>
          <w:rFonts w:ascii="CG Omega" w:hAnsi="CG Omega" w:cs="Arial"/>
        </w:rPr>
        <w:t>.</w:t>
      </w:r>
    </w:p>
    <w:p w:rsidR="00CE0821" w:rsidRPr="000E3CCA" w:rsidRDefault="00CE0821" w:rsidP="0049477B">
      <w:pPr>
        <w:numPr>
          <w:ilvl w:val="0"/>
          <w:numId w:val="25"/>
        </w:numPr>
        <w:jc w:val="both"/>
        <w:rPr>
          <w:rFonts w:ascii="CG Omega" w:hAnsi="CG Omega" w:cs="Arial"/>
        </w:rPr>
      </w:pPr>
      <w:r>
        <w:rPr>
          <w:rFonts w:ascii="CG Omega" w:hAnsi="CG Omega" w:cs="Arial"/>
        </w:rPr>
        <w:t xml:space="preserve">Explore funding for </w:t>
      </w:r>
      <w:r w:rsidRPr="000E3CCA">
        <w:rPr>
          <w:rFonts w:ascii="CG Omega" w:hAnsi="CG Omega" w:cs="Arial"/>
        </w:rPr>
        <w:t xml:space="preserve">emergency repair, weatherization or accessibility improvements to </w:t>
      </w:r>
      <w:r w:rsidR="00B71DBB">
        <w:rPr>
          <w:rFonts w:ascii="CG Omega" w:hAnsi="CG Omega" w:cs="Arial"/>
        </w:rPr>
        <w:t>owner occupied</w:t>
      </w:r>
      <w:r w:rsidRPr="000E3CCA">
        <w:rPr>
          <w:rFonts w:ascii="CG Omega" w:hAnsi="CG Omega" w:cs="Arial"/>
        </w:rPr>
        <w:t xml:space="preserve"> units</w:t>
      </w:r>
      <w:r w:rsidR="000F42FA">
        <w:rPr>
          <w:rFonts w:ascii="CG Omega" w:hAnsi="CG Omega" w:cs="Arial"/>
        </w:rPr>
        <w:t>.</w:t>
      </w:r>
    </w:p>
    <w:p w:rsidR="00CE0821" w:rsidRPr="000E3CCA" w:rsidRDefault="00CE0821" w:rsidP="00CE0821">
      <w:pPr>
        <w:jc w:val="both"/>
        <w:rPr>
          <w:rFonts w:ascii="CG Omega" w:hAnsi="CG Omega" w:cs="Arial"/>
          <w:sz w:val="16"/>
          <w:szCs w:val="16"/>
        </w:rPr>
      </w:pPr>
    </w:p>
    <w:p w:rsidR="00CE0821" w:rsidRPr="000E3CCA" w:rsidRDefault="00CE0821" w:rsidP="00CE0821">
      <w:pPr>
        <w:spacing w:after="120"/>
        <w:jc w:val="both"/>
        <w:rPr>
          <w:rFonts w:ascii="CG Omega" w:hAnsi="CG Omega" w:cs="Arial"/>
          <w:b/>
        </w:rPr>
      </w:pPr>
      <w:r w:rsidRPr="000E3CCA">
        <w:rPr>
          <w:rFonts w:ascii="CG Omega" w:hAnsi="CG Omega" w:cs="Arial"/>
          <w:b/>
        </w:rPr>
        <w:t>Finance Multifamily Rental Acquisition and Rehabilitation</w:t>
      </w:r>
    </w:p>
    <w:p w:rsidR="00CE0821" w:rsidRPr="000E3CCA" w:rsidRDefault="00CE0821" w:rsidP="00CE0821">
      <w:pPr>
        <w:jc w:val="both"/>
        <w:rPr>
          <w:rFonts w:ascii="CG Omega" w:hAnsi="CG Omega" w:cs="Arial"/>
        </w:rPr>
      </w:pPr>
      <w:r w:rsidRPr="000E3CCA">
        <w:rPr>
          <w:rFonts w:ascii="CG Omega" w:hAnsi="CG Omega" w:cs="Arial"/>
        </w:rPr>
        <w:t>This objective can be accomplished through the following goals:</w:t>
      </w:r>
    </w:p>
    <w:p w:rsidR="00CE0821" w:rsidRPr="000E3CCA" w:rsidRDefault="00CE0821" w:rsidP="0049477B">
      <w:pPr>
        <w:numPr>
          <w:ilvl w:val="0"/>
          <w:numId w:val="26"/>
        </w:numPr>
        <w:jc w:val="both"/>
        <w:rPr>
          <w:rFonts w:ascii="CG Omega" w:hAnsi="CG Omega" w:cs="Arial"/>
          <w:b/>
        </w:rPr>
      </w:pPr>
      <w:r w:rsidRPr="000E3CCA">
        <w:rPr>
          <w:rFonts w:ascii="CG Omega" w:hAnsi="CG Omega" w:cs="Arial"/>
        </w:rPr>
        <w:t>Encourag</w:t>
      </w:r>
      <w:r w:rsidR="004D5232">
        <w:rPr>
          <w:rFonts w:ascii="CG Omega" w:hAnsi="CG Omega" w:cs="Arial"/>
        </w:rPr>
        <w:t>e</w:t>
      </w:r>
      <w:r w:rsidRPr="000E3CCA">
        <w:rPr>
          <w:rFonts w:ascii="CG Omega" w:hAnsi="CG Omega" w:cs="Arial"/>
        </w:rPr>
        <w:t xml:space="preserve"> leveraging of federal resources to stimulate rental housing acquisition and rehabilitation</w:t>
      </w:r>
      <w:r w:rsidR="000F42FA">
        <w:rPr>
          <w:rFonts w:ascii="CG Omega" w:hAnsi="CG Omega" w:cs="Arial"/>
        </w:rPr>
        <w:t>.</w:t>
      </w:r>
    </w:p>
    <w:p w:rsidR="00CE0821" w:rsidRPr="000E3CCA" w:rsidRDefault="004D5232" w:rsidP="0049477B">
      <w:pPr>
        <w:numPr>
          <w:ilvl w:val="0"/>
          <w:numId w:val="26"/>
        </w:numPr>
        <w:jc w:val="both"/>
        <w:rPr>
          <w:rFonts w:ascii="CG Omega" w:hAnsi="CG Omega" w:cs="Arial"/>
          <w:b/>
        </w:rPr>
      </w:pPr>
      <w:r w:rsidRPr="000E3CCA">
        <w:rPr>
          <w:rFonts w:ascii="CG Omega" w:hAnsi="CG Omega" w:cs="Arial"/>
        </w:rPr>
        <w:t>Facilitat</w:t>
      </w:r>
      <w:r>
        <w:rPr>
          <w:rFonts w:ascii="CG Omega" w:hAnsi="CG Omega" w:cs="Arial"/>
        </w:rPr>
        <w:t>e</w:t>
      </w:r>
      <w:r w:rsidRPr="000E3CCA">
        <w:rPr>
          <w:rFonts w:ascii="CG Omega" w:hAnsi="CG Omega" w:cs="Arial"/>
        </w:rPr>
        <w:t xml:space="preserve"> </w:t>
      </w:r>
      <w:r w:rsidR="00CE0821" w:rsidRPr="000E3CCA">
        <w:rPr>
          <w:rFonts w:ascii="CG Omega" w:hAnsi="CG Omega" w:cs="Arial"/>
        </w:rPr>
        <w:t>CHDO set</w:t>
      </w:r>
      <w:r>
        <w:rPr>
          <w:rFonts w:ascii="CG Omega" w:hAnsi="CG Omega" w:cs="Arial"/>
        </w:rPr>
        <w:t>-</w:t>
      </w:r>
      <w:r w:rsidR="00CE0821" w:rsidRPr="000E3CCA">
        <w:rPr>
          <w:rFonts w:ascii="CG Omega" w:hAnsi="CG Omega" w:cs="Arial"/>
        </w:rPr>
        <w:t xml:space="preserve">aside resources for rental </w:t>
      </w:r>
      <w:r w:rsidR="00CE0821">
        <w:rPr>
          <w:rFonts w:ascii="CG Omega" w:hAnsi="CG Omega" w:cs="Arial"/>
        </w:rPr>
        <w:t>acquisition and rehabilitation</w:t>
      </w:r>
      <w:r w:rsidR="000F42FA">
        <w:rPr>
          <w:rFonts w:ascii="CG Omega" w:hAnsi="CG Omega" w:cs="Arial"/>
        </w:rPr>
        <w:t>.</w:t>
      </w:r>
    </w:p>
    <w:p w:rsidR="00CE0821" w:rsidRPr="000E3CCA" w:rsidRDefault="00CE0821" w:rsidP="00CE0821">
      <w:pPr>
        <w:jc w:val="both"/>
        <w:rPr>
          <w:rFonts w:ascii="CG Omega" w:hAnsi="CG Omega" w:cs="Arial"/>
          <w:b/>
          <w:sz w:val="16"/>
          <w:szCs w:val="16"/>
        </w:rPr>
      </w:pPr>
    </w:p>
    <w:p w:rsidR="00CE0821" w:rsidRPr="000E3CCA" w:rsidRDefault="00CE0821" w:rsidP="00CE0821">
      <w:pPr>
        <w:pBdr>
          <w:bottom w:val="double" w:sz="4" w:space="1" w:color="0000FF"/>
        </w:pBdr>
        <w:jc w:val="both"/>
        <w:rPr>
          <w:rFonts w:ascii="CG Omega" w:hAnsi="CG Omega" w:cs="Arial"/>
          <w:b/>
          <w:color w:val="0000FF"/>
          <w:spacing w:val="3"/>
        </w:rPr>
      </w:pPr>
      <w:r w:rsidRPr="000E3CCA">
        <w:rPr>
          <w:rFonts w:ascii="CG Omega" w:hAnsi="CG Omega" w:cs="Arial"/>
          <w:b/>
          <w:smallCaps/>
          <w:color w:val="0000FF"/>
        </w:rPr>
        <w:t>Performance Measurement Criteria</w:t>
      </w:r>
    </w:p>
    <w:p w:rsidR="00CE0821" w:rsidRPr="000E3CCA" w:rsidRDefault="00CE0821" w:rsidP="00CE0821">
      <w:pPr>
        <w:jc w:val="both"/>
        <w:rPr>
          <w:rFonts w:ascii="CG Omega" w:hAnsi="CG Omega" w:cs="Arial"/>
          <w:b/>
          <w:sz w:val="16"/>
          <w:szCs w:val="16"/>
        </w:rPr>
      </w:pPr>
    </w:p>
    <w:p w:rsidR="00CE0821" w:rsidRPr="000E3CCA" w:rsidRDefault="00CE0821" w:rsidP="00CE0821">
      <w:pPr>
        <w:spacing w:after="120"/>
        <w:jc w:val="both"/>
        <w:rPr>
          <w:rFonts w:ascii="CG Omega" w:hAnsi="CG Omega" w:cs="Arial"/>
          <w:b/>
        </w:rPr>
      </w:pPr>
      <w:r w:rsidRPr="000E3CCA">
        <w:rPr>
          <w:rFonts w:ascii="CG Omega" w:hAnsi="CG Omega" w:cs="Arial"/>
          <w:b/>
        </w:rPr>
        <w:t xml:space="preserve">Provide Resources for </w:t>
      </w:r>
      <w:r w:rsidR="00B71DBB">
        <w:rPr>
          <w:rFonts w:ascii="CG Omega" w:hAnsi="CG Omega" w:cs="Arial"/>
          <w:b/>
        </w:rPr>
        <w:t xml:space="preserve">Owner </w:t>
      </w:r>
      <w:r w:rsidR="009440E4">
        <w:rPr>
          <w:rFonts w:ascii="CG Omega" w:hAnsi="CG Omega" w:cs="Arial"/>
          <w:b/>
        </w:rPr>
        <w:t>O</w:t>
      </w:r>
      <w:r w:rsidR="00B71DBB">
        <w:rPr>
          <w:rFonts w:ascii="CG Omega" w:hAnsi="CG Omega" w:cs="Arial"/>
          <w:b/>
        </w:rPr>
        <w:t>ccupied</w:t>
      </w:r>
      <w:r w:rsidRPr="000E3CCA">
        <w:rPr>
          <w:rFonts w:ascii="CG Omega" w:hAnsi="CG Omega" w:cs="Arial"/>
          <w:b/>
        </w:rPr>
        <w:t xml:space="preserve"> Homeowner Housing Rehabilitation:</w:t>
      </w:r>
    </w:p>
    <w:p w:rsidR="00CE0821" w:rsidRPr="000E3CCA" w:rsidRDefault="00CE0821" w:rsidP="00CE0821">
      <w:pPr>
        <w:ind w:left="720" w:hanging="360"/>
        <w:jc w:val="both"/>
        <w:rPr>
          <w:rFonts w:ascii="CG Omega" w:hAnsi="CG Omega" w:cs="Arial"/>
        </w:rPr>
      </w:pPr>
      <w:r w:rsidRPr="000E3CCA">
        <w:rPr>
          <w:rFonts w:ascii="CG Omega" w:hAnsi="CG Omega" w:cs="Arial"/>
          <w:i/>
        </w:rPr>
        <w:t>Availability/Accessibility</w:t>
      </w:r>
      <w:r w:rsidRPr="000E3CCA">
        <w:rPr>
          <w:rFonts w:ascii="CG Omega" w:hAnsi="CG Omega" w:cs="Arial"/>
        </w:rPr>
        <w:t xml:space="preserve">:  The number of eligible homeowner households that have received such </w:t>
      </w:r>
      <w:r w:rsidR="000F42FA">
        <w:rPr>
          <w:rFonts w:ascii="CG Omega" w:hAnsi="CG Omega" w:cs="Arial"/>
        </w:rPr>
        <w:t>rehabilitation</w:t>
      </w:r>
      <w:r w:rsidR="004D5232">
        <w:rPr>
          <w:rFonts w:ascii="CG Omega" w:hAnsi="CG Omega" w:cs="Arial"/>
        </w:rPr>
        <w:t>.</w:t>
      </w:r>
    </w:p>
    <w:p w:rsidR="00CE0821" w:rsidRPr="000E3CCA" w:rsidRDefault="00CE0821" w:rsidP="00CE0821">
      <w:pPr>
        <w:ind w:left="720" w:hanging="360"/>
        <w:jc w:val="both"/>
        <w:rPr>
          <w:rFonts w:ascii="CG Omega" w:hAnsi="CG Omega" w:cs="Arial"/>
        </w:rPr>
      </w:pPr>
      <w:r w:rsidRPr="000E3CCA">
        <w:rPr>
          <w:rFonts w:ascii="CG Omega" w:hAnsi="CG Omega" w:cs="Arial"/>
          <w:i/>
        </w:rPr>
        <w:t>Affordability</w:t>
      </w:r>
      <w:r w:rsidRPr="000E3CCA">
        <w:rPr>
          <w:rFonts w:ascii="CG Omega" w:hAnsi="CG Omega" w:cs="Arial"/>
        </w:rPr>
        <w:t xml:space="preserve">: The number of affordable housing units that have been </w:t>
      </w:r>
      <w:r>
        <w:rPr>
          <w:rFonts w:ascii="CG Omega" w:hAnsi="CG Omega" w:cs="Arial"/>
        </w:rPr>
        <w:t>rehabilitated</w:t>
      </w:r>
      <w:r w:rsidR="004D5232">
        <w:rPr>
          <w:rFonts w:ascii="CG Omega" w:hAnsi="CG Omega" w:cs="Arial"/>
        </w:rPr>
        <w:t>.</w:t>
      </w:r>
    </w:p>
    <w:p w:rsidR="00CE0821" w:rsidRPr="000E3CCA" w:rsidRDefault="00CE0821" w:rsidP="00CE0821">
      <w:pPr>
        <w:ind w:left="720" w:hanging="360"/>
        <w:jc w:val="both"/>
        <w:rPr>
          <w:rFonts w:ascii="CG Omega" w:hAnsi="CG Omega" w:cs="Arial"/>
        </w:rPr>
      </w:pPr>
      <w:r w:rsidRPr="000E3CCA">
        <w:rPr>
          <w:rFonts w:ascii="CG Omega" w:hAnsi="CG Omega" w:cs="Arial"/>
          <w:i/>
        </w:rPr>
        <w:t>Sustainability</w:t>
      </w:r>
      <w:r w:rsidRPr="000E3CCA">
        <w:rPr>
          <w:rFonts w:ascii="CG Omega" w:hAnsi="CG Omega" w:cs="Arial"/>
        </w:rPr>
        <w:t>: The number of affordable homeowner units that have been rehabilitated and remain affordable</w:t>
      </w:r>
      <w:r w:rsidR="004D5232">
        <w:rPr>
          <w:rFonts w:ascii="CG Omega" w:hAnsi="CG Omega" w:cs="Arial"/>
        </w:rPr>
        <w:t>.</w:t>
      </w:r>
    </w:p>
    <w:p w:rsidR="00CE0821" w:rsidRPr="000E3CCA" w:rsidRDefault="00CE0821" w:rsidP="00CE0821">
      <w:pPr>
        <w:jc w:val="both"/>
        <w:rPr>
          <w:rFonts w:ascii="CG Omega" w:hAnsi="CG Omega" w:cs="Arial"/>
          <w:b/>
          <w:sz w:val="16"/>
          <w:szCs w:val="16"/>
        </w:rPr>
      </w:pPr>
    </w:p>
    <w:p w:rsidR="00CE0821" w:rsidRPr="000E3CCA" w:rsidRDefault="00CE0821" w:rsidP="00CE0821">
      <w:pPr>
        <w:spacing w:after="120"/>
        <w:jc w:val="both"/>
        <w:rPr>
          <w:rFonts w:ascii="CG Omega" w:hAnsi="CG Omega" w:cs="Arial"/>
          <w:b/>
        </w:rPr>
      </w:pPr>
      <w:r w:rsidRPr="000E3CCA">
        <w:rPr>
          <w:rFonts w:ascii="CG Omega" w:hAnsi="CG Omega" w:cs="Arial"/>
          <w:b/>
        </w:rPr>
        <w:t xml:space="preserve">Finance </w:t>
      </w:r>
      <w:r w:rsidR="00CC3344">
        <w:rPr>
          <w:rFonts w:ascii="CG Omega" w:hAnsi="CG Omega" w:cs="Arial"/>
          <w:b/>
        </w:rPr>
        <w:t>Multifamily</w:t>
      </w:r>
      <w:r w:rsidRPr="000E3CCA">
        <w:rPr>
          <w:rFonts w:ascii="CG Omega" w:hAnsi="CG Omega" w:cs="Arial"/>
          <w:b/>
        </w:rPr>
        <w:t xml:space="preserve"> Rental Acquisition and Rehabilitation:</w:t>
      </w:r>
    </w:p>
    <w:p w:rsidR="00CE0821" w:rsidRPr="000E3CCA" w:rsidRDefault="00CE0821" w:rsidP="00CE0821">
      <w:pPr>
        <w:ind w:left="720" w:hanging="360"/>
        <w:jc w:val="both"/>
        <w:rPr>
          <w:rFonts w:ascii="CG Omega" w:hAnsi="CG Omega" w:cs="Arial"/>
        </w:rPr>
      </w:pPr>
      <w:r w:rsidRPr="000E3CCA">
        <w:rPr>
          <w:rFonts w:ascii="CG Omega" w:hAnsi="CG Omega" w:cs="Arial"/>
          <w:i/>
        </w:rPr>
        <w:t>Availability/Accessibility</w:t>
      </w:r>
      <w:r w:rsidRPr="000E3CCA">
        <w:rPr>
          <w:rFonts w:ascii="CG Omega" w:hAnsi="CG Omega" w:cs="Arial"/>
        </w:rPr>
        <w:t xml:space="preserve">: The number of eligible </w:t>
      </w:r>
      <w:r>
        <w:rPr>
          <w:rFonts w:ascii="CG Omega" w:hAnsi="CG Omega" w:cs="Arial"/>
        </w:rPr>
        <w:t>units</w:t>
      </w:r>
      <w:r w:rsidRPr="000E3CCA">
        <w:rPr>
          <w:rFonts w:ascii="CG Omega" w:hAnsi="CG Omega" w:cs="Arial"/>
        </w:rPr>
        <w:t xml:space="preserve"> that have benefited from rental rehabilitation</w:t>
      </w:r>
      <w:r w:rsidR="004D5232">
        <w:rPr>
          <w:rFonts w:ascii="CG Omega" w:hAnsi="CG Omega" w:cs="Arial"/>
        </w:rPr>
        <w:t>.</w:t>
      </w:r>
      <w:r>
        <w:rPr>
          <w:rFonts w:ascii="CG Omega" w:hAnsi="CG Omega" w:cs="Arial"/>
        </w:rPr>
        <w:t xml:space="preserve"> </w:t>
      </w:r>
    </w:p>
    <w:p w:rsidR="00CE0821" w:rsidRPr="000E3CCA" w:rsidRDefault="00CE0821" w:rsidP="00CE0821">
      <w:pPr>
        <w:ind w:left="720" w:hanging="360"/>
        <w:jc w:val="both"/>
        <w:rPr>
          <w:rFonts w:ascii="CG Omega" w:hAnsi="CG Omega" w:cs="Arial"/>
        </w:rPr>
      </w:pPr>
      <w:r w:rsidRPr="000E3CCA">
        <w:rPr>
          <w:rFonts w:ascii="CG Omega" w:hAnsi="CG Omega" w:cs="Arial"/>
          <w:i/>
        </w:rPr>
        <w:t>Affordability</w:t>
      </w:r>
      <w:r w:rsidRPr="000E3CCA">
        <w:rPr>
          <w:rFonts w:ascii="CG Omega" w:hAnsi="CG Omega" w:cs="Arial"/>
        </w:rPr>
        <w:t>:  The number of rental units that have undergone rehabilitation and remain affordable</w:t>
      </w:r>
      <w:r w:rsidR="004D5232">
        <w:rPr>
          <w:rFonts w:ascii="CG Omega" w:hAnsi="CG Omega" w:cs="Arial"/>
        </w:rPr>
        <w:t>.</w:t>
      </w:r>
    </w:p>
    <w:p w:rsidR="00CE0821" w:rsidRPr="000E3CCA" w:rsidRDefault="00CE0821" w:rsidP="00CE0821">
      <w:pPr>
        <w:ind w:left="720" w:hanging="360"/>
        <w:jc w:val="both"/>
        <w:rPr>
          <w:rFonts w:ascii="CG Omega" w:hAnsi="CG Omega" w:cs="Arial"/>
        </w:rPr>
      </w:pPr>
      <w:r w:rsidRPr="000E3CCA">
        <w:rPr>
          <w:rFonts w:ascii="CG Omega" w:hAnsi="CG Omega" w:cs="Arial"/>
          <w:i/>
        </w:rPr>
        <w:t>Sustainability</w:t>
      </w:r>
      <w:r w:rsidRPr="000E3CCA">
        <w:rPr>
          <w:rFonts w:ascii="CG Omega" w:hAnsi="CG Omega" w:cs="Arial"/>
        </w:rPr>
        <w:t>: The number of units that have been rehabilitated and become additions to the affordable rental housing stock</w:t>
      </w:r>
      <w:r w:rsidR="004D5232">
        <w:rPr>
          <w:rFonts w:ascii="CG Omega" w:hAnsi="CG Omega" w:cs="Arial"/>
        </w:rPr>
        <w:t>.</w:t>
      </w:r>
    </w:p>
    <w:p w:rsidR="00CE0821" w:rsidRPr="000E3CCA" w:rsidRDefault="00CE0821" w:rsidP="00CE0821">
      <w:pPr>
        <w:ind w:left="360" w:firstLine="360"/>
        <w:jc w:val="both"/>
        <w:rPr>
          <w:rFonts w:ascii="CG Omega" w:hAnsi="CG Omega" w:cs="Arial"/>
          <w:sz w:val="16"/>
          <w:szCs w:val="16"/>
        </w:rPr>
      </w:pPr>
    </w:p>
    <w:p w:rsidR="00CE0821" w:rsidRDefault="00CE0821" w:rsidP="00CE0821">
      <w:pPr>
        <w:ind w:left="360" w:firstLine="360"/>
        <w:jc w:val="both"/>
        <w:rPr>
          <w:rFonts w:ascii="CG Omega" w:hAnsi="CG Omega" w:cs="Arial"/>
          <w:sz w:val="16"/>
          <w:szCs w:val="16"/>
        </w:rPr>
      </w:pPr>
    </w:p>
    <w:p w:rsidR="009440E4" w:rsidRDefault="009440E4" w:rsidP="00CE0821">
      <w:pPr>
        <w:ind w:left="360" w:firstLine="360"/>
        <w:jc w:val="both"/>
        <w:rPr>
          <w:rFonts w:ascii="CG Omega" w:hAnsi="CG Omega" w:cs="Arial"/>
          <w:sz w:val="16"/>
          <w:szCs w:val="16"/>
        </w:rPr>
      </w:pPr>
    </w:p>
    <w:p w:rsidR="009440E4" w:rsidRDefault="009440E4" w:rsidP="00CE0821">
      <w:pPr>
        <w:ind w:left="360" w:firstLine="360"/>
        <w:jc w:val="both"/>
        <w:rPr>
          <w:rFonts w:ascii="CG Omega" w:hAnsi="CG Omega" w:cs="Arial"/>
          <w:sz w:val="16"/>
          <w:szCs w:val="16"/>
        </w:rPr>
      </w:pPr>
    </w:p>
    <w:p w:rsidR="009440E4" w:rsidRPr="000E3CCA" w:rsidRDefault="009440E4" w:rsidP="00CE0821">
      <w:pPr>
        <w:ind w:left="360" w:firstLine="360"/>
        <w:jc w:val="both"/>
        <w:rPr>
          <w:rFonts w:ascii="CG Omega" w:hAnsi="CG Omega" w:cs="Arial"/>
          <w:sz w:val="16"/>
          <w:szCs w:val="16"/>
        </w:rPr>
      </w:pPr>
    </w:p>
    <w:p w:rsidR="00CE0821" w:rsidRPr="000E3CCA" w:rsidRDefault="00CE0821" w:rsidP="00CE0821">
      <w:pPr>
        <w:keepNext/>
        <w:pBdr>
          <w:bottom w:val="double" w:sz="4" w:space="1" w:color="008000"/>
        </w:pBdr>
        <w:jc w:val="both"/>
        <w:outlineLvl w:val="0"/>
        <w:rPr>
          <w:rFonts w:ascii="CG Omega" w:hAnsi="CG Omega"/>
          <w:b/>
          <w:color w:val="008000"/>
          <w:spacing w:val="-2"/>
          <w:sz w:val="26"/>
          <w:szCs w:val="20"/>
          <w:u w:val="single"/>
        </w:rPr>
      </w:pPr>
      <w:r w:rsidRPr="000E3CCA">
        <w:rPr>
          <w:rFonts w:ascii="CG Omega" w:hAnsi="CG Omega"/>
          <w:b/>
          <w:smallCaps/>
          <w:color w:val="008000"/>
          <w:sz w:val="26"/>
          <w:szCs w:val="20"/>
        </w:rPr>
        <w:t>Strategy 4: Provide Housing for Special Needs Populations, Including HIV/AIDS</w:t>
      </w:r>
    </w:p>
    <w:p w:rsidR="00CE0821" w:rsidRPr="009440E4" w:rsidRDefault="00CE0821" w:rsidP="00CE0821">
      <w:pPr>
        <w:jc w:val="both"/>
        <w:rPr>
          <w:rFonts w:ascii="CG Omega" w:hAnsi="CG Omega" w:cs="Arial"/>
        </w:rPr>
      </w:pPr>
    </w:p>
    <w:p w:rsidR="00CE0821" w:rsidRPr="009440E4" w:rsidRDefault="00CE0821" w:rsidP="00CE0821">
      <w:pPr>
        <w:spacing w:after="120"/>
        <w:jc w:val="both"/>
        <w:rPr>
          <w:rFonts w:ascii="CG Omega" w:hAnsi="CG Omega" w:cs="Arial"/>
        </w:rPr>
      </w:pPr>
      <w:r w:rsidRPr="009440E4">
        <w:rPr>
          <w:rFonts w:ascii="CG Omega" w:hAnsi="CG Omega" w:cs="Arial"/>
        </w:rPr>
        <w:t xml:space="preserve">Throughout the state of New Mexico, there remain a number of groups with developmental, physical and other disabilities that are in need of housing and housing related services, including persons living with HIV or AIDS.  Furthermore, areas of the state have these needs in varying degrees.  </w:t>
      </w:r>
    </w:p>
    <w:p w:rsidR="00CE0821" w:rsidRDefault="00CE0821" w:rsidP="009440E4">
      <w:pPr>
        <w:jc w:val="both"/>
        <w:rPr>
          <w:rFonts w:ascii="CG Omega" w:hAnsi="CG Omega" w:cs="Arial"/>
          <w:b/>
        </w:rPr>
      </w:pPr>
      <w:r w:rsidRPr="009440E4">
        <w:rPr>
          <w:rFonts w:ascii="CG Omega" w:hAnsi="CG Omega" w:cs="Arial"/>
          <w:b/>
        </w:rPr>
        <w:lastRenderedPageBreak/>
        <w:t xml:space="preserve">Encourage the </w:t>
      </w:r>
      <w:r w:rsidR="009440E4" w:rsidRPr="009440E4">
        <w:rPr>
          <w:rFonts w:ascii="CG Omega" w:hAnsi="CG Omega" w:cs="Arial"/>
          <w:b/>
        </w:rPr>
        <w:t>D</w:t>
      </w:r>
      <w:r w:rsidRPr="009440E4">
        <w:rPr>
          <w:rFonts w:ascii="CG Omega" w:hAnsi="CG Omega" w:cs="Arial"/>
          <w:b/>
        </w:rPr>
        <w:t xml:space="preserve">evelopment of </w:t>
      </w:r>
      <w:r w:rsidR="009440E4" w:rsidRPr="009440E4">
        <w:rPr>
          <w:rFonts w:ascii="CG Omega" w:hAnsi="CG Omega" w:cs="Arial"/>
          <w:b/>
        </w:rPr>
        <w:t>S</w:t>
      </w:r>
      <w:r w:rsidRPr="009440E4">
        <w:rPr>
          <w:rFonts w:ascii="CG Omega" w:hAnsi="CG Omega" w:cs="Arial"/>
          <w:b/>
        </w:rPr>
        <w:t xml:space="preserve">pecial </w:t>
      </w:r>
      <w:r w:rsidR="009440E4" w:rsidRPr="009440E4">
        <w:rPr>
          <w:rFonts w:ascii="CG Omega" w:hAnsi="CG Omega" w:cs="Arial"/>
          <w:b/>
        </w:rPr>
        <w:t>N</w:t>
      </w:r>
      <w:r w:rsidRPr="009440E4">
        <w:rPr>
          <w:rFonts w:ascii="CG Omega" w:hAnsi="CG Omega" w:cs="Arial"/>
          <w:b/>
        </w:rPr>
        <w:t xml:space="preserve">eeds </w:t>
      </w:r>
      <w:r w:rsidR="009440E4" w:rsidRPr="009440E4">
        <w:rPr>
          <w:rFonts w:ascii="CG Omega" w:hAnsi="CG Omega" w:cs="Arial"/>
          <w:b/>
        </w:rPr>
        <w:t>H</w:t>
      </w:r>
      <w:r w:rsidRPr="009440E4">
        <w:rPr>
          <w:rFonts w:ascii="CG Omega" w:hAnsi="CG Omega" w:cs="Arial"/>
          <w:b/>
        </w:rPr>
        <w:t xml:space="preserve">ousing </w:t>
      </w:r>
      <w:r w:rsidR="009440E4" w:rsidRPr="009440E4">
        <w:rPr>
          <w:rFonts w:ascii="CG Omega" w:hAnsi="CG Omega" w:cs="Arial"/>
          <w:b/>
        </w:rPr>
        <w:t>W</w:t>
      </w:r>
      <w:r w:rsidRPr="009440E4">
        <w:rPr>
          <w:rFonts w:ascii="CG Omega" w:hAnsi="CG Omega" w:cs="Arial"/>
          <w:b/>
        </w:rPr>
        <w:t xml:space="preserve">ith </w:t>
      </w:r>
      <w:r w:rsidR="009440E4" w:rsidRPr="009440E4">
        <w:rPr>
          <w:rFonts w:ascii="CG Omega" w:hAnsi="CG Omega" w:cs="Arial"/>
          <w:b/>
        </w:rPr>
        <w:t>S</w:t>
      </w:r>
      <w:r w:rsidRPr="009440E4">
        <w:rPr>
          <w:rFonts w:ascii="CG Omega" w:hAnsi="CG Omega" w:cs="Arial"/>
          <w:b/>
        </w:rPr>
        <w:t>ervices</w:t>
      </w:r>
    </w:p>
    <w:p w:rsidR="009440E4" w:rsidRPr="009440E4" w:rsidRDefault="009440E4" w:rsidP="009440E4">
      <w:pPr>
        <w:jc w:val="both"/>
        <w:rPr>
          <w:rFonts w:ascii="CG Omega" w:hAnsi="CG Omega" w:cs="Arial"/>
          <w:b/>
        </w:rPr>
      </w:pPr>
    </w:p>
    <w:p w:rsidR="00CE0821" w:rsidRPr="009440E4" w:rsidRDefault="00CE0821" w:rsidP="00CE0821">
      <w:pPr>
        <w:jc w:val="both"/>
        <w:rPr>
          <w:rFonts w:ascii="CG Omega" w:hAnsi="CG Omega" w:cs="Arial"/>
        </w:rPr>
      </w:pPr>
      <w:r w:rsidRPr="009440E4">
        <w:rPr>
          <w:rFonts w:ascii="CG Omega" w:hAnsi="CG Omega" w:cs="Arial"/>
        </w:rPr>
        <w:t xml:space="preserve">This objective can be accomplished through the following goals: </w:t>
      </w:r>
    </w:p>
    <w:p w:rsidR="00CE0821" w:rsidRPr="009440E4" w:rsidRDefault="00CE0821" w:rsidP="0049477B">
      <w:pPr>
        <w:numPr>
          <w:ilvl w:val="0"/>
          <w:numId w:val="27"/>
        </w:numPr>
        <w:jc w:val="both"/>
        <w:rPr>
          <w:rFonts w:ascii="CG Omega" w:hAnsi="CG Omega" w:cs="Arial"/>
        </w:rPr>
      </w:pPr>
      <w:r w:rsidRPr="009440E4">
        <w:rPr>
          <w:rFonts w:ascii="CG Omega" w:hAnsi="CG Omega" w:cs="Arial"/>
        </w:rPr>
        <w:t>Providing grants for pre-development costs for special needs housing development</w:t>
      </w:r>
      <w:r w:rsidR="004D5232" w:rsidRPr="009440E4">
        <w:rPr>
          <w:rFonts w:ascii="CG Omega" w:hAnsi="CG Omega" w:cs="Arial"/>
        </w:rPr>
        <w:t>.</w:t>
      </w:r>
    </w:p>
    <w:p w:rsidR="00CE0821" w:rsidRPr="009440E4" w:rsidRDefault="00CE0821" w:rsidP="0049477B">
      <w:pPr>
        <w:numPr>
          <w:ilvl w:val="0"/>
          <w:numId w:val="27"/>
        </w:numPr>
        <w:jc w:val="both"/>
        <w:rPr>
          <w:rFonts w:ascii="CG Omega" w:hAnsi="CG Omega" w:cs="Arial"/>
        </w:rPr>
      </w:pPr>
      <w:r w:rsidRPr="009440E4">
        <w:rPr>
          <w:rFonts w:ascii="CG Omega" w:hAnsi="CG Omega" w:cs="Arial"/>
        </w:rPr>
        <w:t>Providing low-interest loans to make accessibility improvements to for people with disabilities</w:t>
      </w:r>
      <w:r w:rsidR="004D5232" w:rsidRPr="009440E4">
        <w:rPr>
          <w:rFonts w:ascii="CG Omega" w:hAnsi="CG Omega" w:cs="Arial"/>
        </w:rPr>
        <w:t>.</w:t>
      </w:r>
    </w:p>
    <w:p w:rsidR="00CE0821" w:rsidRPr="009440E4" w:rsidRDefault="00CE0821" w:rsidP="0049477B">
      <w:pPr>
        <w:numPr>
          <w:ilvl w:val="0"/>
          <w:numId w:val="27"/>
        </w:numPr>
        <w:spacing w:after="120"/>
        <w:jc w:val="both"/>
        <w:rPr>
          <w:rFonts w:ascii="CG Omega" w:hAnsi="CG Omega" w:cs="Arial"/>
        </w:rPr>
      </w:pPr>
      <w:r w:rsidRPr="009440E4">
        <w:rPr>
          <w:rFonts w:ascii="CG Omega" w:hAnsi="CG Omega" w:cs="Arial"/>
        </w:rPr>
        <w:t>Providing financial incentives for housing supportive services for the elderly, persons with physical or mental disability, and other special needs populations</w:t>
      </w:r>
      <w:r w:rsidR="004D5232" w:rsidRPr="009440E4">
        <w:rPr>
          <w:rFonts w:ascii="CG Omega" w:hAnsi="CG Omega" w:cs="Arial"/>
        </w:rPr>
        <w:t>.</w:t>
      </w:r>
    </w:p>
    <w:p w:rsidR="00CE0821" w:rsidRDefault="00CE0821" w:rsidP="009440E4">
      <w:pPr>
        <w:jc w:val="both"/>
        <w:rPr>
          <w:rFonts w:ascii="CG Omega" w:hAnsi="CG Omega" w:cs="Arial"/>
          <w:b/>
        </w:rPr>
      </w:pPr>
      <w:r w:rsidRPr="009440E4">
        <w:rPr>
          <w:rFonts w:ascii="CG Omega" w:hAnsi="CG Omega" w:cs="Arial"/>
          <w:b/>
        </w:rPr>
        <w:t xml:space="preserve">Expand </w:t>
      </w:r>
      <w:r w:rsidR="009440E4" w:rsidRPr="009440E4">
        <w:rPr>
          <w:rFonts w:ascii="CG Omega" w:hAnsi="CG Omega" w:cs="Arial"/>
          <w:b/>
        </w:rPr>
        <w:t>Housing Opportunities and Access for Special Needs Populations</w:t>
      </w:r>
    </w:p>
    <w:p w:rsidR="009440E4" w:rsidRPr="009440E4" w:rsidRDefault="009440E4" w:rsidP="009440E4">
      <w:pPr>
        <w:jc w:val="both"/>
        <w:rPr>
          <w:rFonts w:ascii="CG Omega" w:hAnsi="CG Omega" w:cs="Arial"/>
          <w:b/>
        </w:rPr>
      </w:pPr>
    </w:p>
    <w:p w:rsidR="00CE0821" w:rsidRPr="009440E4" w:rsidRDefault="00CE0821" w:rsidP="00CE0821">
      <w:pPr>
        <w:jc w:val="both"/>
        <w:rPr>
          <w:rFonts w:ascii="CG Omega" w:hAnsi="CG Omega" w:cs="Arial"/>
        </w:rPr>
      </w:pPr>
      <w:r w:rsidRPr="009440E4">
        <w:rPr>
          <w:rFonts w:ascii="CG Omega" w:hAnsi="CG Omega" w:cs="Arial"/>
        </w:rPr>
        <w:t xml:space="preserve">This objective can be accomplished through the following goals: </w:t>
      </w:r>
    </w:p>
    <w:p w:rsidR="00CE0821" w:rsidRPr="009440E4" w:rsidRDefault="00CE0821" w:rsidP="0049477B">
      <w:pPr>
        <w:numPr>
          <w:ilvl w:val="0"/>
          <w:numId w:val="28"/>
        </w:numPr>
        <w:jc w:val="both"/>
        <w:rPr>
          <w:rFonts w:ascii="CG Omega" w:hAnsi="CG Omega" w:cs="Arial"/>
        </w:rPr>
      </w:pPr>
      <w:r w:rsidRPr="009440E4">
        <w:rPr>
          <w:rFonts w:ascii="CG Omega" w:hAnsi="CG Omega" w:cs="Arial"/>
        </w:rPr>
        <w:t>Explore the provision of funds to make accessibility improvements to existing rental housing for people with disabilities</w:t>
      </w:r>
      <w:r w:rsidR="004D5232" w:rsidRPr="009440E4">
        <w:rPr>
          <w:rFonts w:ascii="CG Omega" w:hAnsi="CG Omega" w:cs="Arial"/>
        </w:rPr>
        <w:t>.</w:t>
      </w:r>
    </w:p>
    <w:p w:rsidR="00CE0821" w:rsidRPr="009440E4" w:rsidRDefault="00CE0821" w:rsidP="0049477B">
      <w:pPr>
        <w:numPr>
          <w:ilvl w:val="0"/>
          <w:numId w:val="28"/>
        </w:numPr>
        <w:jc w:val="both"/>
        <w:rPr>
          <w:rFonts w:ascii="CG Omega" w:hAnsi="CG Omega" w:cs="Arial"/>
        </w:rPr>
      </w:pPr>
      <w:r w:rsidRPr="009440E4">
        <w:rPr>
          <w:rFonts w:ascii="CG Omega" w:hAnsi="CG Omega" w:cs="Arial"/>
        </w:rPr>
        <w:t>Providing financial incentives for the development of rental housing supportive services for the elderly, persons with physical or mental disability and other special needs with services</w:t>
      </w:r>
      <w:r w:rsidR="004D5232" w:rsidRPr="009440E4">
        <w:rPr>
          <w:rFonts w:ascii="CG Omega" w:hAnsi="CG Omega" w:cs="Arial"/>
        </w:rPr>
        <w:t>.</w:t>
      </w:r>
    </w:p>
    <w:p w:rsidR="00CE0821" w:rsidRPr="009440E4" w:rsidRDefault="00CE0821" w:rsidP="0049477B">
      <w:pPr>
        <w:numPr>
          <w:ilvl w:val="0"/>
          <w:numId w:val="28"/>
        </w:numPr>
        <w:spacing w:after="120"/>
        <w:jc w:val="both"/>
        <w:rPr>
          <w:rFonts w:ascii="CG Omega" w:hAnsi="CG Omega" w:cs="Arial"/>
        </w:rPr>
      </w:pPr>
      <w:r w:rsidRPr="009440E4">
        <w:rPr>
          <w:rFonts w:ascii="CG Omega" w:hAnsi="CG Omega" w:cs="Arial"/>
        </w:rPr>
        <w:t>Provide rental assistance for persons with special needs</w:t>
      </w:r>
      <w:r w:rsidR="004D5232" w:rsidRPr="009440E4">
        <w:rPr>
          <w:rFonts w:ascii="CG Omega" w:hAnsi="CG Omega" w:cs="Arial"/>
        </w:rPr>
        <w:t>.</w:t>
      </w:r>
    </w:p>
    <w:p w:rsidR="00CE0821" w:rsidRDefault="00CE0821" w:rsidP="009440E4">
      <w:pPr>
        <w:jc w:val="both"/>
        <w:rPr>
          <w:rFonts w:ascii="CG Omega" w:hAnsi="CG Omega" w:cs="Arial"/>
          <w:b/>
        </w:rPr>
      </w:pPr>
      <w:r w:rsidRPr="009440E4">
        <w:rPr>
          <w:rFonts w:ascii="CG Omega" w:hAnsi="CG Omega" w:cs="Arial"/>
          <w:b/>
        </w:rPr>
        <w:t xml:space="preserve">Fund </w:t>
      </w:r>
      <w:r w:rsidR="009440E4" w:rsidRPr="009440E4">
        <w:rPr>
          <w:rFonts w:ascii="CG Omega" w:hAnsi="CG Omega" w:cs="Arial"/>
          <w:b/>
        </w:rPr>
        <w:t>Nonprofit Entities Providing Housing and Related Services for Persons Living With</w:t>
      </w:r>
      <w:r w:rsidRPr="009440E4">
        <w:rPr>
          <w:rFonts w:ascii="CG Omega" w:hAnsi="CG Omega" w:cs="Arial"/>
          <w:b/>
        </w:rPr>
        <w:t xml:space="preserve"> HIV/AIDS</w:t>
      </w:r>
    </w:p>
    <w:p w:rsidR="009440E4" w:rsidRPr="009440E4" w:rsidRDefault="009440E4" w:rsidP="009440E4">
      <w:pPr>
        <w:jc w:val="both"/>
        <w:rPr>
          <w:rFonts w:ascii="CG Omega" w:hAnsi="CG Omega" w:cs="Arial"/>
          <w:b/>
        </w:rPr>
      </w:pPr>
    </w:p>
    <w:p w:rsidR="00CE0821" w:rsidRPr="009440E4" w:rsidRDefault="00CE0821" w:rsidP="00CE0821">
      <w:pPr>
        <w:jc w:val="both"/>
        <w:rPr>
          <w:rFonts w:ascii="CG Omega" w:hAnsi="CG Omega" w:cs="Arial"/>
        </w:rPr>
      </w:pPr>
      <w:r w:rsidRPr="009440E4">
        <w:rPr>
          <w:rFonts w:ascii="CG Omega" w:hAnsi="CG Omega" w:cs="Arial"/>
        </w:rPr>
        <w:t>This objective can be accomplished through the following goal:</w:t>
      </w:r>
    </w:p>
    <w:p w:rsidR="00CE0821" w:rsidRPr="009440E4" w:rsidRDefault="00CE0821" w:rsidP="0049477B">
      <w:pPr>
        <w:numPr>
          <w:ilvl w:val="0"/>
          <w:numId w:val="29"/>
        </w:numPr>
        <w:jc w:val="both"/>
        <w:rPr>
          <w:rFonts w:ascii="CG Omega" w:hAnsi="CG Omega" w:cs="Arial"/>
        </w:rPr>
      </w:pPr>
      <w:r w:rsidRPr="009440E4">
        <w:rPr>
          <w:rFonts w:ascii="CG Omega" w:hAnsi="CG Omega" w:cs="Arial"/>
        </w:rPr>
        <w:t xml:space="preserve">Providing funds to </w:t>
      </w:r>
      <w:r w:rsidR="00CC3344" w:rsidRPr="009440E4">
        <w:rPr>
          <w:rFonts w:ascii="CG Omega" w:hAnsi="CG Omega" w:cs="Arial"/>
        </w:rPr>
        <w:t>nonprofit</w:t>
      </w:r>
      <w:r w:rsidRPr="009440E4">
        <w:rPr>
          <w:rFonts w:ascii="CG Omega" w:hAnsi="CG Omega" w:cs="Arial"/>
        </w:rPr>
        <w:t xml:space="preserve"> organizations that serve people with special needs including those who are HIV-positive and/or are living with AIDS, such as short term rent, mortgage and utility payments, continued rental assistance for low-income households, and related supportive services</w:t>
      </w:r>
      <w:r w:rsidR="005347C1" w:rsidRPr="009440E4">
        <w:rPr>
          <w:rFonts w:ascii="CG Omega" w:hAnsi="CG Omega" w:cs="Arial"/>
        </w:rPr>
        <w:t>.</w:t>
      </w:r>
    </w:p>
    <w:p w:rsidR="00CE0821" w:rsidRPr="009440E4" w:rsidRDefault="00CE0821" w:rsidP="0049477B">
      <w:pPr>
        <w:numPr>
          <w:ilvl w:val="0"/>
          <w:numId w:val="29"/>
        </w:numPr>
        <w:jc w:val="both"/>
        <w:rPr>
          <w:rFonts w:ascii="CG Omega" w:hAnsi="CG Omega" w:cs="Arial"/>
        </w:rPr>
      </w:pPr>
      <w:r w:rsidRPr="009440E4">
        <w:rPr>
          <w:rFonts w:ascii="CG Omega" w:hAnsi="CG Omega" w:cs="Arial"/>
        </w:rPr>
        <w:t>Promote the leveraging of CDBG, ESG, HOME, McKinney-Vento C</w:t>
      </w:r>
      <w:r w:rsidR="005347C1" w:rsidRPr="009440E4">
        <w:rPr>
          <w:rFonts w:ascii="CG Omega" w:hAnsi="CG Omega" w:cs="Arial"/>
        </w:rPr>
        <w:t>o</w:t>
      </w:r>
      <w:r w:rsidRPr="009440E4">
        <w:rPr>
          <w:rFonts w:ascii="CG Omega" w:hAnsi="CG Omega" w:cs="Arial"/>
        </w:rPr>
        <w:t>C, HUD’s special voucher programs, state Housing and Services funds with new funding sources</w:t>
      </w:r>
      <w:r w:rsidR="005347C1" w:rsidRPr="009440E4">
        <w:rPr>
          <w:rFonts w:ascii="CG Omega" w:hAnsi="CG Omega" w:cs="Arial"/>
        </w:rPr>
        <w:t>.</w:t>
      </w:r>
    </w:p>
    <w:p w:rsidR="00CE0821" w:rsidRPr="009440E4" w:rsidRDefault="00CE0821" w:rsidP="0049477B">
      <w:pPr>
        <w:numPr>
          <w:ilvl w:val="0"/>
          <w:numId w:val="29"/>
        </w:numPr>
        <w:jc w:val="both"/>
        <w:rPr>
          <w:rFonts w:ascii="CG Omega" w:hAnsi="CG Omega" w:cs="Arial"/>
        </w:rPr>
      </w:pPr>
      <w:r w:rsidRPr="009440E4">
        <w:rPr>
          <w:rFonts w:ascii="CG Omega" w:hAnsi="CG Omega" w:cs="Arial"/>
        </w:rPr>
        <w:t>Providing funds for facility-based housing assistance</w:t>
      </w:r>
      <w:r w:rsidR="005347C1" w:rsidRPr="009440E4">
        <w:rPr>
          <w:rFonts w:ascii="CG Omega" w:hAnsi="CG Omega" w:cs="Arial"/>
        </w:rPr>
        <w:t>.</w:t>
      </w:r>
    </w:p>
    <w:p w:rsidR="00CE0821" w:rsidRPr="009440E4" w:rsidRDefault="00CE0821" w:rsidP="00CE0821">
      <w:pPr>
        <w:jc w:val="both"/>
        <w:rPr>
          <w:rFonts w:ascii="CG Omega" w:hAnsi="CG Omega" w:cs="Arial"/>
        </w:rPr>
      </w:pPr>
    </w:p>
    <w:p w:rsidR="00CE0821" w:rsidRPr="000E3CCA" w:rsidRDefault="00CE0821" w:rsidP="00CE0821">
      <w:pPr>
        <w:pBdr>
          <w:bottom w:val="double" w:sz="4" w:space="1" w:color="0000FF"/>
        </w:pBdr>
        <w:jc w:val="both"/>
        <w:rPr>
          <w:rFonts w:ascii="CG Omega" w:hAnsi="CG Omega" w:cs="Arial"/>
          <w:b/>
          <w:color w:val="0000FF"/>
          <w:spacing w:val="3"/>
        </w:rPr>
      </w:pPr>
      <w:r w:rsidRPr="000E3CCA">
        <w:rPr>
          <w:rFonts w:ascii="CG Omega" w:hAnsi="CG Omega" w:cs="Arial"/>
          <w:b/>
          <w:smallCaps/>
          <w:color w:val="0000FF"/>
        </w:rPr>
        <w:t>Performance Measurement Criteria</w:t>
      </w:r>
    </w:p>
    <w:p w:rsidR="00CE0821" w:rsidRPr="000E3CCA" w:rsidRDefault="00CE0821" w:rsidP="00CE0821">
      <w:pPr>
        <w:jc w:val="both"/>
        <w:rPr>
          <w:rFonts w:ascii="CG Omega" w:hAnsi="CG Omega" w:cs="Arial"/>
          <w:b/>
          <w:sz w:val="16"/>
          <w:szCs w:val="16"/>
        </w:rPr>
      </w:pPr>
    </w:p>
    <w:p w:rsidR="00CE0821" w:rsidRPr="000E3CCA" w:rsidRDefault="00CE0821" w:rsidP="00CE0821">
      <w:pPr>
        <w:jc w:val="both"/>
        <w:rPr>
          <w:rFonts w:ascii="CG Omega" w:hAnsi="CG Omega" w:cs="Arial"/>
          <w:b/>
        </w:rPr>
      </w:pPr>
      <w:r w:rsidRPr="000E3CCA">
        <w:rPr>
          <w:rFonts w:ascii="CG Omega" w:hAnsi="CG Omega" w:cs="Arial"/>
          <w:b/>
        </w:rPr>
        <w:t xml:space="preserve">Encourage </w:t>
      </w:r>
      <w:r w:rsidR="009440E4">
        <w:rPr>
          <w:rFonts w:ascii="CG Omega" w:hAnsi="CG Omega" w:cs="Arial"/>
          <w:b/>
        </w:rPr>
        <w:t>t</w:t>
      </w:r>
      <w:r w:rsidR="009440E4" w:rsidRPr="000E3CCA">
        <w:rPr>
          <w:rFonts w:ascii="CG Omega" w:hAnsi="CG Omega" w:cs="Arial"/>
          <w:b/>
        </w:rPr>
        <w:t xml:space="preserve">he Development </w:t>
      </w:r>
      <w:r w:rsidR="009440E4">
        <w:rPr>
          <w:rFonts w:ascii="CG Omega" w:hAnsi="CG Omega" w:cs="Arial"/>
          <w:b/>
        </w:rPr>
        <w:t>o</w:t>
      </w:r>
      <w:r w:rsidR="009440E4" w:rsidRPr="000E3CCA">
        <w:rPr>
          <w:rFonts w:ascii="CG Omega" w:hAnsi="CG Omega" w:cs="Arial"/>
          <w:b/>
        </w:rPr>
        <w:t xml:space="preserve">f Special Needs Housing </w:t>
      </w:r>
      <w:r w:rsidR="009440E4">
        <w:rPr>
          <w:rFonts w:ascii="CG Omega" w:hAnsi="CG Omega" w:cs="Arial"/>
          <w:b/>
        </w:rPr>
        <w:t>w</w:t>
      </w:r>
      <w:r w:rsidR="009440E4" w:rsidRPr="000E3CCA">
        <w:rPr>
          <w:rFonts w:ascii="CG Omega" w:hAnsi="CG Omega" w:cs="Arial"/>
          <w:b/>
        </w:rPr>
        <w:t>ith Supportive Services</w:t>
      </w:r>
    </w:p>
    <w:p w:rsidR="00CE0821" w:rsidRPr="000E3CCA" w:rsidRDefault="00CE0821" w:rsidP="00CE0821">
      <w:pPr>
        <w:ind w:left="360"/>
        <w:jc w:val="both"/>
        <w:rPr>
          <w:rFonts w:ascii="CG Omega" w:hAnsi="CG Omega" w:cs="Arial"/>
          <w:i/>
          <w:sz w:val="16"/>
          <w:szCs w:val="16"/>
        </w:rPr>
      </w:pPr>
    </w:p>
    <w:p w:rsidR="00CE0821" w:rsidRPr="000E3CCA" w:rsidRDefault="00CE0821" w:rsidP="00CE0821">
      <w:pPr>
        <w:ind w:left="720" w:hanging="360"/>
        <w:jc w:val="both"/>
        <w:rPr>
          <w:rFonts w:ascii="CG Omega" w:hAnsi="CG Omega" w:cs="Arial"/>
        </w:rPr>
      </w:pPr>
      <w:r w:rsidRPr="000E3CCA">
        <w:rPr>
          <w:rFonts w:ascii="CG Omega" w:hAnsi="CG Omega" w:cs="Arial"/>
          <w:i/>
        </w:rPr>
        <w:t>Availability/Accessibility</w:t>
      </w:r>
      <w:r w:rsidRPr="000E3CCA">
        <w:rPr>
          <w:rFonts w:ascii="CG Omega" w:hAnsi="CG Omega" w:cs="Arial"/>
        </w:rPr>
        <w:t>: The number of persons served with housing or with related services; the number of households served with housing or with related services</w:t>
      </w:r>
      <w:r w:rsidR="005347C1">
        <w:rPr>
          <w:rFonts w:ascii="CG Omega" w:hAnsi="CG Omega" w:cs="Arial"/>
        </w:rPr>
        <w:t>.</w:t>
      </w:r>
    </w:p>
    <w:p w:rsidR="00CE0821" w:rsidRPr="000E3CCA" w:rsidRDefault="00CE0821" w:rsidP="00CE0821">
      <w:pPr>
        <w:ind w:left="720" w:hanging="360"/>
        <w:jc w:val="both"/>
        <w:rPr>
          <w:rFonts w:ascii="CG Omega" w:hAnsi="CG Omega" w:cs="Arial"/>
        </w:rPr>
      </w:pPr>
      <w:r w:rsidRPr="000E3CCA">
        <w:rPr>
          <w:rFonts w:ascii="CG Omega" w:hAnsi="CG Omega" w:cs="Arial"/>
          <w:i/>
        </w:rPr>
        <w:t>Affordability</w:t>
      </w:r>
      <w:r w:rsidRPr="000E3CCA">
        <w:rPr>
          <w:rFonts w:ascii="CG Omega" w:hAnsi="CG Omega" w:cs="Arial"/>
        </w:rPr>
        <w:t>: The number of housing units that have been made available for special needs populations</w:t>
      </w:r>
      <w:r w:rsidR="005347C1">
        <w:rPr>
          <w:rFonts w:ascii="CG Omega" w:hAnsi="CG Omega" w:cs="Arial"/>
        </w:rPr>
        <w:t>.</w:t>
      </w:r>
    </w:p>
    <w:p w:rsidR="00CE0821" w:rsidRPr="000E3CCA" w:rsidRDefault="00CE0821" w:rsidP="00CE0821">
      <w:pPr>
        <w:ind w:left="720" w:hanging="360"/>
        <w:jc w:val="both"/>
        <w:rPr>
          <w:rFonts w:ascii="CG Omega" w:hAnsi="CG Omega" w:cs="Arial"/>
        </w:rPr>
      </w:pPr>
      <w:r w:rsidRPr="000E3CCA">
        <w:rPr>
          <w:rFonts w:ascii="CG Omega" w:hAnsi="CG Omega" w:cs="Arial"/>
          <w:i/>
        </w:rPr>
        <w:lastRenderedPageBreak/>
        <w:t>Sustainability</w:t>
      </w:r>
      <w:r w:rsidRPr="000E3CCA">
        <w:rPr>
          <w:rFonts w:ascii="CG Omega" w:hAnsi="CG Omega" w:cs="Arial"/>
        </w:rPr>
        <w:t>: The number of units that have been made available for special needs populations and added to the affordable housing stock</w:t>
      </w:r>
      <w:r w:rsidR="005347C1">
        <w:rPr>
          <w:rFonts w:ascii="CG Omega" w:hAnsi="CG Omega" w:cs="Arial"/>
        </w:rPr>
        <w:t>.</w:t>
      </w:r>
    </w:p>
    <w:p w:rsidR="00CE0821" w:rsidRPr="000E3CCA" w:rsidRDefault="00CE0821" w:rsidP="00CE0821">
      <w:pPr>
        <w:ind w:left="1080" w:hanging="360"/>
        <w:jc w:val="both"/>
        <w:rPr>
          <w:rFonts w:ascii="CG Omega" w:hAnsi="CG Omega" w:cs="Arial"/>
          <w:sz w:val="16"/>
          <w:szCs w:val="16"/>
        </w:rPr>
      </w:pPr>
    </w:p>
    <w:p w:rsidR="00CE0821" w:rsidRPr="000E3CCA" w:rsidRDefault="00CE0821" w:rsidP="00CE0821">
      <w:pPr>
        <w:jc w:val="both"/>
        <w:rPr>
          <w:rFonts w:ascii="CG Omega" w:hAnsi="CG Omega" w:cs="Arial"/>
          <w:b/>
        </w:rPr>
      </w:pPr>
      <w:r w:rsidRPr="000E3CCA">
        <w:rPr>
          <w:rFonts w:ascii="CG Omega" w:hAnsi="CG Omega" w:cs="Arial"/>
          <w:b/>
        </w:rPr>
        <w:t xml:space="preserve">Expand </w:t>
      </w:r>
      <w:r w:rsidR="009440E4">
        <w:rPr>
          <w:rFonts w:ascii="CG Omega" w:hAnsi="CG Omega" w:cs="Arial"/>
          <w:b/>
        </w:rPr>
        <w:t>Housing Opportunities a</w:t>
      </w:r>
      <w:r w:rsidR="009440E4" w:rsidRPr="000E3CCA">
        <w:rPr>
          <w:rFonts w:ascii="CG Omega" w:hAnsi="CG Omega" w:cs="Arial"/>
          <w:b/>
        </w:rPr>
        <w:t xml:space="preserve">nd Access </w:t>
      </w:r>
      <w:r w:rsidR="009440E4">
        <w:rPr>
          <w:rFonts w:ascii="CG Omega" w:hAnsi="CG Omega" w:cs="Arial"/>
          <w:b/>
        </w:rPr>
        <w:t>f</w:t>
      </w:r>
      <w:r w:rsidR="009440E4" w:rsidRPr="000E3CCA">
        <w:rPr>
          <w:rFonts w:ascii="CG Omega" w:hAnsi="CG Omega" w:cs="Arial"/>
          <w:b/>
        </w:rPr>
        <w:t>or Special Needs Population</w:t>
      </w:r>
      <w:r w:rsidRPr="000E3CCA">
        <w:rPr>
          <w:rFonts w:ascii="CG Omega" w:hAnsi="CG Omega" w:cs="Arial"/>
          <w:b/>
        </w:rPr>
        <w:t>s</w:t>
      </w:r>
    </w:p>
    <w:p w:rsidR="00CE0821" w:rsidRPr="000E3CCA" w:rsidRDefault="00CE0821" w:rsidP="00CE0821">
      <w:pPr>
        <w:ind w:left="360"/>
        <w:jc w:val="both"/>
        <w:rPr>
          <w:rFonts w:ascii="CG Omega" w:hAnsi="CG Omega" w:cs="Arial"/>
          <w:i/>
          <w:sz w:val="16"/>
          <w:szCs w:val="16"/>
        </w:rPr>
      </w:pPr>
    </w:p>
    <w:p w:rsidR="00CE0821" w:rsidRPr="000E3CCA" w:rsidRDefault="00CE0821" w:rsidP="00CE0821">
      <w:pPr>
        <w:ind w:left="720" w:hanging="360"/>
        <w:jc w:val="both"/>
        <w:rPr>
          <w:rFonts w:ascii="CG Omega" w:hAnsi="CG Omega" w:cs="Arial"/>
        </w:rPr>
      </w:pPr>
      <w:r w:rsidRPr="000E3CCA">
        <w:rPr>
          <w:rFonts w:ascii="CG Omega" w:hAnsi="CG Omega" w:cs="Arial"/>
          <w:i/>
        </w:rPr>
        <w:t>Availability/Accessibility</w:t>
      </w:r>
      <w:r w:rsidRPr="000E3CCA">
        <w:rPr>
          <w:rFonts w:ascii="CG Omega" w:hAnsi="CG Omega" w:cs="Arial"/>
        </w:rPr>
        <w:t>: The number of special needs persons served; the number of households served with housing or housing</w:t>
      </w:r>
      <w:r w:rsidR="005347C1">
        <w:rPr>
          <w:rFonts w:ascii="CG Omega" w:hAnsi="CG Omega" w:cs="Arial"/>
        </w:rPr>
        <w:t>-</w:t>
      </w:r>
      <w:r w:rsidRPr="000E3CCA">
        <w:rPr>
          <w:rFonts w:ascii="CG Omega" w:hAnsi="CG Omega" w:cs="Arial"/>
        </w:rPr>
        <w:t>related services; the number of affordable rental units that have been made accessible for special needs populations</w:t>
      </w:r>
      <w:r w:rsidR="005347C1">
        <w:rPr>
          <w:rFonts w:ascii="CG Omega" w:hAnsi="CG Omega" w:cs="Arial"/>
        </w:rPr>
        <w:t>.</w:t>
      </w:r>
    </w:p>
    <w:p w:rsidR="00CE0821" w:rsidRPr="000E3CCA" w:rsidRDefault="00CE0821" w:rsidP="00CE0821">
      <w:pPr>
        <w:ind w:left="720" w:hanging="360"/>
        <w:jc w:val="both"/>
        <w:rPr>
          <w:rFonts w:ascii="CG Omega" w:hAnsi="CG Omega" w:cs="Arial"/>
        </w:rPr>
      </w:pPr>
      <w:r w:rsidRPr="000E3CCA">
        <w:rPr>
          <w:rFonts w:ascii="CG Omega" w:hAnsi="CG Omega" w:cs="Arial"/>
          <w:i/>
        </w:rPr>
        <w:t>Affordability</w:t>
      </w:r>
      <w:r w:rsidRPr="000E3CCA">
        <w:rPr>
          <w:rFonts w:ascii="CG Omega" w:hAnsi="CG Omega" w:cs="Arial"/>
        </w:rPr>
        <w:t>: The number of rental units that have been created or modified for accessibility and that remain affordable</w:t>
      </w:r>
      <w:r w:rsidR="005347C1">
        <w:rPr>
          <w:rFonts w:ascii="CG Omega" w:hAnsi="CG Omega" w:cs="Arial"/>
        </w:rPr>
        <w:t>.</w:t>
      </w:r>
    </w:p>
    <w:p w:rsidR="00CE0821" w:rsidRPr="000E3CCA" w:rsidRDefault="00CE0821" w:rsidP="00CE0821">
      <w:pPr>
        <w:ind w:left="720" w:hanging="360"/>
        <w:jc w:val="both"/>
        <w:rPr>
          <w:rFonts w:ascii="CG Omega" w:hAnsi="CG Omega" w:cs="Arial"/>
        </w:rPr>
      </w:pPr>
      <w:r w:rsidRPr="000E3CCA">
        <w:rPr>
          <w:rFonts w:ascii="CG Omega" w:hAnsi="CG Omega" w:cs="Arial"/>
          <w:i/>
        </w:rPr>
        <w:t>Sustainability</w:t>
      </w:r>
      <w:r w:rsidRPr="000E3CCA">
        <w:rPr>
          <w:rFonts w:ascii="CG Omega" w:hAnsi="CG Omega" w:cs="Arial"/>
        </w:rPr>
        <w:t xml:space="preserve">: The number of units that have been made accessible </w:t>
      </w:r>
      <w:r>
        <w:rPr>
          <w:rFonts w:ascii="CG Omega" w:hAnsi="CG Omega" w:cs="Arial"/>
        </w:rPr>
        <w:t>and added or rehabilitated</w:t>
      </w:r>
      <w:r w:rsidR="005347C1">
        <w:rPr>
          <w:rFonts w:ascii="CG Omega" w:hAnsi="CG Omega" w:cs="Arial"/>
        </w:rPr>
        <w:t>.</w:t>
      </w:r>
    </w:p>
    <w:p w:rsidR="00CE0821" w:rsidRPr="000E3CCA" w:rsidRDefault="00CE0821" w:rsidP="00CE0821">
      <w:pPr>
        <w:jc w:val="both"/>
        <w:rPr>
          <w:rFonts w:ascii="CG Omega" w:hAnsi="CG Omega" w:cs="Arial"/>
          <w:b/>
          <w:sz w:val="16"/>
          <w:szCs w:val="16"/>
        </w:rPr>
      </w:pPr>
    </w:p>
    <w:p w:rsidR="00CE0821" w:rsidRPr="000E3CCA" w:rsidRDefault="00CE0821" w:rsidP="00CE0821">
      <w:pPr>
        <w:jc w:val="both"/>
        <w:rPr>
          <w:rFonts w:ascii="CG Omega" w:hAnsi="CG Omega" w:cs="Arial"/>
          <w:b/>
        </w:rPr>
      </w:pPr>
      <w:r w:rsidRPr="000E3CCA">
        <w:rPr>
          <w:rFonts w:ascii="CG Omega" w:hAnsi="CG Omega" w:cs="Arial"/>
          <w:b/>
        </w:rPr>
        <w:t xml:space="preserve">Fund </w:t>
      </w:r>
      <w:r w:rsidR="009440E4" w:rsidRPr="000E3CCA">
        <w:rPr>
          <w:rFonts w:ascii="CG Omega" w:hAnsi="CG Omega" w:cs="Arial"/>
          <w:b/>
        </w:rPr>
        <w:t xml:space="preserve">Entities Providing Housing </w:t>
      </w:r>
      <w:r w:rsidR="009440E4">
        <w:rPr>
          <w:rFonts w:ascii="CG Omega" w:hAnsi="CG Omega" w:cs="Arial"/>
          <w:b/>
        </w:rPr>
        <w:t>a</w:t>
      </w:r>
      <w:r w:rsidR="009440E4" w:rsidRPr="000E3CCA">
        <w:rPr>
          <w:rFonts w:ascii="CG Omega" w:hAnsi="CG Omega" w:cs="Arial"/>
          <w:b/>
        </w:rPr>
        <w:t xml:space="preserve">nd Related Services </w:t>
      </w:r>
      <w:r w:rsidR="009440E4">
        <w:rPr>
          <w:rFonts w:ascii="CG Omega" w:hAnsi="CG Omega" w:cs="Arial"/>
          <w:b/>
        </w:rPr>
        <w:t>f</w:t>
      </w:r>
      <w:r w:rsidR="009440E4" w:rsidRPr="000E3CCA">
        <w:rPr>
          <w:rFonts w:ascii="CG Omega" w:hAnsi="CG Omega" w:cs="Arial"/>
          <w:b/>
        </w:rPr>
        <w:t xml:space="preserve">or </w:t>
      </w:r>
      <w:r w:rsidRPr="000E3CCA">
        <w:rPr>
          <w:rFonts w:ascii="CG Omega" w:hAnsi="CG Omega" w:cs="Arial"/>
          <w:b/>
        </w:rPr>
        <w:t>HIV</w:t>
      </w:r>
      <w:r w:rsidR="009440E4" w:rsidRPr="000E3CCA">
        <w:rPr>
          <w:rFonts w:ascii="CG Omega" w:hAnsi="CG Omega" w:cs="Arial"/>
          <w:b/>
        </w:rPr>
        <w:t xml:space="preserve">-Positive Persons </w:t>
      </w:r>
      <w:r w:rsidR="009440E4">
        <w:rPr>
          <w:rFonts w:ascii="CG Omega" w:hAnsi="CG Omega" w:cs="Arial"/>
          <w:b/>
        </w:rPr>
        <w:t>a</w:t>
      </w:r>
      <w:r w:rsidR="009440E4" w:rsidRPr="000E3CCA">
        <w:rPr>
          <w:rFonts w:ascii="CG Omega" w:hAnsi="CG Omega" w:cs="Arial"/>
          <w:b/>
        </w:rPr>
        <w:t xml:space="preserve">nd Persons Living </w:t>
      </w:r>
      <w:r w:rsidR="009440E4">
        <w:rPr>
          <w:rFonts w:ascii="CG Omega" w:hAnsi="CG Omega" w:cs="Arial"/>
          <w:b/>
        </w:rPr>
        <w:t>w</w:t>
      </w:r>
      <w:r w:rsidR="009440E4" w:rsidRPr="000E3CCA">
        <w:rPr>
          <w:rFonts w:ascii="CG Omega" w:hAnsi="CG Omega" w:cs="Arial"/>
          <w:b/>
        </w:rPr>
        <w:t xml:space="preserve">ith </w:t>
      </w:r>
      <w:r w:rsidRPr="000E3CCA">
        <w:rPr>
          <w:rFonts w:ascii="CG Omega" w:hAnsi="CG Omega" w:cs="Arial"/>
          <w:b/>
        </w:rPr>
        <w:t>AIDS</w:t>
      </w:r>
    </w:p>
    <w:p w:rsidR="00CE0821" w:rsidRPr="000E3CCA" w:rsidRDefault="00CE0821" w:rsidP="00CE0821">
      <w:pPr>
        <w:jc w:val="both"/>
        <w:rPr>
          <w:rFonts w:ascii="CG Omega" w:hAnsi="CG Omega" w:cs="Arial"/>
          <w:b/>
          <w:sz w:val="16"/>
          <w:szCs w:val="16"/>
        </w:rPr>
      </w:pPr>
    </w:p>
    <w:p w:rsidR="00CE0821" w:rsidRPr="000E3CCA" w:rsidRDefault="00CE0821" w:rsidP="00CE0821">
      <w:pPr>
        <w:ind w:left="720" w:hanging="360"/>
        <w:jc w:val="both"/>
        <w:rPr>
          <w:rFonts w:ascii="CG Omega" w:hAnsi="CG Omega" w:cs="Arial"/>
        </w:rPr>
      </w:pPr>
      <w:r w:rsidRPr="000E3CCA">
        <w:rPr>
          <w:rFonts w:ascii="CG Omega" w:hAnsi="CG Omega" w:cs="Arial"/>
          <w:i/>
        </w:rPr>
        <w:t>Availability/Accessibility</w:t>
      </w:r>
      <w:r w:rsidRPr="000E3CCA">
        <w:rPr>
          <w:rFonts w:ascii="CG Omega" w:hAnsi="CG Omega" w:cs="Arial"/>
        </w:rPr>
        <w:t>: The number of HIV/AIDS households served with housing without related services; the number of HIV/AIDS households served with housing and related services</w:t>
      </w:r>
      <w:r w:rsidR="005347C1">
        <w:rPr>
          <w:rFonts w:ascii="CG Omega" w:hAnsi="CG Omega" w:cs="Arial"/>
        </w:rPr>
        <w:t>.</w:t>
      </w:r>
    </w:p>
    <w:p w:rsidR="00CE0821" w:rsidRPr="000E3CCA" w:rsidRDefault="00CE0821" w:rsidP="00CE0821">
      <w:pPr>
        <w:ind w:left="720" w:hanging="360"/>
        <w:jc w:val="both"/>
        <w:rPr>
          <w:rFonts w:ascii="CG Omega" w:hAnsi="CG Omega" w:cs="Arial"/>
        </w:rPr>
      </w:pPr>
      <w:r w:rsidRPr="000E3CCA">
        <w:rPr>
          <w:rFonts w:ascii="CG Omega" w:hAnsi="CG Omega" w:cs="Arial"/>
          <w:i/>
        </w:rPr>
        <w:t>Affordability</w:t>
      </w:r>
      <w:r w:rsidRPr="000E3CCA">
        <w:rPr>
          <w:rFonts w:ascii="CG Omega" w:hAnsi="CG Omega" w:cs="Arial"/>
        </w:rPr>
        <w:t>:  The number of HIV/AIDS households that were assisted without services; the number of HIV/AIDS households that were assisted with services</w:t>
      </w:r>
      <w:r w:rsidR="005347C1">
        <w:rPr>
          <w:rFonts w:ascii="CG Omega" w:hAnsi="CG Omega" w:cs="Arial"/>
        </w:rPr>
        <w:t>.</w:t>
      </w:r>
    </w:p>
    <w:p w:rsidR="00CE0821" w:rsidRPr="000E3CCA" w:rsidRDefault="00CE0821" w:rsidP="00CE0821">
      <w:pPr>
        <w:ind w:left="720" w:hanging="360"/>
        <w:jc w:val="both"/>
        <w:rPr>
          <w:rFonts w:ascii="CG Omega" w:hAnsi="CG Omega" w:cs="Arial"/>
        </w:rPr>
      </w:pPr>
      <w:r w:rsidRPr="000E3CCA">
        <w:rPr>
          <w:rFonts w:ascii="CG Omega" w:hAnsi="CG Omega" w:cs="Arial"/>
          <w:i/>
        </w:rPr>
        <w:t>Sustainability</w:t>
      </w:r>
      <w:r w:rsidRPr="000E3CCA">
        <w:rPr>
          <w:rFonts w:ascii="CG Omega" w:hAnsi="CG Omega" w:cs="Arial"/>
        </w:rPr>
        <w:t xml:space="preserve">: The number </w:t>
      </w:r>
      <w:r>
        <w:rPr>
          <w:rFonts w:ascii="CG Omega" w:hAnsi="CG Omega" w:cs="Arial"/>
        </w:rPr>
        <w:t>units</w:t>
      </w:r>
      <w:r w:rsidRPr="000E3CCA">
        <w:rPr>
          <w:rFonts w:ascii="CG Omega" w:hAnsi="CG Omega" w:cs="Arial"/>
        </w:rPr>
        <w:t xml:space="preserve"> </w:t>
      </w:r>
      <w:r>
        <w:rPr>
          <w:rFonts w:ascii="CG Omega" w:hAnsi="CG Omega" w:cs="Arial"/>
        </w:rPr>
        <w:t xml:space="preserve">rehabilitated and/or </w:t>
      </w:r>
      <w:r w:rsidRPr="000E3CCA">
        <w:rPr>
          <w:rFonts w:ascii="CG Omega" w:hAnsi="CG Omega" w:cs="Arial"/>
        </w:rPr>
        <w:t>added to the HIV/AIDS available stock of units</w:t>
      </w:r>
      <w:r w:rsidR="005347C1">
        <w:rPr>
          <w:rFonts w:ascii="CG Omega" w:hAnsi="CG Omega" w:cs="Arial"/>
        </w:rPr>
        <w:t>.</w:t>
      </w:r>
    </w:p>
    <w:p w:rsidR="00CE0821" w:rsidRPr="000E3CCA" w:rsidRDefault="00CE0821" w:rsidP="00CE0821">
      <w:pPr>
        <w:jc w:val="both"/>
        <w:rPr>
          <w:rFonts w:ascii="CG Omega" w:hAnsi="CG Omega" w:cs="Arial"/>
          <w:b/>
          <w:sz w:val="16"/>
          <w:szCs w:val="16"/>
        </w:rPr>
      </w:pPr>
    </w:p>
    <w:p w:rsidR="00CE0821" w:rsidRPr="000E3CCA" w:rsidRDefault="00CE0821" w:rsidP="00CE0821">
      <w:pPr>
        <w:keepNext/>
        <w:pBdr>
          <w:bottom w:val="double" w:sz="4" w:space="1" w:color="008000"/>
        </w:pBdr>
        <w:outlineLvl w:val="0"/>
        <w:rPr>
          <w:rFonts w:ascii="CG Omega" w:hAnsi="CG Omega"/>
          <w:b/>
          <w:color w:val="008000"/>
          <w:spacing w:val="-2"/>
          <w:sz w:val="26"/>
          <w:szCs w:val="20"/>
          <w:u w:val="single"/>
        </w:rPr>
      </w:pPr>
      <w:r w:rsidRPr="000E3CCA">
        <w:rPr>
          <w:rFonts w:ascii="CG Omega" w:hAnsi="CG Omega"/>
          <w:b/>
          <w:smallCaps/>
          <w:color w:val="008000"/>
          <w:sz w:val="26"/>
          <w:szCs w:val="20"/>
        </w:rPr>
        <w:t>Strategy 5: Reduce the Incidence of Homelessness</w:t>
      </w:r>
    </w:p>
    <w:p w:rsidR="00CE0821" w:rsidRPr="000E3CCA" w:rsidRDefault="00CE0821" w:rsidP="00CE0821">
      <w:pPr>
        <w:jc w:val="both"/>
        <w:rPr>
          <w:rFonts w:ascii="CG Omega" w:hAnsi="CG Omega" w:cs="Arial"/>
          <w:sz w:val="16"/>
          <w:szCs w:val="16"/>
        </w:rPr>
      </w:pPr>
    </w:p>
    <w:p w:rsidR="00CE0821" w:rsidRPr="000E3CCA" w:rsidRDefault="00CE0821" w:rsidP="00CE0821">
      <w:pPr>
        <w:spacing w:after="120"/>
        <w:jc w:val="both"/>
        <w:rPr>
          <w:rFonts w:ascii="CG Omega" w:hAnsi="CG Omega" w:cs="Arial"/>
        </w:rPr>
      </w:pPr>
      <w:r w:rsidRPr="000E3CCA">
        <w:rPr>
          <w:rFonts w:ascii="CG Omega" w:hAnsi="CG Omega" w:cs="Arial"/>
        </w:rPr>
        <w:t xml:space="preserve">While the population is continuing to grow, the incidence of homelessness remains a difficulty for the state.  </w:t>
      </w:r>
      <w:r w:rsidR="00CC3344">
        <w:rPr>
          <w:rFonts w:ascii="CG Omega" w:hAnsi="CG Omega" w:cs="Arial"/>
        </w:rPr>
        <w:t>MFA</w:t>
      </w:r>
      <w:r w:rsidRPr="000E3CCA">
        <w:rPr>
          <w:rFonts w:ascii="CG Omega" w:hAnsi="CG Omega" w:cs="Arial"/>
        </w:rPr>
        <w:t xml:space="preserve"> is committed to reducing the incidence of homelessness and the risk of homelessness throughout New Mexico.  </w:t>
      </w:r>
    </w:p>
    <w:p w:rsidR="00CE0821" w:rsidRPr="000E3CCA" w:rsidRDefault="00CE0821" w:rsidP="00CE0821">
      <w:pPr>
        <w:spacing w:after="120"/>
        <w:jc w:val="both"/>
        <w:rPr>
          <w:rFonts w:ascii="CG Omega" w:hAnsi="CG Omega" w:cs="Arial"/>
          <w:b/>
        </w:rPr>
      </w:pPr>
      <w:r w:rsidRPr="000E3CCA">
        <w:rPr>
          <w:rFonts w:ascii="CG Omega" w:hAnsi="CG Omega" w:cs="Arial"/>
          <w:b/>
        </w:rPr>
        <w:t>Increase the level and range of services provided to people experiencing homelessness</w:t>
      </w:r>
    </w:p>
    <w:p w:rsidR="00CE0821" w:rsidRPr="000E3CCA" w:rsidRDefault="00CE0821" w:rsidP="00CE0821">
      <w:pPr>
        <w:jc w:val="both"/>
        <w:rPr>
          <w:rFonts w:ascii="CG Omega" w:hAnsi="CG Omega" w:cs="Arial"/>
        </w:rPr>
      </w:pPr>
      <w:r w:rsidRPr="000E3CCA">
        <w:rPr>
          <w:rFonts w:ascii="CG Omega" w:hAnsi="CG Omega" w:cs="Arial"/>
        </w:rPr>
        <w:t xml:space="preserve">This objective can be accomplished through the following goals: </w:t>
      </w:r>
    </w:p>
    <w:p w:rsidR="00CE0821" w:rsidRPr="000E3CCA" w:rsidRDefault="00CE0821" w:rsidP="0049477B">
      <w:pPr>
        <w:numPr>
          <w:ilvl w:val="0"/>
          <w:numId w:val="30"/>
        </w:numPr>
        <w:jc w:val="both"/>
        <w:rPr>
          <w:rFonts w:ascii="CG Omega" w:hAnsi="CG Omega" w:cs="Arial"/>
        </w:rPr>
      </w:pPr>
      <w:r w:rsidRPr="000E3CCA">
        <w:rPr>
          <w:rFonts w:ascii="CG Omega" w:hAnsi="CG Omega" w:cs="Arial"/>
        </w:rPr>
        <w:t>Improving the data collection methods for determining homeless populations, particularly in rural areas</w:t>
      </w:r>
      <w:r w:rsidR="005347C1">
        <w:rPr>
          <w:rFonts w:ascii="CG Omega" w:hAnsi="CG Omega" w:cs="Arial"/>
        </w:rPr>
        <w:t>.</w:t>
      </w:r>
    </w:p>
    <w:p w:rsidR="00CE0821" w:rsidRPr="000E3CCA" w:rsidRDefault="00CE0821" w:rsidP="0049477B">
      <w:pPr>
        <w:numPr>
          <w:ilvl w:val="0"/>
          <w:numId w:val="30"/>
        </w:numPr>
        <w:jc w:val="both"/>
        <w:rPr>
          <w:rFonts w:ascii="CG Omega" w:hAnsi="CG Omega" w:cs="Arial"/>
        </w:rPr>
      </w:pPr>
      <w:r w:rsidRPr="000E3CCA">
        <w:rPr>
          <w:rFonts w:ascii="CG Omega" w:hAnsi="CG Omega" w:cs="Arial"/>
        </w:rPr>
        <w:t xml:space="preserve">Enhancing homelessness prevention activities, to include </w:t>
      </w:r>
      <w:r>
        <w:rPr>
          <w:rFonts w:ascii="CG Omega" w:hAnsi="CG Omega" w:cs="Arial"/>
        </w:rPr>
        <w:t xml:space="preserve">rental assistance, </w:t>
      </w:r>
      <w:r w:rsidRPr="000E3CCA">
        <w:rPr>
          <w:rFonts w:ascii="CG Omega" w:hAnsi="CG Omega" w:cs="Arial"/>
        </w:rPr>
        <w:t>counseling and other training opportunities</w:t>
      </w:r>
      <w:r w:rsidR="005347C1">
        <w:rPr>
          <w:rFonts w:ascii="CG Omega" w:hAnsi="CG Omega" w:cs="Arial"/>
        </w:rPr>
        <w:t>.</w:t>
      </w:r>
    </w:p>
    <w:p w:rsidR="00CE0821" w:rsidRPr="000E3CCA" w:rsidRDefault="00CE0821" w:rsidP="0049477B">
      <w:pPr>
        <w:numPr>
          <w:ilvl w:val="0"/>
          <w:numId w:val="30"/>
        </w:numPr>
        <w:spacing w:after="120"/>
        <w:jc w:val="both"/>
        <w:rPr>
          <w:rFonts w:ascii="CG Omega" w:hAnsi="CG Omega" w:cs="Arial"/>
        </w:rPr>
      </w:pPr>
      <w:r w:rsidRPr="000E3CCA">
        <w:rPr>
          <w:rFonts w:ascii="CG Omega" w:hAnsi="CG Omega" w:cs="Arial"/>
        </w:rPr>
        <w:t xml:space="preserve">Expanding </w:t>
      </w:r>
      <w:r>
        <w:rPr>
          <w:rFonts w:ascii="CG Omega" w:hAnsi="CG Omega" w:cs="Arial"/>
        </w:rPr>
        <w:t xml:space="preserve">rapid </w:t>
      </w:r>
      <w:r w:rsidR="00CC3344">
        <w:rPr>
          <w:rFonts w:ascii="CG Omega" w:hAnsi="CG Omega" w:cs="Arial"/>
        </w:rPr>
        <w:t>rehousing</w:t>
      </w:r>
      <w:r>
        <w:rPr>
          <w:rFonts w:ascii="CG Omega" w:hAnsi="CG Omega" w:cs="Arial"/>
        </w:rPr>
        <w:t xml:space="preserve"> including rental assistance and support services</w:t>
      </w:r>
      <w:r w:rsidR="005347C1">
        <w:rPr>
          <w:rFonts w:ascii="CG Omega" w:hAnsi="CG Omega" w:cs="Arial"/>
        </w:rPr>
        <w:t>.</w:t>
      </w:r>
    </w:p>
    <w:p w:rsidR="00CE0821" w:rsidRPr="000E3CCA" w:rsidRDefault="00CE0821" w:rsidP="00CE0821">
      <w:pPr>
        <w:spacing w:after="120"/>
        <w:jc w:val="both"/>
        <w:rPr>
          <w:rFonts w:ascii="CG Omega" w:hAnsi="CG Omega" w:cs="Arial"/>
          <w:b/>
        </w:rPr>
      </w:pPr>
      <w:r w:rsidRPr="000E3CCA">
        <w:rPr>
          <w:rFonts w:ascii="CG Omega" w:hAnsi="CG Omega" w:cs="Arial"/>
          <w:b/>
        </w:rPr>
        <w:t>Increase the number of available living environments</w:t>
      </w:r>
    </w:p>
    <w:p w:rsidR="00CE0821" w:rsidRPr="000E3CCA" w:rsidRDefault="00CE0821" w:rsidP="00CE0821">
      <w:pPr>
        <w:spacing w:after="120"/>
        <w:jc w:val="both"/>
        <w:rPr>
          <w:rFonts w:ascii="CG Omega" w:hAnsi="CG Omega" w:cs="Arial"/>
        </w:rPr>
      </w:pPr>
      <w:r w:rsidRPr="000E3CCA">
        <w:rPr>
          <w:rFonts w:ascii="CG Omega" w:hAnsi="CG Omega" w:cs="Arial"/>
        </w:rPr>
        <w:lastRenderedPageBreak/>
        <w:t xml:space="preserve">This objective can be accomplished through the following goals: </w:t>
      </w:r>
    </w:p>
    <w:p w:rsidR="00CE0821" w:rsidRDefault="00CE0821" w:rsidP="0049477B">
      <w:pPr>
        <w:numPr>
          <w:ilvl w:val="0"/>
          <w:numId w:val="31"/>
        </w:numPr>
        <w:spacing w:after="120"/>
        <w:jc w:val="both"/>
        <w:rPr>
          <w:rFonts w:ascii="CG Omega" w:hAnsi="CG Omega" w:cs="Arial"/>
        </w:rPr>
      </w:pPr>
      <w:r w:rsidRPr="000E3CCA">
        <w:rPr>
          <w:rFonts w:ascii="CG Omega" w:hAnsi="CG Omega" w:cs="Arial"/>
        </w:rPr>
        <w:t>Expanding the supply of permanent and permanent supportive housing for people experiencing homelessness</w:t>
      </w:r>
      <w:r w:rsidR="005347C1">
        <w:rPr>
          <w:rFonts w:ascii="CG Omega" w:hAnsi="CG Omega" w:cs="Arial"/>
        </w:rPr>
        <w:t>.</w:t>
      </w:r>
    </w:p>
    <w:p w:rsidR="00CE0821" w:rsidRPr="000E3CCA" w:rsidRDefault="00CE0821" w:rsidP="00F3321C">
      <w:pPr>
        <w:numPr>
          <w:ilvl w:val="0"/>
          <w:numId w:val="31"/>
        </w:numPr>
        <w:jc w:val="both"/>
        <w:rPr>
          <w:rFonts w:ascii="CG Omega" w:hAnsi="CG Omega" w:cs="Arial"/>
        </w:rPr>
      </w:pPr>
      <w:r>
        <w:rPr>
          <w:rFonts w:ascii="CG Omega" w:hAnsi="CG Omega" w:cs="Arial"/>
        </w:rPr>
        <w:t>Expand transitional housing for homeless youth and victims of domestic violence.</w:t>
      </w:r>
    </w:p>
    <w:p w:rsidR="00CE0821" w:rsidRPr="00F3321C" w:rsidRDefault="00CE0821" w:rsidP="00CE0821">
      <w:pPr>
        <w:ind w:left="360"/>
        <w:jc w:val="both"/>
        <w:rPr>
          <w:rFonts w:ascii="CG Omega" w:hAnsi="CG Omega" w:cs="Arial"/>
        </w:rPr>
      </w:pPr>
    </w:p>
    <w:p w:rsidR="00CE0821" w:rsidRPr="000E3CCA" w:rsidRDefault="00CE0821" w:rsidP="00CE0821">
      <w:pPr>
        <w:pBdr>
          <w:bottom w:val="double" w:sz="4" w:space="1" w:color="0000FF"/>
        </w:pBdr>
        <w:jc w:val="both"/>
        <w:rPr>
          <w:rFonts w:ascii="CG Omega" w:hAnsi="CG Omega" w:cs="Arial"/>
          <w:b/>
          <w:color w:val="0000FF"/>
          <w:spacing w:val="3"/>
        </w:rPr>
      </w:pPr>
      <w:r w:rsidRPr="000E3CCA">
        <w:rPr>
          <w:rFonts w:ascii="CG Omega" w:hAnsi="CG Omega" w:cs="Arial"/>
          <w:b/>
          <w:smallCaps/>
          <w:color w:val="0000FF"/>
        </w:rPr>
        <w:t>Performance Measurement Criteria</w:t>
      </w:r>
    </w:p>
    <w:p w:rsidR="00CE0821" w:rsidRPr="00F3321C" w:rsidRDefault="00CE0821" w:rsidP="00CE0821">
      <w:pPr>
        <w:jc w:val="both"/>
        <w:rPr>
          <w:rFonts w:ascii="CG Omega" w:hAnsi="CG Omega" w:cs="Arial"/>
          <w:b/>
        </w:rPr>
      </w:pPr>
    </w:p>
    <w:p w:rsidR="00CE0821" w:rsidRPr="000E3CCA" w:rsidRDefault="00CE0821" w:rsidP="00CE0821">
      <w:pPr>
        <w:jc w:val="both"/>
        <w:rPr>
          <w:rFonts w:ascii="CG Omega" w:hAnsi="CG Omega" w:cs="Arial"/>
          <w:b/>
        </w:rPr>
      </w:pPr>
      <w:r w:rsidRPr="000E3CCA">
        <w:rPr>
          <w:rFonts w:ascii="CG Omega" w:hAnsi="CG Omega" w:cs="Arial"/>
          <w:b/>
        </w:rPr>
        <w:t>Increase the level and range of services provided to people experiencing homelessness</w:t>
      </w:r>
    </w:p>
    <w:p w:rsidR="00CE0821" w:rsidRPr="000E3CCA" w:rsidRDefault="00CE0821" w:rsidP="00CE0821">
      <w:pPr>
        <w:ind w:left="360"/>
        <w:jc w:val="both"/>
        <w:rPr>
          <w:rFonts w:ascii="CG Omega" w:hAnsi="CG Omega" w:cs="Arial"/>
          <w:i/>
          <w:sz w:val="16"/>
          <w:szCs w:val="16"/>
        </w:rPr>
      </w:pPr>
    </w:p>
    <w:p w:rsidR="00CE0821" w:rsidRPr="000E3CCA" w:rsidRDefault="00CE0821" w:rsidP="00CE0821">
      <w:pPr>
        <w:ind w:left="720" w:hanging="360"/>
        <w:jc w:val="both"/>
        <w:rPr>
          <w:rFonts w:ascii="CG Omega" w:hAnsi="CG Omega" w:cs="Arial"/>
        </w:rPr>
      </w:pPr>
      <w:r w:rsidRPr="000E3CCA">
        <w:rPr>
          <w:rFonts w:ascii="CG Omega" w:hAnsi="CG Omega" w:cs="Arial"/>
          <w:i/>
        </w:rPr>
        <w:t>Availability/Accessibility</w:t>
      </w:r>
      <w:r w:rsidRPr="000E3CCA">
        <w:rPr>
          <w:rFonts w:ascii="CG Omega" w:hAnsi="CG Omega" w:cs="Arial"/>
        </w:rPr>
        <w:t>: The number of homeless persons provided with services; the number and types of services provided to persons experiencing homelessness</w:t>
      </w:r>
      <w:r w:rsidR="005347C1">
        <w:rPr>
          <w:rFonts w:ascii="CG Omega" w:hAnsi="CG Omega" w:cs="Arial"/>
        </w:rPr>
        <w:t>.</w:t>
      </w:r>
    </w:p>
    <w:p w:rsidR="00CE0821" w:rsidRPr="000E3CCA" w:rsidRDefault="00CE0821" w:rsidP="00CE0821">
      <w:pPr>
        <w:ind w:left="720" w:hanging="360"/>
        <w:jc w:val="both"/>
        <w:rPr>
          <w:rFonts w:ascii="CG Omega" w:hAnsi="CG Omega" w:cs="Arial"/>
        </w:rPr>
      </w:pPr>
      <w:r w:rsidRPr="000E3CCA">
        <w:rPr>
          <w:rFonts w:ascii="CG Omega" w:hAnsi="CG Omega" w:cs="Arial"/>
          <w:i/>
        </w:rPr>
        <w:t>Affordability</w:t>
      </w:r>
      <w:r w:rsidRPr="000E3CCA">
        <w:rPr>
          <w:rFonts w:ascii="CG Omega" w:hAnsi="CG Omega" w:cs="Arial"/>
        </w:rPr>
        <w:t>: The number of persons who gained a stable transitional or permanent housing situation</w:t>
      </w:r>
      <w:r w:rsidR="005347C1">
        <w:rPr>
          <w:rFonts w:ascii="CG Omega" w:hAnsi="CG Omega" w:cs="Arial"/>
        </w:rPr>
        <w:t>.</w:t>
      </w:r>
    </w:p>
    <w:p w:rsidR="00CE0821" w:rsidRPr="000E3CCA" w:rsidRDefault="00CE0821" w:rsidP="00CE0821">
      <w:pPr>
        <w:rPr>
          <w:sz w:val="16"/>
          <w:szCs w:val="16"/>
        </w:rPr>
      </w:pPr>
    </w:p>
    <w:p w:rsidR="00CE0821" w:rsidRPr="000E3CCA" w:rsidRDefault="00CE0821" w:rsidP="00CE0821">
      <w:pPr>
        <w:jc w:val="both"/>
        <w:rPr>
          <w:rFonts w:ascii="CG Omega" w:hAnsi="CG Omega" w:cs="Arial"/>
          <w:b/>
        </w:rPr>
      </w:pPr>
      <w:r w:rsidRPr="000E3CCA">
        <w:rPr>
          <w:rFonts w:ascii="CG Omega" w:hAnsi="CG Omega" w:cs="Arial"/>
          <w:b/>
        </w:rPr>
        <w:t>Increase the number of available living environments:</w:t>
      </w:r>
    </w:p>
    <w:p w:rsidR="00CE0821" w:rsidRPr="000E3CCA" w:rsidRDefault="00CE0821" w:rsidP="00CE0821">
      <w:pPr>
        <w:ind w:left="360"/>
        <w:jc w:val="both"/>
        <w:rPr>
          <w:rFonts w:ascii="CG Omega" w:hAnsi="CG Omega" w:cs="Arial"/>
          <w:i/>
          <w:sz w:val="16"/>
          <w:szCs w:val="16"/>
        </w:rPr>
      </w:pPr>
    </w:p>
    <w:p w:rsidR="00CE0821" w:rsidRPr="000E3CCA" w:rsidRDefault="00CE0821" w:rsidP="00CE0821">
      <w:pPr>
        <w:ind w:left="720" w:hanging="360"/>
        <w:jc w:val="both"/>
        <w:rPr>
          <w:rFonts w:ascii="CG Omega" w:hAnsi="CG Omega" w:cs="Arial"/>
        </w:rPr>
      </w:pPr>
      <w:r w:rsidRPr="000E3CCA">
        <w:rPr>
          <w:rFonts w:ascii="CG Omega" w:hAnsi="CG Omega" w:cs="Arial"/>
          <w:i/>
        </w:rPr>
        <w:t>Availability/Accessibility</w:t>
      </w:r>
      <w:r w:rsidRPr="000E3CCA">
        <w:rPr>
          <w:rFonts w:ascii="CG Omega" w:hAnsi="CG Omega" w:cs="Arial"/>
        </w:rPr>
        <w:t xml:space="preserve">: The number of homeless persons </w:t>
      </w:r>
      <w:r>
        <w:rPr>
          <w:rFonts w:ascii="CG Omega" w:hAnsi="CG Omega" w:cs="Arial"/>
        </w:rPr>
        <w:t xml:space="preserve">going </w:t>
      </w:r>
      <w:r w:rsidR="00F3321C">
        <w:rPr>
          <w:rFonts w:ascii="CG Omega" w:hAnsi="CG Omega" w:cs="Arial"/>
        </w:rPr>
        <w:t xml:space="preserve">from </w:t>
      </w:r>
      <w:r w:rsidR="00F3321C" w:rsidRPr="000E3CCA">
        <w:rPr>
          <w:rFonts w:ascii="CG Omega" w:hAnsi="CG Omega" w:cs="Arial"/>
        </w:rPr>
        <w:t>transitional</w:t>
      </w:r>
      <w:r w:rsidRPr="000E3CCA">
        <w:rPr>
          <w:rFonts w:ascii="CG Omega" w:hAnsi="CG Omega" w:cs="Arial"/>
        </w:rPr>
        <w:t xml:space="preserve"> housing </w:t>
      </w:r>
      <w:r>
        <w:rPr>
          <w:rFonts w:ascii="CG Omega" w:hAnsi="CG Omega" w:cs="Arial"/>
        </w:rPr>
        <w:t>to permanent housing</w:t>
      </w:r>
      <w:r w:rsidRPr="000E3CCA">
        <w:rPr>
          <w:rFonts w:ascii="CG Omega" w:hAnsi="CG Omega" w:cs="Arial"/>
        </w:rPr>
        <w:t>; the number of homeless persons placed in permanent supportive housing units</w:t>
      </w:r>
      <w:r>
        <w:rPr>
          <w:rFonts w:ascii="CG Omega" w:hAnsi="CG Omega" w:cs="Arial"/>
        </w:rPr>
        <w:t xml:space="preserve"> who stay at least </w:t>
      </w:r>
      <w:r w:rsidR="005347C1">
        <w:rPr>
          <w:rFonts w:ascii="CG Omega" w:hAnsi="CG Omega" w:cs="Arial"/>
        </w:rPr>
        <w:t>six</w:t>
      </w:r>
      <w:r>
        <w:rPr>
          <w:rFonts w:ascii="CG Omega" w:hAnsi="CG Omega" w:cs="Arial"/>
        </w:rPr>
        <w:t xml:space="preserve"> months</w:t>
      </w:r>
      <w:r w:rsidR="005347C1">
        <w:rPr>
          <w:rFonts w:ascii="CG Omega" w:hAnsi="CG Omega" w:cs="Arial"/>
        </w:rPr>
        <w:t>.</w:t>
      </w:r>
    </w:p>
    <w:p w:rsidR="00CE0821" w:rsidRPr="000E3CCA" w:rsidRDefault="00CE0821" w:rsidP="00CE0821">
      <w:pPr>
        <w:ind w:left="720" w:hanging="360"/>
        <w:jc w:val="both"/>
        <w:rPr>
          <w:rFonts w:ascii="CG Omega" w:hAnsi="CG Omega" w:cs="Arial"/>
        </w:rPr>
      </w:pPr>
      <w:r w:rsidRPr="000E3CCA">
        <w:rPr>
          <w:rFonts w:ascii="CG Omega" w:hAnsi="CG Omega" w:cs="Arial"/>
          <w:i/>
        </w:rPr>
        <w:t>Affordability</w:t>
      </w:r>
      <w:r w:rsidRPr="000E3CCA">
        <w:rPr>
          <w:rFonts w:ascii="CG Omega" w:hAnsi="CG Omega" w:cs="Arial"/>
        </w:rPr>
        <w:t>: The number of transitional housing units created; the number of permanent supportive housing units created</w:t>
      </w:r>
      <w:r w:rsidR="005347C1">
        <w:rPr>
          <w:rFonts w:ascii="CG Omega" w:hAnsi="CG Omega" w:cs="Arial"/>
        </w:rPr>
        <w:t>.</w:t>
      </w:r>
    </w:p>
    <w:p w:rsidR="00CE0821" w:rsidRPr="000E3CCA" w:rsidRDefault="00CE0821" w:rsidP="00CE0821">
      <w:pPr>
        <w:ind w:left="720" w:hanging="360"/>
        <w:jc w:val="both"/>
        <w:rPr>
          <w:rFonts w:ascii="CG Omega" w:hAnsi="CG Omega" w:cs="Arial"/>
        </w:rPr>
      </w:pPr>
      <w:r w:rsidRPr="000E3CCA">
        <w:rPr>
          <w:rFonts w:ascii="CG Omega" w:hAnsi="CG Omega" w:cs="Arial"/>
          <w:i/>
        </w:rPr>
        <w:t>Sustainability</w:t>
      </w:r>
      <w:r w:rsidRPr="000E3CCA">
        <w:rPr>
          <w:rFonts w:ascii="CG Omega" w:hAnsi="CG Omega" w:cs="Arial"/>
        </w:rPr>
        <w:t>: The number of previously homeless persons in transitional housing; the number of previously homeless persons placed in permanent supportive housing</w:t>
      </w:r>
      <w:r w:rsidR="005347C1">
        <w:rPr>
          <w:rFonts w:ascii="CG Omega" w:hAnsi="CG Omega" w:cs="Arial"/>
        </w:rPr>
        <w:t>.</w:t>
      </w:r>
    </w:p>
    <w:p w:rsidR="00CE0821" w:rsidRPr="00F3321C" w:rsidRDefault="00CE0821" w:rsidP="00CE0821">
      <w:pPr>
        <w:ind w:left="1080" w:hanging="360"/>
        <w:jc w:val="both"/>
        <w:rPr>
          <w:rFonts w:ascii="CG Omega" w:hAnsi="CG Omega" w:cs="Arial"/>
        </w:rPr>
      </w:pPr>
    </w:p>
    <w:p w:rsidR="00CE0821" w:rsidRPr="000E3CCA" w:rsidRDefault="00CE0821" w:rsidP="00CE0821">
      <w:pPr>
        <w:keepNext/>
        <w:pBdr>
          <w:bottom w:val="double" w:sz="4" w:space="1" w:color="008000"/>
        </w:pBdr>
        <w:outlineLvl w:val="0"/>
        <w:rPr>
          <w:rFonts w:ascii="CG Omega" w:hAnsi="CG Omega"/>
          <w:b/>
          <w:color w:val="008000"/>
          <w:spacing w:val="-4"/>
          <w:sz w:val="26"/>
          <w:szCs w:val="20"/>
          <w:u w:val="single"/>
        </w:rPr>
      </w:pPr>
      <w:r w:rsidRPr="000E3CCA">
        <w:rPr>
          <w:rFonts w:ascii="CG Omega" w:hAnsi="CG Omega"/>
          <w:b/>
          <w:smallCaps/>
          <w:color w:val="008000"/>
          <w:spacing w:val="-4"/>
          <w:sz w:val="26"/>
          <w:szCs w:val="20"/>
        </w:rPr>
        <w:t>Strategy 6: Enhance the Quality of Infrastructure, Public Facilities and Housing</w:t>
      </w:r>
    </w:p>
    <w:p w:rsidR="00CE0821" w:rsidRPr="00F3321C" w:rsidRDefault="00CE0821" w:rsidP="00CE0821">
      <w:pPr>
        <w:jc w:val="both"/>
        <w:rPr>
          <w:rFonts w:ascii="CG Omega" w:hAnsi="CG Omega" w:cs="Arial"/>
        </w:rPr>
      </w:pPr>
    </w:p>
    <w:p w:rsidR="00CE0821" w:rsidRPr="000E3CCA" w:rsidRDefault="005347C1" w:rsidP="00CE0821">
      <w:pPr>
        <w:jc w:val="both"/>
        <w:rPr>
          <w:rFonts w:ascii="CG Omega" w:hAnsi="CG Omega" w:cs="Arial"/>
        </w:rPr>
      </w:pPr>
      <w:r>
        <w:rPr>
          <w:rFonts w:ascii="CG Omega" w:hAnsi="CG Omega" w:cs="Arial"/>
        </w:rPr>
        <w:t>DFA/LGD</w:t>
      </w:r>
      <w:r w:rsidR="00CE0821" w:rsidRPr="000E3CCA">
        <w:rPr>
          <w:rFonts w:ascii="CG Omega" w:hAnsi="CG Omega" w:cs="Arial"/>
        </w:rPr>
        <w:t xml:space="preserve"> has the responsibility of administering the state’s CDBG </w:t>
      </w:r>
      <w:r>
        <w:rPr>
          <w:rFonts w:ascii="CG Omega" w:hAnsi="CG Omega" w:cs="Arial"/>
        </w:rPr>
        <w:t>p</w:t>
      </w:r>
      <w:r w:rsidR="00CE0821" w:rsidRPr="000E3CCA">
        <w:rPr>
          <w:rFonts w:ascii="CG Omega" w:hAnsi="CG Omega" w:cs="Arial"/>
        </w:rPr>
        <w:t>rogram</w:t>
      </w:r>
      <w:r w:rsidR="007E2BF2">
        <w:rPr>
          <w:rFonts w:ascii="CG Omega" w:hAnsi="CG Omega" w:cs="Arial"/>
        </w:rPr>
        <w:t xml:space="preserve"> for non-entitlement</w:t>
      </w:r>
      <w:r w:rsidR="00CE0821" w:rsidRPr="000E3CCA">
        <w:rPr>
          <w:rFonts w:ascii="CG Omega" w:hAnsi="CG Omega" w:cs="Arial"/>
        </w:rPr>
        <w:t xml:space="preserve"> communities.</w:t>
      </w:r>
    </w:p>
    <w:p w:rsidR="00CE0821" w:rsidRDefault="00CE0821" w:rsidP="00CE0821">
      <w:pPr>
        <w:jc w:val="both"/>
        <w:rPr>
          <w:rFonts w:ascii="CG Omega" w:hAnsi="CG Omega" w:cs="Arial"/>
        </w:rPr>
      </w:pPr>
    </w:p>
    <w:p w:rsidR="00CE0821" w:rsidRPr="000E3CCA" w:rsidRDefault="00CE0821" w:rsidP="00CE0821">
      <w:pPr>
        <w:spacing w:after="120"/>
        <w:jc w:val="both"/>
        <w:rPr>
          <w:rFonts w:ascii="CG Omega" w:hAnsi="CG Omega" w:cs="Arial"/>
        </w:rPr>
      </w:pPr>
      <w:r w:rsidRPr="000E3CCA">
        <w:rPr>
          <w:rFonts w:ascii="CG Omega" w:hAnsi="CG Omega" w:cs="Arial"/>
        </w:rPr>
        <w:t>This strategy will include a focus on providing a suitable living environment through</w:t>
      </w:r>
      <w:r w:rsidR="007E2BF2">
        <w:rPr>
          <w:rFonts w:ascii="CG Omega" w:hAnsi="CG Omega" w:cs="Arial"/>
        </w:rPr>
        <w:t>, but not limited to</w:t>
      </w:r>
      <w:r w:rsidR="005347C1">
        <w:rPr>
          <w:rFonts w:ascii="CG Omega" w:hAnsi="CG Omega" w:cs="Arial"/>
        </w:rPr>
        <w:t>,</w:t>
      </w:r>
      <w:r w:rsidR="007E2BF2">
        <w:rPr>
          <w:rFonts w:ascii="CG Omega" w:hAnsi="CG Omega" w:cs="Arial"/>
        </w:rPr>
        <w:t xml:space="preserve"> the following</w:t>
      </w:r>
      <w:r w:rsidRPr="000E3CCA">
        <w:rPr>
          <w:rFonts w:ascii="CG Omega" w:hAnsi="CG Omega" w:cs="Arial"/>
        </w:rPr>
        <w:t>:</w:t>
      </w:r>
    </w:p>
    <w:p w:rsidR="00CE0821" w:rsidRPr="000E3CCA" w:rsidRDefault="00CE0821" w:rsidP="00F3321C">
      <w:pPr>
        <w:numPr>
          <w:ilvl w:val="0"/>
          <w:numId w:val="38"/>
        </w:numPr>
        <w:tabs>
          <w:tab w:val="num" w:pos="720"/>
        </w:tabs>
        <w:ind w:left="720"/>
        <w:jc w:val="both"/>
        <w:rPr>
          <w:rFonts w:ascii="CG Omega" w:hAnsi="CG Omega" w:cs="Arial"/>
        </w:rPr>
      </w:pPr>
      <w:r w:rsidRPr="000E3CCA">
        <w:rPr>
          <w:rFonts w:ascii="CG Omega" w:hAnsi="CG Omega" w:cs="Arial"/>
        </w:rPr>
        <w:t>Water, wastewater</w:t>
      </w:r>
      <w:r>
        <w:rPr>
          <w:rFonts w:ascii="CG Omega" w:hAnsi="CG Omega" w:cs="Arial"/>
        </w:rPr>
        <w:t>, storm sewers</w:t>
      </w:r>
      <w:r w:rsidRPr="000E3CCA">
        <w:rPr>
          <w:rFonts w:ascii="CG Omega" w:hAnsi="CG Omega" w:cs="Arial"/>
        </w:rPr>
        <w:t xml:space="preserve"> and streets: </w:t>
      </w:r>
      <w:r w:rsidR="005347C1">
        <w:rPr>
          <w:rFonts w:ascii="CG Omega" w:hAnsi="CG Omega" w:cs="Arial"/>
        </w:rPr>
        <w:t>f</w:t>
      </w:r>
      <w:r w:rsidRPr="000E3CCA">
        <w:rPr>
          <w:rFonts w:ascii="CG Omega" w:hAnsi="CG Omega" w:cs="Arial"/>
        </w:rPr>
        <w:t xml:space="preserve">unds will be allocated to improve the infrastructure for low and moderate income persons and priority will be given to those </w:t>
      </w:r>
      <w:r w:rsidR="007E2BF2">
        <w:rPr>
          <w:rFonts w:ascii="CG Omega" w:hAnsi="CG Omega" w:cs="Arial"/>
        </w:rPr>
        <w:t xml:space="preserve">projects </w:t>
      </w:r>
      <w:r w:rsidRPr="000E3CCA">
        <w:rPr>
          <w:rFonts w:ascii="CG Omega" w:hAnsi="CG Omega" w:cs="Arial"/>
        </w:rPr>
        <w:t xml:space="preserve">that are </w:t>
      </w:r>
      <w:r w:rsidR="007E2BF2">
        <w:rPr>
          <w:rFonts w:ascii="CG Omega" w:hAnsi="CG Omega" w:cs="Arial"/>
        </w:rPr>
        <w:t>ready to proceed</w:t>
      </w:r>
      <w:r w:rsidR="005347C1">
        <w:rPr>
          <w:rFonts w:ascii="CG Omega" w:hAnsi="CG Omega" w:cs="Arial"/>
        </w:rPr>
        <w:t>.</w:t>
      </w:r>
    </w:p>
    <w:p w:rsidR="00CE0821" w:rsidRPr="000E3CCA" w:rsidRDefault="00CE0821" w:rsidP="00F3321C">
      <w:pPr>
        <w:numPr>
          <w:ilvl w:val="0"/>
          <w:numId w:val="38"/>
        </w:numPr>
        <w:tabs>
          <w:tab w:val="num" w:pos="720"/>
        </w:tabs>
        <w:ind w:left="720"/>
        <w:jc w:val="both"/>
        <w:rPr>
          <w:rFonts w:ascii="CG Omega" w:hAnsi="CG Omega" w:cs="Arial"/>
        </w:rPr>
      </w:pPr>
      <w:r w:rsidRPr="000E3CCA">
        <w:rPr>
          <w:rFonts w:ascii="CG Omega" w:hAnsi="CG Omega" w:cs="Arial"/>
        </w:rPr>
        <w:t>Colonia</w:t>
      </w:r>
      <w:r w:rsidR="007E2BF2">
        <w:rPr>
          <w:rFonts w:ascii="CG Omega" w:hAnsi="CG Omega" w:cs="Arial"/>
        </w:rPr>
        <w:t>s</w:t>
      </w:r>
      <w:r w:rsidRPr="000E3CCA">
        <w:rPr>
          <w:rFonts w:ascii="CG Omega" w:hAnsi="CG Omega" w:cs="Arial"/>
        </w:rPr>
        <w:t xml:space="preserve">: </w:t>
      </w:r>
      <w:r w:rsidR="005347C1">
        <w:rPr>
          <w:rFonts w:ascii="CG Omega" w:hAnsi="CG Omega" w:cs="Arial"/>
        </w:rPr>
        <w:t>f</w:t>
      </w:r>
      <w:r w:rsidRPr="000E3CCA">
        <w:rPr>
          <w:rFonts w:ascii="CG Omega" w:hAnsi="CG Omega" w:cs="Arial"/>
        </w:rPr>
        <w:t>unds will be allocated to improve the infrastructure and housing needs in the colonias and priority will be given to those</w:t>
      </w:r>
      <w:r w:rsidR="007E2BF2">
        <w:rPr>
          <w:rFonts w:ascii="CG Omega" w:hAnsi="CG Omega" w:cs="Arial"/>
        </w:rPr>
        <w:t xml:space="preserve"> projects</w:t>
      </w:r>
      <w:r w:rsidRPr="000E3CCA">
        <w:rPr>
          <w:rFonts w:ascii="CG Omega" w:hAnsi="CG Omega" w:cs="Arial"/>
        </w:rPr>
        <w:t xml:space="preserve"> that are </w:t>
      </w:r>
      <w:r w:rsidR="007E2BF2">
        <w:rPr>
          <w:rFonts w:ascii="CG Omega" w:hAnsi="CG Omega" w:cs="Arial"/>
        </w:rPr>
        <w:t>ready to proceed</w:t>
      </w:r>
      <w:r w:rsidRPr="000E3CCA">
        <w:rPr>
          <w:rFonts w:ascii="CG Omega" w:hAnsi="CG Omega" w:cs="Arial"/>
        </w:rPr>
        <w:t>.</w:t>
      </w:r>
    </w:p>
    <w:p w:rsidR="00CE0821" w:rsidRDefault="00CE0821" w:rsidP="00F3321C">
      <w:pPr>
        <w:numPr>
          <w:ilvl w:val="0"/>
          <w:numId w:val="38"/>
        </w:numPr>
        <w:tabs>
          <w:tab w:val="num" w:pos="720"/>
        </w:tabs>
        <w:ind w:left="720"/>
        <w:jc w:val="both"/>
        <w:rPr>
          <w:rFonts w:ascii="CG Omega" w:hAnsi="CG Omega" w:cs="Arial"/>
        </w:rPr>
      </w:pPr>
      <w:r w:rsidRPr="000E3CCA">
        <w:rPr>
          <w:rFonts w:ascii="CG Omega" w:hAnsi="CG Omega" w:cs="Arial"/>
        </w:rPr>
        <w:lastRenderedPageBreak/>
        <w:t xml:space="preserve">Planning:  </w:t>
      </w:r>
      <w:r w:rsidR="005347C1">
        <w:rPr>
          <w:rFonts w:ascii="CG Omega" w:hAnsi="CG Omega" w:cs="Arial"/>
        </w:rPr>
        <w:t>f</w:t>
      </w:r>
      <w:r w:rsidRPr="000E3CCA">
        <w:rPr>
          <w:rFonts w:ascii="CG Omega" w:hAnsi="CG Omega" w:cs="Arial"/>
        </w:rPr>
        <w:t xml:space="preserve">unds will be allocated to </w:t>
      </w:r>
      <w:r w:rsidR="007E2BF2">
        <w:rPr>
          <w:rFonts w:ascii="CG Omega" w:hAnsi="CG Omega" w:cs="Arial"/>
        </w:rPr>
        <w:t>projects that update their</w:t>
      </w:r>
      <w:r w:rsidRPr="000E3CCA">
        <w:rPr>
          <w:rFonts w:ascii="CG Omega" w:hAnsi="CG Omega" w:cs="Arial"/>
        </w:rPr>
        <w:t xml:space="preserve"> comprehensive plans, asset management plans, preliminary engineering reports, and other plans and studies identified in rules and regulations.</w:t>
      </w:r>
    </w:p>
    <w:p w:rsidR="007E2BF2" w:rsidRDefault="007E2BF2" w:rsidP="00F3321C">
      <w:pPr>
        <w:numPr>
          <w:ilvl w:val="0"/>
          <w:numId w:val="38"/>
        </w:numPr>
        <w:tabs>
          <w:tab w:val="num" w:pos="720"/>
        </w:tabs>
        <w:ind w:left="720"/>
        <w:jc w:val="both"/>
        <w:rPr>
          <w:rFonts w:ascii="CG Omega" w:hAnsi="CG Omega" w:cs="Arial"/>
        </w:rPr>
      </w:pPr>
      <w:r>
        <w:rPr>
          <w:rFonts w:ascii="CG Omega" w:hAnsi="CG Omega" w:cs="Arial"/>
        </w:rPr>
        <w:t xml:space="preserve">Housing: </w:t>
      </w:r>
      <w:r w:rsidR="005347C1">
        <w:rPr>
          <w:rFonts w:ascii="CG Omega" w:hAnsi="CG Omega" w:cs="Arial"/>
        </w:rPr>
        <w:t>f</w:t>
      </w:r>
      <w:r>
        <w:rPr>
          <w:rFonts w:ascii="CG Omega" w:hAnsi="CG Omega" w:cs="Arial"/>
        </w:rPr>
        <w:t>unds will focus on providing</w:t>
      </w:r>
      <w:r w:rsidRPr="00D36462">
        <w:rPr>
          <w:rFonts w:ascii="CG Omega" w:hAnsi="CG Omega" w:cs="Arial"/>
        </w:rPr>
        <w:t xml:space="preserve"> decent housing through allocating funding to projects related to housing activities for low</w:t>
      </w:r>
      <w:r w:rsidRPr="00B37E50">
        <w:rPr>
          <w:rFonts w:ascii="CG Omega" w:hAnsi="CG Omega" w:cs="Arial"/>
        </w:rPr>
        <w:t xml:space="preserve"> to moderate income persons and priority will be given to housing rehabilitation projects.</w:t>
      </w:r>
    </w:p>
    <w:p w:rsidR="00CE0821" w:rsidRPr="007E2BF2" w:rsidRDefault="007E2BF2" w:rsidP="00F3321C">
      <w:pPr>
        <w:numPr>
          <w:ilvl w:val="0"/>
          <w:numId w:val="38"/>
        </w:numPr>
        <w:tabs>
          <w:tab w:val="num" w:pos="720"/>
        </w:tabs>
        <w:ind w:left="720"/>
        <w:jc w:val="both"/>
        <w:rPr>
          <w:rFonts w:ascii="CG Omega" w:hAnsi="CG Omega" w:cs="Arial"/>
        </w:rPr>
      </w:pPr>
      <w:r>
        <w:rPr>
          <w:rFonts w:ascii="CG Omega" w:hAnsi="CG Omega" w:cs="Arial"/>
        </w:rPr>
        <w:t xml:space="preserve">Economic Impact: </w:t>
      </w:r>
      <w:r w:rsidR="005347C1">
        <w:rPr>
          <w:rFonts w:ascii="CG Omega" w:hAnsi="CG Omega" w:cs="Arial"/>
        </w:rPr>
        <w:t>e</w:t>
      </w:r>
      <w:r>
        <w:rPr>
          <w:rFonts w:ascii="CG Omega" w:hAnsi="CG Omega" w:cs="Arial"/>
        </w:rPr>
        <w:t xml:space="preserve">xpanding economic opportunities will be given to projects that create and/or retain jobs for </w:t>
      </w:r>
      <w:r w:rsidR="00CC3344">
        <w:rPr>
          <w:rFonts w:ascii="CG Omega" w:hAnsi="CG Omega" w:cs="Arial"/>
        </w:rPr>
        <w:t>low</w:t>
      </w:r>
      <w:r w:rsidR="00F3321C">
        <w:rPr>
          <w:rFonts w:ascii="CG Omega" w:hAnsi="CG Omega" w:cs="Arial"/>
        </w:rPr>
        <w:t xml:space="preserve"> </w:t>
      </w:r>
      <w:r w:rsidR="00CC3344">
        <w:rPr>
          <w:rFonts w:ascii="CG Omega" w:hAnsi="CG Omega" w:cs="Arial"/>
        </w:rPr>
        <w:t>and moderate</w:t>
      </w:r>
      <w:r w:rsidR="00F3321C">
        <w:rPr>
          <w:rFonts w:ascii="CG Omega" w:hAnsi="CG Omega" w:cs="Arial"/>
        </w:rPr>
        <w:t xml:space="preserve"> </w:t>
      </w:r>
      <w:r w:rsidR="00CC3344">
        <w:rPr>
          <w:rFonts w:ascii="CG Omega" w:hAnsi="CG Omega" w:cs="Arial"/>
        </w:rPr>
        <w:t>income</w:t>
      </w:r>
      <w:r>
        <w:rPr>
          <w:rFonts w:ascii="CG Omega" w:hAnsi="CG Omega" w:cs="Arial"/>
        </w:rPr>
        <w:t xml:space="preserve"> persons.</w:t>
      </w:r>
    </w:p>
    <w:p w:rsidR="00F3321C" w:rsidRDefault="00F3321C" w:rsidP="00F3321C">
      <w:pPr>
        <w:jc w:val="both"/>
        <w:rPr>
          <w:rFonts w:ascii="CG Omega" w:hAnsi="CG Omega" w:cs="Arial"/>
          <w:b/>
        </w:rPr>
      </w:pPr>
    </w:p>
    <w:p w:rsidR="00F3321C" w:rsidRDefault="00F3321C" w:rsidP="00CE0821">
      <w:pPr>
        <w:spacing w:after="100" w:afterAutospacing="1"/>
        <w:jc w:val="both"/>
        <w:rPr>
          <w:rFonts w:ascii="CG Omega" w:hAnsi="CG Omega" w:cs="Arial"/>
          <w:b/>
        </w:rPr>
      </w:pPr>
    </w:p>
    <w:p w:rsidR="00CE0821" w:rsidRPr="000E3CCA" w:rsidRDefault="00CE0821" w:rsidP="00CE0821">
      <w:pPr>
        <w:spacing w:after="100" w:afterAutospacing="1"/>
        <w:jc w:val="both"/>
        <w:rPr>
          <w:rFonts w:ascii="CG Omega" w:hAnsi="CG Omega" w:cs="Arial"/>
          <w:b/>
        </w:rPr>
      </w:pPr>
      <w:r w:rsidRPr="000E3CCA">
        <w:rPr>
          <w:rFonts w:ascii="CG Omega" w:hAnsi="CG Omega" w:cs="Arial"/>
          <w:b/>
        </w:rPr>
        <w:t>Enhance the quality of New Mexico’s infrastructure</w:t>
      </w:r>
    </w:p>
    <w:p w:rsidR="00CE0821" w:rsidRPr="000E3CCA" w:rsidRDefault="00CE0821" w:rsidP="00CE0821">
      <w:pPr>
        <w:spacing w:after="120"/>
        <w:jc w:val="both"/>
        <w:rPr>
          <w:rFonts w:ascii="CG Omega" w:hAnsi="CG Omega" w:cs="Arial"/>
        </w:rPr>
      </w:pPr>
      <w:r w:rsidRPr="000E3CCA">
        <w:rPr>
          <w:rFonts w:ascii="CG Omega" w:hAnsi="CG Omega" w:cs="Arial"/>
        </w:rPr>
        <w:t xml:space="preserve">This objective can be accomplished through the following goals: </w:t>
      </w:r>
    </w:p>
    <w:p w:rsidR="00CE0821" w:rsidRPr="000E3CCA" w:rsidRDefault="00CE0821" w:rsidP="0049477B">
      <w:pPr>
        <w:numPr>
          <w:ilvl w:val="0"/>
          <w:numId w:val="32"/>
        </w:numPr>
        <w:jc w:val="both"/>
        <w:rPr>
          <w:rFonts w:ascii="CG Omega" w:hAnsi="CG Omega" w:cs="Arial"/>
        </w:rPr>
      </w:pPr>
      <w:r w:rsidRPr="000E3CCA">
        <w:rPr>
          <w:rFonts w:ascii="CG Omega" w:hAnsi="CG Omega" w:cs="Arial"/>
        </w:rPr>
        <w:t xml:space="preserve">Funding improvements to CDBG </w:t>
      </w:r>
      <w:r w:rsidR="007E2BF2">
        <w:rPr>
          <w:rFonts w:ascii="CG Omega" w:hAnsi="CG Omega" w:cs="Arial"/>
        </w:rPr>
        <w:t>non-</w:t>
      </w:r>
      <w:r w:rsidRPr="000E3CCA">
        <w:rPr>
          <w:rFonts w:ascii="CG Omega" w:hAnsi="CG Omega" w:cs="Arial"/>
        </w:rPr>
        <w:t>entitlement area water/wastewater systems and streets</w:t>
      </w:r>
      <w:r w:rsidR="00B63D45">
        <w:rPr>
          <w:rFonts w:ascii="CG Omega" w:hAnsi="CG Omega" w:cs="Arial"/>
        </w:rPr>
        <w:t>.</w:t>
      </w:r>
    </w:p>
    <w:p w:rsidR="00CE0821" w:rsidRPr="000E3CCA" w:rsidRDefault="00CE0821" w:rsidP="0049477B">
      <w:pPr>
        <w:numPr>
          <w:ilvl w:val="0"/>
          <w:numId w:val="32"/>
        </w:numPr>
        <w:jc w:val="both"/>
        <w:rPr>
          <w:rFonts w:ascii="CG Omega" w:hAnsi="CG Omega" w:cs="Arial"/>
        </w:rPr>
      </w:pPr>
      <w:r w:rsidRPr="000E3CCA">
        <w:rPr>
          <w:rFonts w:ascii="CG Omega" w:hAnsi="CG Omega" w:cs="Arial"/>
        </w:rPr>
        <w:t xml:space="preserve">Funding infrastructure improvements in the </w:t>
      </w:r>
      <w:r w:rsidR="007E2BF2">
        <w:rPr>
          <w:rFonts w:ascii="CG Omega" w:hAnsi="CG Omega" w:cs="Arial"/>
        </w:rPr>
        <w:t>designated colonia</w:t>
      </w:r>
      <w:r w:rsidR="00BD621F">
        <w:rPr>
          <w:rFonts w:ascii="CG Omega" w:hAnsi="CG Omega" w:cs="Arial"/>
        </w:rPr>
        <w:t>s</w:t>
      </w:r>
      <w:r w:rsidR="007E2BF2">
        <w:rPr>
          <w:rFonts w:ascii="CG Omega" w:hAnsi="CG Omega" w:cs="Arial"/>
        </w:rPr>
        <w:t xml:space="preserve"> areas</w:t>
      </w:r>
      <w:r w:rsidR="00B63D45">
        <w:rPr>
          <w:rFonts w:ascii="CG Omega" w:hAnsi="CG Omega" w:cs="Arial"/>
        </w:rPr>
        <w:t>.</w:t>
      </w:r>
    </w:p>
    <w:p w:rsidR="00CE0821" w:rsidRPr="000E3CCA" w:rsidRDefault="00CE0821" w:rsidP="0049477B">
      <w:pPr>
        <w:numPr>
          <w:ilvl w:val="0"/>
          <w:numId w:val="32"/>
        </w:numPr>
        <w:jc w:val="both"/>
        <w:rPr>
          <w:rFonts w:ascii="CG Omega" w:hAnsi="CG Omega" w:cs="Arial"/>
        </w:rPr>
      </w:pPr>
      <w:r w:rsidRPr="000E3CCA">
        <w:rPr>
          <w:rFonts w:ascii="CG Omega" w:hAnsi="CG Omega" w:cs="Arial"/>
        </w:rPr>
        <w:t xml:space="preserve">Encourage planning that includes </w:t>
      </w:r>
      <w:r w:rsidR="007E2BF2">
        <w:rPr>
          <w:rFonts w:ascii="CG Omega" w:hAnsi="CG Omega" w:cs="Arial"/>
        </w:rPr>
        <w:t xml:space="preserve">the entities </w:t>
      </w:r>
      <w:r w:rsidRPr="000E3CCA">
        <w:rPr>
          <w:rFonts w:ascii="CG Omega" w:hAnsi="CG Omega" w:cs="Arial"/>
        </w:rPr>
        <w:t>comprehensive plan, asset management, preliminary engineering reports, and any other studies</w:t>
      </w:r>
      <w:r w:rsidR="00B63D45">
        <w:rPr>
          <w:rFonts w:ascii="CG Omega" w:hAnsi="CG Omega" w:cs="Arial"/>
        </w:rPr>
        <w:t>.</w:t>
      </w:r>
    </w:p>
    <w:p w:rsidR="00CE0821" w:rsidRPr="00F3321C" w:rsidRDefault="00CE0821" w:rsidP="00CE0821">
      <w:pPr>
        <w:jc w:val="both"/>
        <w:rPr>
          <w:rFonts w:ascii="CG Omega" w:hAnsi="CG Omega" w:cs="Arial"/>
        </w:rPr>
      </w:pPr>
    </w:p>
    <w:p w:rsidR="00CE0821" w:rsidRPr="000E3CCA" w:rsidRDefault="00CE0821" w:rsidP="00CE0821">
      <w:pPr>
        <w:pBdr>
          <w:bottom w:val="double" w:sz="4" w:space="1" w:color="0000FF"/>
        </w:pBdr>
        <w:jc w:val="both"/>
        <w:rPr>
          <w:rFonts w:ascii="CG Omega" w:hAnsi="CG Omega" w:cs="Arial"/>
          <w:b/>
          <w:color w:val="0000FF"/>
          <w:spacing w:val="3"/>
        </w:rPr>
      </w:pPr>
      <w:r w:rsidRPr="000E3CCA">
        <w:rPr>
          <w:rFonts w:ascii="CG Omega" w:hAnsi="CG Omega" w:cs="Arial"/>
          <w:b/>
          <w:smallCaps/>
          <w:color w:val="0000FF"/>
        </w:rPr>
        <w:t>Performance Measurement Criteria</w:t>
      </w:r>
    </w:p>
    <w:p w:rsidR="00CE0821" w:rsidRPr="00F3321C" w:rsidRDefault="00CE0821" w:rsidP="00CE0821">
      <w:pPr>
        <w:jc w:val="both"/>
        <w:rPr>
          <w:rFonts w:ascii="CG Omega" w:hAnsi="CG Omega" w:cs="Arial"/>
          <w:b/>
        </w:rPr>
      </w:pPr>
    </w:p>
    <w:p w:rsidR="00CE0821" w:rsidRPr="000E3CCA" w:rsidRDefault="00CE0821" w:rsidP="00CE0821">
      <w:pPr>
        <w:jc w:val="both"/>
        <w:rPr>
          <w:rFonts w:ascii="CG Omega" w:hAnsi="CG Omega" w:cs="Arial"/>
          <w:b/>
        </w:rPr>
      </w:pPr>
      <w:r w:rsidRPr="000E3CCA">
        <w:rPr>
          <w:rFonts w:ascii="CG Omega" w:hAnsi="CG Omega" w:cs="Arial"/>
          <w:b/>
        </w:rPr>
        <w:t>Enhance the quality of New Mexico’s infrastructure:</w:t>
      </w:r>
    </w:p>
    <w:p w:rsidR="00CE0821" w:rsidRPr="000E3CCA" w:rsidRDefault="00CE0821" w:rsidP="00CE0821">
      <w:pPr>
        <w:jc w:val="both"/>
        <w:rPr>
          <w:rFonts w:ascii="CG Omega" w:hAnsi="CG Omega" w:cs="Arial"/>
          <w:b/>
          <w:sz w:val="16"/>
          <w:szCs w:val="16"/>
        </w:rPr>
      </w:pPr>
    </w:p>
    <w:p w:rsidR="00170294" w:rsidRPr="000E3CCA" w:rsidRDefault="00170294" w:rsidP="00170294">
      <w:pPr>
        <w:ind w:left="720" w:hanging="360"/>
        <w:jc w:val="both"/>
        <w:rPr>
          <w:rFonts w:ascii="CG Omega" w:hAnsi="CG Omega" w:cs="Arial"/>
        </w:rPr>
      </w:pPr>
      <w:r w:rsidRPr="000E3CCA">
        <w:rPr>
          <w:rFonts w:ascii="CG Omega" w:hAnsi="CG Omega" w:cs="Arial"/>
          <w:i/>
        </w:rPr>
        <w:t>Availability/Accessibility</w:t>
      </w:r>
      <w:r w:rsidRPr="000E3CCA">
        <w:rPr>
          <w:rFonts w:ascii="CG Omega" w:hAnsi="CG Omega" w:cs="Arial"/>
        </w:rPr>
        <w:t>: The number of water or wastewater projects and streets completed; the number of colonias projects completed, by type of project; the number of planning projects that will provide readiness; the number of housing units rehabilitated and/or produced</w:t>
      </w:r>
      <w:r w:rsidR="00B63D45">
        <w:rPr>
          <w:rFonts w:ascii="CG Omega" w:hAnsi="CG Omega" w:cs="Arial"/>
        </w:rPr>
        <w:t>.</w:t>
      </w:r>
    </w:p>
    <w:p w:rsidR="00170294" w:rsidRPr="000E3CCA" w:rsidRDefault="00170294" w:rsidP="00170294">
      <w:pPr>
        <w:ind w:left="720" w:hanging="360"/>
        <w:jc w:val="both"/>
        <w:rPr>
          <w:rFonts w:ascii="CG Omega" w:hAnsi="CG Omega" w:cs="Arial"/>
        </w:rPr>
      </w:pPr>
      <w:r w:rsidRPr="000E3CCA">
        <w:rPr>
          <w:rFonts w:ascii="CG Omega" w:hAnsi="CG Omega" w:cs="Arial"/>
          <w:i/>
        </w:rPr>
        <w:t>Affordability</w:t>
      </w:r>
      <w:r w:rsidRPr="000E3CCA">
        <w:rPr>
          <w:rFonts w:ascii="CG Omega" w:hAnsi="CG Omega" w:cs="Arial"/>
        </w:rPr>
        <w:t>: The number of eligible persons assisted with new water or wastewater systems; the number of persons within colonias assisted with water/wastewater or other infrastructure projects; the number of eligible persons the improved facilities will serve; the number of persons assisted with housing rehabilitation</w:t>
      </w:r>
      <w:r w:rsidR="00B63D45">
        <w:rPr>
          <w:rFonts w:ascii="CG Omega" w:hAnsi="CG Omega" w:cs="Arial"/>
        </w:rPr>
        <w:t>.</w:t>
      </w:r>
    </w:p>
    <w:p w:rsidR="00CE0821" w:rsidRPr="000E3CCA" w:rsidRDefault="00170294" w:rsidP="00F3321C">
      <w:pPr>
        <w:ind w:left="720" w:hanging="360"/>
        <w:jc w:val="both"/>
        <w:rPr>
          <w:rFonts w:ascii="Arial" w:hAnsi="Arial"/>
          <w:b/>
          <w:sz w:val="16"/>
          <w:szCs w:val="16"/>
          <w:highlight w:val="yellow"/>
        </w:rPr>
      </w:pPr>
      <w:r w:rsidRPr="000E3CCA">
        <w:rPr>
          <w:rFonts w:ascii="CG Omega" w:hAnsi="CG Omega" w:cs="Arial"/>
          <w:i/>
        </w:rPr>
        <w:t>Sustainability</w:t>
      </w:r>
      <w:r w:rsidRPr="000E3CCA">
        <w:rPr>
          <w:rFonts w:ascii="CG Omega" w:hAnsi="CG Omega" w:cs="Arial"/>
        </w:rPr>
        <w:t>: The economic development benefits imparted to each community receiving the enhanced infrastructure investments, including the colonias; the economic development benefits imparted to each community whose public facilities have been improved</w:t>
      </w:r>
      <w:r w:rsidR="00B63D45">
        <w:rPr>
          <w:rFonts w:ascii="CG Omega" w:hAnsi="CG Omega" w:cs="Arial"/>
        </w:rPr>
        <w:t>.</w:t>
      </w:r>
    </w:p>
    <w:p w:rsidR="00A94206" w:rsidRPr="00955C8C" w:rsidRDefault="00A94206" w:rsidP="00F3321C">
      <w:pPr>
        <w:rPr>
          <w:rFonts w:ascii="CG Omega" w:hAnsi="CG Omega"/>
          <w:sz w:val="22"/>
          <w:szCs w:val="22"/>
          <w:highlight w:val="yellow"/>
        </w:rPr>
        <w:sectPr w:rsidR="00A94206" w:rsidRPr="00955C8C" w:rsidSect="00AC65DF">
          <w:headerReference w:type="default" r:id="rId14"/>
          <w:headerReference w:type="first" r:id="rId15"/>
          <w:footerReference w:type="first" r:id="rId16"/>
          <w:pgSz w:w="12240" w:h="15840"/>
          <w:pgMar w:top="1800" w:right="1440" w:bottom="1440" w:left="1440" w:header="1080" w:footer="720" w:gutter="0"/>
          <w:pgNumType w:start="1"/>
          <w:cols w:space="720"/>
          <w:titlePg/>
          <w:docGrid w:linePitch="360"/>
        </w:sectPr>
      </w:pPr>
    </w:p>
    <w:p w:rsidR="00623759" w:rsidRPr="003A2D3A" w:rsidRDefault="00623759" w:rsidP="005249F1">
      <w:pPr>
        <w:pStyle w:val="Subhead1"/>
      </w:pPr>
      <w:r w:rsidRPr="00955C8C">
        <w:rPr>
          <w:highlight w:val="yellow"/>
        </w:rPr>
        <w:lastRenderedPageBreak/>
        <w:fldChar w:fldCharType="begin"/>
      </w:r>
      <w:r w:rsidRPr="00955C8C">
        <w:rPr>
          <w:highlight w:val="yellow"/>
        </w:rPr>
        <w:instrText xml:space="preserve"> TC  "</w:instrText>
      </w:r>
      <w:bookmarkStart w:id="11" w:name="_Toc233426567"/>
      <w:bookmarkStart w:id="12" w:name="_Toc233426752"/>
      <w:bookmarkStart w:id="13" w:name="_Toc399834557"/>
      <w:r w:rsidRPr="00955C8C">
        <w:rPr>
          <w:highlight w:val="yellow"/>
        </w:rPr>
        <w:instrText xml:space="preserve">II. </w:instrText>
      </w:r>
      <w:r w:rsidR="00890A39" w:rsidRPr="00955C8C">
        <w:rPr>
          <w:highlight w:val="yellow"/>
        </w:rPr>
        <w:instrText xml:space="preserve"> </w:instrText>
      </w:r>
      <w:r w:rsidRPr="00955C8C">
        <w:rPr>
          <w:highlight w:val="yellow"/>
        </w:rPr>
        <w:instrText>Consolidated Plan Development Process</w:instrText>
      </w:r>
      <w:bookmarkEnd w:id="11"/>
      <w:bookmarkEnd w:id="12"/>
      <w:bookmarkEnd w:id="13"/>
      <w:r w:rsidRPr="00955C8C">
        <w:rPr>
          <w:highlight w:val="yellow"/>
        </w:rPr>
        <w:instrText xml:space="preserve">" </w:instrText>
      </w:r>
      <w:r w:rsidRPr="00955C8C">
        <w:rPr>
          <w:highlight w:val="yellow"/>
        </w:rPr>
        <w:fldChar w:fldCharType="end"/>
      </w:r>
    </w:p>
    <w:p w:rsidR="005A47B2" w:rsidRPr="003A2D3A" w:rsidRDefault="005A47B2" w:rsidP="00BB666B">
      <w:pPr>
        <w:pStyle w:val="FirstHead"/>
      </w:pPr>
      <w:bookmarkStart w:id="14" w:name="_Toc233426568"/>
      <w:bookmarkStart w:id="15" w:name="_Toc233426753"/>
      <w:bookmarkStart w:id="16" w:name="_Toc399834558"/>
      <w:r w:rsidRPr="003A2D3A">
        <w:t>A. Introduction</w:t>
      </w:r>
      <w:bookmarkEnd w:id="14"/>
      <w:bookmarkEnd w:id="15"/>
      <w:bookmarkEnd w:id="16"/>
    </w:p>
    <w:p w:rsidR="005A47B2" w:rsidRPr="00CA61F2" w:rsidRDefault="005A47B2" w:rsidP="005A47B2">
      <w:pPr>
        <w:pStyle w:val="BodyText"/>
        <w:tabs>
          <w:tab w:val="num" w:pos="360"/>
        </w:tabs>
        <w:rPr>
          <w:rFonts w:ascii="CG Omega" w:hAnsi="CG Omega"/>
          <w:sz w:val="16"/>
          <w:szCs w:val="16"/>
        </w:rPr>
      </w:pPr>
    </w:p>
    <w:p w:rsidR="00A5355A" w:rsidRPr="003A2D3A" w:rsidRDefault="00A5355A" w:rsidP="002D2505">
      <w:pPr>
        <w:pStyle w:val="BodyText"/>
        <w:rPr>
          <w:rFonts w:ascii="CG Omega" w:eastAsia="MS Mincho" w:hAnsi="CG Omega"/>
          <w:szCs w:val="24"/>
        </w:rPr>
      </w:pPr>
      <w:r w:rsidRPr="003A2D3A">
        <w:rPr>
          <w:rFonts w:ascii="CG Omega" w:eastAsia="MS Mincho" w:hAnsi="CG Omega"/>
          <w:szCs w:val="24"/>
        </w:rPr>
        <w:t xml:space="preserve">In 1994, </w:t>
      </w:r>
      <w:r w:rsidR="00B63D45">
        <w:rPr>
          <w:rFonts w:ascii="CG Omega" w:eastAsia="MS Mincho" w:hAnsi="CG Omega"/>
          <w:szCs w:val="24"/>
        </w:rPr>
        <w:t xml:space="preserve">HUD </w:t>
      </w:r>
      <w:r w:rsidRPr="003A2D3A">
        <w:rPr>
          <w:rFonts w:ascii="CG Omega" w:eastAsia="MS Mincho" w:hAnsi="CG Omega"/>
          <w:szCs w:val="24"/>
        </w:rPr>
        <w:t>issued new rules consolidating the p</w:t>
      </w:r>
      <w:r w:rsidR="00241BA7" w:rsidRPr="003A2D3A">
        <w:rPr>
          <w:rFonts w:ascii="CG Omega" w:eastAsia="MS Mincho" w:hAnsi="CG Omega"/>
          <w:szCs w:val="24"/>
        </w:rPr>
        <w:t>lanning, application, reporting</w:t>
      </w:r>
      <w:r w:rsidRPr="003A2D3A">
        <w:rPr>
          <w:rFonts w:ascii="CG Omega" w:eastAsia="MS Mincho" w:hAnsi="CG Omega"/>
          <w:szCs w:val="24"/>
        </w:rPr>
        <w:t xml:space="preserve"> and citizen participation processes for four formula grant programs:  CDBG, HOME,</w:t>
      </w:r>
      <w:r w:rsidR="00CA7E96" w:rsidRPr="003A2D3A">
        <w:rPr>
          <w:rFonts w:ascii="CG Omega" w:eastAsia="MS Mincho" w:hAnsi="CG Omega"/>
          <w:szCs w:val="24"/>
        </w:rPr>
        <w:t xml:space="preserve"> </w:t>
      </w:r>
      <w:r w:rsidR="00241BA7" w:rsidRPr="003A2D3A">
        <w:rPr>
          <w:rFonts w:ascii="CG Omega" w:eastAsia="MS Mincho" w:hAnsi="CG Omega"/>
          <w:szCs w:val="24"/>
        </w:rPr>
        <w:t>ESG</w:t>
      </w:r>
      <w:r w:rsidRPr="003A2D3A">
        <w:rPr>
          <w:rFonts w:ascii="CG Omega" w:eastAsia="MS Mincho" w:hAnsi="CG Omega"/>
          <w:szCs w:val="24"/>
        </w:rPr>
        <w:t xml:space="preserve"> and HOPWA.  </w:t>
      </w:r>
      <w:r w:rsidR="002D2505" w:rsidRPr="003A2D3A">
        <w:rPr>
          <w:rFonts w:ascii="CG Omega" w:eastAsia="MS Mincho" w:hAnsi="CG Omega"/>
          <w:szCs w:val="24"/>
        </w:rPr>
        <w:t xml:space="preserve">Termed the </w:t>
      </w:r>
      <w:r w:rsidR="002D2505" w:rsidRPr="004A5F8E">
        <w:rPr>
          <w:rFonts w:ascii="CG Omega" w:eastAsia="MS Mincho" w:hAnsi="CG Omega"/>
          <w:i/>
          <w:szCs w:val="24"/>
        </w:rPr>
        <w:t>Consolidated Plan for Housing and Community Development</w:t>
      </w:r>
      <w:r w:rsidR="002D2505" w:rsidRPr="003A2D3A">
        <w:rPr>
          <w:rFonts w:ascii="CG Omega" w:eastAsia="MS Mincho" w:hAnsi="CG Omega"/>
          <w:szCs w:val="24"/>
        </w:rPr>
        <w:t>, t</w:t>
      </w:r>
      <w:r w:rsidR="00B96CA2" w:rsidRPr="003A2D3A">
        <w:rPr>
          <w:rFonts w:ascii="CG Omega" w:eastAsia="MS Mincho" w:hAnsi="CG Omega"/>
          <w:szCs w:val="24"/>
        </w:rPr>
        <w:t>he new single-</w:t>
      </w:r>
      <w:r w:rsidRPr="003A2D3A">
        <w:rPr>
          <w:rFonts w:ascii="CG Omega" w:eastAsia="MS Mincho" w:hAnsi="CG Omega"/>
          <w:szCs w:val="24"/>
        </w:rPr>
        <w:t xml:space="preserve">planning process was intended to more comprehensively fulfill three basic goals:  </w:t>
      </w:r>
    </w:p>
    <w:p w:rsidR="002D2505" w:rsidRPr="003A2D3A" w:rsidRDefault="002D2505" w:rsidP="002D2505">
      <w:pPr>
        <w:pStyle w:val="BodyText"/>
        <w:rPr>
          <w:rFonts w:ascii="CG Omega" w:hAnsi="CG Omega"/>
          <w:sz w:val="10"/>
          <w:szCs w:val="10"/>
        </w:rPr>
      </w:pPr>
    </w:p>
    <w:p w:rsidR="002D2505" w:rsidRPr="003A2D3A" w:rsidRDefault="002D2505" w:rsidP="0049477B">
      <w:pPr>
        <w:pStyle w:val="BodyText"/>
        <w:numPr>
          <w:ilvl w:val="0"/>
          <w:numId w:val="15"/>
        </w:numPr>
        <w:tabs>
          <w:tab w:val="clear" w:pos="-1123"/>
          <w:tab w:val="clear" w:pos="-720"/>
          <w:tab w:val="clear" w:pos="0"/>
          <w:tab w:val="clear" w:pos="360"/>
          <w:tab w:val="clear" w:pos="900"/>
          <w:tab w:val="clear" w:pos="1080"/>
          <w:tab w:val="clear" w:pos="126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 w:val="num" w:pos="720"/>
        </w:tabs>
        <w:ind w:left="720"/>
        <w:rPr>
          <w:rFonts w:ascii="CG Omega" w:hAnsi="CG Omega"/>
        </w:rPr>
      </w:pPr>
      <w:r w:rsidRPr="003A2D3A">
        <w:rPr>
          <w:rFonts w:ascii="CG Omega" w:hAnsi="CG Omega"/>
          <w:i/>
        </w:rPr>
        <w:t>Provide decent housing,</w:t>
      </w:r>
      <w:r w:rsidR="00072309" w:rsidRPr="003A2D3A">
        <w:rPr>
          <w:rFonts w:ascii="CG Omega" w:hAnsi="CG Omega"/>
        </w:rPr>
        <w:t xml:space="preserve"> which</w:t>
      </w:r>
      <w:r w:rsidRPr="003A2D3A">
        <w:rPr>
          <w:rFonts w:ascii="CG Omega" w:hAnsi="CG Omega"/>
        </w:rPr>
        <w:t xml:space="preserve"> involve</w:t>
      </w:r>
      <w:r w:rsidR="00072309" w:rsidRPr="003A2D3A">
        <w:rPr>
          <w:rFonts w:ascii="CG Omega" w:hAnsi="CG Omega"/>
        </w:rPr>
        <w:t>s</w:t>
      </w:r>
      <w:r w:rsidRPr="003A2D3A">
        <w:rPr>
          <w:rFonts w:ascii="CG Omega" w:hAnsi="CG Omega"/>
        </w:rPr>
        <w:t xml:space="preserve"> helping homeless people obtain appropriate housing, retaining </w:t>
      </w:r>
      <w:r w:rsidR="00C54682" w:rsidRPr="003A2D3A">
        <w:rPr>
          <w:rFonts w:ascii="CG Omega" w:hAnsi="CG Omega"/>
        </w:rPr>
        <w:t xml:space="preserve">the affordable housing stock, </w:t>
      </w:r>
      <w:r w:rsidRPr="003A2D3A">
        <w:rPr>
          <w:rFonts w:ascii="CG Omega" w:hAnsi="CG Omega"/>
        </w:rPr>
        <w:t>increasing the availability of permanent affordable housing for low-income households</w:t>
      </w:r>
      <w:r w:rsidR="00B72571" w:rsidRPr="003A2D3A">
        <w:rPr>
          <w:rFonts w:ascii="CG Omega" w:hAnsi="CG Omega"/>
        </w:rPr>
        <w:t xml:space="preserve"> without discrimination</w:t>
      </w:r>
      <w:r w:rsidRPr="003A2D3A">
        <w:rPr>
          <w:rFonts w:ascii="CG Omega" w:hAnsi="CG Omega"/>
        </w:rPr>
        <w:t xml:space="preserve"> and/or increasing supportive housing to assist persons with special needs. </w:t>
      </w:r>
    </w:p>
    <w:p w:rsidR="002D2505" w:rsidRPr="003A2D3A" w:rsidRDefault="002D2505" w:rsidP="0049477B">
      <w:pPr>
        <w:pStyle w:val="BodyText"/>
        <w:numPr>
          <w:ilvl w:val="0"/>
          <w:numId w:val="15"/>
        </w:numPr>
        <w:tabs>
          <w:tab w:val="clear" w:pos="-1123"/>
          <w:tab w:val="clear" w:pos="-720"/>
          <w:tab w:val="clear" w:pos="0"/>
          <w:tab w:val="clear" w:pos="360"/>
          <w:tab w:val="clear" w:pos="900"/>
          <w:tab w:val="clear" w:pos="1080"/>
          <w:tab w:val="clear" w:pos="126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 w:val="num" w:pos="720"/>
        </w:tabs>
        <w:ind w:left="720"/>
        <w:rPr>
          <w:rFonts w:ascii="CG Omega" w:hAnsi="CG Omega"/>
        </w:rPr>
      </w:pPr>
      <w:r w:rsidRPr="003A2D3A">
        <w:rPr>
          <w:rFonts w:ascii="CG Omega" w:hAnsi="CG Omega"/>
          <w:i/>
        </w:rPr>
        <w:t>Provide a suitable living environment</w:t>
      </w:r>
      <w:r w:rsidRPr="003A2D3A">
        <w:rPr>
          <w:rFonts w:ascii="CG Omega" w:hAnsi="CG Omega"/>
        </w:rPr>
        <w:t xml:space="preserve">, which means improving the safety and livability of neighborhoods, including the provision of adequate public facilities; reducing isolation of income groups within communities through </w:t>
      </w:r>
      <w:r w:rsidR="0074534D" w:rsidRPr="003A2D3A">
        <w:rPr>
          <w:rFonts w:ascii="CG Omega" w:hAnsi="CG Omega"/>
        </w:rPr>
        <w:t>distribution</w:t>
      </w:r>
      <w:r w:rsidRPr="003A2D3A">
        <w:rPr>
          <w:rFonts w:ascii="CG Omega" w:hAnsi="CG Omega"/>
        </w:rPr>
        <w:t xml:space="preserve"> of housing opportunities for persons of low</w:t>
      </w:r>
      <w:r w:rsidR="004A5F8E">
        <w:rPr>
          <w:rFonts w:ascii="CG Omega" w:hAnsi="CG Omega"/>
        </w:rPr>
        <w:t>-</w:t>
      </w:r>
      <w:r w:rsidRPr="003A2D3A">
        <w:rPr>
          <w:rFonts w:ascii="CG Omega" w:hAnsi="CG Omega"/>
        </w:rPr>
        <w:t xml:space="preserve">income; revitalization of deteriorating or deteriorated neighborhoods; restoring and preserving natural and physical features with historic, architectural, and aesthetic value; as well as conserving energy resources. </w:t>
      </w:r>
    </w:p>
    <w:p w:rsidR="002D2505" w:rsidRPr="003A2D3A" w:rsidRDefault="002D2505" w:rsidP="0049477B">
      <w:pPr>
        <w:pStyle w:val="BodyText"/>
        <w:numPr>
          <w:ilvl w:val="0"/>
          <w:numId w:val="15"/>
        </w:numPr>
        <w:tabs>
          <w:tab w:val="clear" w:pos="-1123"/>
          <w:tab w:val="clear" w:pos="-720"/>
          <w:tab w:val="clear" w:pos="0"/>
          <w:tab w:val="clear" w:pos="360"/>
          <w:tab w:val="clear" w:pos="900"/>
          <w:tab w:val="clear" w:pos="1080"/>
          <w:tab w:val="clear" w:pos="126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 w:val="num" w:pos="720"/>
        </w:tabs>
        <w:ind w:left="720"/>
        <w:rPr>
          <w:rFonts w:ascii="CG Omega" w:hAnsi="CG Omega"/>
        </w:rPr>
      </w:pPr>
      <w:r w:rsidRPr="003A2D3A">
        <w:rPr>
          <w:rFonts w:ascii="CG Omega" w:hAnsi="CG Omega"/>
          <w:i/>
        </w:rPr>
        <w:t xml:space="preserve">Expand </w:t>
      </w:r>
      <w:r w:rsidR="00F3321C" w:rsidRPr="003A2D3A">
        <w:rPr>
          <w:rFonts w:ascii="CG Omega" w:hAnsi="CG Omega"/>
          <w:i/>
        </w:rPr>
        <w:t>economic opportunities</w:t>
      </w:r>
      <w:r w:rsidR="00F3321C" w:rsidRPr="003A2D3A">
        <w:rPr>
          <w:rFonts w:ascii="CG Omega" w:hAnsi="CG Omega"/>
        </w:rPr>
        <w:t>, which emphasize</w:t>
      </w:r>
      <w:r w:rsidRPr="003A2D3A">
        <w:rPr>
          <w:rFonts w:ascii="CG Omega" w:hAnsi="CG Omega"/>
        </w:rPr>
        <w:t xml:space="preserve"> job creation and retention, providing access to credit for community development, and assisting low-income persons to achiev</w:t>
      </w:r>
      <w:r w:rsidR="00B72571" w:rsidRPr="003A2D3A">
        <w:rPr>
          <w:rFonts w:ascii="CG Omega" w:hAnsi="CG Omega"/>
        </w:rPr>
        <w:t>e self-sufficiency in federally-</w:t>
      </w:r>
      <w:r w:rsidRPr="003A2D3A">
        <w:rPr>
          <w:rFonts w:ascii="CG Omega" w:hAnsi="CG Omega"/>
        </w:rPr>
        <w:t xml:space="preserve">assisted and public housing. </w:t>
      </w:r>
    </w:p>
    <w:p w:rsidR="00A5355A" w:rsidRPr="00CA61F2" w:rsidRDefault="00A5355A" w:rsidP="005A47B2">
      <w:pPr>
        <w:pStyle w:val="BodyText"/>
        <w:rPr>
          <w:rFonts w:ascii="CG Omega" w:hAnsi="CG Omega"/>
          <w:sz w:val="16"/>
          <w:szCs w:val="16"/>
        </w:rPr>
      </w:pPr>
    </w:p>
    <w:p w:rsidR="002D2505" w:rsidRPr="003A2D3A" w:rsidRDefault="002D2505" w:rsidP="002D2505">
      <w:pPr>
        <w:pStyle w:val="BodyText"/>
        <w:rPr>
          <w:rFonts w:ascii="CG Omega" w:hAnsi="CG Omega"/>
        </w:rPr>
      </w:pPr>
      <w:r w:rsidRPr="003A2D3A">
        <w:rPr>
          <w:rFonts w:ascii="CG Omega" w:hAnsi="CG Omega"/>
        </w:rPr>
        <w:t xml:space="preserve">The Consolidated Plan </w:t>
      </w:r>
      <w:r w:rsidR="00E55EBF">
        <w:rPr>
          <w:rFonts w:ascii="CG Omega" w:hAnsi="CG Omega"/>
        </w:rPr>
        <w:t>is a three-part process that</w:t>
      </w:r>
      <w:r w:rsidRPr="003A2D3A">
        <w:rPr>
          <w:rFonts w:ascii="CG Omega" w:hAnsi="CG Omega"/>
        </w:rPr>
        <w:t xml:space="preserve"> comprises:</w:t>
      </w:r>
    </w:p>
    <w:p w:rsidR="00840D92" w:rsidRPr="003A2D3A" w:rsidRDefault="00840D92" w:rsidP="002D2505">
      <w:pPr>
        <w:pStyle w:val="BodyText"/>
        <w:rPr>
          <w:rFonts w:ascii="CG Omega" w:hAnsi="CG Omega"/>
          <w:sz w:val="10"/>
          <w:szCs w:val="10"/>
        </w:rPr>
      </w:pPr>
    </w:p>
    <w:p w:rsidR="002D2505" w:rsidRPr="003A2D3A" w:rsidRDefault="002D2505" w:rsidP="0049477B">
      <w:pPr>
        <w:pStyle w:val="BodyText"/>
        <w:numPr>
          <w:ilvl w:val="0"/>
          <w:numId w:val="16"/>
        </w:numPr>
        <w:tabs>
          <w:tab w:val="clear" w:pos="-1123"/>
          <w:tab w:val="clear" w:pos="-720"/>
          <w:tab w:val="clear" w:pos="0"/>
          <w:tab w:val="clear" w:pos="780"/>
          <w:tab w:val="clear" w:pos="900"/>
          <w:tab w:val="clear" w:pos="1080"/>
          <w:tab w:val="clear" w:pos="126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 w:val="num" w:pos="720"/>
        </w:tabs>
        <w:ind w:left="360" w:firstLine="0"/>
        <w:rPr>
          <w:rFonts w:ascii="CG Omega" w:hAnsi="CG Omega"/>
        </w:rPr>
      </w:pPr>
      <w:r w:rsidRPr="003A2D3A">
        <w:rPr>
          <w:rFonts w:ascii="CG Omega" w:hAnsi="CG Omega"/>
        </w:rPr>
        <w:t>D</w:t>
      </w:r>
      <w:r w:rsidR="00E55EBF">
        <w:rPr>
          <w:rFonts w:ascii="CG Omega" w:hAnsi="CG Omega"/>
        </w:rPr>
        <w:t>evelopment of</w:t>
      </w:r>
      <w:r w:rsidRPr="003A2D3A">
        <w:rPr>
          <w:rFonts w:ascii="CG Omega" w:hAnsi="CG Omega"/>
        </w:rPr>
        <w:t xml:space="preserve"> a five-year strategic plan</w:t>
      </w:r>
      <w:r w:rsidR="004A5F8E">
        <w:rPr>
          <w:rFonts w:ascii="CG Omega" w:hAnsi="CG Omega"/>
        </w:rPr>
        <w:t>.</w:t>
      </w:r>
    </w:p>
    <w:p w:rsidR="002D2505" w:rsidRPr="003A2D3A" w:rsidRDefault="00E55EBF" w:rsidP="0049477B">
      <w:pPr>
        <w:pStyle w:val="BodyText"/>
        <w:numPr>
          <w:ilvl w:val="0"/>
          <w:numId w:val="16"/>
        </w:numPr>
        <w:tabs>
          <w:tab w:val="clear" w:pos="-1123"/>
          <w:tab w:val="clear" w:pos="-720"/>
          <w:tab w:val="clear" w:pos="0"/>
          <w:tab w:val="clear" w:pos="780"/>
          <w:tab w:val="clear" w:pos="900"/>
          <w:tab w:val="clear" w:pos="1080"/>
          <w:tab w:val="clear" w:pos="126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 w:val="num" w:pos="720"/>
        </w:tabs>
        <w:ind w:left="360" w:firstLine="0"/>
        <w:rPr>
          <w:rFonts w:ascii="CG Omega" w:hAnsi="CG Omega"/>
        </w:rPr>
      </w:pPr>
      <w:r>
        <w:rPr>
          <w:rFonts w:ascii="CG Omega" w:hAnsi="CG Omega"/>
        </w:rPr>
        <w:t>Preparation of</w:t>
      </w:r>
      <w:r w:rsidR="002D2505" w:rsidRPr="003A2D3A">
        <w:rPr>
          <w:rFonts w:ascii="CG Omega" w:hAnsi="CG Omega"/>
        </w:rPr>
        <w:t xml:space="preserve"> annual action plans</w:t>
      </w:r>
      <w:r w:rsidR="004A5F8E">
        <w:rPr>
          <w:rFonts w:ascii="CG Omega" w:hAnsi="CG Omega"/>
        </w:rPr>
        <w:t>.</w:t>
      </w:r>
      <w:r w:rsidR="002D2505" w:rsidRPr="003A2D3A">
        <w:rPr>
          <w:rFonts w:ascii="CG Omega" w:hAnsi="CG Omega"/>
        </w:rPr>
        <w:t xml:space="preserve"> </w:t>
      </w:r>
    </w:p>
    <w:p w:rsidR="002D2505" w:rsidRPr="003A2D3A" w:rsidRDefault="00E55EBF" w:rsidP="0049477B">
      <w:pPr>
        <w:pStyle w:val="BodyText"/>
        <w:numPr>
          <w:ilvl w:val="0"/>
          <w:numId w:val="16"/>
        </w:numPr>
        <w:tabs>
          <w:tab w:val="clear" w:pos="-1123"/>
          <w:tab w:val="clear" w:pos="-720"/>
          <w:tab w:val="clear" w:pos="0"/>
          <w:tab w:val="clear" w:pos="780"/>
          <w:tab w:val="clear" w:pos="900"/>
          <w:tab w:val="clear" w:pos="1080"/>
          <w:tab w:val="clear" w:pos="126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 w:val="num" w:pos="720"/>
        </w:tabs>
        <w:ind w:left="360" w:firstLine="0"/>
        <w:rPr>
          <w:rFonts w:ascii="CG Omega" w:hAnsi="CG Omega"/>
        </w:rPr>
      </w:pPr>
      <w:r>
        <w:rPr>
          <w:rFonts w:ascii="CG Omega" w:hAnsi="CG Omega"/>
        </w:rPr>
        <w:t>Submission of</w:t>
      </w:r>
      <w:r w:rsidR="002D2505" w:rsidRPr="003A2D3A">
        <w:rPr>
          <w:rFonts w:ascii="CG Omega" w:hAnsi="CG Omega"/>
        </w:rPr>
        <w:t xml:space="preserve"> annual performance </w:t>
      </w:r>
      <w:r w:rsidR="007E15A1" w:rsidRPr="003A2D3A">
        <w:rPr>
          <w:rFonts w:ascii="CG Omega" w:hAnsi="CG Omega"/>
        </w:rPr>
        <w:t xml:space="preserve">and evaluation </w:t>
      </w:r>
      <w:r w:rsidR="002D2505" w:rsidRPr="003A2D3A">
        <w:rPr>
          <w:rFonts w:ascii="CG Omega" w:hAnsi="CG Omega"/>
        </w:rPr>
        <w:t xml:space="preserve">reports. </w:t>
      </w:r>
    </w:p>
    <w:p w:rsidR="002D2505" w:rsidRPr="00CA61F2" w:rsidRDefault="002D2505" w:rsidP="002D2505">
      <w:pPr>
        <w:pStyle w:val="BodyText"/>
        <w:rPr>
          <w:rFonts w:ascii="CG Omega" w:hAnsi="CG Omega"/>
          <w:sz w:val="16"/>
          <w:szCs w:val="16"/>
        </w:rPr>
      </w:pPr>
    </w:p>
    <w:p w:rsidR="002D2505" w:rsidRPr="003A2D3A" w:rsidRDefault="002D2505" w:rsidP="00ED41A4">
      <w:pPr>
        <w:pStyle w:val="BodyText"/>
        <w:rPr>
          <w:rFonts w:ascii="CG Omega" w:hAnsi="CG Omega"/>
        </w:rPr>
      </w:pPr>
      <w:r w:rsidRPr="003A2D3A">
        <w:rPr>
          <w:rFonts w:ascii="CG Omega" w:hAnsi="CG Omega"/>
        </w:rPr>
        <w:t xml:space="preserve">The first element referred to above, the strategic plan, also has three parts: </w:t>
      </w:r>
    </w:p>
    <w:p w:rsidR="00840D92" w:rsidRPr="003A2D3A" w:rsidRDefault="00840D92" w:rsidP="00ED41A4">
      <w:pPr>
        <w:pStyle w:val="BodyText"/>
        <w:rPr>
          <w:rFonts w:ascii="CG Omega" w:hAnsi="CG Omega"/>
          <w:sz w:val="10"/>
          <w:szCs w:val="10"/>
        </w:rPr>
      </w:pPr>
    </w:p>
    <w:p w:rsidR="002D2505" w:rsidRPr="003A2D3A" w:rsidRDefault="002D2505" w:rsidP="0049477B">
      <w:pPr>
        <w:pStyle w:val="BodyText"/>
        <w:numPr>
          <w:ilvl w:val="0"/>
          <w:numId w:val="17"/>
        </w:numPr>
        <w:tabs>
          <w:tab w:val="clear" w:pos="-1123"/>
          <w:tab w:val="clear" w:pos="-720"/>
          <w:tab w:val="clear" w:pos="0"/>
          <w:tab w:val="clear" w:pos="900"/>
          <w:tab w:val="clear" w:pos="1080"/>
          <w:tab w:val="clear" w:pos="126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rPr>
          <w:rFonts w:ascii="CG Omega" w:hAnsi="CG Omega"/>
        </w:rPr>
      </w:pPr>
      <w:r w:rsidRPr="003A2D3A">
        <w:rPr>
          <w:rFonts w:ascii="CG Omega" w:hAnsi="CG Omega"/>
        </w:rPr>
        <w:t>A housing market analysis</w:t>
      </w:r>
      <w:r w:rsidR="004A5F8E">
        <w:rPr>
          <w:rFonts w:ascii="CG Omega" w:hAnsi="CG Omega"/>
        </w:rPr>
        <w:t>.</w:t>
      </w:r>
      <w:r w:rsidRPr="003A2D3A">
        <w:rPr>
          <w:rFonts w:ascii="CG Omega" w:hAnsi="CG Omega"/>
        </w:rPr>
        <w:t xml:space="preserve"> </w:t>
      </w:r>
    </w:p>
    <w:p w:rsidR="002D2505" w:rsidRPr="003A2D3A" w:rsidRDefault="00ED41A4" w:rsidP="0049477B">
      <w:pPr>
        <w:pStyle w:val="BodyText"/>
        <w:numPr>
          <w:ilvl w:val="0"/>
          <w:numId w:val="17"/>
        </w:numPr>
        <w:tabs>
          <w:tab w:val="clear" w:pos="-1123"/>
          <w:tab w:val="clear" w:pos="-720"/>
          <w:tab w:val="clear" w:pos="0"/>
          <w:tab w:val="clear" w:pos="900"/>
          <w:tab w:val="clear" w:pos="1080"/>
          <w:tab w:val="clear" w:pos="126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rPr>
          <w:rFonts w:ascii="CG Omega" w:hAnsi="CG Omega"/>
        </w:rPr>
      </w:pPr>
      <w:r w:rsidRPr="003A2D3A">
        <w:rPr>
          <w:rFonts w:ascii="CG Omega" w:hAnsi="CG Omega"/>
        </w:rPr>
        <w:t>A housing, homeless</w:t>
      </w:r>
      <w:r w:rsidR="00072309" w:rsidRPr="003A2D3A">
        <w:rPr>
          <w:rFonts w:ascii="CG Omega" w:hAnsi="CG Omega"/>
        </w:rPr>
        <w:t>,</w:t>
      </w:r>
      <w:r w:rsidR="007E15A1" w:rsidRPr="003A2D3A">
        <w:rPr>
          <w:rFonts w:ascii="CG Omega" w:hAnsi="CG Omega"/>
        </w:rPr>
        <w:t xml:space="preserve"> and</w:t>
      </w:r>
      <w:r w:rsidRPr="003A2D3A">
        <w:rPr>
          <w:rFonts w:ascii="CG Omega" w:hAnsi="CG Omega"/>
        </w:rPr>
        <w:t xml:space="preserve"> community</w:t>
      </w:r>
      <w:r w:rsidR="002D2505" w:rsidRPr="003A2D3A">
        <w:rPr>
          <w:rFonts w:ascii="CG Omega" w:hAnsi="CG Omega"/>
        </w:rPr>
        <w:t xml:space="preserve"> development needs assessment</w:t>
      </w:r>
      <w:r w:rsidR="004A5F8E">
        <w:rPr>
          <w:rFonts w:ascii="CG Omega" w:hAnsi="CG Omega"/>
        </w:rPr>
        <w:t>.</w:t>
      </w:r>
    </w:p>
    <w:p w:rsidR="002D2505" w:rsidRPr="003A2D3A" w:rsidRDefault="002D2505" w:rsidP="0049477B">
      <w:pPr>
        <w:pStyle w:val="BodyText"/>
        <w:numPr>
          <w:ilvl w:val="0"/>
          <w:numId w:val="17"/>
        </w:numPr>
        <w:tabs>
          <w:tab w:val="clear" w:pos="-1123"/>
          <w:tab w:val="clear" w:pos="-720"/>
          <w:tab w:val="clear" w:pos="0"/>
          <w:tab w:val="clear" w:pos="900"/>
          <w:tab w:val="clear" w:pos="1080"/>
          <w:tab w:val="clear" w:pos="126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rPr>
          <w:rFonts w:ascii="CG Omega" w:hAnsi="CG Omega"/>
        </w:rPr>
      </w:pPr>
      <w:r w:rsidRPr="003A2D3A">
        <w:rPr>
          <w:rFonts w:ascii="CG Omega" w:hAnsi="CG Omega"/>
        </w:rPr>
        <w:t xml:space="preserve">Establishment of long-term strategies for meeting the priority needs of the </w:t>
      </w:r>
      <w:r w:rsidR="007E15A1" w:rsidRPr="003A2D3A">
        <w:rPr>
          <w:rFonts w:ascii="CG Omega" w:hAnsi="CG Omega"/>
        </w:rPr>
        <w:t>state</w:t>
      </w:r>
      <w:r w:rsidRPr="003A2D3A">
        <w:rPr>
          <w:rFonts w:ascii="CG Omega" w:hAnsi="CG Omega"/>
        </w:rPr>
        <w:t xml:space="preserve">. </w:t>
      </w:r>
    </w:p>
    <w:p w:rsidR="002D2505" w:rsidRPr="00CA61F2" w:rsidRDefault="002D2505" w:rsidP="002D2505">
      <w:pPr>
        <w:pStyle w:val="BodyText"/>
        <w:rPr>
          <w:rFonts w:ascii="CG Omega" w:hAnsi="CG Omega"/>
          <w:sz w:val="16"/>
          <w:szCs w:val="16"/>
        </w:rPr>
      </w:pPr>
    </w:p>
    <w:p w:rsidR="002D2505" w:rsidRPr="003A2D3A" w:rsidRDefault="00C946F9" w:rsidP="002D2505">
      <w:pPr>
        <w:pStyle w:val="BodyText"/>
        <w:rPr>
          <w:rFonts w:ascii="CG Omega" w:hAnsi="CG Omega"/>
        </w:rPr>
      </w:pPr>
      <w:r w:rsidRPr="003A2D3A">
        <w:rPr>
          <w:rFonts w:ascii="CG Omega" w:hAnsi="CG Omega"/>
        </w:rPr>
        <w:t>HUD asks that</w:t>
      </w:r>
      <w:r w:rsidR="002D2505" w:rsidRPr="003A2D3A">
        <w:rPr>
          <w:rFonts w:ascii="CG Omega" w:hAnsi="CG Omega"/>
        </w:rPr>
        <w:t xml:space="preserve"> priority objectives be built upon specified goals that flow from quantitative and qualitative analysis of needs identified in the five-year planning process. Program funding is ensured by completing these documents on time and in a format acceptable to HUD.</w:t>
      </w:r>
    </w:p>
    <w:p w:rsidR="007E15A1" w:rsidRPr="00CA61F2" w:rsidRDefault="007E15A1" w:rsidP="002D2505">
      <w:pPr>
        <w:pStyle w:val="BodyText"/>
        <w:rPr>
          <w:rFonts w:ascii="CG Omega" w:hAnsi="CG Omega"/>
          <w:sz w:val="16"/>
          <w:szCs w:val="16"/>
          <w:highlight w:val="yellow"/>
        </w:rPr>
      </w:pPr>
    </w:p>
    <w:p w:rsidR="00840D92" w:rsidRPr="003A2D3A" w:rsidRDefault="00840D92" w:rsidP="00840D92">
      <w:pPr>
        <w:suppressAutoHyphens/>
        <w:jc w:val="both"/>
        <w:rPr>
          <w:rFonts w:ascii="CG Omega" w:hAnsi="CG Omega"/>
        </w:rPr>
      </w:pPr>
      <w:r w:rsidRPr="003A2D3A">
        <w:rPr>
          <w:rFonts w:ascii="CG Omega" w:hAnsi="CG Omega"/>
        </w:rPr>
        <w:lastRenderedPageBreak/>
        <w:t xml:space="preserve">Furthermore, the </w:t>
      </w:r>
      <w:r w:rsidR="0097408E" w:rsidRPr="003A2D3A">
        <w:rPr>
          <w:rFonts w:ascii="CG Omega" w:hAnsi="CG Omega"/>
        </w:rPr>
        <w:t xml:space="preserve">New Mexico </w:t>
      </w:r>
      <w:r w:rsidRPr="003A2D3A">
        <w:rPr>
          <w:rFonts w:ascii="CG Omega" w:hAnsi="CG Omega"/>
        </w:rPr>
        <w:t xml:space="preserve">Consolidated Plan is designed to be a </w:t>
      </w:r>
      <w:r w:rsidR="00072309" w:rsidRPr="003A2D3A">
        <w:rPr>
          <w:rFonts w:ascii="CG Omega" w:hAnsi="CG Omega"/>
        </w:rPr>
        <w:t xml:space="preserve">collaborative process whereby </w:t>
      </w:r>
      <w:r w:rsidR="007E15A1" w:rsidRPr="003A2D3A">
        <w:rPr>
          <w:rFonts w:ascii="CG Omega" w:hAnsi="CG Omega"/>
        </w:rPr>
        <w:t>the state</w:t>
      </w:r>
      <w:r w:rsidRPr="003A2D3A">
        <w:rPr>
          <w:rFonts w:ascii="CG Omega" w:hAnsi="CG Omega"/>
        </w:rPr>
        <w:t xml:space="preserve"> </w:t>
      </w:r>
      <w:r w:rsidR="0097408E" w:rsidRPr="003A2D3A">
        <w:rPr>
          <w:rFonts w:ascii="CG Omega" w:hAnsi="CG Omega"/>
        </w:rPr>
        <w:t xml:space="preserve">can </w:t>
      </w:r>
      <w:r w:rsidRPr="003A2D3A">
        <w:rPr>
          <w:rFonts w:ascii="CG Omega" w:hAnsi="CG Omega"/>
        </w:rPr>
        <w:t xml:space="preserve">establish a unified vision for </w:t>
      </w:r>
      <w:r w:rsidR="0097408E" w:rsidRPr="003A2D3A">
        <w:rPr>
          <w:rFonts w:ascii="CG Omega" w:hAnsi="CG Omega"/>
        </w:rPr>
        <w:t xml:space="preserve">housing and </w:t>
      </w:r>
      <w:r w:rsidRPr="003A2D3A">
        <w:rPr>
          <w:rFonts w:ascii="CG Omega" w:hAnsi="CG Omega"/>
        </w:rPr>
        <w:t xml:space="preserve">community development actions.  It offers </w:t>
      </w:r>
      <w:r w:rsidR="007F24FC" w:rsidRPr="003A2D3A">
        <w:rPr>
          <w:rFonts w:ascii="CG Omega" w:hAnsi="CG Omega"/>
        </w:rPr>
        <w:t>the</w:t>
      </w:r>
      <w:r w:rsidR="0097408E" w:rsidRPr="003A2D3A">
        <w:rPr>
          <w:rFonts w:ascii="CG Omega" w:hAnsi="CG Omega"/>
        </w:rPr>
        <w:t xml:space="preserve"> state</w:t>
      </w:r>
      <w:r w:rsidRPr="003A2D3A">
        <w:rPr>
          <w:rFonts w:ascii="CG Omega" w:hAnsi="CG Omega"/>
        </w:rPr>
        <w:t xml:space="preserve"> </w:t>
      </w:r>
      <w:r w:rsidR="007F24FC" w:rsidRPr="003A2D3A">
        <w:rPr>
          <w:rFonts w:ascii="CG Omega" w:hAnsi="CG Omega"/>
        </w:rPr>
        <w:t>the opportunity to shape</w:t>
      </w:r>
      <w:r w:rsidRPr="003A2D3A">
        <w:rPr>
          <w:rFonts w:ascii="CG Omega" w:hAnsi="CG Omega"/>
        </w:rPr>
        <w:t xml:space="preserve"> housing and community development</w:t>
      </w:r>
      <w:r w:rsidR="00400FF0">
        <w:rPr>
          <w:rFonts w:ascii="CG Omega" w:hAnsi="CG Omega"/>
        </w:rPr>
        <w:t xml:space="preserve"> </w:t>
      </w:r>
      <w:r w:rsidRPr="003A2D3A">
        <w:rPr>
          <w:rFonts w:ascii="CG Omega" w:hAnsi="CG Omega"/>
        </w:rPr>
        <w:t xml:space="preserve">programs into effective and coordinated </w:t>
      </w:r>
      <w:r w:rsidR="007E15A1" w:rsidRPr="003A2D3A">
        <w:rPr>
          <w:rFonts w:ascii="CG Omega" w:hAnsi="CG Omega"/>
        </w:rPr>
        <w:t xml:space="preserve">housing and community </w:t>
      </w:r>
      <w:r w:rsidRPr="003A2D3A">
        <w:rPr>
          <w:rFonts w:ascii="CG Omega" w:hAnsi="CG Omega"/>
        </w:rPr>
        <w:t xml:space="preserve">development strategies.  It also creates the opportunity for </w:t>
      </w:r>
      <w:r w:rsidR="0097408E" w:rsidRPr="003A2D3A">
        <w:rPr>
          <w:rFonts w:ascii="CG Omega" w:hAnsi="CG Omega"/>
        </w:rPr>
        <w:t xml:space="preserve">citizen participation </w:t>
      </w:r>
      <w:r w:rsidRPr="003A2D3A">
        <w:rPr>
          <w:rFonts w:ascii="CG Omega" w:hAnsi="CG Omega"/>
        </w:rPr>
        <w:t xml:space="preserve">and </w:t>
      </w:r>
      <w:r w:rsidR="0097408E" w:rsidRPr="003A2D3A">
        <w:rPr>
          <w:rFonts w:ascii="CG Omega" w:hAnsi="CG Omega"/>
        </w:rPr>
        <w:t xml:space="preserve">strategic planning </w:t>
      </w:r>
      <w:r w:rsidRPr="003A2D3A">
        <w:rPr>
          <w:rFonts w:ascii="CG Omega" w:hAnsi="CG Omega"/>
        </w:rPr>
        <w:t xml:space="preserve">to take place in a comprehensive context and to reduce duplication of effort </w:t>
      </w:r>
      <w:r w:rsidR="00DA040B" w:rsidRPr="003A2D3A">
        <w:rPr>
          <w:rFonts w:ascii="CG Omega" w:hAnsi="CG Omega"/>
        </w:rPr>
        <w:t>throughout New Mexico</w:t>
      </w:r>
      <w:r w:rsidRPr="003A2D3A">
        <w:rPr>
          <w:rFonts w:ascii="CG Omega" w:hAnsi="CG Omega"/>
        </w:rPr>
        <w:t>.</w:t>
      </w:r>
    </w:p>
    <w:p w:rsidR="00840D92" w:rsidRPr="00CA61F2" w:rsidRDefault="00840D92" w:rsidP="002D2505">
      <w:pPr>
        <w:pStyle w:val="BodyText"/>
        <w:rPr>
          <w:rFonts w:ascii="CG Omega" w:hAnsi="CG Omega"/>
          <w:sz w:val="16"/>
          <w:szCs w:val="16"/>
        </w:rPr>
      </w:pPr>
    </w:p>
    <w:p w:rsidR="00840D92" w:rsidRPr="003A2D3A" w:rsidRDefault="00840D92" w:rsidP="002D2505">
      <w:pPr>
        <w:pStyle w:val="BodyText"/>
        <w:rPr>
          <w:rFonts w:ascii="CG Omega" w:hAnsi="CG Omega"/>
        </w:rPr>
      </w:pPr>
      <w:r w:rsidRPr="003A2D3A">
        <w:rPr>
          <w:rFonts w:ascii="CG Omega" w:hAnsi="CG Omega"/>
        </w:rPr>
        <w:t>Thus, the Consolidated Plan functions as:</w:t>
      </w:r>
    </w:p>
    <w:p w:rsidR="00840D92" w:rsidRPr="003A2D3A" w:rsidRDefault="00840D92" w:rsidP="002D2505">
      <w:pPr>
        <w:pStyle w:val="BodyText"/>
        <w:rPr>
          <w:rFonts w:ascii="CG Omega" w:hAnsi="CG Omega"/>
          <w:sz w:val="10"/>
          <w:szCs w:val="10"/>
        </w:rPr>
      </w:pPr>
    </w:p>
    <w:p w:rsidR="00840D92" w:rsidRPr="003A2D3A" w:rsidRDefault="00840D92" w:rsidP="0049477B">
      <w:pPr>
        <w:pStyle w:val="BodyText"/>
        <w:numPr>
          <w:ilvl w:val="0"/>
          <w:numId w:val="18"/>
        </w:numPr>
        <w:rPr>
          <w:rFonts w:ascii="CG Omega" w:hAnsi="CG Omega"/>
        </w:rPr>
      </w:pPr>
      <w:r w:rsidRPr="003A2D3A">
        <w:rPr>
          <w:rFonts w:ascii="CG Omega" w:hAnsi="CG Omega"/>
        </w:rPr>
        <w:t xml:space="preserve">A planning document for the </w:t>
      </w:r>
      <w:r w:rsidR="007D6613">
        <w:rPr>
          <w:rFonts w:ascii="CG Omega" w:hAnsi="CG Omega"/>
        </w:rPr>
        <w:t xml:space="preserve">CDBG </w:t>
      </w:r>
      <w:r w:rsidR="00C8595B" w:rsidRPr="003A2D3A">
        <w:rPr>
          <w:rFonts w:ascii="CG Omega" w:hAnsi="CG Omega"/>
        </w:rPr>
        <w:t>non-entitlement</w:t>
      </w:r>
      <w:r w:rsidR="00E11F4A" w:rsidRPr="003A2D3A">
        <w:rPr>
          <w:rFonts w:ascii="CG Omega" w:hAnsi="CG Omega"/>
        </w:rPr>
        <w:t xml:space="preserve"> areas of New Mexico</w:t>
      </w:r>
      <w:r w:rsidR="00072309" w:rsidRPr="003A2D3A">
        <w:rPr>
          <w:rFonts w:ascii="CG Omega" w:hAnsi="CG Omega"/>
        </w:rPr>
        <w:t xml:space="preserve"> that</w:t>
      </w:r>
      <w:r w:rsidRPr="003A2D3A">
        <w:rPr>
          <w:rFonts w:ascii="CG Omega" w:hAnsi="CG Omega"/>
        </w:rPr>
        <w:t xml:space="preserve"> build on a participatory process among citizens, organizations, businesses and other stakeholders</w:t>
      </w:r>
      <w:r w:rsidR="004A5F8E">
        <w:rPr>
          <w:rFonts w:ascii="CG Omega" w:hAnsi="CG Omega"/>
        </w:rPr>
        <w:t>.</w:t>
      </w:r>
    </w:p>
    <w:p w:rsidR="00840D92" w:rsidRPr="003A2D3A" w:rsidRDefault="00840D92" w:rsidP="0049477B">
      <w:pPr>
        <w:pStyle w:val="BodyText"/>
        <w:numPr>
          <w:ilvl w:val="0"/>
          <w:numId w:val="18"/>
        </w:numPr>
        <w:rPr>
          <w:rFonts w:ascii="CG Omega" w:hAnsi="CG Omega"/>
        </w:rPr>
      </w:pPr>
      <w:r w:rsidRPr="003A2D3A">
        <w:rPr>
          <w:rFonts w:ascii="CG Omega" w:hAnsi="CG Omega"/>
        </w:rPr>
        <w:t xml:space="preserve">A </w:t>
      </w:r>
      <w:r w:rsidR="00F3321C">
        <w:rPr>
          <w:rFonts w:ascii="CG Omega" w:hAnsi="CG Omega"/>
        </w:rPr>
        <w:t>application</w:t>
      </w:r>
      <w:r w:rsidRPr="003A2D3A">
        <w:rPr>
          <w:rFonts w:ascii="CG Omega" w:hAnsi="CG Omega"/>
        </w:rPr>
        <w:t xml:space="preserve"> document for federal funds under HUD’s formula grant programs</w:t>
      </w:r>
      <w:r w:rsidR="004A5F8E">
        <w:rPr>
          <w:rFonts w:ascii="CG Omega" w:hAnsi="CG Omega"/>
        </w:rPr>
        <w:t>.</w:t>
      </w:r>
    </w:p>
    <w:p w:rsidR="00840D92" w:rsidRPr="003A2D3A" w:rsidRDefault="00840D92" w:rsidP="0049477B">
      <w:pPr>
        <w:pStyle w:val="BodyText"/>
        <w:numPr>
          <w:ilvl w:val="0"/>
          <w:numId w:val="18"/>
        </w:numPr>
        <w:rPr>
          <w:rFonts w:ascii="CG Omega" w:hAnsi="CG Omega"/>
        </w:rPr>
      </w:pPr>
      <w:r w:rsidRPr="003A2D3A">
        <w:rPr>
          <w:rFonts w:ascii="CG Omega" w:hAnsi="CG Omega"/>
        </w:rPr>
        <w:t>A strategy document to be followed in carrying out HUD’s programs</w:t>
      </w:r>
      <w:r w:rsidR="004A5F8E">
        <w:rPr>
          <w:rFonts w:ascii="CG Omega" w:hAnsi="CG Omega"/>
        </w:rPr>
        <w:t>.</w:t>
      </w:r>
      <w:r w:rsidRPr="003A2D3A">
        <w:rPr>
          <w:rFonts w:ascii="CG Omega" w:hAnsi="CG Omega"/>
        </w:rPr>
        <w:t xml:space="preserve"> </w:t>
      </w:r>
    </w:p>
    <w:p w:rsidR="00840D92" w:rsidRPr="003A2D3A" w:rsidRDefault="00840D92" w:rsidP="0049477B">
      <w:pPr>
        <w:pStyle w:val="BodyText"/>
        <w:numPr>
          <w:ilvl w:val="0"/>
          <w:numId w:val="18"/>
        </w:numPr>
        <w:rPr>
          <w:rFonts w:ascii="CG Omega" w:hAnsi="CG Omega"/>
        </w:rPr>
      </w:pPr>
      <w:r w:rsidRPr="003A2D3A">
        <w:rPr>
          <w:rFonts w:ascii="CG Omega" w:hAnsi="CG Omega"/>
        </w:rPr>
        <w:t>A management tool for assessing performance and tracking results.</w:t>
      </w:r>
    </w:p>
    <w:p w:rsidR="00A5355A" w:rsidRPr="00CA61F2" w:rsidRDefault="00A5355A" w:rsidP="00A5355A">
      <w:pPr>
        <w:suppressAutoHyphens/>
        <w:jc w:val="both"/>
        <w:rPr>
          <w:rFonts w:ascii="CG Omega" w:hAnsi="CG Omega"/>
          <w:sz w:val="16"/>
          <w:szCs w:val="16"/>
        </w:rPr>
      </w:pPr>
    </w:p>
    <w:p w:rsidR="00A5355A" w:rsidRPr="003A2D3A" w:rsidRDefault="005A47B2" w:rsidP="005A47B2">
      <w:pPr>
        <w:pStyle w:val="BodyText"/>
        <w:rPr>
          <w:rFonts w:ascii="CG Omega" w:hAnsi="CG Omega"/>
        </w:rPr>
      </w:pPr>
      <w:r w:rsidRPr="003A2D3A">
        <w:rPr>
          <w:rFonts w:ascii="CG Omega" w:hAnsi="CG Omega"/>
          <w:i/>
        </w:rPr>
        <w:t xml:space="preserve">The </w:t>
      </w:r>
      <w:r w:rsidR="00E40EF9">
        <w:rPr>
          <w:rFonts w:ascii="CG Omega" w:hAnsi="CG Omega"/>
          <w:i/>
          <w:iCs/>
        </w:rPr>
        <w:t>2015-2020</w:t>
      </w:r>
      <w:r w:rsidRPr="003A2D3A">
        <w:rPr>
          <w:rFonts w:ascii="CG Omega" w:hAnsi="CG Omega"/>
          <w:i/>
        </w:rPr>
        <w:t xml:space="preserve"> </w:t>
      </w:r>
      <w:r w:rsidR="00514CCF" w:rsidRPr="003A2D3A">
        <w:rPr>
          <w:rFonts w:ascii="CG Omega" w:hAnsi="CG Omega"/>
          <w:i/>
        </w:rPr>
        <w:t>New Mexico</w:t>
      </w:r>
      <w:r w:rsidR="00C946F9" w:rsidRPr="003A2D3A">
        <w:rPr>
          <w:rFonts w:ascii="CG Omega" w:hAnsi="CG Omega"/>
          <w:i/>
        </w:rPr>
        <w:t xml:space="preserve"> </w:t>
      </w:r>
      <w:r w:rsidRPr="003A2D3A">
        <w:rPr>
          <w:rFonts w:ascii="CG Omega" w:hAnsi="CG Omega"/>
          <w:i/>
        </w:rPr>
        <w:t>Consolidated Plan</w:t>
      </w:r>
      <w:r w:rsidR="007E15A1" w:rsidRPr="003A2D3A">
        <w:rPr>
          <w:rFonts w:ascii="CG Omega" w:hAnsi="CG Omega"/>
          <w:i/>
        </w:rPr>
        <w:t xml:space="preserve"> for Housing and Community Development </w:t>
      </w:r>
      <w:r w:rsidR="00BA544F" w:rsidRPr="003A2D3A">
        <w:rPr>
          <w:rFonts w:ascii="CG Omega" w:hAnsi="CG Omega"/>
          <w:i/>
        </w:rPr>
        <w:t xml:space="preserve"> </w:t>
      </w:r>
      <w:r w:rsidRPr="003A2D3A">
        <w:rPr>
          <w:rFonts w:ascii="CG Omega" w:hAnsi="CG Omega"/>
        </w:rPr>
        <w:t xml:space="preserve">is </w:t>
      </w:r>
      <w:r w:rsidR="00A5355A" w:rsidRPr="003A2D3A">
        <w:rPr>
          <w:rFonts w:ascii="CG Omega" w:hAnsi="CG Omega"/>
        </w:rPr>
        <w:t>the</w:t>
      </w:r>
      <w:r w:rsidRPr="003A2D3A">
        <w:rPr>
          <w:rFonts w:ascii="CG Omega" w:hAnsi="CG Omega"/>
        </w:rPr>
        <w:t xml:space="preserve"> comprehensive </w:t>
      </w:r>
      <w:r w:rsidR="00241BA7" w:rsidRPr="003A2D3A">
        <w:rPr>
          <w:rFonts w:ascii="CG Omega" w:hAnsi="CG Omega"/>
        </w:rPr>
        <w:t>five</w:t>
      </w:r>
      <w:r w:rsidR="00F01CBA" w:rsidRPr="003A2D3A">
        <w:rPr>
          <w:rFonts w:ascii="CG Omega" w:hAnsi="CG Omega"/>
        </w:rPr>
        <w:t xml:space="preserve">-year </w:t>
      </w:r>
      <w:r w:rsidR="00840D92" w:rsidRPr="003A2D3A">
        <w:rPr>
          <w:rFonts w:ascii="CG Omega" w:hAnsi="CG Omega"/>
        </w:rPr>
        <w:t>planning document identifying</w:t>
      </w:r>
      <w:r w:rsidR="00A5355A" w:rsidRPr="003A2D3A">
        <w:rPr>
          <w:rFonts w:ascii="CG Omega" w:hAnsi="CG Omega"/>
        </w:rPr>
        <w:t xml:space="preserve"> </w:t>
      </w:r>
      <w:r w:rsidRPr="003A2D3A">
        <w:rPr>
          <w:rFonts w:ascii="CG Omega" w:hAnsi="CG Omega"/>
        </w:rPr>
        <w:t xml:space="preserve">needs and </w:t>
      </w:r>
      <w:r w:rsidR="00A5355A" w:rsidRPr="003A2D3A">
        <w:rPr>
          <w:rFonts w:ascii="CG Omega" w:hAnsi="CG Omega"/>
        </w:rPr>
        <w:t xml:space="preserve">respective resource </w:t>
      </w:r>
      <w:r w:rsidRPr="003A2D3A">
        <w:rPr>
          <w:rFonts w:ascii="CG Omega" w:hAnsi="CG Omega"/>
        </w:rPr>
        <w:t xml:space="preserve">investments in </w:t>
      </w:r>
      <w:r w:rsidR="00C946F9" w:rsidRPr="003A2D3A">
        <w:rPr>
          <w:rFonts w:ascii="CG Omega" w:hAnsi="CG Omega"/>
        </w:rPr>
        <w:t>satisfying the state</w:t>
      </w:r>
      <w:r w:rsidR="00BA544F" w:rsidRPr="003A2D3A">
        <w:rPr>
          <w:rFonts w:ascii="CG Omega" w:hAnsi="CG Omega"/>
        </w:rPr>
        <w:t>’s</w:t>
      </w:r>
      <w:r w:rsidR="00A5355A" w:rsidRPr="003A2D3A">
        <w:rPr>
          <w:rFonts w:ascii="CG Omega" w:hAnsi="CG Omega"/>
        </w:rPr>
        <w:t xml:space="preserve"> </w:t>
      </w:r>
      <w:r w:rsidRPr="003A2D3A">
        <w:rPr>
          <w:rFonts w:ascii="CG Omega" w:hAnsi="CG Omega"/>
        </w:rPr>
        <w:t xml:space="preserve">housing, homelessness, </w:t>
      </w:r>
      <w:r w:rsidR="00F743E2" w:rsidRPr="003A2D3A">
        <w:rPr>
          <w:rFonts w:ascii="CG Omega" w:hAnsi="CG Omega"/>
        </w:rPr>
        <w:t>non-homeless special</w:t>
      </w:r>
      <w:r w:rsidR="00A5355A" w:rsidRPr="003A2D3A">
        <w:rPr>
          <w:rFonts w:ascii="CG Omega" w:hAnsi="CG Omega"/>
        </w:rPr>
        <w:t xml:space="preserve"> population</w:t>
      </w:r>
      <w:r w:rsidR="00F743E2" w:rsidRPr="003A2D3A">
        <w:rPr>
          <w:rFonts w:ascii="CG Omega" w:hAnsi="CG Omega"/>
        </w:rPr>
        <w:t xml:space="preserve">, </w:t>
      </w:r>
      <w:r w:rsidRPr="003A2D3A">
        <w:rPr>
          <w:rFonts w:ascii="CG Omega" w:hAnsi="CG Omega"/>
        </w:rPr>
        <w:t>community development and economic development</w:t>
      </w:r>
      <w:r w:rsidR="00A5355A" w:rsidRPr="003A2D3A">
        <w:rPr>
          <w:rFonts w:ascii="CG Omega" w:hAnsi="CG Omega"/>
        </w:rPr>
        <w:t xml:space="preserve"> needs</w:t>
      </w:r>
      <w:r w:rsidRPr="003A2D3A">
        <w:rPr>
          <w:rFonts w:ascii="CG Omega" w:hAnsi="CG Omega"/>
        </w:rPr>
        <w:t>.</w:t>
      </w:r>
      <w:r w:rsidR="00A5355A" w:rsidRPr="003A2D3A">
        <w:rPr>
          <w:rFonts w:ascii="CG Omega" w:hAnsi="CG Omega"/>
        </w:rPr>
        <w:t xml:space="preserve"> </w:t>
      </w:r>
      <w:r w:rsidRPr="003A2D3A">
        <w:rPr>
          <w:rFonts w:ascii="CG Omega" w:hAnsi="CG Omega"/>
        </w:rPr>
        <w:t xml:space="preserve"> </w:t>
      </w:r>
    </w:p>
    <w:p w:rsidR="00202537" w:rsidRPr="00E051F5" w:rsidRDefault="00202537" w:rsidP="005A47B2">
      <w:pPr>
        <w:pStyle w:val="BodyText"/>
        <w:rPr>
          <w:rFonts w:ascii="CG Omega" w:hAnsi="CG Omega"/>
          <w:sz w:val="16"/>
          <w:szCs w:val="16"/>
        </w:rPr>
      </w:pPr>
    </w:p>
    <w:p w:rsidR="004E7BC6" w:rsidRPr="003A2D3A" w:rsidRDefault="004E7BC6" w:rsidP="00BB666B">
      <w:pPr>
        <w:pStyle w:val="FirstHead"/>
      </w:pPr>
      <w:bookmarkStart w:id="17" w:name="_Toc399834559"/>
      <w:r w:rsidRPr="003A2D3A">
        <w:t>B. Compliance with HUD Regulations</w:t>
      </w:r>
      <w:bookmarkEnd w:id="17"/>
    </w:p>
    <w:p w:rsidR="004E7BC6" w:rsidRPr="00400FF0" w:rsidRDefault="004E7BC6" w:rsidP="004E7BC6">
      <w:pPr>
        <w:rPr>
          <w:sz w:val="16"/>
          <w:szCs w:val="16"/>
        </w:rPr>
      </w:pPr>
    </w:p>
    <w:p w:rsidR="007E15A1" w:rsidRPr="003A2D3A" w:rsidRDefault="007E15A1" w:rsidP="007E15A1">
      <w:pPr>
        <w:pStyle w:val="BodyText"/>
      </w:pPr>
      <w:r w:rsidRPr="003A2D3A">
        <w:rPr>
          <w:rFonts w:ascii="CG Omega" w:hAnsi="CG Omega"/>
        </w:rPr>
        <w:t xml:space="preserve">As the lead agency for the Consolidated Plan, </w:t>
      </w:r>
      <w:r w:rsidR="00514CCF" w:rsidRPr="003A2D3A">
        <w:rPr>
          <w:rFonts w:ascii="CG Omega" w:hAnsi="CG Omega"/>
        </w:rPr>
        <w:t>MFA</w:t>
      </w:r>
      <w:r w:rsidR="0097408E" w:rsidRPr="003A2D3A">
        <w:rPr>
          <w:rFonts w:ascii="CG Omega" w:hAnsi="CG Omega"/>
        </w:rPr>
        <w:t xml:space="preserve"> and its consolidated planning partner that administers the CDBG </w:t>
      </w:r>
      <w:r w:rsidR="004A5F8E">
        <w:rPr>
          <w:rFonts w:ascii="CG Omega" w:hAnsi="CG Omega"/>
        </w:rPr>
        <w:t>p</w:t>
      </w:r>
      <w:r w:rsidR="0097408E" w:rsidRPr="003A2D3A">
        <w:rPr>
          <w:rFonts w:ascii="CG Omega" w:hAnsi="CG Omega"/>
        </w:rPr>
        <w:t>rogram, DFA</w:t>
      </w:r>
      <w:r w:rsidR="004A5F8E">
        <w:rPr>
          <w:rFonts w:ascii="CG Omega" w:hAnsi="CG Omega"/>
        </w:rPr>
        <w:t>/</w:t>
      </w:r>
      <w:r w:rsidR="007D6613">
        <w:rPr>
          <w:rFonts w:ascii="CG Omega" w:hAnsi="CG Omega"/>
        </w:rPr>
        <w:t>LGD</w:t>
      </w:r>
      <w:r w:rsidR="0097408E" w:rsidRPr="003A2D3A">
        <w:rPr>
          <w:rFonts w:ascii="CG Omega" w:hAnsi="CG Omega"/>
        </w:rPr>
        <w:t>,</w:t>
      </w:r>
      <w:r w:rsidRPr="003A2D3A">
        <w:rPr>
          <w:rFonts w:ascii="CG Omega" w:hAnsi="CG Omega"/>
        </w:rPr>
        <w:t xml:space="preserve"> followed the federal guidelines about public involvement, evaluation of quantitative and qualitative data, needs assessment, strategy development, priority setting, and the formulation of objectives. </w:t>
      </w:r>
      <w:r w:rsidR="00514CCF" w:rsidRPr="003A2D3A">
        <w:rPr>
          <w:rFonts w:ascii="CG Omega" w:hAnsi="CG Omega"/>
        </w:rPr>
        <w:t>New Mexico’s</w:t>
      </w:r>
      <w:r w:rsidRPr="003A2D3A">
        <w:rPr>
          <w:rFonts w:ascii="CG Omega" w:hAnsi="CG Omega"/>
        </w:rPr>
        <w:t xml:space="preserve"> Consolidated Plan for </w:t>
      </w:r>
      <w:r w:rsidR="00E40EF9">
        <w:rPr>
          <w:rFonts w:ascii="CG Omega" w:hAnsi="CG Omega"/>
        </w:rPr>
        <w:t>2015-2020</w:t>
      </w:r>
      <w:r w:rsidRPr="003A2D3A">
        <w:rPr>
          <w:rFonts w:ascii="CG Omega" w:hAnsi="CG Omega"/>
        </w:rPr>
        <w:t xml:space="preserve"> was prepared in accordance with </w:t>
      </w:r>
      <w:r w:rsidR="007D6613">
        <w:rPr>
          <w:rFonts w:ascii="CG Omega" w:hAnsi="CG Omega"/>
        </w:rPr>
        <w:t xml:space="preserve">24 </w:t>
      </w:r>
      <w:r w:rsidRPr="003A2D3A">
        <w:rPr>
          <w:rFonts w:ascii="CG Omega" w:hAnsi="CG Omega"/>
        </w:rPr>
        <w:t>CFR Sections 91.100 through 91.230 of HUD’s Consolidated Plan regulations, applicable to state government.</w:t>
      </w:r>
      <w:r w:rsidRPr="003A2D3A">
        <w:t xml:space="preserve"> </w:t>
      </w:r>
    </w:p>
    <w:p w:rsidR="00072309" w:rsidRPr="00400FF0" w:rsidRDefault="00072309" w:rsidP="007E15A1">
      <w:pPr>
        <w:pStyle w:val="BodyText"/>
        <w:rPr>
          <w:sz w:val="16"/>
          <w:szCs w:val="16"/>
          <w:highlight w:val="yellow"/>
        </w:rPr>
      </w:pPr>
    </w:p>
    <w:p w:rsidR="00765293" w:rsidRPr="00836BFF" w:rsidRDefault="00765293" w:rsidP="00765293">
      <w:pPr>
        <w:pStyle w:val="BodyText"/>
        <w:rPr>
          <w:rFonts w:ascii="CG Omega" w:hAnsi="CG Omega"/>
        </w:rPr>
      </w:pPr>
      <w:r w:rsidRPr="00836BFF">
        <w:rPr>
          <w:rFonts w:ascii="CG Omega" w:hAnsi="CG Omega"/>
        </w:rPr>
        <w:t xml:space="preserve">Furthermore, </w:t>
      </w:r>
      <w:r w:rsidR="00CC3344">
        <w:rPr>
          <w:rFonts w:ascii="CG Omega" w:hAnsi="CG Omega"/>
        </w:rPr>
        <w:t>MFA</w:t>
      </w:r>
      <w:r w:rsidRPr="00836BFF">
        <w:rPr>
          <w:rFonts w:ascii="CG Omega" w:hAnsi="CG Omega"/>
        </w:rPr>
        <w:t xml:space="preserve"> is responsible for overseeing these citizen participation requirements, those that accompany the Consolidated Plan and </w:t>
      </w:r>
      <w:r w:rsidR="0097408E" w:rsidRPr="00836BFF">
        <w:rPr>
          <w:rFonts w:ascii="CG Omega" w:hAnsi="CG Omega"/>
        </w:rPr>
        <w:t xml:space="preserve">the </w:t>
      </w:r>
      <w:r w:rsidRPr="00836BFF">
        <w:rPr>
          <w:rFonts w:ascii="CG Omega" w:hAnsi="CG Omega"/>
        </w:rPr>
        <w:t>HOME</w:t>
      </w:r>
      <w:r w:rsidR="0097408E" w:rsidRPr="00836BFF">
        <w:rPr>
          <w:rFonts w:ascii="CG Omega" w:hAnsi="CG Omega"/>
        </w:rPr>
        <w:t>,</w:t>
      </w:r>
      <w:r w:rsidRPr="00836BFF">
        <w:rPr>
          <w:rFonts w:ascii="CG Omega" w:hAnsi="CG Omega"/>
        </w:rPr>
        <w:t xml:space="preserve"> ESG programs, and the HOPWA</w:t>
      </w:r>
      <w:r w:rsidR="004A5F8E">
        <w:rPr>
          <w:rFonts w:ascii="CG Omega" w:hAnsi="CG Omega"/>
        </w:rPr>
        <w:t xml:space="preserve"> program</w:t>
      </w:r>
      <w:r w:rsidRPr="00836BFF">
        <w:rPr>
          <w:rFonts w:ascii="CG Omega" w:hAnsi="CG Omega"/>
        </w:rPr>
        <w:t xml:space="preserve">. </w:t>
      </w:r>
      <w:r w:rsidR="00CA7E96" w:rsidRPr="00836BFF">
        <w:rPr>
          <w:rFonts w:ascii="CG Omega" w:hAnsi="CG Omega"/>
        </w:rPr>
        <w:t xml:space="preserve"> </w:t>
      </w:r>
      <w:r w:rsidR="002440DA" w:rsidRPr="00836BFF">
        <w:rPr>
          <w:rFonts w:ascii="CG Omega" w:hAnsi="CG Omega"/>
        </w:rPr>
        <w:t>DFA encourages citizens throughout New Mexico to participate in the development of the Action Plan, Consolidated Annual Performance and Evaluation Report (CAPER) and substantial amendments to the Consolidated Plan.  As the plans are prepared, hearings are conducted for public comment and all comments are posted in the CAPER.</w:t>
      </w:r>
      <w:r w:rsidR="0097408E" w:rsidRPr="00836BFF">
        <w:rPr>
          <w:rFonts w:ascii="CG Omega" w:hAnsi="CG Omega"/>
        </w:rPr>
        <w:t xml:space="preserve">  </w:t>
      </w:r>
      <w:r w:rsidR="00CA7E96" w:rsidRPr="00836BFF">
        <w:rPr>
          <w:rFonts w:ascii="CG Omega" w:hAnsi="CG Omega"/>
        </w:rPr>
        <w:t xml:space="preserve">Consequently, </w:t>
      </w:r>
      <w:r w:rsidR="0097408E" w:rsidRPr="00836BFF">
        <w:rPr>
          <w:rFonts w:ascii="CG Omega" w:hAnsi="CG Omega"/>
        </w:rPr>
        <w:t xml:space="preserve">both </w:t>
      </w:r>
      <w:r w:rsidR="00CC3344">
        <w:rPr>
          <w:rFonts w:ascii="CG Omega" w:hAnsi="CG Omega"/>
        </w:rPr>
        <w:t>MFA</w:t>
      </w:r>
      <w:r w:rsidR="0097408E" w:rsidRPr="00836BFF">
        <w:rPr>
          <w:rFonts w:ascii="CG Omega" w:hAnsi="CG Omega"/>
        </w:rPr>
        <w:t xml:space="preserve"> and </w:t>
      </w:r>
      <w:r w:rsidR="00CC3344">
        <w:rPr>
          <w:rFonts w:ascii="CG Omega" w:hAnsi="CG Omega"/>
        </w:rPr>
        <w:t>DFA</w:t>
      </w:r>
      <w:r w:rsidR="0097408E" w:rsidRPr="00836BFF">
        <w:rPr>
          <w:rFonts w:ascii="CG Omega" w:hAnsi="CG Omega"/>
        </w:rPr>
        <w:t xml:space="preserve"> strongly encourage</w:t>
      </w:r>
      <w:r w:rsidRPr="00836BFF">
        <w:rPr>
          <w:rFonts w:ascii="CG Omega" w:hAnsi="CG Omega"/>
        </w:rPr>
        <w:t xml:space="preserve"> public participation and consultation with other organizations as an essential means of identifying community needs.  The citizen participation process was formulated at the beginning of the plan </w:t>
      </w:r>
      <w:r w:rsidRPr="00836BFF">
        <w:rPr>
          <w:rFonts w:ascii="CG Omega" w:hAnsi="CG Omega"/>
        </w:rPr>
        <w:lastRenderedPageBreak/>
        <w:t xml:space="preserve">development process and is presented in the </w:t>
      </w:r>
      <w:r w:rsidRPr="00A60C34">
        <w:rPr>
          <w:rFonts w:ascii="CG Omega" w:hAnsi="CG Omega"/>
        </w:rPr>
        <w:t>Citizen Participation Plan (CPP), as noted in Appendix A</w:t>
      </w:r>
      <w:r w:rsidRPr="00836BFF">
        <w:rPr>
          <w:rFonts w:ascii="CG Omega" w:hAnsi="CG Omega"/>
        </w:rPr>
        <w:t xml:space="preserve"> of this document.  </w:t>
      </w:r>
    </w:p>
    <w:p w:rsidR="00765293" w:rsidRPr="00400FF0" w:rsidRDefault="00765293" w:rsidP="00765293">
      <w:pPr>
        <w:pStyle w:val="BodyText"/>
        <w:rPr>
          <w:rFonts w:ascii="CG Omega" w:hAnsi="CG Omega"/>
          <w:sz w:val="16"/>
          <w:szCs w:val="16"/>
          <w:highlight w:val="yellow"/>
        </w:rPr>
      </w:pPr>
    </w:p>
    <w:p w:rsidR="00BD3BF7" w:rsidRPr="00836BFF" w:rsidRDefault="00765293" w:rsidP="00765293">
      <w:pPr>
        <w:pStyle w:val="BodyText"/>
      </w:pPr>
      <w:r w:rsidRPr="00836BFF">
        <w:rPr>
          <w:rFonts w:ascii="CG Omega" w:hAnsi="CG Omega"/>
          <w:szCs w:val="24"/>
        </w:rPr>
        <w:t>The objectives of the CPP are to ensure that the citizens of New Mexico, particularly persons of low- and moderate-income, persons living in slum and blight areas, units of local government, public housing agencies, and other interested parties, are provided with the opportunity to participate in the planning and preparation of the Consolidated Plan, including amendments to the Consolidated Plan and the Annual Performance Report.</w:t>
      </w:r>
    </w:p>
    <w:p w:rsidR="00663EF1" w:rsidRPr="00663EF1" w:rsidRDefault="00663EF1" w:rsidP="00663EF1">
      <w:pPr>
        <w:jc w:val="both"/>
        <w:rPr>
          <w:rFonts w:ascii="CG Omega" w:hAnsi="CG Omega"/>
          <w:sz w:val="16"/>
          <w:szCs w:val="16"/>
        </w:rPr>
      </w:pPr>
    </w:p>
    <w:p w:rsidR="00663EF1" w:rsidRPr="00955C8C" w:rsidRDefault="00663EF1" w:rsidP="00663EF1">
      <w:pPr>
        <w:jc w:val="both"/>
        <w:rPr>
          <w:rFonts w:ascii="CG Omega" w:hAnsi="CG Omega"/>
          <w:highlight w:val="yellow"/>
        </w:rPr>
      </w:pPr>
      <w:r w:rsidRPr="006926CD">
        <w:rPr>
          <w:rFonts w:ascii="CG Omega" w:hAnsi="CG Omega"/>
        </w:rPr>
        <w:t xml:space="preserve">The mission statement of MFA is as follows: MFA provides innovative policies, education and services in collaboration with strategic partners to finance the purchase, construction and preservation of quality affordable housing to strengthen the social and economic development of New Mexico. </w:t>
      </w:r>
      <w:r w:rsidRPr="001C4452">
        <w:rPr>
          <w:rFonts w:ascii="CG Omega" w:hAnsi="CG Omega"/>
        </w:rPr>
        <w:t>MFA engages in self-sustaining practices to strengthen the social and economic development of New Mexico’s communities and families by financing, developing, and preserving homes. The vision statement of MFA is: All New Mexicans will have quality affordable housing opportunities.</w:t>
      </w:r>
    </w:p>
    <w:p w:rsidR="00BD3BF7" w:rsidRPr="00955C8C" w:rsidRDefault="00BD3BF7" w:rsidP="007E15A1">
      <w:pPr>
        <w:pStyle w:val="BodyText"/>
        <w:rPr>
          <w:highlight w:val="yellow"/>
        </w:rPr>
      </w:pPr>
    </w:p>
    <w:p w:rsidR="00143EAC" w:rsidRPr="004F48D1" w:rsidRDefault="001D6576" w:rsidP="00143EAC">
      <w:pPr>
        <w:pStyle w:val="BodyText"/>
        <w:jc w:val="center"/>
        <w:rPr>
          <w:rFonts w:ascii="Arial" w:hAnsi="Arial" w:cs="Arial"/>
          <w:b/>
          <w:sz w:val="23"/>
          <w:szCs w:val="23"/>
        </w:rPr>
      </w:pPr>
      <w:r>
        <w:rPr>
          <w:rFonts w:ascii="Arial" w:hAnsi="Arial" w:cs="Arial"/>
          <w:b/>
          <w:sz w:val="23"/>
          <w:szCs w:val="23"/>
          <w:highlight w:val="yellow"/>
        </w:rPr>
        <w:br w:type="page"/>
      </w:r>
      <w:r w:rsidR="00143EAC" w:rsidRPr="004F48D1">
        <w:rPr>
          <w:rFonts w:ascii="Arial" w:hAnsi="Arial" w:cs="Arial"/>
          <w:b/>
          <w:sz w:val="23"/>
          <w:szCs w:val="23"/>
        </w:rPr>
        <w:lastRenderedPageBreak/>
        <w:t>Map I.1</w:t>
      </w:r>
    </w:p>
    <w:p w:rsidR="00143EAC" w:rsidRPr="004F48D1" w:rsidRDefault="00765293" w:rsidP="00143EAC">
      <w:pPr>
        <w:pStyle w:val="BodyText"/>
        <w:jc w:val="center"/>
        <w:rPr>
          <w:rFonts w:ascii="Arial" w:hAnsi="Arial" w:cs="Arial"/>
          <w:b/>
          <w:sz w:val="20"/>
        </w:rPr>
      </w:pPr>
      <w:r w:rsidRPr="004F48D1">
        <w:rPr>
          <w:rFonts w:ascii="Arial" w:hAnsi="Arial" w:cs="Arial"/>
          <w:b/>
          <w:sz w:val="20"/>
        </w:rPr>
        <w:t>New Mexico</w:t>
      </w:r>
      <w:r w:rsidR="0023664D">
        <w:rPr>
          <w:rFonts w:ascii="Arial" w:hAnsi="Arial" w:cs="Arial"/>
          <w:b/>
          <w:sz w:val="20"/>
        </w:rPr>
        <w:t xml:space="preserve"> Study Area</w:t>
      </w:r>
    </w:p>
    <w:p w:rsidR="0023664D" w:rsidRPr="00B10342" w:rsidRDefault="0023664D" w:rsidP="00143EAC">
      <w:pPr>
        <w:pStyle w:val="BodyText"/>
        <w:jc w:val="center"/>
        <w:rPr>
          <w:rFonts w:ascii="Arial" w:hAnsi="Arial" w:cs="Arial"/>
          <w:noProof/>
          <w:sz w:val="20"/>
        </w:rPr>
      </w:pPr>
      <w:r w:rsidRPr="00B10342">
        <w:rPr>
          <w:rFonts w:ascii="Arial" w:hAnsi="Arial" w:cs="Arial"/>
          <w:noProof/>
          <w:sz w:val="20"/>
        </w:rPr>
        <w:t>State of New Mexico</w:t>
      </w:r>
    </w:p>
    <w:p w:rsidR="007E15A1" w:rsidRPr="00955C8C" w:rsidRDefault="0023664D" w:rsidP="00143EAC">
      <w:pPr>
        <w:pStyle w:val="BodyText"/>
        <w:jc w:val="center"/>
        <w:rPr>
          <w:highlight w:val="yellow"/>
        </w:rPr>
      </w:pPr>
      <w:r>
        <w:rPr>
          <w:noProof/>
        </w:rPr>
        <w:drawing>
          <wp:inline distT="0" distB="0" distL="0" distR="0" wp14:anchorId="654F1869" wp14:editId="2668618B">
            <wp:extent cx="5267325" cy="6991350"/>
            <wp:effectExtent l="0" t="0" r="9525" b="0"/>
            <wp:docPr id="11" name="Picture 11" descr="N:\NMMFA03\Figures\Consolidated Plan\NMMFA03_Intro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NMMFA03\Figures\Consolidated Plan\NMMFA03_Intro_Map.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5297" t="4585" r="5939" b="4460"/>
                    <a:stretch/>
                  </pic:blipFill>
                  <pic:spPr bwMode="auto">
                    <a:xfrm>
                      <a:off x="0" y="0"/>
                      <a:ext cx="5267325" cy="6991350"/>
                    </a:xfrm>
                    <a:prstGeom prst="rect">
                      <a:avLst/>
                    </a:prstGeom>
                    <a:noFill/>
                    <a:ln>
                      <a:noFill/>
                    </a:ln>
                    <a:extLst>
                      <a:ext uri="{53640926-AAD7-44D8-BBD7-CCE9431645EC}">
                        <a14:shadowObscured xmlns:a14="http://schemas.microsoft.com/office/drawing/2010/main"/>
                      </a:ext>
                    </a:extLst>
                  </pic:spPr>
                </pic:pic>
              </a:graphicData>
            </a:graphic>
          </wp:inline>
        </w:drawing>
      </w:r>
    </w:p>
    <w:p w:rsidR="004E7BC6" w:rsidRPr="00955C8C" w:rsidRDefault="004E7BC6" w:rsidP="004E7BC6">
      <w:pPr>
        <w:rPr>
          <w:sz w:val="18"/>
          <w:szCs w:val="18"/>
          <w:highlight w:val="yellow"/>
        </w:rPr>
      </w:pPr>
    </w:p>
    <w:p w:rsidR="00FA5E54" w:rsidRPr="00663EF1" w:rsidRDefault="00C82EE8" w:rsidP="00663EF1">
      <w:pPr>
        <w:jc w:val="both"/>
        <w:rPr>
          <w:rFonts w:ascii="CG Omega" w:hAnsi="CG Omega"/>
          <w:highlight w:val="yellow"/>
        </w:rPr>
      </w:pPr>
      <w:r>
        <w:rPr>
          <w:rFonts w:ascii="CG Omega" w:hAnsi="CG Omega"/>
          <w:highlight w:val="yellow"/>
        </w:rPr>
        <w:br w:type="page"/>
      </w:r>
    </w:p>
    <w:p w:rsidR="007D62BA" w:rsidRPr="001C4452" w:rsidRDefault="004E7BC6" w:rsidP="00BB666B">
      <w:pPr>
        <w:pStyle w:val="FirstHead"/>
      </w:pPr>
      <w:bookmarkStart w:id="18" w:name="_Toc233426569"/>
      <w:bookmarkStart w:id="19" w:name="_Toc233426754"/>
      <w:bookmarkStart w:id="20" w:name="_Toc399834560"/>
      <w:r w:rsidRPr="001C4452">
        <w:lastRenderedPageBreak/>
        <w:t>C</w:t>
      </w:r>
      <w:r w:rsidR="007D62BA" w:rsidRPr="001C4452">
        <w:t>.</w:t>
      </w:r>
      <w:bookmarkEnd w:id="18"/>
      <w:bookmarkEnd w:id="19"/>
      <w:r w:rsidR="00307BB1" w:rsidRPr="001C4452">
        <w:t xml:space="preserve"> Organizational Structure and Coordination</w:t>
      </w:r>
      <w:bookmarkEnd w:id="20"/>
    </w:p>
    <w:p w:rsidR="007D62BA" w:rsidRPr="00E3558D" w:rsidRDefault="007D62BA" w:rsidP="007D62BA">
      <w:pPr>
        <w:pStyle w:val="BodyText"/>
        <w:tabs>
          <w:tab w:val="num" w:pos="360"/>
        </w:tabs>
        <w:rPr>
          <w:rFonts w:ascii="CG Omega" w:hAnsi="CG Omega"/>
          <w:sz w:val="16"/>
          <w:szCs w:val="16"/>
        </w:rPr>
      </w:pPr>
    </w:p>
    <w:p w:rsidR="0028184C" w:rsidRPr="001C4452" w:rsidRDefault="008B061D" w:rsidP="0028184C">
      <w:pPr>
        <w:jc w:val="both"/>
        <w:rPr>
          <w:rFonts w:ascii="CG Omega" w:hAnsi="CG Omega"/>
        </w:rPr>
      </w:pPr>
      <w:r w:rsidRPr="001C4452">
        <w:rPr>
          <w:rFonts w:ascii="CG Omega" w:hAnsi="CG Omega"/>
        </w:rPr>
        <w:t>New Mexico</w:t>
      </w:r>
      <w:r w:rsidR="0028184C" w:rsidRPr="001C4452">
        <w:rPr>
          <w:rFonts w:ascii="CG Omega" w:hAnsi="CG Omega"/>
        </w:rPr>
        <w:t xml:space="preserve"> will meet its responsibility to provide decent a</w:t>
      </w:r>
      <w:r w:rsidR="00B05793" w:rsidRPr="001C4452">
        <w:rPr>
          <w:rFonts w:ascii="CG Omega" w:hAnsi="CG Omega"/>
        </w:rPr>
        <w:t>nd affordable housing, and the s</w:t>
      </w:r>
      <w:r w:rsidR="0028184C" w:rsidRPr="001C4452">
        <w:rPr>
          <w:rFonts w:ascii="CG Omega" w:hAnsi="CG Omega"/>
        </w:rPr>
        <w:t>tate will aid in the development of viable communities with suitable living environments and expanded economic and community development opportunities. This will be done with the help and support of a network of public institutions, nonprofit organizations, and private industries.</w:t>
      </w:r>
      <w:r w:rsidR="00EF174B">
        <w:rPr>
          <w:rFonts w:ascii="CG Omega" w:hAnsi="CG Omega"/>
        </w:rPr>
        <w:t xml:space="preserve"> Webinar trainings are held for ESG and HOME grantees and additional trainings are available at MFA for HOPWA grantees.</w:t>
      </w:r>
    </w:p>
    <w:p w:rsidR="00A7019E" w:rsidRPr="00E3558D" w:rsidRDefault="00A7019E" w:rsidP="008B061D">
      <w:pPr>
        <w:jc w:val="both"/>
        <w:rPr>
          <w:rFonts w:ascii="CG Omega" w:hAnsi="CG Omega"/>
          <w:sz w:val="16"/>
          <w:szCs w:val="16"/>
        </w:rPr>
      </w:pPr>
    </w:p>
    <w:p w:rsidR="008B061D" w:rsidRPr="001C4452" w:rsidRDefault="00BE47A9" w:rsidP="008B061D">
      <w:pPr>
        <w:jc w:val="both"/>
        <w:rPr>
          <w:rFonts w:ascii="CG Omega" w:hAnsi="CG Omega"/>
        </w:rPr>
      </w:pPr>
      <w:r w:rsidRPr="001C4452">
        <w:rPr>
          <w:rFonts w:ascii="CG Omega" w:hAnsi="CG Omega"/>
        </w:rPr>
        <w:t xml:space="preserve">MFA takes additional initiative </w:t>
      </w:r>
      <w:r w:rsidR="004A5F8E">
        <w:rPr>
          <w:rFonts w:ascii="CG Omega" w:hAnsi="CG Omega"/>
        </w:rPr>
        <w:t>by</w:t>
      </w:r>
      <w:r w:rsidRPr="001C4452">
        <w:rPr>
          <w:rFonts w:ascii="CG Omega" w:hAnsi="CG Omega"/>
        </w:rPr>
        <w:t xml:space="preserve"> instilling capacity and strong housing and community development through funding initiatives, outreach and training, and other capability building endeavors.  A selection of </w:t>
      </w:r>
      <w:r w:rsidR="00CC3344">
        <w:rPr>
          <w:rFonts w:ascii="CG Omega" w:hAnsi="CG Omega"/>
        </w:rPr>
        <w:t>MFA</w:t>
      </w:r>
      <w:r w:rsidR="0091207B" w:rsidRPr="001C4452">
        <w:rPr>
          <w:rFonts w:ascii="CG Omega" w:hAnsi="CG Omega"/>
        </w:rPr>
        <w:t>’s primary activities is</w:t>
      </w:r>
      <w:r w:rsidRPr="001C4452">
        <w:rPr>
          <w:rFonts w:ascii="CG Omega" w:hAnsi="CG Omega"/>
        </w:rPr>
        <w:t xml:space="preserve"> listed below.</w:t>
      </w:r>
    </w:p>
    <w:p w:rsidR="008B061D" w:rsidRPr="00E3558D" w:rsidRDefault="008B061D" w:rsidP="008B061D">
      <w:pPr>
        <w:jc w:val="both"/>
        <w:rPr>
          <w:rFonts w:ascii="CG Omega" w:hAnsi="CG Omega"/>
          <w:sz w:val="16"/>
          <w:szCs w:val="16"/>
        </w:rPr>
      </w:pPr>
    </w:p>
    <w:p w:rsidR="00BE47A9" w:rsidRPr="00F33617" w:rsidRDefault="00BE47A9" w:rsidP="008E1186">
      <w:pPr>
        <w:pStyle w:val="PlainText"/>
        <w:spacing w:after="120"/>
        <w:jc w:val="both"/>
        <w:rPr>
          <w:rFonts w:ascii="CG Omega" w:hAnsi="CG Omega"/>
          <w:b/>
          <w:bCs/>
          <w:smallCaps/>
          <w:sz w:val="24"/>
          <w:szCs w:val="24"/>
        </w:rPr>
      </w:pPr>
      <w:r w:rsidRPr="006926CD">
        <w:rPr>
          <w:rFonts w:ascii="CG Omega" w:hAnsi="CG Omega"/>
          <w:b/>
          <w:bCs/>
          <w:smallCaps/>
          <w:sz w:val="24"/>
          <w:szCs w:val="24"/>
        </w:rPr>
        <w:t>Operating Funds</w:t>
      </w:r>
    </w:p>
    <w:p w:rsidR="008B061D" w:rsidRPr="00724541" w:rsidRDefault="008B061D" w:rsidP="008B061D">
      <w:pPr>
        <w:jc w:val="both"/>
        <w:rPr>
          <w:rFonts w:ascii="CG Omega" w:hAnsi="CG Omega"/>
        </w:rPr>
      </w:pPr>
      <w:r w:rsidRPr="00724541">
        <w:rPr>
          <w:rFonts w:ascii="CG Omega" w:hAnsi="CG Omega"/>
        </w:rPr>
        <w:t>MFA recognizes that many times, the difference between success and failure in a partner is in their ability to operate and pay salaries to qualified staff. In an effort to help organizations dev</w:t>
      </w:r>
      <w:r w:rsidR="00A7019E" w:rsidRPr="00724541">
        <w:rPr>
          <w:rFonts w:ascii="CG Omega" w:hAnsi="CG Omega"/>
        </w:rPr>
        <w:t>elop capacity, MFA has a</w:t>
      </w:r>
      <w:r w:rsidRPr="00724541">
        <w:rPr>
          <w:rFonts w:ascii="CG Omega" w:hAnsi="CG Omega"/>
        </w:rPr>
        <w:t xml:space="preserve"> loan fund to help eligible borrowers with working capital for operating funds. This fund will work as a loan or revolving line of credit, in which the eligible borrower (a </w:t>
      </w:r>
      <w:r w:rsidR="00CC3344">
        <w:rPr>
          <w:rFonts w:ascii="CG Omega" w:hAnsi="CG Omega"/>
        </w:rPr>
        <w:t>nonprofit</w:t>
      </w:r>
      <w:r w:rsidRPr="00724541">
        <w:rPr>
          <w:rFonts w:ascii="CG Omega" w:hAnsi="CG Omega"/>
        </w:rPr>
        <w:t xml:space="preserve"> whose primary work is to provide housing, a public housing authority</w:t>
      </w:r>
      <w:r w:rsidR="004A5F8E">
        <w:rPr>
          <w:rFonts w:ascii="CG Omega" w:hAnsi="CG Omega"/>
        </w:rPr>
        <w:t xml:space="preserve"> (PHA)</w:t>
      </w:r>
      <w:r w:rsidRPr="00724541">
        <w:rPr>
          <w:rFonts w:ascii="CG Omega" w:hAnsi="CG Omega"/>
        </w:rPr>
        <w:t xml:space="preserve"> or tribal entity) m</w:t>
      </w:r>
      <w:r w:rsidR="00BE47A9" w:rsidRPr="00724541">
        <w:rPr>
          <w:rFonts w:ascii="CG Omega" w:hAnsi="CG Omega"/>
        </w:rPr>
        <w:t xml:space="preserve">ay apply for </w:t>
      </w:r>
      <w:r w:rsidR="00A7019E" w:rsidRPr="00724541">
        <w:rPr>
          <w:rFonts w:ascii="CG Omega" w:hAnsi="CG Omega"/>
        </w:rPr>
        <w:t xml:space="preserve">up to </w:t>
      </w:r>
      <w:r w:rsidRPr="00724541">
        <w:rPr>
          <w:rFonts w:ascii="CG Omega" w:hAnsi="CG Omega"/>
        </w:rPr>
        <w:t>$50,000 for a one</w:t>
      </w:r>
      <w:r w:rsidR="004A5F8E">
        <w:rPr>
          <w:rFonts w:ascii="CG Omega" w:hAnsi="CG Omega"/>
        </w:rPr>
        <w:t>-</w:t>
      </w:r>
      <w:r w:rsidRPr="00724541">
        <w:rPr>
          <w:rFonts w:ascii="CG Omega" w:hAnsi="CG Omega"/>
        </w:rPr>
        <w:t xml:space="preserve">year term. Payments will be made monthly </w:t>
      </w:r>
      <w:r w:rsidR="00A7019E" w:rsidRPr="00724541">
        <w:rPr>
          <w:rFonts w:ascii="CG Omega" w:hAnsi="CG Omega"/>
        </w:rPr>
        <w:t xml:space="preserve">in </w:t>
      </w:r>
      <w:r w:rsidRPr="00724541">
        <w:rPr>
          <w:rFonts w:ascii="CG Omega" w:hAnsi="CG Omega"/>
        </w:rPr>
        <w:t>amounts required to pay off the loan balance within a year of the origination.</w:t>
      </w:r>
    </w:p>
    <w:p w:rsidR="008B061D" w:rsidRPr="00E3558D" w:rsidRDefault="008B061D" w:rsidP="008B061D">
      <w:pPr>
        <w:jc w:val="both"/>
        <w:rPr>
          <w:rFonts w:ascii="CG Omega" w:hAnsi="CG Omega"/>
          <w:i/>
          <w:sz w:val="16"/>
          <w:szCs w:val="16"/>
          <w:highlight w:val="yellow"/>
        </w:rPr>
      </w:pPr>
    </w:p>
    <w:p w:rsidR="00BE47A9" w:rsidRPr="00724541" w:rsidRDefault="00BE47A9" w:rsidP="00BE47A9">
      <w:pPr>
        <w:pStyle w:val="PlainText"/>
        <w:jc w:val="both"/>
        <w:rPr>
          <w:rFonts w:ascii="CG Omega" w:hAnsi="CG Omega"/>
          <w:b/>
          <w:bCs/>
          <w:smallCaps/>
          <w:sz w:val="24"/>
          <w:szCs w:val="24"/>
        </w:rPr>
      </w:pPr>
      <w:r w:rsidRPr="00724541">
        <w:rPr>
          <w:rFonts w:ascii="CG Omega" w:hAnsi="CG Omega"/>
          <w:b/>
          <w:bCs/>
          <w:smallCaps/>
          <w:sz w:val="24"/>
          <w:szCs w:val="24"/>
        </w:rPr>
        <w:t>Training and Technical Assistance Program</w:t>
      </w:r>
      <w:r w:rsidR="004A5F8E">
        <w:rPr>
          <w:rFonts w:ascii="CG Omega" w:hAnsi="CG Omega"/>
          <w:b/>
          <w:bCs/>
          <w:smallCaps/>
          <w:sz w:val="24"/>
          <w:szCs w:val="24"/>
        </w:rPr>
        <w:t xml:space="preserve"> (T and TA)</w:t>
      </w:r>
    </w:p>
    <w:p w:rsidR="00BE47A9" w:rsidRPr="00E3558D" w:rsidRDefault="00BE47A9" w:rsidP="008B061D">
      <w:pPr>
        <w:jc w:val="both"/>
        <w:rPr>
          <w:rFonts w:ascii="CG Omega" w:hAnsi="CG Omega"/>
          <w:b/>
          <w:i/>
          <w:sz w:val="16"/>
          <w:szCs w:val="16"/>
        </w:rPr>
      </w:pPr>
    </w:p>
    <w:p w:rsidR="00A7019E" w:rsidRPr="00724541" w:rsidRDefault="00A7019E" w:rsidP="00A7019E">
      <w:pPr>
        <w:jc w:val="both"/>
        <w:rPr>
          <w:rFonts w:ascii="CG Omega" w:hAnsi="CG Omega"/>
        </w:rPr>
      </w:pPr>
      <w:r w:rsidRPr="00724541">
        <w:rPr>
          <w:rFonts w:ascii="CG Omega" w:hAnsi="CG Omega"/>
        </w:rPr>
        <w:t xml:space="preserve">The mission of the Mortgage Finance Authority (MFA) is to ensure funding and resources are available to New Mexico communities to address problems of substandard housing, housing affordability and lack of housing services. While limited funding is an obstacle, the greater challenge is local capacity. Capacity is the extent to which housing providers are serving an area.  The greatest capacity deficiencies exist in the rural areas of the state.  Large established </w:t>
      </w:r>
      <w:r w:rsidR="005347C1">
        <w:rPr>
          <w:rFonts w:ascii="CG Omega" w:hAnsi="CG Omega"/>
        </w:rPr>
        <w:t>nonprofit</w:t>
      </w:r>
      <w:r w:rsidRPr="00724541">
        <w:rPr>
          <w:rFonts w:ascii="CG Omega" w:hAnsi="CG Omega"/>
        </w:rPr>
        <w:t>s that provide services regionally often become the default providers for these areas. MFA operates a T and TA</w:t>
      </w:r>
      <w:r w:rsidR="004A5F8E">
        <w:rPr>
          <w:rFonts w:ascii="CG Omega" w:hAnsi="CG Omega"/>
        </w:rPr>
        <w:t xml:space="preserve"> </w:t>
      </w:r>
      <w:r w:rsidR="00F3321C">
        <w:rPr>
          <w:rFonts w:ascii="CG Omega" w:hAnsi="CG Omega"/>
        </w:rPr>
        <w:t xml:space="preserve">program </w:t>
      </w:r>
      <w:r w:rsidR="00F3321C" w:rsidRPr="00724541">
        <w:rPr>
          <w:rFonts w:ascii="CG Omega" w:hAnsi="CG Omega"/>
        </w:rPr>
        <w:t>to</w:t>
      </w:r>
      <w:r w:rsidRPr="00724541">
        <w:rPr>
          <w:rFonts w:ascii="CG Omega" w:hAnsi="CG Omega"/>
        </w:rPr>
        <w:t xml:space="preserve"> establish and build housing capacity throughout the state. Local government involvement in building local capacity greatly enhances capacity building efforts. </w:t>
      </w:r>
    </w:p>
    <w:p w:rsidR="00A7019E" w:rsidRPr="00E3558D" w:rsidRDefault="00A7019E" w:rsidP="00A7019E">
      <w:pPr>
        <w:jc w:val="both"/>
        <w:rPr>
          <w:rFonts w:ascii="CG Omega" w:hAnsi="CG Omega"/>
          <w:sz w:val="16"/>
          <w:szCs w:val="16"/>
        </w:rPr>
      </w:pPr>
    </w:p>
    <w:p w:rsidR="00A7019E" w:rsidRPr="00724541" w:rsidRDefault="00A7019E" w:rsidP="00A7019E">
      <w:pPr>
        <w:jc w:val="both"/>
        <w:rPr>
          <w:rFonts w:ascii="CG Omega" w:hAnsi="CG Omega"/>
        </w:rPr>
      </w:pPr>
      <w:r w:rsidRPr="00724541">
        <w:rPr>
          <w:rFonts w:ascii="CG Omega" w:hAnsi="CG Omega"/>
        </w:rPr>
        <w:t>MFA</w:t>
      </w:r>
      <w:r w:rsidR="007951DD">
        <w:rPr>
          <w:rFonts w:ascii="CG Omega" w:hAnsi="CG Omega"/>
        </w:rPr>
        <w:t>’s</w:t>
      </w:r>
      <w:r w:rsidRPr="00724541">
        <w:rPr>
          <w:rFonts w:ascii="CG Omega" w:hAnsi="CG Omega"/>
        </w:rPr>
        <w:t xml:space="preserve"> role as the recipient of federal housing funds is to establish contractual relationships with </w:t>
      </w:r>
      <w:r w:rsidR="005347C1">
        <w:rPr>
          <w:rFonts w:ascii="CG Omega" w:hAnsi="CG Omega"/>
        </w:rPr>
        <w:t>nonprofit</w:t>
      </w:r>
      <w:r w:rsidRPr="00724541">
        <w:rPr>
          <w:rFonts w:ascii="CG Omega" w:hAnsi="CG Omega"/>
        </w:rPr>
        <w:t>s, for-profits and local government organizations to implement affordable housing activities.  These funding sources are listed in the 201</w:t>
      </w:r>
      <w:r w:rsidR="007951DD">
        <w:rPr>
          <w:rFonts w:ascii="CG Omega" w:hAnsi="CG Omega"/>
        </w:rPr>
        <w:t>5</w:t>
      </w:r>
      <w:r w:rsidRPr="00724541">
        <w:rPr>
          <w:rFonts w:ascii="CG Omega" w:hAnsi="CG Omega"/>
        </w:rPr>
        <w:t xml:space="preserve"> Annual Action Plan. MFA conducts both formal and informal T and TA activities to build capacity throughout the state. </w:t>
      </w:r>
    </w:p>
    <w:p w:rsidR="00A7019E" w:rsidRPr="00E3558D" w:rsidRDefault="00A7019E" w:rsidP="00A7019E">
      <w:pPr>
        <w:jc w:val="both"/>
        <w:rPr>
          <w:rFonts w:ascii="CG Omega" w:hAnsi="CG Omega"/>
          <w:sz w:val="16"/>
          <w:szCs w:val="16"/>
        </w:rPr>
      </w:pPr>
    </w:p>
    <w:p w:rsidR="00A7019E" w:rsidRPr="00724541" w:rsidRDefault="00A7019E" w:rsidP="00A7019E">
      <w:pPr>
        <w:jc w:val="both"/>
        <w:rPr>
          <w:rFonts w:ascii="CG Omega" w:hAnsi="CG Omega"/>
        </w:rPr>
      </w:pPr>
      <w:r w:rsidRPr="00724541">
        <w:rPr>
          <w:rFonts w:ascii="CG Omega" w:hAnsi="CG Omega"/>
        </w:rPr>
        <w:t xml:space="preserve">All MFA funding is made available through an open Request for Proposals (RFP) or Notice of Funding Availability (NOFA) process. The process varies based on the funding source, however, common to all is pre-submission training. RFPs are the more frequent funding mechanism. RFP training is offered on an annual basis for each program requiring a competitive process.  Often times, changes to the previous program year RFP are deemed necessary, as minimum thresholds and scoring criteria may require modifications.  The RFP training presents pertinent information in an effort to maximize the RFP response submissions.  During the RFP process questions posed by proposers or “Frequently Asked Questions” (FAQ’s) are available on </w:t>
      </w:r>
      <w:r w:rsidR="00CC3344">
        <w:rPr>
          <w:rFonts w:ascii="CG Omega" w:hAnsi="CG Omega"/>
        </w:rPr>
        <w:t>MFA</w:t>
      </w:r>
      <w:r w:rsidRPr="00724541">
        <w:rPr>
          <w:rFonts w:ascii="CG Omega" w:hAnsi="CG Omega"/>
        </w:rPr>
        <w:t xml:space="preserve"> website to clarify the process. </w:t>
      </w:r>
    </w:p>
    <w:p w:rsidR="00A7019E" w:rsidRPr="00E3558D" w:rsidRDefault="00A7019E" w:rsidP="00A7019E">
      <w:pPr>
        <w:jc w:val="both"/>
        <w:rPr>
          <w:rFonts w:ascii="CG Omega" w:hAnsi="CG Omega"/>
          <w:sz w:val="16"/>
          <w:szCs w:val="16"/>
        </w:rPr>
      </w:pPr>
    </w:p>
    <w:p w:rsidR="00A7019E" w:rsidRPr="00724541" w:rsidRDefault="00713155" w:rsidP="00A7019E">
      <w:pPr>
        <w:jc w:val="both"/>
        <w:rPr>
          <w:rFonts w:ascii="CG Omega" w:hAnsi="CG Omega"/>
        </w:rPr>
      </w:pPr>
      <w:r w:rsidRPr="00724541">
        <w:rPr>
          <w:rFonts w:ascii="CG Omega" w:hAnsi="CG Omega"/>
        </w:rPr>
        <w:t>Well-</w:t>
      </w:r>
      <w:r w:rsidR="00A7019E" w:rsidRPr="00724541">
        <w:rPr>
          <w:rFonts w:ascii="CG Omega" w:hAnsi="CG Omega"/>
        </w:rPr>
        <w:t>structured contracts result from clear and accurate RFPs. MFA places a high priority on RFP development and improv</w:t>
      </w:r>
      <w:r w:rsidR="00413825">
        <w:rPr>
          <w:rFonts w:ascii="CG Omega" w:hAnsi="CG Omega"/>
        </w:rPr>
        <w:t>ement.  Annually, MFA conducts focus g</w:t>
      </w:r>
      <w:r w:rsidR="00A7019E" w:rsidRPr="00724541">
        <w:rPr>
          <w:rFonts w:ascii="CG Omega" w:hAnsi="CG Omega"/>
        </w:rPr>
        <w:t>roups with common program providers to facilitate discussions regarding the structure of new RFPs and improvement of existing RFPs. Recently this process was especially useful in preparing for</w:t>
      </w:r>
      <w:r w:rsidRPr="00724541">
        <w:rPr>
          <w:rFonts w:ascii="CG Omega" w:hAnsi="CG Omega"/>
        </w:rPr>
        <w:t xml:space="preserve"> the receipt of stimulus funds.</w:t>
      </w:r>
      <w:r w:rsidR="00A7019E" w:rsidRPr="00724541">
        <w:rPr>
          <w:rFonts w:ascii="CG Omega" w:hAnsi="CG Omega"/>
        </w:rPr>
        <w:t xml:space="preserve"> Homeless provider input was essential in the development MFA’s </w:t>
      </w:r>
      <w:r w:rsidR="004A5F8E">
        <w:rPr>
          <w:rFonts w:ascii="CG Omega" w:hAnsi="CG Omega"/>
        </w:rPr>
        <w:t>Homeless Prevention and Rapid Re</w:t>
      </w:r>
      <w:r w:rsidR="00F3321C">
        <w:rPr>
          <w:rFonts w:ascii="CG Omega" w:hAnsi="CG Omega"/>
        </w:rPr>
        <w:t>h</w:t>
      </w:r>
      <w:r w:rsidR="004A5F8E">
        <w:rPr>
          <w:rFonts w:ascii="CG Omega" w:hAnsi="CG Omega"/>
        </w:rPr>
        <w:t>ousing (</w:t>
      </w:r>
      <w:r w:rsidR="00A7019E" w:rsidRPr="00724541">
        <w:rPr>
          <w:rFonts w:ascii="CG Omega" w:hAnsi="CG Omega"/>
        </w:rPr>
        <w:t>HPRP</w:t>
      </w:r>
      <w:r w:rsidR="004A5F8E">
        <w:rPr>
          <w:rFonts w:ascii="CG Omega" w:hAnsi="CG Omega"/>
        </w:rPr>
        <w:t>)</w:t>
      </w:r>
      <w:r w:rsidR="00A7019E" w:rsidRPr="00724541">
        <w:rPr>
          <w:rFonts w:ascii="CG Omega" w:hAnsi="CG Omega"/>
        </w:rPr>
        <w:t xml:space="preserve"> program.  </w:t>
      </w:r>
    </w:p>
    <w:p w:rsidR="00A7019E" w:rsidRPr="00E3558D" w:rsidRDefault="00A7019E" w:rsidP="00A7019E">
      <w:pPr>
        <w:jc w:val="both"/>
        <w:rPr>
          <w:rFonts w:ascii="CG Omega" w:hAnsi="CG Omega"/>
          <w:sz w:val="16"/>
          <w:szCs w:val="16"/>
        </w:rPr>
      </w:pPr>
    </w:p>
    <w:p w:rsidR="00A7019E" w:rsidRPr="00724541" w:rsidRDefault="00A7019E" w:rsidP="00A7019E">
      <w:pPr>
        <w:jc w:val="both"/>
        <w:rPr>
          <w:rFonts w:ascii="CG Omega" w:hAnsi="CG Omega"/>
        </w:rPr>
      </w:pPr>
      <w:r w:rsidRPr="00724541">
        <w:rPr>
          <w:rFonts w:ascii="CG Omega" w:hAnsi="CG Omega"/>
        </w:rPr>
        <w:t>MFA utilizes internal review committees that include accounting personnel who assess the financial capacity of the proposers. Successful proposals become the basis for the contract that MFA enters into for program implementation. T and TA continues during the contract phase in the form of one-o</w:t>
      </w:r>
      <w:r w:rsidR="00413825">
        <w:rPr>
          <w:rFonts w:ascii="CG Omega" w:hAnsi="CG Omega"/>
        </w:rPr>
        <w:t>n-one assistance and quarterly peer r</w:t>
      </w:r>
      <w:r w:rsidRPr="00724541">
        <w:rPr>
          <w:rFonts w:ascii="CG Omega" w:hAnsi="CG Omega"/>
        </w:rPr>
        <w:t xml:space="preserve">eview meetings. One-on-one training is tailored to grantee needs, i.e., operational capacity, understanding federal and state requirements, development of policies and procedures; financial audits, and reporting requirements. </w:t>
      </w:r>
    </w:p>
    <w:p w:rsidR="00A7019E" w:rsidRPr="00E3558D" w:rsidRDefault="00A7019E" w:rsidP="00A7019E">
      <w:pPr>
        <w:jc w:val="both"/>
        <w:rPr>
          <w:rFonts w:ascii="CG Omega" w:hAnsi="CG Omega"/>
          <w:sz w:val="16"/>
          <w:szCs w:val="16"/>
        </w:rPr>
      </w:pPr>
    </w:p>
    <w:p w:rsidR="00A7019E" w:rsidRPr="00724541" w:rsidRDefault="00A7019E" w:rsidP="00A7019E">
      <w:pPr>
        <w:jc w:val="both"/>
        <w:rPr>
          <w:rFonts w:ascii="CG Omega" w:hAnsi="CG Omega"/>
        </w:rPr>
      </w:pPr>
      <w:r w:rsidRPr="00724541">
        <w:rPr>
          <w:rFonts w:ascii="CG Omega" w:hAnsi="CG Omega"/>
        </w:rPr>
        <w:t>The RFPs issued each year are as follows:</w:t>
      </w:r>
    </w:p>
    <w:p w:rsidR="00A7019E" w:rsidRPr="00E3558D" w:rsidRDefault="00A7019E" w:rsidP="00A7019E">
      <w:pPr>
        <w:jc w:val="both"/>
        <w:rPr>
          <w:rFonts w:ascii="CG Omega" w:hAnsi="CG Omega"/>
          <w:sz w:val="16"/>
          <w:szCs w:val="16"/>
        </w:rPr>
      </w:pPr>
    </w:p>
    <w:p w:rsidR="00A7019E" w:rsidRPr="00724541" w:rsidRDefault="00A7019E" w:rsidP="00A7019E">
      <w:pPr>
        <w:jc w:val="both"/>
        <w:rPr>
          <w:rFonts w:ascii="CG Omega" w:hAnsi="CG Omega"/>
        </w:rPr>
      </w:pPr>
      <w:r w:rsidRPr="00724541">
        <w:rPr>
          <w:rFonts w:ascii="CG Omega" w:hAnsi="CG Omega"/>
        </w:rPr>
        <w:t>HOPWA</w:t>
      </w:r>
    </w:p>
    <w:p w:rsidR="00A7019E" w:rsidRPr="00724541" w:rsidRDefault="00A7019E" w:rsidP="00A7019E">
      <w:pPr>
        <w:jc w:val="both"/>
        <w:rPr>
          <w:rFonts w:ascii="CG Omega" w:hAnsi="CG Omega"/>
        </w:rPr>
      </w:pPr>
      <w:r w:rsidRPr="00724541">
        <w:rPr>
          <w:rFonts w:ascii="CG Omega" w:hAnsi="CG Omega"/>
        </w:rPr>
        <w:t>Weatherization Assistance Program (</w:t>
      </w:r>
      <w:r w:rsidR="00413825">
        <w:rPr>
          <w:rFonts w:ascii="CG Omega" w:hAnsi="CG Omega"/>
        </w:rPr>
        <w:t>NM Energy$mart</w:t>
      </w:r>
      <w:r w:rsidRPr="00724541">
        <w:rPr>
          <w:rFonts w:ascii="CG Omega" w:hAnsi="CG Omega"/>
        </w:rPr>
        <w:t>)</w:t>
      </w:r>
    </w:p>
    <w:p w:rsidR="00A7019E" w:rsidRDefault="00A7019E" w:rsidP="00A7019E">
      <w:pPr>
        <w:jc w:val="both"/>
        <w:rPr>
          <w:rFonts w:ascii="CG Omega" w:hAnsi="CG Omega"/>
        </w:rPr>
      </w:pPr>
      <w:r w:rsidRPr="00724541">
        <w:rPr>
          <w:rFonts w:ascii="CG Omega" w:hAnsi="CG Omega"/>
        </w:rPr>
        <w:t>ESG</w:t>
      </w:r>
      <w:r w:rsidR="00B755DA">
        <w:rPr>
          <w:rFonts w:ascii="CG Omega" w:hAnsi="CG Omega"/>
        </w:rPr>
        <w:t xml:space="preserve"> – </w:t>
      </w:r>
      <w:r w:rsidR="00E01EF9">
        <w:rPr>
          <w:rFonts w:ascii="CG Omega" w:hAnsi="CG Omega"/>
        </w:rPr>
        <w:t>Emergency Homeless Assistance Program (</w:t>
      </w:r>
      <w:r w:rsidR="00B755DA">
        <w:rPr>
          <w:rFonts w:ascii="CG Omega" w:hAnsi="CG Omega"/>
        </w:rPr>
        <w:t>EHAP</w:t>
      </w:r>
      <w:r w:rsidR="00E01EF9">
        <w:rPr>
          <w:rFonts w:ascii="CG Omega" w:hAnsi="CG Omega"/>
        </w:rPr>
        <w:t>),</w:t>
      </w:r>
      <w:r w:rsidR="00B755DA">
        <w:rPr>
          <w:rFonts w:ascii="CG Omega" w:hAnsi="CG Omega"/>
        </w:rPr>
        <w:t xml:space="preserve"> Co</w:t>
      </w:r>
      <w:r w:rsidR="00CE6426">
        <w:rPr>
          <w:rFonts w:ascii="CG Omega" w:hAnsi="CG Omega"/>
        </w:rPr>
        <w:t xml:space="preserve">C and </w:t>
      </w:r>
      <w:r w:rsidR="00E01EF9">
        <w:rPr>
          <w:rFonts w:ascii="CG Omega" w:hAnsi="CG Omega"/>
        </w:rPr>
        <w:t>Rental Assistance Program (</w:t>
      </w:r>
      <w:r w:rsidR="00CE6426">
        <w:rPr>
          <w:rFonts w:ascii="CG Omega" w:hAnsi="CG Omega"/>
        </w:rPr>
        <w:t>RAP</w:t>
      </w:r>
      <w:r w:rsidR="00E01EF9">
        <w:rPr>
          <w:rFonts w:ascii="CG Omega" w:hAnsi="CG Omega"/>
        </w:rPr>
        <w:t>)</w:t>
      </w:r>
    </w:p>
    <w:p w:rsidR="00A7019E" w:rsidRPr="00E3558D" w:rsidRDefault="00A7019E" w:rsidP="00A7019E">
      <w:pPr>
        <w:jc w:val="both"/>
        <w:rPr>
          <w:rFonts w:ascii="CG Omega" w:hAnsi="CG Omega"/>
          <w:sz w:val="16"/>
          <w:szCs w:val="16"/>
        </w:rPr>
      </w:pPr>
    </w:p>
    <w:p w:rsidR="00A7019E" w:rsidRPr="00724541" w:rsidRDefault="00A7019E" w:rsidP="00A7019E">
      <w:pPr>
        <w:jc w:val="both"/>
        <w:rPr>
          <w:rFonts w:ascii="CG Omega" w:hAnsi="CG Omega"/>
        </w:rPr>
      </w:pPr>
      <w:r w:rsidRPr="00724541">
        <w:rPr>
          <w:rFonts w:ascii="CG Omega" w:hAnsi="CG Omega"/>
        </w:rPr>
        <w:t>MFA’s association with local and regional governments, tribal entiti</w:t>
      </w:r>
      <w:r w:rsidR="0047148D">
        <w:rPr>
          <w:rFonts w:ascii="CG Omega" w:hAnsi="CG Omega"/>
        </w:rPr>
        <w:t>es,</w:t>
      </w:r>
      <w:r w:rsidRPr="00724541">
        <w:rPr>
          <w:rFonts w:ascii="CG Omega" w:hAnsi="CG Omega"/>
        </w:rPr>
        <w:t xml:space="preserve"> </w:t>
      </w:r>
      <w:r w:rsidR="00B05793" w:rsidRPr="00724541">
        <w:rPr>
          <w:rFonts w:ascii="CG Omega" w:hAnsi="CG Omega"/>
        </w:rPr>
        <w:t>s</w:t>
      </w:r>
      <w:r w:rsidRPr="00724541">
        <w:rPr>
          <w:rFonts w:ascii="CG Omega" w:hAnsi="CG Omega"/>
        </w:rPr>
        <w:t xml:space="preserve">tate agencies and </w:t>
      </w:r>
      <w:r w:rsidR="005347C1">
        <w:rPr>
          <w:rFonts w:ascii="CG Omega" w:hAnsi="CG Omega"/>
        </w:rPr>
        <w:t>nonprofit</w:t>
      </w:r>
      <w:r w:rsidRPr="00724541">
        <w:rPr>
          <w:rFonts w:ascii="CG Omega" w:hAnsi="CG Omega"/>
        </w:rPr>
        <w:t xml:space="preserve"> agencies assures the dissemination of </w:t>
      </w:r>
      <w:r w:rsidR="00E01EF9">
        <w:rPr>
          <w:rFonts w:ascii="CG Omega" w:hAnsi="CG Omega"/>
        </w:rPr>
        <w:t>TA</w:t>
      </w:r>
      <w:r w:rsidRPr="00724541">
        <w:rPr>
          <w:rFonts w:ascii="CG Omega" w:hAnsi="CG Omega"/>
        </w:rPr>
        <w:t xml:space="preserve"> and provide</w:t>
      </w:r>
      <w:r w:rsidR="0047148D">
        <w:rPr>
          <w:rFonts w:ascii="CG Omega" w:hAnsi="CG Omega"/>
        </w:rPr>
        <w:t>s the ability to build capacity.</w:t>
      </w:r>
      <w:r w:rsidRPr="00724541">
        <w:rPr>
          <w:rFonts w:ascii="CG Omega" w:hAnsi="CG Omega"/>
        </w:rPr>
        <w:t xml:space="preserve"> The recent reorganization and consolidation of the regional housing authorities has allowed MFA to plan capacity building around the goals of the three regional housing authorities</w:t>
      </w:r>
      <w:r w:rsidR="00E01EF9">
        <w:rPr>
          <w:rFonts w:ascii="CG Omega" w:hAnsi="CG Omega"/>
        </w:rPr>
        <w:t xml:space="preserve"> (RHAs)</w:t>
      </w:r>
      <w:r w:rsidRPr="00724541">
        <w:rPr>
          <w:rFonts w:ascii="CG Omega" w:hAnsi="CG Omega"/>
        </w:rPr>
        <w:t>: Northern Region, Eastern Region, and Western Region. MFA’s role as the oversight a</w:t>
      </w:r>
      <w:r w:rsidR="0047148D">
        <w:rPr>
          <w:rFonts w:ascii="CG Omega" w:hAnsi="CG Omega"/>
        </w:rPr>
        <w:t>gency for the regional housing a</w:t>
      </w:r>
      <w:r w:rsidRPr="00724541">
        <w:rPr>
          <w:rFonts w:ascii="CG Omega" w:hAnsi="CG Omega"/>
        </w:rPr>
        <w:t xml:space="preserve">uthorities facilitates capacity building.  </w:t>
      </w:r>
    </w:p>
    <w:p w:rsidR="00A7019E" w:rsidRPr="00E3558D" w:rsidRDefault="00A7019E" w:rsidP="00A7019E">
      <w:pPr>
        <w:jc w:val="both"/>
        <w:rPr>
          <w:rFonts w:ascii="CG Omega" w:hAnsi="CG Omega"/>
          <w:sz w:val="16"/>
          <w:szCs w:val="16"/>
        </w:rPr>
      </w:pPr>
    </w:p>
    <w:p w:rsidR="008B061D" w:rsidRPr="00724541" w:rsidRDefault="00A7019E" w:rsidP="00A7019E">
      <w:pPr>
        <w:jc w:val="both"/>
        <w:rPr>
          <w:rFonts w:ascii="CG Omega" w:hAnsi="CG Omega"/>
        </w:rPr>
      </w:pPr>
      <w:r w:rsidRPr="00724541">
        <w:rPr>
          <w:rFonts w:ascii="CG Omega" w:hAnsi="CG Omega"/>
        </w:rPr>
        <w:lastRenderedPageBreak/>
        <w:t xml:space="preserve">The use of MFA funds requires compliance with both program requirements and federal overlay statutes. For example, MFA’s subgrantees have the responsibility to comply with labor, environmental, fair housing and equal opportunity regulations in the conduct of their operations.  MFA conducts formal training in both classroom and field settings to educate providers on the new, existing and changing regulations related to federal overlay statutes. MFA’s website is constantly updated to serve as a resource for T and TA needs.  MFA staff members will also meet with program participants and sub-recipients throughout the year to provide technical assistance that may include mentoring by other housing organizations or units of local government. </w:t>
      </w:r>
      <w:r w:rsidR="00CC3344">
        <w:rPr>
          <w:rFonts w:ascii="CG Omega" w:hAnsi="CG Omega"/>
        </w:rPr>
        <w:t>MFA</w:t>
      </w:r>
      <w:r w:rsidRPr="00724541">
        <w:rPr>
          <w:rFonts w:ascii="CG Omega" w:hAnsi="CG Omega"/>
        </w:rPr>
        <w:t xml:space="preserve"> will provide tailored training to partners around the state on an as needed basis.</w:t>
      </w:r>
    </w:p>
    <w:p w:rsidR="00A7019E" w:rsidRPr="00E3558D" w:rsidRDefault="00A7019E" w:rsidP="00A7019E">
      <w:pPr>
        <w:jc w:val="both"/>
        <w:rPr>
          <w:rFonts w:ascii="CG Omega" w:hAnsi="CG Omega"/>
          <w:i/>
          <w:sz w:val="16"/>
          <w:szCs w:val="16"/>
        </w:rPr>
      </w:pPr>
    </w:p>
    <w:p w:rsidR="00BE47A9" w:rsidRPr="00724541" w:rsidRDefault="00BE47A9" w:rsidP="00BE47A9">
      <w:pPr>
        <w:pStyle w:val="PlainText"/>
        <w:jc w:val="both"/>
        <w:rPr>
          <w:rFonts w:ascii="CG Omega" w:hAnsi="CG Omega"/>
          <w:b/>
          <w:bCs/>
          <w:smallCaps/>
          <w:sz w:val="24"/>
          <w:szCs w:val="24"/>
        </w:rPr>
      </w:pPr>
      <w:r w:rsidRPr="00724541">
        <w:rPr>
          <w:rFonts w:ascii="CG Omega" w:hAnsi="CG Omega"/>
          <w:b/>
          <w:bCs/>
          <w:smallCaps/>
          <w:sz w:val="24"/>
          <w:szCs w:val="24"/>
        </w:rPr>
        <w:t>Housing Services Directory</w:t>
      </w:r>
    </w:p>
    <w:p w:rsidR="00BE47A9" w:rsidRPr="00E3558D" w:rsidRDefault="00BE47A9" w:rsidP="008B061D">
      <w:pPr>
        <w:jc w:val="both"/>
        <w:rPr>
          <w:rFonts w:ascii="CG Omega" w:hAnsi="CG Omega"/>
          <w:i/>
          <w:sz w:val="16"/>
          <w:szCs w:val="16"/>
        </w:rPr>
      </w:pPr>
    </w:p>
    <w:p w:rsidR="008B061D" w:rsidRPr="00724541" w:rsidRDefault="00CC3344" w:rsidP="008B061D">
      <w:pPr>
        <w:jc w:val="both"/>
        <w:rPr>
          <w:rFonts w:ascii="CG Omega" w:hAnsi="CG Omega"/>
        </w:rPr>
      </w:pPr>
      <w:r>
        <w:rPr>
          <w:rFonts w:ascii="CG Omega" w:hAnsi="CG Omega"/>
        </w:rPr>
        <w:t>MFA</w:t>
      </w:r>
      <w:r w:rsidR="008B061D" w:rsidRPr="00724541">
        <w:rPr>
          <w:rFonts w:ascii="CG Omega" w:hAnsi="CG Omega"/>
        </w:rPr>
        <w:t xml:space="preserve"> publishes a statewide directory of housing and homeless service providers. The directory includes all types of affordable housing organizations and is indexed by service area, housing services provided and supportive services provided. The directory is available free of charge throughout the year to all interested parties.</w:t>
      </w:r>
    </w:p>
    <w:p w:rsidR="008B061D" w:rsidRPr="00E3558D" w:rsidRDefault="008B061D" w:rsidP="008B061D">
      <w:pPr>
        <w:jc w:val="both"/>
        <w:rPr>
          <w:rFonts w:ascii="CG Omega" w:hAnsi="CG Omega"/>
          <w:sz w:val="16"/>
          <w:szCs w:val="16"/>
          <w:highlight w:val="yellow"/>
        </w:rPr>
      </w:pPr>
    </w:p>
    <w:p w:rsidR="00D27105" w:rsidRPr="00955C8C" w:rsidRDefault="00D27105" w:rsidP="00D27105">
      <w:pPr>
        <w:pStyle w:val="PlainText"/>
        <w:jc w:val="both"/>
        <w:rPr>
          <w:rFonts w:ascii="CG Omega" w:hAnsi="CG Omega"/>
          <w:b/>
          <w:bCs/>
          <w:smallCaps/>
          <w:sz w:val="24"/>
          <w:szCs w:val="24"/>
          <w:highlight w:val="yellow"/>
        </w:rPr>
      </w:pPr>
      <w:r w:rsidRPr="001C4452">
        <w:rPr>
          <w:rFonts w:ascii="CG Omega" w:hAnsi="CG Omega"/>
          <w:b/>
          <w:bCs/>
          <w:smallCaps/>
          <w:sz w:val="24"/>
          <w:szCs w:val="24"/>
        </w:rPr>
        <w:t>Support for the New Mexico Coalition to End Homelessness</w:t>
      </w:r>
    </w:p>
    <w:p w:rsidR="00D27105" w:rsidRPr="00E3558D" w:rsidRDefault="00D27105" w:rsidP="008B061D">
      <w:pPr>
        <w:jc w:val="both"/>
        <w:rPr>
          <w:rFonts w:ascii="CG Omega" w:hAnsi="CG Omega"/>
          <w:sz w:val="16"/>
          <w:szCs w:val="16"/>
          <w:highlight w:val="yellow"/>
        </w:rPr>
      </w:pPr>
    </w:p>
    <w:p w:rsidR="0009259A" w:rsidRPr="0079683E" w:rsidRDefault="00CC3344" w:rsidP="00F76E67">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jc w:val="both"/>
        <w:rPr>
          <w:rFonts w:cstheme="minorHAnsi"/>
          <w:bCs/>
        </w:rPr>
      </w:pPr>
      <w:r>
        <w:rPr>
          <w:rFonts w:ascii="CG Omega" w:hAnsi="CG Omega"/>
        </w:rPr>
        <w:t>MFA</w:t>
      </w:r>
      <w:r w:rsidR="00CD3E2E" w:rsidRPr="002545D0">
        <w:rPr>
          <w:rFonts w:ascii="CG Omega" w:hAnsi="CG Omega"/>
        </w:rPr>
        <w:t xml:space="preserve"> provide</w:t>
      </w:r>
      <w:r w:rsidR="00CD3E2E">
        <w:rPr>
          <w:rFonts w:ascii="CG Omega" w:hAnsi="CG Omega"/>
        </w:rPr>
        <w:t>s</w:t>
      </w:r>
      <w:r w:rsidR="00CD3E2E" w:rsidRPr="002545D0">
        <w:rPr>
          <w:rFonts w:ascii="CG Omega" w:hAnsi="CG Omega"/>
        </w:rPr>
        <w:t xml:space="preserve"> support for activities undertaken by the New Mexico Coalition to End Homelessness</w:t>
      </w:r>
      <w:r w:rsidR="00BB666B">
        <w:rPr>
          <w:rFonts w:ascii="CG Omega" w:hAnsi="CG Omega"/>
        </w:rPr>
        <w:t xml:space="preserve"> </w:t>
      </w:r>
      <w:r w:rsidR="00BB666B" w:rsidRPr="00BB666B">
        <w:rPr>
          <w:rFonts w:ascii="CG Omega" w:hAnsi="CG Omega"/>
        </w:rPr>
        <w:t>(NMCEH)</w:t>
      </w:r>
      <w:r w:rsidR="00CD3E2E" w:rsidRPr="002545D0">
        <w:rPr>
          <w:rFonts w:ascii="CG Omega" w:hAnsi="CG Omega"/>
        </w:rPr>
        <w:t xml:space="preserve"> through financial commitments and in-kind contributions, such as meeting facilities and technical assistance to its members.</w:t>
      </w:r>
      <w:r w:rsidR="0009259A">
        <w:rPr>
          <w:rFonts w:ascii="CG Omega" w:hAnsi="CG Omega"/>
        </w:rPr>
        <w:t xml:space="preserve"> </w:t>
      </w:r>
      <w:r>
        <w:rPr>
          <w:rFonts w:ascii="CG Omega" w:hAnsi="CG Omega"/>
        </w:rPr>
        <w:t>MFA</w:t>
      </w:r>
      <w:r w:rsidR="0009259A">
        <w:rPr>
          <w:rFonts w:ascii="CG Omega" w:hAnsi="CG Omega"/>
        </w:rPr>
        <w:t xml:space="preserve"> provides resources from its General Fund to support activities of the Coalition.</w:t>
      </w:r>
      <w:r w:rsidR="00CD3E2E" w:rsidRPr="0009259A">
        <w:rPr>
          <w:rFonts w:ascii="CG Omega" w:hAnsi="CG Omega"/>
        </w:rPr>
        <w:t xml:space="preserve"> </w:t>
      </w:r>
      <w:r w:rsidR="00BB666B">
        <w:rPr>
          <w:rFonts w:ascii="CG Omega" w:hAnsi="CG Omega" w:cstheme="minorHAnsi"/>
          <w:bCs/>
        </w:rPr>
        <w:t>NMCEH</w:t>
      </w:r>
      <w:r w:rsidR="0009259A" w:rsidRPr="0009259A">
        <w:rPr>
          <w:rFonts w:ascii="CG Omega" w:hAnsi="CG Omega" w:cstheme="minorHAnsi"/>
          <w:bCs/>
        </w:rPr>
        <w:t xml:space="preserve"> was founded in 2000 to coordinate statewide efforts to end homelessness. Founded as a partnership between a group of nonprofit agencies and </w:t>
      </w:r>
      <w:r>
        <w:rPr>
          <w:rFonts w:ascii="CG Omega" w:hAnsi="CG Omega" w:cstheme="minorHAnsi"/>
          <w:bCs/>
        </w:rPr>
        <w:t>MFA</w:t>
      </w:r>
      <w:r w:rsidR="0009259A" w:rsidRPr="0009259A">
        <w:rPr>
          <w:rFonts w:ascii="CG Omega" w:hAnsi="CG Omega" w:cstheme="minorHAnsi"/>
          <w:bCs/>
        </w:rPr>
        <w:t>, it has three major areas of operation: to support homeless service agencies in New Mexico, to educate people in New Mexico about homelessness, and to advocate for solutions to homelessness at the state Legislature and other government bodies.</w:t>
      </w:r>
      <w:r w:rsidR="0009259A" w:rsidRPr="0009259A">
        <w:rPr>
          <w:rFonts w:ascii="CG Omega" w:hAnsi="CG Omega" w:cstheme="minorHAnsi"/>
          <w:bCs/>
          <w:vertAlign w:val="superscript"/>
        </w:rPr>
        <w:footnoteReference w:id="2"/>
      </w:r>
      <w:r w:rsidR="0009259A" w:rsidRPr="0009259A">
        <w:rPr>
          <w:rFonts w:ascii="CG Omega" w:hAnsi="CG Omega" w:cstheme="minorHAnsi"/>
          <w:bCs/>
        </w:rPr>
        <w:t xml:space="preserve">  The mission of the </w:t>
      </w:r>
      <w:r w:rsidR="00BB666B">
        <w:rPr>
          <w:rFonts w:ascii="CG Omega" w:hAnsi="CG Omega" w:cstheme="minorHAnsi"/>
          <w:bCs/>
        </w:rPr>
        <w:t>NMCEH</w:t>
      </w:r>
      <w:r w:rsidR="0009259A">
        <w:rPr>
          <w:rFonts w:ascii="CG Omega" w:hAnsi="CG Omega" w:cstheme="minorHAnsi"/>
          <w:bCs/>
        </w:rPr>
        <w:t xml:space="preserve"> is </w:t>
      </w:r>
      <w:r w:rsidR="0009259A" w:rsidRPr="0009259A">
        <w:rPr>
          <w:rFonts w:ascii="CG Omega" w:hAnsi="CG Omega" w:cstheme="minorHAnsi"/>
          <w:bCs/>
        </w:rPr>
        <w:t xml:space="preserve">to assist communities to create solutions to homelessness from prevention through permanent housing by using </w:t>
      </w:r>
      <w:r w:rsidR="0009259A">
        <w:rPr>
          <w:rFonts w:ascii="CG Omega" w:hAnsi="CG Omega" w:cstheme="minorHAnsi"/>
          <w:bCs/>
        </w:rPr>
        <w:t>action, advocacy, and awareness</w:t>
      </w:r>
      <w:r w:rsidR="0009259A" w:rsidRPr="0009259A">
        <w:rPr>
          <w:rFonts w:ascii="CG Omega" w:hAnsi="CG Omega" w:cstheme="minorHAnsi"/>
          <w:bCs/>
        </w:rPr>
        <w:t>. In addition to administering both Co</w:t>
      </w:r>
      <w:r w:rsidR="00BB666B">
        <w:rPr>
          <w:rFonts w:ascii="CG Omega" w:hAnsi="CG Omega" w:cstheme="minorHAnsi"/>
          <w:bCs/>
        </w:rPr>
        <w:t>ntinuums of Care</w:t>
      </w:r>
      <w:r w:rsidR="0009259A" w:rsidRPr="0009259A">
        <w:rPr>
          <w:rFonts w:ascii="CG Omega" w:hAnsi="CG Omega" w:cstheme="minorHAnsi"/>
          <w:bCs/>
        </w:rPr>
        <w:t xml:space="preserve"> in New Mexico, NMCEH also offers training and technical assistance to nonprofit agencies and other groups in New Mexico, partners with other organizations to create supportive housing, manages the New Mexico Homeless Management Information System, and is engaged in campaigns to end veteran homelessness and to adequately fund the national and state housing trust funds.</w:t>
      </w:r>
    </w:p>
    <w:p w:rsidR="00D27105" w:rsidRPr="00E3558D" w:rsidRDefault="00D27105" w:rsidP="0009259A">
      <w:pPr>
        <w:ind w:left="360"/>
        <w:jc w:val="both"/>
        <w:rPr>
          <w:rFonts w:ascii="CG Omega" w:hAnsi="CG Omega"/>
          <w:b/>
          <w:bCs/>
          <w:smallCaps/>
          <w:sz w:val="16"/>
          <w:szCs w:val="16"/>
          <w:highlight w:val="yellow"/>
        </w:rPr>
      </w:pPr>
    </w:p>
    <w:p w:rsidR="00D27105" w:rsidRPr="00955C8C" w:rsidRDefault="00D27105" w:rsidP="00D27105">
      <w:pPr>
        <w:pStyle w:val="PlainText"/>
        <w:jc w:val="both"/>
        <w:rPr>
          <w:rFonts w:ascii="CG Omega" w:hAnsi="CG Omega"/>
          <w:b/>
          <w:bCs/>
          <w:smallCaps/>
          <w:sz w:val="24"/>
          <w:szCs w:val="24"/>
          <w:highlight w:val="yellow"/>
        </w:rPr>
      </w:pPr>
      <w:r w:rsidRPr="001C4452">
        <w:rPr>
          <w:rFonts w:ascii="CG Omega" w:hAnsi="CG Omega"/>
          <w:b/>
          <w:bCs/>
          <w:smallCaps/>
          <w:sz w:val="24"/>
          <w:szCs w:val="24"/>
        </w:rPr>
        <w:t>Homeless Management Information Systems (HMIS)</w:t>
      </w:r>
    </w:p>
    <w:p w:rsidR="008B061D" w:rsidRPr="00E3558D" w:rsidRDefault="008B061D" w:rsidP="008B061D">
      <w:pPr>
        <w:jc w:val="both"/>
        <w:rPr>
          <w:rFonts w:ascii="CG Omega" w:hAnsi="CG Omega"/>
          <w:i/>
          <w:sz w:val="16"/>
          <w:szCs w:val="16"/>
          <w:highlight w:val="yellow"/>
        </w:rPr>
      </w:pPr>
    </w:p>
    <w:p w:rsidR="008B061D" w:rsidRPr="00955C8C" w:rsidRDefault="001C4452" w:rsidP="008B061D">
      <w:pPr>
        <w:jc w:val="both"/>
        <w:rPr>
          <w:rFonts w:ascii="CG Omega" w:hAnsi="CG Omega"/>
          <w:i/>
          <w:highlight w:val="yellow"/>
        </w:rPr>
      </w:pPr>
      <w:r w:rsidRPr="00D478A4">
        <w:rPr>
          <w:rFonts w:ascii="CG Omega" w:hAnsi="CG Omega"/>
        </w:rPr>
        <w:lastRenderedPageBreak/>
        <w:t xml:space="preserve">Under a directive from Congress via the </w:t>
      </w:r>
      <w:r>
        <w:rPr>
          <w:rFonts w:ascii="CG Omega" w:hAnsi="CG Omega"/>
        </w:rPr>
        <w:t xml:space="preserve">Department of </w:t>
      </w:r>
      <w:r w:rsidRPr="00D478A4">
        <w:rPr>
          <w:rFonts w:ascii="CG Omega" w:hAnsi="CG Omega"/>
        </w:rPr>
        <w:t xml:space="preserve">Housing and Urban Development (HUD), </w:t>
      </w:r>
      <w:r w:rsidR="00CC3344">
        <w:rPr>
          <w:rFonts w:ascii="CG Omega" w:hAnsi="CG Omega"/>
        </w:rPr>
        <w:t>MFA</w:t>
      </w:r>
      <w:r w:rsidRPr="00D478A4">
        <w:rPr>
          <w:rFonts w:ascii="CG Omega" w:hAnsi="CG Omega"/>
        </w:rPr>
        <w:t>, in conjunction with the City of Albuquerque and the New Mexico Coalition to End Homelessness, has developed and implemented the N</w:t>
      </w:r>
      <w:r>
        <w:rPr>
          <w:rFonts w:ascii="CG Omega" w:hAnsi="CG Omega"/>
        </w:rPr>
        <w:t xml:space="preserve">ew </w:t>
      </w:r>
      <w:r w:rsidRPr="00D478A4">
        <w:rPr>
          <w:rFonts w:ascii="CG Omega" w:hAnsi="CG Omega"/>
        </w:rPr>
        <w:t>M</w:t>
      </w:r>
      <w:r>
        <w:rPr>
          <w:rFonts w:ascii="CG Omega" w:hAnsi="CG Omega"/>
        </w:rPr>
        <w:t>exico</w:t>
      </w:r>
      <w:r w:rsidRPr="00D478A4">
        <w:rPr>
          <w:rFonts w:ascii="CG Omega" w:hAnsi="CG Omega"/>
        </w:rPr>
        <w:t xml:space="preserve"> HMIS system. </w:t>
      </w:r>
      <w:r w:rsidRPr="001C4452">
        <w:rPr>
          <w:rFonts w:ascii="CG Omega" w:hAnsi="CG Omega"/>
        </w:rPr>
        <w:t>This data management system continues to be funded, in part, with MFA general fund dollars.</w:t>
      </w:r>
      <w:r w:rsidRPr="00D478A4">
        <w:rPr>
          <w:rFonts w:ascii="CG Omega" w:hAnsi="CG Omega"/>
        </w:rPr>
        <w:t xml:space="preserve"> </w:t>
      </w:r>
      <w:r w:rsidRPr="002D3E6D">
        <w:rPr>
          <w:rFonts w:ascii="CG Omega" w:hAnsi="CG Omega" w:cs="Calibri"/>
        </w:rPr>
        <w:t xml:space="preserve">In 2011 the New Mexico HMIS underwent a major upgrade with the addition of more dedicated staff and the transition to a new software system, Bowman ServicePoint, funded in part by Homelessness Prevention and Rapid Re-Housing Program (HPRP), as approved by HUD. </w:t>
      </w:r>
      <w:r w:rsidRPr="002D3E6D">
        <w:rPr>
          <w:rFonts w:ascii="CG Omega" w:hAnsi="CG Omega" w:cs="Calibri"/>
          <w:color w:val="000000"/>
        </w:rPr>
        <w:t>The</w:t>
      </w:r>
      <w:r w:rsidRPr="002D3E6D">
        <w:rPr>
          <w:rFonts w:ascii="CG Omega" w:hAnsi="CG Omega" w:cs="Calibri"/>
        </w:rPr>
        <w:t xml:space="preserve"> system collects information on </w:t>
      </w:r>
      <w:r w:rsidRPr="002D3E6D">
        <w:rPr>
          <w:rFonts w:ascii="CG Omega" w:hAnsi="CG Omega" w:cs="Calibri"/>
          <w:color w:val="000000"/>
        </w:rPr>
        <w:t>persons served and services provided, in accordance with the HMIS Data Standards established by HUD.</w:t>
      </w:r>
      <w:r>
        <w:rPr>
          <w:rStyle w:val="FootnoteReference"/>
          <w:rFonts w:ascii="CG Omega" w:hAnsi="CG Omega" w:cs="Calibri"/>
          <w:color w:val="000000"/>
        </w:rPr>
        <w:footnoteReference w:id="3"/>
      </w:r>
      <w:r w:rsidRPr="00532B95">
        <w:rPr>
          <w:rFonts w:cs="Calibri"/>
        </w:rPr>
        <w:t xml:space="preserve"> </w:t>
      </w:r>
      <w:r w:rsidRPr="00D478A4">
        <w:rPr>
          <w:rFonts w:ascii="CG Omega" w:hAnsi="CG Omega"/>
        </w:rPr>
        <w:t>This data management system collects information on the homeless community including the number of unduplicated clients and the kinds and types of services provided.</w:t>
      </w:r>
      <w:r>
        <w:rPr>
          <w:rFonts w:ascii="CG Omega" w:hAnsi="CG Omega"/>
        </w:rPr>
        <w:t xml:space="preserve">  </w:t>
      </w:r>
    </w:p>
    <w:p w:rsidR="001C4452" w:rsidRPr="00E3558D" w:rsidRDefault="001C4452" w:rsidP="005239BA">
      <w:pPr>
        <w:pStyle w:val="PlainText"/>
        <w:jc w:val="both"/>
        <w:rPr>
          <w:rFonts w:ascii="CG Omega" w:hAnsi="CG Omega"/>
          <w:b/>
          <w:bCs/>
          <w:smallCaps/>
          <w:sz w:val="16"/>
          <w:szCs w:val="16"/>
          <w:highlight w:val="yellow"/>
        </w:rPr>
      </w:pPr>
    </w:p>
    <w:p w:rsidR="00BB666B" w:rsidRDefault="00BB666B">
      <w:pPr>
        <w:rPr>
          <w:rFonts w:ascii="CG Omega" w:hAnsi="CG Omega" w:cs="Courier New"/>
          <w:b/>
          <w:bCs/>
          <w:smallCaps/>
        </w:rPr>
      </w:pPr>
      <w:r>
        <w:rPr>
          <w:rFonts w:ascii="CG Omega" w:hAnsi="CG Omega" w:cs="Courier New"/>
          <w:b/>
          <w:bCs/>
          <w:smallCaps/>
        </w:rPr>
        <w:br w:type="page"/>
      </w:r>
    </w:p>
    <w:p w:rsidR="005239BA" w:rsidRPr="001C4452" w:rsidRDefault="005239BA" w:rsidP="005239BA">
      <w:pPr>
        <w:pStyle w:val="PlainText"/>
        <w:jc w:val="both"/>
        <w:rPr>
          <w:rFonts w:ascii="CG Omega" w:hAnsi="CG Omega"/>
          <w:b/>
          <w:bCs/>
          <w:smallCaps/>
          <w:sz w:val="24"/>
          <w:szCs w:val="24"/>
        </w:rPr>
      </w:pPr>
      <w:r w:rsidRPr="001C4452">
        <w:rPr>
          <w:rFonts w:ascii="CG Omega" w:hAnsi="CG Omega"/>
          <w:b/>
          <w:bCs/>
          <w:smallCaps/>
          <w:sz w:val="24"/>
          <w:szCs w:val="24"/>
        </w:rPr>
        <w:lastRenderedPageBreak/>
        <w:t>Use of Advisory and Oversight Committees</w:t>
      </w:r>
    </w:p>
    <w:p w:rsidR="005239BA" w:rsidRPr="00BB666B" w:rsidRDefault="005239BA" w:rsidP="008B061D">
      <w:pPr>
        <w:jc w:val="both"/>
        <w:rPr>
          <w:rFonts w:ascii="CG Omega" w:hAnsi="CG Omega"/>
          <w:i/>
          <w:highlight w:val="yellow"/>
        </w:rPr>
      </w:pPr>
    </w:p>
    <w:p w:rsidR="008B061D" w:rsidRPr="00BB666B" w:rsidRDefault="00CC3344" w:rsidP="008B061D">
      <w:pPr>
        <w:jc w:val="both"/>
        <w:rPr>
          <w:rFonts w:ascii="CG Omega" w:hAnsi="CG Omega"/>
        </w:rPr>
      </w:pPr>
      <w:r w:rsidRPr="00BB666B">
        <w:rPr>
          <w:rFonts w:ascii="CG Omega" w:hAnsi="CG Omega"/>
        </w:rPr>
        <w:t>MFA</w:t>
      </w:r>
      <w:r w:rsidR="008B061D" w:rsidRPr="00BB666B">
        <w:rPr>
          <w:rFonts w:ascii="CG Omega" w:hAnsi="CG Omega"/>
        </w:rPr>
        <w:t xml:space="preserve"> </w:t>
      </w:r>
      <w:r w:rsidR="005239BA" w:rsidRPr="00BB666B">
        <w:rPr>
          <w:rFonts w:ascii="CG Omega" w:hAnsi="CG Omega"/>
        </w:rPr>
        <w:t>initiates and provides communicatio</w:t>
      </w:r>
      <w:r w:rsidR="00ED0881" w:rsidRPr="00BB666B">
        <w:rPr>
          <w:rFonts w:ascii="CG Omega" w:hAnsi="CG Omega"/>
        </w:rPr>
        <w:t>n opportunities in many venues.</w:t>
      </w:r>
      <w:r w:rsidR="005239BA" w:rsidRPr="00BB666B">
        <w:rPr>
          <w:rFonts w:ascii="CG Omega" w:hAnsi="CG Omega"/>
        </w:rPr>
        <w:t xml:space="preserve"> For example, </w:t>
      </w:r>
      <w:r w:rsidRPr="00BB666B">
        <w:rPr>
          <w:rFonts w:ascii="CG Omega" w:hAnsi="CG Omega"/>
        </w:rPr>
        <w:t>MFA</w:t>
      </w:r>
      <w:r w:rsidR="005239BA" w:rsidRPr="00BB666B">
        <w:rPr>
          <w:rFonts w:ascii="CG Omega" w:hAnsi="CG Omega"/>
        </w:rPr>
        <w:t xml:space="preserve"> </w:t>
      </w:r>
      <w:r w:rsidR="008B061D" w:rsidRPr="00BB666B">
        <w:rPr>
          <w:rFonts w:ascii="CG Omega" w:hAnsi="CG Omega"/>
        </w:rPr>
        <w:t xml:space="preserve">receives input several times per year from a number of external advisory and oversight committees comprising representatives from various housing-related industries, </w:t>
      </w:r>
      <w:r w:rsidR="00A7019E" w:rsidRPr="00BB666B">
        <w:rPr>
          <w:rFonts w:ascii="CG Omega" w:hAnsi="CG Omega"/>
        </w:rPr>
        <w:t>governing entities</w:t>
      </w:r>
      <w:r w:rsidR="008B061D" w:rsidRPr="00BB666B">
        <w:rPr>
          <w:rFonts w:ascii="CG Omega" w:hAnsi="CG Omega"/>
        </w:rPr>
        <w:t xml:space="preserve"> and geographic areas of the state to advise and comment on activities undertaken with federal dollars. These committees include the </w:t>
      </w:r>
      <w:r w:rsidR="001B275D" w:rsidRPr="00BB666B">
        <w:rPr>
          <w:rFonts w:ascii="CG Omega" w:hAnsi="CG Omega" w:cstheme="minorHAnsi"/>
        </w:rPr>
        <w:t>Mortgage Finance Authority Act L</w:t>
      </w:r>
      <w:r w:rsidR="00CD75EC" w:rsidRPr="00BB666B">
        <w:rPr>
          <w:rFonts w:ascii="CG Omega" w:hAnsi="CG Omega" w:cstheme="minorHAnsi"/>
        </w:rPr>
        <w:t>egislative Oversight Committee</w:t>
      </w:r>
      <w:r w:rsidR="001B275D" w:rsidRPr="00BB666B">
        <w:rPr>
          <w:rFonts w:ascii="CG Omega" w:hAnsi="CG Omega" w:cstheme="minorHAnsi"/>
        </w:rPr>
        <w:t xml:space="preserve">, </w:t>
      </w:r>
      <w:r w:rsidR="007951DD" w:rsidRPr="00BB666B">
        <w:rPr>
          <w:rFonts w:ascii="CG Omega" w:hAnsi="CG Omega" w:cstheme="minorHAnsi"/>
        </w:rPr>
        <w:t xml:space="preserve">the New Mexico Planning Team, </w:t>
      </w:r>
      <w:r w:rsidR="001B275D" w:rsidRPr="00BB666B">
        <w:rPr>
          <w:rFonts w:ascii="CG Omega" w:hAnsi="CG Omega" w:cstheme="minorHAnsi"/>
        </w:rPr>
        <w:t xml:space="preserve">the New Mexico Housing Trust Fund Advisory Committee, the Land Title Trust Fund Advisory Committee and the Tax Credit Allocation Committee. </w:t>
      </w:r>
      <w:r w:rsidRPr="00BB666B">
        <w:rPr>
          <w:rFonts w:ascii="CG Omega" w:hAnsi="CG Omega"/>
        </w:rPr>
        <w:t>MFA</w:t>
      </w:r>
      <w:r w:rsidR="008B061D" w:rsidRPr="00BB666B">
        <w:rPr>
          <w:rFonts w:ascii="CG Omega" w:hAnsi="CG Omega"/>
        </w:rPr>
        <w:t xml:space="preserve"> will continue to work with and consult with these committees regarding activities undertaken or proposed changes in activities to be undertaken throughout the tenure of this plan.</w:t>
      </w:r>
    </w:p>
    <w:p w:rsidR="008B061D" w:rsidRPr="00BB666B" w:rsidRDefault="008B061D" w:rsidP="008B061D">
      <w:pPr>
        <w:jc w:val="both"/>
        <w:rPr>
          <w:rFonts w:ascii="CG Omega" w:hAnsi="CG Omega"/>
          <w:i/>
          <w:highlight w:val="yellow"/>
        </w:rPr>
      </w:pPr>
    </w:p>
    <w:p w:rsidR="005239BA" w:rsidRPr="00BB666B" w:rsidRDefault="005239BA" w:rsidP="005239BA">
      <w:pPr>
        <w:pStyle w:val="PlainText"/>
        <w:jc w:val="both"/>
        <w:rPr>
          <w:rFonts w:ascii="CG Omega" w:hAnsi="CG Omega"/>
          <w:b/>
          <w:bCs/>
          <w:smallCaps/>
          <w:sz w:val="24"/>
          <w:szCs w:val="24"/>
        </w:rPr>
      </w:pPr>
      <w:r w:rsidRPr="00BB666B">
        <w:rPr>
          <w:rFonts w:ascii="CG Omega" w:hAnsi="CG Omega"/>
          <w:b/>
          <w:bCs/>
          <w:smallCaps/>
          <w:sz w:val="24"/>
          <w:szCs w:val="24"/>
        </w:rPr>
        <w:t>Research and Development</w:t>
      </w:r>
    </w:p>
    <w:p w:rsidR="005239BA" w:rsidRPr="00BB666B" w:rsidRDefault="005239BA" w:rsidP="008B061D">
      <w:pPr>
        <w:jc w:val="both"/>
        <w:rPr>
          <w:rFonts w:ascii="CG Omega" w:hAnsi="CG Omega"/>
          <w:i/>
        </w:rPr>
      </w:pPr>
    </w:p>
    <w:p w:rsidR="00F37A32" w:rsidRPr="00BB666B" w:rsidRDefault="00A7019E" w:rsidP="008B061D">
      <w:pPr>
        <w:jc w:val="both"/>
        <w:rPr>
          <w:rFonts w:ascii="CG Omega" w:hAnsi="CG Omega"/>
        </w:rPr>
      </w:pPr>
      <w:r w:rsidRPr="00BB666B">
        <w:rPr>
          <w:rFonts w:ascii="CG Omega" w:hAnsi="CG Omega"/>
        </w:rPr>
        <w:t>Much MFA staff time is dedicated</w:t>
      </w:r>
      <w:r w:rsidR="008B061D" w:rsidRPr="00BB666B">
        <w:rPr>
          <w:rFonts w:ascii="CG Omega" w:hAnsi="CG Omega"/>
        </w:rPr>
        <w:t xml:space="preserve"> to the research and development of new </w:t>
      </w:r>
      <w:r w:rsidRPr="00BB666B">
        <w:rPr>
          <w:rFonts w:ascii="CG Omega" w:hAnsi="CG Omega"/>
        </w:rPr>
        <w:t>activities and program initiatives</w:t>
      </w:r>
      <w:r w:rsidR="008B061D" w:rsidRPr="00BB666B">
        <w:rPr>
          <w:rFonts w:ascii="CG Omega" w:hAnsi="CG Omega"/>
        </w:rPr>
        <w:t xml:space="preserve">. </w:t>
      </w:r>
      <w:r w:rsidR="00641E81" w:rsidRPr="00BB666B">
        <w:rPr>
          <w:rFonts w:ascii="CG Omega" w:hAnsi="CG Omega"/>
        </w:rPr>
        <w:t>These initiatives have included</w:t>
      </w:r>
      <w:r w:rsidR="008B061D" w:rsidRPr="00BB666B">
        <w:rPr>
          <w:rFonts w:ascii="CG Omega" w:hAnsi="CG Omega"/>
        </w:rPr>
        <w:t xml:space="preserve"> coordinating funds for housing rehabilitation</w:t>
      </w:r>
      <w:r w:rsidR="00641E81" w:rsidRPr="00BB666B">
        <w:rPr>
          <w:rFonts w:ascii="CG Omega" w:hAnsi="CG Omega"/>
        </w:rPr>
        <w:t>, HOME and CDBG</w:t>
      </w:r>
      <w:r w:rsidR="008B061D" w:rsidRPr="00BB666B">
        <w:rPr>
          <w:rFonts w:ascii="CG Omega" w:hAnsi="CG Omega"/>
        </w:rPr>
        <w:t xml:space="preserve">; identifying ways to subsidize or otherwise encourage energy efficiency upgrades by coordinating with utility companies; researching new financing products for reaching underserved populations; identifying ways to increase the number of qualified contractors and certified lead-based paint abatement contractors; identifying funding sources for emergency repair, weatherization and accessibility improvements without substantial rehabilitation; and researching ways to maintain the affordability of existing expiring use or troubled rental properties. While the majority of resources dedicated to research and development will be staff time, a portion of HOME and other funding sources will be available to provide trial or pilot projects in order to test the viability of new ideas. Funds under the Research and Development category are expended on eligible HOME Program activities in HOME-eligible jurisdictions to address the housing needs of low- and very low-income New Mexicans at </w:t>
      </w:r>
      <w:r w:rsidR="00CC3344" w:rsidRPr="00BB666B">
        <w:rPr>
          <w:rFonts w:ascii="CG Omega" w:hAnsi="CG Omega"/>
        </w:rPr>
        <w:t>MFA</w:t>
      </w:r>
      <w:r w:rsidR="008B061D" w:rsidRPr="00BB666B">
        <w:rPr>
          <w:rFonts w:ascii="CG Omega" w:hAnsi="CG Omega"/>
        </w:rPr>
        <w:t>’s discretion.</w:t>
      </w:r>
    </w:p>
    <w:p w:rsidR="008B061D" w:rsidRPr="00BB666B" w:rsidRDefault="008B061D" w:rsidP="0028184C">
      <w:pPr>
        <w:jc w:val="both"/>
        <w:rPr>
          <w:bCs/>
        </w:rPr>
      </w:pPr>
    </w:p>
    <w:p w:rsidR="002440DA" w:rsidRPr="00BB666B" w:rsidRDefault="002440DA" w:rsidP="0028184C">
      <w:pPr>
        <w:jc w:val="both"/>
        <w:rPr>
          <w:rFonts w:ascii="CG Omega" w:hAnsi="CG Omega"/>
          <w:b/>
          <w:bCs/>
          <w:smallCaps/>
        </w:rPr>
      </w:pPr>
      <w:r w:rsidRPr="00BB666B">
        <w:rPr>
          <w:rFonts w:ascii="CG Omega" w:hAnsi="CG Omega"/>
          <w:b/>
          <w:bCs/>
          <w:smallCaps/>
        </w:rPr>
        <w:t>Training and Technical Assistance</w:t>
      </w:r>
    </w:p>
    <w:p w:rsidR="002440DA" w:rsidRPr="00BB666B" w:rsidRDefault="002440DA" w:rsidP="0028184C">
      <w:pPr>
        <w:jc w:val="both"/>
        <w:rPr>
          <w:rFonts w:ascii="CG Omega" w:hAnsi="CG Omega"/>
          <w:bCs/>
        </w:rPr>
      </w:pPr>
    </w:p>
    <w:p w:rsidR="002440DA" w:rsidRPr="00724541" w:rsidRDefault="002440DA" w:rsidP="0028184C">
      <w:pPr>
        <w:jc w:val="both"/>
        <w:rPr>
          <w:rFonts w:ascii="CG Omega" w:hAnsi="CG Omega"/>
          <w:bCs/>
        </w:rPr>
      </w:pPr>
      <w:r w:rsidRPr="00BB666B">
        <w:rPr>
          <w:rFonts w:ascii="CG Omega" w:hAnsi="CG Omega"/>
          <w:bCs/>
        </w:rPr>
        <w:t xml:space="preserve">DFA provides </w:t>
      </w:r>
      <w:r w:rsidR="00BB666B">
        <w:rPr>
          <w:rFonts w:ascii="CG Omega" w:hAnsi="CG Omega"/>
          <w:bCs/>
        </w:rPr>
        <w:t>T and TA</w:t>
      </w:r>
      <w:r w:rsidRPr="00BB666B">
        <w:rPr>
          <w:rFonts w:ascii="CG Omega" w:hAnsi="CG Omega"/>
          <w:bCs/>
        </w:rPr>
        <w:t xml:space="preserve"> on fede</w:t>
      </w:r>
      <w:r w:rsidR="00641E81" w:rsidRPr="00BB666B">
        <w:rPr>
          <w:rFonts w:ascii="CG Omega" w:hAnsi="CG Omega"/>
          <w:bCs/>
        </w:rPr>
        <w:t>ral and legislative funding.  DF</w:t>
      </w:r>
      <w:r w:rsidRPr="00BB666B">
        <w:rPr>
          <w:rFonts w:ascii="CG Omega" w:hAnsi="CG Omega"/>
          <w:bCs/>
        </w:rPr>
        <w:t xml:space="preserve">A/LGD provides two CDBG workshops every year.  Once per year </w:t>
      </w:r>
      <w:r w:rsidR="00CC3344" w:rsidRPr="00BB666B">
        <w:rPr>
          <w:rFonts w:ascii="CG Omega" w:hAnsi="CG Omega"/>
          <w:bCs/>
        </w:rPr>
        <w:t>DFA</w:t>
      </w:r>
      <w:r w:rsidRPr="00BB666B">
        <w:rPr>
          <w:rFonts w:ascii="CG Omega" w:hAnsi="CG Omega"/>
          <w:bCs/>
        </w:rPr>
        <w:t>/LGD conducts a CDB</w:t>
      </w:r>
      <w:r w:rsidRPr="00724541">
        <w:rPr>
          <w:rFonts w:ascii="CG Omega" w:hAnsi="CG Omega"/>
          <w:bCs/>
        </w:rPr>
        <w:t xml:space="preserve">G Application Workshop to train counties, municipalities, and special districts in how to </w:t>
      </w:r>
      <w:r w:rsidR="007D6613">
        <w:rPr>
          <w:rFonts w:ascii="CG Omega" w:hAnsi="CG Omega"/>
          <w:bCs/>
        </w:rPr>
        <w:t>prepare</w:t>
      </w:r>
      <w:r w:rsidRPr="00724541">
        <w:rPr>
          <w:rFonts w:ascii="CG Omega" w:hAnsi="CG Omega"/>
          <w:bCs/>
        </w:rPr>
        <w:t xml:space="preserve"> a CDBG application.  </w:t>
      </w:r>
      <w:r w:rsidR="007D6613">
        <w:rPr>
          <w:rFonts w:ascii="CG Omega" w:hAnsi="CG Omega"/>
          <w:bCs/>
        </w:rPr>
        <w:t>A</w:t>
      </w:r>
      <w:r w:rsidRPr="00724541">
        <w:rPr>
          <w:rFonts w:ascii="CG Omega" w:hAnsi="CG Omega"/>
          <w:bCs/>
        </w:rPr>
        <w:t xml:space="preserve"> CDBG Implementation Workshop is conducted for these applicants once per year to provide technical assistance on implementing a CDBG grant.  DFA/LGD provides </w:t>
      </w:r>
      <w:r w:rsidR="007D6613">
        <w:rPr>
          <w:rFonts w:ascii="CG Omega" w:hAnsi="CG Omega"/>
          <w:bCs/>
        </w:rPr>
        <w:t xml:space="preserve">additional </w:t>
      </w:r>
      <w:r w:rsidRPr="00724541">
        <w:rPr>
          <w:rFonts w:ascii="CG Omega" w:hAnsi="CG Omega"/>
          <w:bCs/>
        </w:rPr>
        <w:t xml:space="preserve">CDBG training at the following conferences: New Mexico Municipal </w:t>
      </w:r>
      <w:r w:rsidRPr="00724541">
        <w:rPr>
          <w:rFonts w:ascii="CG Omega" w:hAnsi="CG Omega"/>
          <w:bCs/>
        </w:rPr>
        <w:lastRenderedPageBreak/>
        <w:t>League, New Mexico Association of Counties, Infrastructure Finance Conference, DFA Financial Conference.</w:t>
      </w:r>
    </w:p>
    <w:p w:rsidR="002440DA" w:rsidRPr="00E3558D" w:rsidRDefault="002440DA" w:rsidP="0028184C">
      <w:pPr>
        <w:jc w:val="both"/>
        <w:rPr>
          <w:rFonts w:ascii="CG Omega" w:hAnsi="CG Omega"/>
          <w:bCs/>
          <w:sz w:val="16"/>
          <w:szCs w:val="16"/>
        </w:rPr>
      </w:pPr>
    </w:p>
    <w:p w:rsidR="00BB666B" w:rsidRDefault="00BB666B" w:rsidP="002440DA">
      <w:pPr>
        <w:jc w:val="both"/>
        <w:rPr>
          <w:rFonts w:ascii="CG Omega" w:hAnsi="CG Omega"/>
          <w:b/>
          <w:bCs/>
          <w:smallCaps/>
        </w:rPr>
      </w:pPr>
    </w:p>
    <w:p w:rsidR="00BB666B" w:rsidRDefault="00BB666B" w:rsidP="002440DA">
      <w:pPr>
        <w:jc w:val="both"/>
        <w:rPr>
          <w:rFonts w:ascii="CG Omega" w:hAnsi="CG Omega"/>
          <w:b/>
          <w:bCs/>
          <w:smallCaps/>
        </w:rPr>
      </w:pPr>
    </w:p>
    <w:p w:rsidR="002440DA" w:rsidRPr="00724541" w:rsidRDefault="002440DA" w:rsidP="002440DA">
      <w:pPr>
        <w:jc w:val="both"/>
        <w:rPr>
          <w:rFonts w:ascii="CG Omega" w:hAnsi="CG Omega"/>
          <w:b/>
          <w:bCs/>
          <w:smallCaps/>
        </w:rPr>
      </w:pPr>
      <w:r w:rsidRPr="00724541">
        <w:rPr>
          <w:rFonts w:ascii="CG Omega" w:hAnsi="CG Omega"/>
          <w:b/>
          <w:bCs/>
          <w:smallCaps/>
        </w:rPr>
        <w:t>Use of Advisory and Oversight Committees</w:t>
      </w:r>
    </w:p>
    <w:p w:rsidR="002440DA" w:rsidRPr="00BB666B" w:rsidRDefault="002440DA" w:rsidP="0028184C">
      <w:pPr>
        <w:jc w:val="both"/>
        <w:rPr>
          <w:rFonts w:ascii="CG Omega" w:hAnsi="CG Omega"/>
          <w:bCs/>
        </w:rPr>
      </w:pPr>
    </w:p>
    <w:p w:rsidR="002440DA" w:rsidRPr="00BB666B" w:rsidRDefault="002440DA" w:rsidP="0028184C">
      <w:pPr>
        <w:jc w:val="both"/>
        <w:rPr>
          <w:rFonts w:ascii="CG Omega" w:hAnsi="CG Omega"/>
          <w:bCs/>
        </w:rPr>
      </w:pPr>
      <w:r w:rsidRPr="00BB666B">
        <w:rPr>
          <w:rFonts w:ascii="CG Omega" w:hAnsi="CG Omega"/>
          <w:bCs/>
        </w:rPr>
        <w:t xml:space="preserve">DFA/LGD provides all rating and ranking recommendations of all CDBG applications received in </w:t>
      </w:r>
      <w:r w:rsidR="007D6613" w:rsidRPr="00BB666B">
        <w:rPr>
          <w:rFonts w:ascii="CG Omega" w:hAnsi="CG Omega"/>
          <w:bCs/>
        </w:rPr>
        <w:t xml:space="preserve">the </w:t>
      </w:r>
      <w:r w:rsidR="00F3321C" w:rsidRPr="00BB666B">
        <w:rPr>
          <w:rFonts w:ascii="CG Omega" w:hAnsi="CG Omega"/>
          <w:bCs/>
        </w:rPr>
        <w:t>spring</w:t>
      </w:r>
      <w:r w:rsidRPr="00BB666B">
        <w:rPr>
          <w:rFonts w:ascii="CG Omega" w:hAnsi="CG Omega"/>
          <w:bCs/>
        </w:rPr>
        <w:t xml:space="preserve"> of every year to the Community Development Council (CDC).  This Council is appointed by the Governor and consists of a </w:t>
      </w:r>
      <w:r w:rsidR="00BB666B">
        <w:rPr>
          <w:rFonts w:ascii="CG Omega" w:hAnsi="CG Omega"/>
          <w:bCs/>
        </w:rPr>
        <w:t>d</w:t>
      </w:r>
      <w:r w:rsidRPr="00BB666B">
        <w:rPr>
          <w:rFonts w:ascii="CG Omega" w:hAnsi="CG Omega"/>
          <w:bCs/>
        </w:rPr>
        <w:t>esignee from the Governor’s office, the Lieutenant Governor’s office</w:t>
      </w:r>
      <w:r w:rsidR="00A078AB" w:rsidRPr="00BB666B">
        <w:rPr>
          <w:rFonts w:ascii="CG Omega" w:hAnsi="CG Omega"/>
          <w:bCs/>
        </w:rPr>
        <w:t>, NM Department of Environment,</w:t>
      </w:r>
      <w:r w:rsidRPr="00BB666B">
        <w:rPr>
          <w:rFonts w:ascii="CG Omega" w:hAnsi="CG Omega"/>
          <w:bCs/>
        </w:rPr>
        <w:t xml:space="preserve"> NM Department of Health, DFA, and a representative from all s</w:t>
      </w:r>
      <w:r w:rsidR="007D6613" w:rsidRPr="00BB666B">
        <w:rPr>
          <w:rFonts w:ascii="CG Omega" w:hAnsi="CG Omega"/>
          <w:bCs/>
        </w:rPr>
        <w:t>even Council of Government (COG)</w:t>
      </w:r>
      <w:r w:rsidRPr="00BB666B">
        <w:rPr>
          <w:rFonts w:ascii="CG Omega" w:hAnsi="CG Omega"/>
          <w:bCs/>
        </w:rPr>
        <w:t xml:space="preserve"> districts.  The CD</w:t>
      </w:r>
      <w:r w:rsidR="00A078AB" w:rsidRPr="00BB666B">
        <w:rPr>
          <w:rFonts w:ascii="CG Omega" w:hAnsi="CG Omega"/>
          <w:bCs/>
        </w:rPr>
        <w:t>C</w:t>
      </w:r>
      <w:r w:rsidRPr="00BB666B">
        <w:rPr>
          <w:rFonts w:ascii="CG Omega" w:hAnsi="CG Omega"/>
          <w:bCs/>
        </w:rPr>
        <w:t xml:space="preserve"> reviews DFA/LGD recommendations and makes funding decisions in an open public meeting.</w:t>
      </w:r>
    </w:p>
    <w:p w:rsidR="002440DA" w:rsidRPr="00BB666B" w:rsidRDefault="002440DA" w:rsidP="0028184C">
      <w:pPr>
        <w:jc w:val="both"/>
        <w:rPr>
          <w:rFonts w:ascii="CG Omega" w:hAnsi="CG Omega"/>
          <w:bCs/>
        </w:rPr>
      </w:pPr>
    </w:p>
    <w:p w:rsidR="002440DA" w:rsidRPr="00BB666B" w:rsidRDefault="0002542C" w:rsidP="002440DA">
      <w:pPr>
        <w:jc w:val="both"/>
        <w:rPr>
          <w:rFonts w:ascii="CG Omega" w:hAnsi="CG Omega"/>
          <w:b/>
          <w:bCs/>
          <w:smallCaps/>
        </w:rPr>
      </w:pPr>
      <w:r w:rsidRPr="00BB666B">
        <w:rPr>
          <w:rFonts w:ascii="CG Omega" w:hAnsi="CG Omega"/>
          <w:b/>
          <w:bCs/>
          <w:smallCaps/>
        </w:rPr>
        <w:t>Research and Development</w:t>
      </w:r>
    </w:p>
    <w:p w:rsidR="002440DA" w:rsidRPr="00BB666B" w:rsidRDefault="002440DA" w:rsidP="0028184C">
      <w:pPr>
        <w:jc w:val="both"/>
        <w:rPr>
          <w:rFonts w:ascii="CG Omega" w:hAnsi="CG Omega"/>
          <w:bCs/>
        </w:rPr>
      </w:pPr>
    </w:p>
    <w:p w:rsidR="002440DA" w:rsidRPr="00BB666B" w:rsidRDefault="0002542C" w:rsidP="0028184C">
      <w:pPr>
        <w:jc w:val="both"/>
        <w:rPr>
          <w:rFonts w:ascii="CG Omega" w:hAnsi="CG Omega"/>
          <w:bCs/>
        </w:rPr>
      </w:pPr>
      <w:r w:rsidRPr="00BB666B">
        <w:rPr>
          <w:rFonts w:ascii="CG Omega" w:hAnsi="CG Omega"/>
          <w:bCs/>
        </w:rPr>
        <w:t>DFA/LGD partners with other state agencies, such as NM Environment Department, NM Department of Transportation.  DFA/LGD also works closely with all seven Council of Governments (COG) to coordinate funding solutions and technical assistance to all counties, municipalities and special districts.</w:t>
      </w:r>
    </w:p>
    <w:p w:rsidR="002440DA" w:rsidRPr="00BB666B" w:rsidRDefault="002440DA" w:rsidP="0028184C">
      <w:pPr>
        <w:jc w:val="both"/>
        <w:rPr>
          <w:bCs/>
        </w:rPr>
      </w:pPr>
    </w:p>
    <w:p w:rsidR="00F37A32" w:rsidRPr="00724541" w:rsidRDefault="00F37A32" w:rsidP="00BB666B">
      <w:pPr>
        <w:pStyle w:val="FirstHead"/>
      </w:pPr>
      <w:bookmarkStart w:id="21" w:name="_Toc399834561"/>
      <w:r w:rsidRPr="00724541">
        <w:t>D. Consultation Activities</w:t>
      </w:r>
      <w:bookmarkEnd w:id="21"/>
    </w:p>
    <w:p w:rsidR="00840D92" w:rsidRPr="00BB666B" w:rsidRDefault="00840D92" w:rsidP="008F04B8">
      <w:pPr>
        <w:jc w:val="both"/>
        <w:rPr>
          <w:rFonts w:ascii="CG Omega" w:hAnsi="CG Omega"/>
          <w:b/>
          <w:bCs/>
          <w:smallCaps/>
          <w:sz w:val="22"/>
          <w:szCs w:val="22"/>
        </w:rPr>
      </w:pPr>
    </w:p>
    <w:p w:rsidR="007D62BA" w:rsidRPr="00724541" w:rsidRDefault="00840D92" w:rsidP="0086790D">
      <w:pPr>
        <w:jc w:val="both"/>
        <w:rPr>
          <w:rFonts w:ascii="CG Omega" w:hAnsi="CG Omega"/>
          <w:bCs/>
        </w:rPr>
      </w:pPr>
      <w:r w:rsidRPr="00724541">
        <w:rPr>
          <w:rFonts w:ascii="CG Omega" w:hAnsi="CG Omega"/>
          <w:bCs/>
        </w:rPr>
        <w:t xml:space="preserve">As part of the consolidated planning process, </w:t>
      </w:r>
      <w:r w:rsidR="00CC3344">
        <w:rPr>
          <w:rFonts w:ascii="CG Omega" w:hAnsi="CG Omega"/>
          <w:bCs/>
        </w:rPr>
        <w:t>MFA</w:t>
      </w:r>
      <w:r w:rsidR="0002542C" w:rsidRPr="00724541">
        <w:rPr>
          <w:rFonts w:ascii="CG Omega" w:hAnsi="CG Omega"/>
          <w:bCs/>
        </w:rPr>
        <w:t xml:space="preserve"> and DFA</w:t>
      </w:r>
      <w:r w:rsidRPr="00724541">
        <w:rPr>
          <w:rFonts w:ascii="CG Omega" w:hAnsi="CG Omega"/>
          <w:bCs/>
        </w:rPr>
        <w:t xml:space="preserve"> must consult with a wide variety of organizations in order to gain understanding of the housing and community development stage.  </w:t>
      </w:r>
      <w:r w:rsidR="005B1EEB" w:rsidRPr="00724541">
        <w:rPr>
          <w:rFonts w:ascii="CG Omega" w:hAnsi="CG Omega"/>
          <w:bCs/>
        </w:rPr>
        <w:t>This</w:t>
      </w:r>
      <w:r w:rsidRPr="00724541">
        <w:rPr>
          <w:rFonts w:ascii="CG Omega" w:hAnsi="CG Omega"/>
          <w:bCs/>
        </w:rPr>
        <w:t xml:space="preserve"> Consolidated Plan represents a collective effort from a bro</w:t>
      </w:r>
      <w:r w:rsidR="006D395B" w:rsidRPr="00724541">
        <w:rPr>
          <w:rFonts w:ascii="CG Omega" w:hAnsi="CG Omega"/>
          <w:bCs/>
        </w:rPr>
        <w:t xml:space="preserve">ad </w:t>
      </w:r>
      <w:r w:rsidR="006A44AA" w:rsidRPr="00724541">
        <w:rPr>
          <w:rFonts w:ascii="CG Omega" w:hAnsi="CG Omega"/>
          <w:bCs/>
        </w:rPr>
        <w:t>array of entities in New Mexico</w:t>
      </w:r>
      <w:r w:rsidRPr="00724541">
        <w:rPr>
          <w:rFonts w:ascii="CG Omega" w:hAnsi="CG Omega"/>
          <w:bCs/>
        </w:rPr>
        <w:t xml:space="preserve">, ranging </w:t>
      </w:r>
      <w:r w:rsidR="00736953" w:rsidRPr="00724541">
        <w:rPr>
          <w:rFonts w:ascii="CG Omega" w:hAnsi="CG Omega"/>
          <w:bCs/>
        </w:rPr>
        <w:t xml:space="preserve">from advocacy groups for persons with disabilities </w:t>
      </w:r>
      <w:r w:rsidRPr="00724541">
        <w:rPr>
          <w:rFonts w:ascii="CG Omega" w:hAnsi="CG Omega"/>
          <w:bCs/>
        </w:rPr>
        <w:t>to eco</w:t>
      </w:r>
      <w:r w:rsidR="0086790D" w:rsidRPr="00724541">
        <w:rPr>
          <w:rFonts w:ascii="CG Omega" w:hAnsi="CG Omega"/>
          <w:bCs/>
        </w:rPr>
        <w:t>n</w:t>
      </w:r>
      <w:r w:rsidR="005239BA" w:rsidRPr="00724541">
        <w:rPr>
          <w:rFonts w:ascii="CG Omega" w:hAnsi="CG Omega"/>
          <w:bCs/>
        </w:rPr>
        <w:t>omic development organizations.</w:t>
      </w:r>
      <w:r w:rsidR="0086790D" w:rsidRPr="00724541">
        <w:rPr>
          <w:rFonts w:ascii="CG Omega" w:hAnsi="CG Omega"/>
          <w:bCs/>
        </w:rPr>
        <w:t xml:space="preserve"> Private, </w:t>
      </w:r>
      <w:r w:rsidR="005347C1">
        <w:rPr>
          <w:rFonts w:ascii="CG Omega" w:hAnsi="CG Omega"/>
          <w:bCs/>
        </w:rPr>
        <w:t>nonprofit</w:t>
      </w:r>
      <w:r w:rsidR="00E21F6F" w:rsidRPr="00724541">
        <w:rPr>
          <w:rFonts w:ascii="CG Omega" w:hAnsi="CG Omega"/>
          <w:bCs/>
        </w:rPr>
        <w:t xml:space="preserve"> and public organization representatives</w:t>
      </w:r>
      <w:r w:rsidR="009E5274" w:rsidRPr="00724541">
        <w:rPr>
          <w:rFonts w:ascii="CG Omega" w:hAnsi="CG Omega"/>
          <w:bCs/>
        </w:rPr>
        <w:t>, including</w:t>
      </w:r>
      <w:r w:rsidR="00C765F3" w:rsidRPr="00724541">
        <w:rPr>
          <w:rFonts w:ascii="CG Omega" w:hAnsi="CG Omega"/>
          <w:bCs/>
        </w:rPr>
        <w:t xml:space="preserve"> </w:t>
      </w:r>
      <w:r w:rsidR="007E15A1" w:rsidRPr="00724541">
        <w:rPr>
          <w:rFonts w:ascii="CG Omega" w:hAnsi="CG Omega"/>
          <w:bCs/>
        </w:rPr>
        <w:t>mayors</w:t>
      </w:r>
      <w:r w:rsidR="009E5274" w:rsidRPr="00724541">
        <w:rPr>
          <w:rFonts w:ascii="CG Omega" w:hAnsi="CG Omega"/>
          <w:bCs/>
        </w:rPr>
        <w:t>,</w:t>
      </w:r>
      <w:r w:rsidR="007E15A1" w:rsidRPr="00724541">
        <w:rPr>
          <w:rFonts w:ascii="CG Omega" w:hAnsi="CG Omega"/>
          <w:bCs/>
        </w:rPr>
        <w:t xml:space="preserve"> county </w:t>
      </w:r>
      <w:r w:rsidR="00736953" w:rsidRPr="00724541">
        <w:rPr>
          <w:rFonts w:ascii="CG Omega" w:hAnsi="CG Omega"/>
          <w:bCs/>
        </w:rPr>
        <w:t>managers and commissioners</w:t>
      </w:r>
      <w:r w:rsidR="009E5274" w:rsidRPr="00724541">
        <w:rPr>
          <w:rFonts w:ascii="CG Omega" w:hAnsi="CG Omega"/>
          <w:bCs/>
        </w:rPr>
        <w:t>,</w:t>
      </w:r>
      <w:r w:rsidR="00C765F3" w:rsidRPr="00724541">
        <w:rPr>
          <w:rFonts w:ascii="CG Omega" w:hAnsi="CG Omega"/>
          <w:bCs/>
        </w:rPr>
        <w:t xml:space="preserve"> county or planning and developm</w:t>
      </w:r>
      <w:r w:rsidR="009E5274" w:rsidRPr="00724541">
        <w:rPr>
          <w:rFonts w:ascii="CG Omega" w:hAnsi="CG Omega"/>
          <w:bCs/>
        </w:rPr>
        <w:t>ent district administrators,</w:t>
      </w:r>
      <w:r w:rsidR="00C765F3" w:rsidRPr="00724541">
        <w:rPr>
          <w:rFonts w:ascii="CG Omega" w:hAnsi="CG Omega"/>
          <w:bCs/>
        </w:rPr>
        <w:t xml:space="preserve"> persons int</w:t>
      </w:r>
      <w:r w:rsidR="009E5274" w:rsidRPr="00724541">
        <w:rPr>
          <w:rFonts w:ascii="CG Omega" w:hAnsi="CG Omega"/>
          <w:bCs/>
        </w:rPr>
        <w:t>erested in the CDBG program,</w:t>
      </w:r>
      <w:r w:rsidR="00C765F3" w:rsidRPr="00724541">
        <w:rPr>
          <w:rFonts w:ascii="CG Omega" w:hAnsi="CG Omega"/>
          <w:bCs/>
        </w:rPr>
        <w:t xml:space="preserve"> persons interested in the HOME program, </w:t>
      </w:r>
      <w:r w:rsidR="009E5274" w:rsidRPr="00724541">
        <w:rPr>
          <w:rFonts w:ascii="CG Omega" w:hAnsi="CG Omega"/>
          <w:bCs/>
        </w:rPr>
        <w:t xml:space="preserve">persons associated with </w:t>
      </w:r>
      <w:r w:rsidR="00BB666B">
        <w:rPr>
          <w:rFonts w:ascii="CG Omega" w:hAnsi="CG Omega"/>
          <w:bCs/>
        </w:rPr>
        <w:t>CoC</w:t>
      </w:r>
      <w:r w:rsidR="009E5274" w:rsidRPr="00724541">
        <w:rPr>
          <w:rFonts w:ascii="CG Omega" w:hAnsi="CG Omega"/>
          <w:bCs/>
        </w:rPr>
        <w:t xml:space="preserve"> organizations, and the New Mexico</w:t>
      </w:r>
      <w:r w:rsidR="005B1EEB" w:rsidRPr="00724541">
        <w:rPr>
          <w:rFonts w:ascii="CG Omega" w:hAnsi="CG Omega"/>
          <w:bCs/>
        </w:rPr>
        <w:t xml:space="preserve"> Department of</w:t>
      </w:r>
      <w:r w:rsidR="00A001B6" w:rsidRPr="00724541">
        <w:rPr>
          <w:rFonts w:ascii="CG Omega" w:hAnsi="CG Omega"/>
          <w:bCs/>
        </w:rPr>
        <w:t xml:space="preserve"> Health </w:t>
      </w:r>
      <w:r w:rsidR="0086790D" w:rsidRPr="00724541">
        <w:rPr>
          <w:rFonts w:ascii="CG Omega" w:hAnsi="CG Omega"/>
          <w:bCs/>
        </w:rPr>
        <w:t xml:space="preserve">were contacted through several means, </w:t>
      </w:r>
      <w:r w:rsidR="005239BA" w:rsidRPr="00724541">
        <w:rPr>
          <w:rFonts w:ascii="CG Omega" w:hAnsi="CG Omega"/>
          <w:bCs/>
        </w:rPr>
        <w:t>such as</w:t>
      </w:r>
      <w:r w:rsidR="0086790D" w:rsidRPr="00724541">
        <w:rPr>
          <w:rFonts w:ascii="CG Omega" w:hAnsi="CG Omega"/>
          <w:bCs/>
        </w:rPr>
        <w:t xml:space="preserve"> e-mail correspondence</w:t>
      </w:r>
      <w:r w:rsidR="005239BA" w:rsidRPr="00724541">
        <w:rPr>
          <w:rFonts w:ascii="CG Omega" w:hAnsi="CG Omega"/>
          <w:bCs/>
        </w:rPr>
        <w:t>, online</w:t>
      </w:r>
      <w:r w:rsidR="00C765F3" w:rsidRPr="00724541">
        <w:rPr>
          <w:rFonts w:ascii="CG Omega" w:hAnsi="CG Omega"/>
          <w:bCs/>
        </w:rPr>
        <w:t xml:space="preserve"> surveys</w:t>
      </w:r>
      <w:r w:rsidR="00604581" w:rsidRPr="00724541">
        <w:rPr>
          <w:rFonts w:ascii="CG Omega" w:hAnsi="CG Omega"/>
          <w:bCs/>
        </w:rPr>
        <w:t xml:space="preserve"> and face-to-</w:t>
      </w:r>
      <w:r w:rsidR="0086790D" w:rsidRPr="00724541">
        <w:rPr>
          <w:rFonts w:ascii="CG Omega" w:hAnsi="CG Omega"/>
          <w:bCs/>
        </w:rPr>
        <w:t>face interactions.</w:t>
      </w:r>
      <w:r w:rsidR="006C1F92" w:rsidRPr="00724541">
        <w:rPr>
          <w:rFonts w:ascii="CG Omega" w:hAnsi="CG Omega"/>
          <w:bCs/>
        </w:rPr>
        <w:t xml:space="preserve"> </w:t>
      </w:r>
      <w:r w:rsidR="00C8595B" w:rsidRPr="00724541">
        <w:rPr>
          <w:rFonts w:ascii="CG Omega" w:hAnsi="CG Omega"/>
          <w:bCs/>
        </w:rPr>
        <w:t xml:space="preserve"> These persons</w:t>
      </w:r>
      <w:r w:rsidR="00495008" w:rsidRPr="00724541">
        <w:rPr>
          <w:rFonts w:ascii="CG Omega" w:hAnsi="CG Omega"/>
          <w:bCs/>
        </w:rPr>
        <w:t xml:space="preserve"> were solicited to discuss housing and community </w:t>
      </w:r>
      <w:r w:rsidR="009E5274" w:rsidRPr="00724541">
        <w:rPr>
          <w:rFonts w:ascii="CG Omega" w:hAnsi="CG Omega"/>
          <w:bCs/>
        </w:rPr>
        <w:t>development needs in New Mexico</w:t>
      </w:r>
      <w:r w:rsidR="00495008" w:rsidRPr="00724541">
        <w:rPr>
          <w:rFonts w:ascii="CG Omega" w:hAnsi="CG Omega"/>
          <w:bCs/>
        </w:rPr>
        <w:t xml:space="preserve">, including </w:t>
      </w:r>
      <w:r w:rsidR="00C8595B" w:rsidRPr="00724541">
        <w:rPr>
          <w:rFonts w:ascii="CG Omega" w:hAnsi="CG Omega"/>
          <w:bCs/>
        </w:rPr>
        <w:t xml:space="preserve">the </w:t>
      </w:r>
      <w:r w:rsidR="00495008" w:rsidRPr="00724541">
        <w:rPr>
          <w:rFonts w:ascii="CG Omega" w:hAnsi="CG Omega"/>
          <w:bCs/>
        </w:rPr>
        <w:t>ranking of those n</w:t>
      </w:r>
      <w:r w:rsidR="00CA7E96" w:rsidRPr="00724541">
        <w:rPr>
          <w:rFonts w:ascii="CG Omega" w:hAnsi="CG Omega"/>
          <w:bCs/>
        </w:rPr>
        <w:t xml:space="preserve">eeds and activities that </w:t>
      </w:r>
      <w:r w:rsidR="00CC3344">
        <w:rPr>
          <w:rFonts w:ascii="CG Omega" w:hAnsi="CG Omega"/>
          <w:bCs/>
        </w:rPr>
        <w:t>MFA</w:t>
      </w:r>
      <w:r w:rsidR="0002542C" w:rsidRPr="00724541">
        <w:rPr>
          <w:rFonts w:ascii="CG Omega" w:hAnsi="CG Omega"/>
          <w:bCs/>
        </w:rPr>
        <w:t xml:space="preserve"> and DFA</w:t>
      </w:r>
      <w:r w:rsidR="00495008" w:rsidRPr="00724541">
        <w:rPr>
          <w:rFonts w:ascii="CG Omega" w:hAnsi="CG Omega"/>
          <w:bCs/>
        </w:rPr>
        <w:t xml:space="preserve"> might consider in better addressing needs throughout the </w:t>
      </w:r>
      <w:r w:rsidR="00BD3BF7" w:rsidRPr="00724541">
        <w:rPr>
          <w:rFonts w:ascii="CG Omega" w:hAnsi="CG Omega"/>
          <w:bCs/>
        </w:rPr>
        <w:t>s</w:t>
      </w:r>
      <w:r w:rsidR="00495008" w:rsidRPr="00724541">
        <w:rPr>
          <w:rFonts w:ascii="CG Omega" w:hAnsi="CG Omega"/>
          <w:bCs/>
        </w:rPr>
        <w:t>tate.  Further, individuals were asked to provide additional insight into prospective barriers and constraints to addressing housing and community</w:t>
      </w:r>
      <w:r w:rsidR="009E5274" w:rsidRPr="00724541">
        <w:rPr>
          <w:rFonts w:ascii="CG Omega" w:hAnsi="CG Omega"/>
          <w:bCs/>
        </w:rPr>
        <w:t xml:space="preserve"> development needs in New Mexico</w:t>
      </w:r>
      <w:r w:rsidR="00495008" w:rsidRPr="00724541">
        <w:rPr>
          <w:rFonts w:ascii="CG Omega" w:hAnsi="CG Omega"/>
          <w:bCs/>
        </w:rPr>
        <w:t>.</w:t>
      </w:r>
      <w:r w:rsidR="00E7245A" w:rsidRPr="00724541">
        <w:rPr>
          <w:rFonts w:ascii="CG Omega" w:hAnsi="CG Omega"/>
          <w:bCs/>
        </w:rPr>
        <w:t xml:space="preserve">  </w:t>
      </w:r>
    </w:p>
    <w:p w:rsidR="00B87325" w:rsidRPr="00BB666B" w:rsidRDefault="00B87325" w:rsidP="007D62BA">
      <w:pPr>
        <w:rPr>
          <w:rFonts w:ascii="CG Omega" w:hAnsi="CG Omega"/>
        </w:rPr>
      </w:pPr>
    </w:p>
    <w:p w:rsidR="00C71574" w:rsidRPr="001C4452" w:rsidRDefault="00F37A32" w:rsidP="00BB666B">
      <w:pPr>
        <w:pStyle w:val="FirstHead"/>
      </w:pPr>
      <w:bookmarkStart w:id="22" w:name="_Toc233426570"/>
      <w:bookmarkStart w:id="23" w:name="_Toc233426755"/>
      <w:bookmarkStart w:id="24" w:name="_Toc399834562"/>
      <w:r w:rsidRPr="001C4452">
        <w:t>E</w:t>
      </w:r>
      <w:r w:rsidR="00C71574" w:rsidRPr="001C4452">
        <w:t xml:space="preserve">. Efforts to Enhance </w:t>
      </w:r>
      <w:r w:rsidR="00F743E2" w:rsidRPr="001C4452">
        <w:t xml:space="preserve">Citizen </w:t>
      </w:r>
      <w:r w:rsidR="00C71574" w:rsidRPr="001C4452">
        <w:t>Involvement</w:t>
      </w:r>
      <w:bookmarkEnd w:id="22"/>
      <w:bookmarkEnd w:id="23"/>
      <w:bookmarkEnd w:id="24"/>
    </w:p>
    <w:p w:rsidR="00C71574" w:rsidRPr="00E3558D" w:rsidRDefault="00C71574" w:rsidP="00C71574">
      <w:pPr>
        <w:pStyle w:val="BodyText"/>
        <w:tabs>
          <w:tab w:val="num" w:pos="360"/>
        </w:tabs>
        <w:rPr>
          <w:rFonts w:ascii="CG Omega" w:hAnsi="CG Omega"/>
          <w:sz w:val="16"/>
          <w:szCs w:val="16"/>
          <w:highlight w:val="yellow"/>
        </w:rPr>
      </w:pPr>
    </w:p>
    <w:p w:rsidR="009E5274" w:rsidRPr="00D64F1B" w:rsidRDefault="00855F49" w:rsidP="00C71574">
      <w:pPr>
        <w:pStyle w:val="BodyText"/>
        <w:tabs>
          <w:tab w:val="num" w:pos="360"/>
        </w:tabs>
        <w:rPr>
          <w:rFonts w:ascii="CG Omega" w:hAnsi="CG Omega"/>
          <w:bCs/>
        </w:rPr>
      </w:pPr>
      <w:r w:rsidRPr="00D64F1B">
        <w:rPr>
          <w:rFonts w:ascii="CG Omega" w:hAnsi="CG Omega"/>
          <w:bCs/>
        </w:rPr>
        <w:t>Public inv</w:t>
      </w:r>
      <w:r w:rsidR="00E21F6F" w:rsidRPr="00D64F1B">
        <w:rPr>
          <w:rFonts w:ascii="CG Omega" w:hAnsi="CG Omega"/>
          <w:bCs/>
        </w:rPr>
        <w:t>olvement began</w:t>
      </w:r>
      <w:r w:rsidR="00604581" w:rsidRPr="00D64F1B">
        <w:rPr>
          <w:rFonts w:ascii="CG Omega" w:hAnsi="CG Omega"/>
          <w:bCs/>
        </w:rPr>
        <w:t xml:space="preserve"> in </w:t>
      </w:r>
      <w:r w:rsidR="00D64F1B">
        <w:rPr>
          <w:rFonts w:ascii="CG Omega" w:hAnsi="CG Omega"/>
          <w:bCs/>
        </w:rPr>
        <w:t>April 2014</w:t>
      </w:r>
      <w:r w:rsidR="009E5274" w:rsidRPr="00D64F1B">
        <w:rPr>
          <w:rFonts w:ascii="CG Omega" w:hAnsi="CG Omega"/>
          <w:bCs/>
        </w:rPr>
        <w:t xml:space="preserve"> and extended</w:t>
      </w:r>
      <w:r w:rsidRPr="00D64F1B">
        <w:rPr>
          <w:rFonts w:ascii="CG Omega" w:hAnsi="CG Omega"/>
          <w:bCs/>
        </w:rPr>
        <w:t xml:space="preserve"> ov</w:t>
      </w:r>
      <w:r w:rsidR="00BD3BF7" w:rsidRPr="00D64F1B">
        <w:rPr>
          <w:rFonts w:ascii="CG Omega" w:hAnsi="CG Omega"/>
          <w:bCs/>
        </w:rPr>
        <w:t xml:space="preserve">er a period of several months. </w:t>
      </w:r>
      <w:r w:rsidRPr="00D64F1B">
        <w:rPr>
          <w:rFonts w:ascii="CG Omega" w:hAnsi="CG Omega"/>
          <w:bCs/>
        </w:rPr>
        <w:t>Two key steps were taken in the involvement process.  O</w:t>
      </w:r>
      <w:r w:rsidR="009A2AB8" w:rsidRPr="00D64F1B">
        <w:rPr>
          <w:rFonts w:ascii="CG Omega" w:hAnsi="CG Omega"/>
          <w:bCs/>
        </w:rPr>
        <w:t>ne was the implementation of f</w:t>
      </w:r>
      <w:r w:rsidR="00D64F1B" w:rsidRPr="00D64F1B">
        <w:rPr>
          <w:rFonts w:ascii="CG Omega" w:hAnsi="CG Omega"/>
          <w:bCs/>
        </w:rPr>
        <w:t>ive</w:t>
      </w:r>
      <w:r w:rsidRPr="00D64F1B">
        <w:rPr>
          <w:rFonts w:ascii="CG Omega" w:hAnsi="CG Omega"/>
          <w:bCs/>
        </w:rPr>
        <w:t xml:space="preserve"> focus group meetings, an assembly of experts in housing and commun</w:t>
      </w:r>
      <w:r w:rsidR="00EC3AD8" w:rsidRPr="00D64F1B">
        <w:rPr>
          <w:rFonts w:ascii="CG Omega" w:hAnsi="CG Omega"/>
          <w:bCs/>
        </w:rPr>
        <w:t xml:space="preserve">ity development issues for the </w:t>
      </w:r>
      <w:r w:rsidR="00B05793" w:rsidRPr="00D64F1B">
        <w:rPr>
          <w:rFonts w:ascii="CG Omega" w:hAnsi="CG Omega"/>
          <w:bCs/>
        </w:rPr>
        <w:t>s</w:t>
      </w:r>
      <w:r w:rsidR="009E5274" w:rsidRPr="00D64F1B">
        <w:rPr>
          <w:rFonts w:ascii="CG Omega" w:hAnsi="CG Omega"/>
          <w:bCs/>
        </w:rPr>
        <w:t>tate of New Mexico, and the other was a series of public input meetings during which citizens were provided the opportunity to offer feedback and input regarding the Consolidated Plan</w:t>
      </w:r>
      <w:r w:rsidRPr="00D64F1B">
        <w:rPr>
          <w:rFonts w:ascii="CG Omega" w:hAnsi="CG Omega"/>
          <w:bCs/>
        </w:rPr>
        <w:t xml:space="preserve">. </w:t>
      </w:r>
    </w:p>
    <w:p w:rsidR="009E5274" w:rsidRPr="00BB666B" w:rsidRDefault="009E5274" w:rsidP="00C71574">
      <w:pPr>
        <w:pStyle w:val="BodyText"/>
        <w:tabs>
          <w:tab w:val="num" w:pos="360"/>
        </w:tabs>
        <w:rPr>
          <w:rFonts w:ascii="CG Omega" w:hAnsi="CG Omega"/>
          <w:bCs/>
          <w:szCs w:val="24"/>
          <w:highlight w:val="yellow"/>
        </w:rPr>
      </w:pPr>
    </w:p>
    <w:p w:rsidR="00C765F3" w:rsidRPr="00BB666B" w:rsidRDefault="00855F49" w:rsidP="00C71574">
      <w:pPr>
        <w:pStyle w:val="BodyText"/>
        <w:tabs>
          <w:tab w:val="num" w:pos="360"/>
        </w:tabs>
        <w:rPr>
          <w:rFonts w:ascii="CG Omega" w:hAnsi="CG Omega"/>
          <w:bCs/>
          <w:szCs w:val="24"/>
        </w:rPr>
      </w:pPr>
      <w:r w:rsidRPr="00BB666B">
        <w:rPr>
          <w:rFonts w:ascii="CG Omega" w:hAnsi="CG Omega"/>
          <w:bCs/>
          <w:szCs w:val="24"/>
        </w:rPr>
        <w:t xml:space="preserve">The focus groups </w:t>
      </w:r>
      <w:r w:rsidR="00644A45" w:rsidRPr="00BB666B">
        <w:rPr>
          <w:rFonts w:ascii="CG Omega" w:hAnsi="CG Omega"/>
          <w:bCs/>
          <w:szCs w:val="24"/>
        </w:rPr>
        <w:t xml:space="preserve">were held in </w:t>
      </w:r>
      <w:r w:rsidR="00D64F1B" w:rsidRPr="00BB666B">
        <w:rPr>
          <w:rFonts w:ascii="CG Omega" w:hAnsi="CG Omega"/>
          <w:bCs/>
          <w:szCs w:val="24"/>
        </w:rPr>
        <w:t>April 2014</w:t>
      </w:r>
      <w:r w:rsidR="00644A45" w:rsidRPr="00BB666B">
        <w:rPr>
          <w:rFonts w:ascii="CG Omega" w:hAnsi="CG Omega"/>
          <w:bCs/>
          <w:szCs w:val="24"/>
        </w:rPr>
        <w:t xml:space="preserve"> with the purpose of drawing upon the expert knowledge of stakeholders and </w:t>
      </w:r>
      <w:r w:rsidR="00E21F6F" w:rsidRPr="00BB666B">
        <w:rPr>
          <w:rFonts w:ascii="CG Omega" w:hAnsi="CG Omega"/>
          <w:bCs/>
          <w:szCs w:val="24"/>
        </w:rPr>
        <w:t xml:space="preserve">gaining insight into </w:t>
      </w:r>
      <w:r w:rsidR="00644A45" w:rsidRPr="00BB666B">
        <w:rPr>
          <w:rFonts w:ascii="CG Omega" w:hAnsi="CG Omega"/>
          <w:bCs/>
          <w:szCs w:val="24"/>
        </w:rPr>
        <w:t>their thoughts on barriers and constraints encountered in New Mexico’s housing and community development arena.</w:t>
      </w:r>
      <w:r w:rsidR="00D64F1B" w:rsidRPr="00BB666B">
        <w:rPr>
          <w:rFonts w:ascii="CG Omega" w:hAnsi="CG Omega"/>
          <w:bCs/>
          <w:szCs w:val="24"/>
        </w:rPr>
        <w:t xml:space="preserve"> These focus groups included affordable housing, economic development, homeless needs, infrastructure, and public facilities.</w:t>
      </w:r>
      <w:r w:rsidR="00644A45" w:rsidRPr="00BB666B">
        <w:rPr>
          <w:rFonts w:ascii="CG Omega" w:hAnsi="CG Omega"/>
          <w:bCs/>
          <w:szCs w:val="24"/>
        </w:rPr>
        <w:t xml:space="preserve"> </w:t>
      </w:r>
    </w:p>
    <w:p w:rsidR="00855F49" w:rsidRPr="00BB666B" w:rsidRDefault="00855F49" w:rsidP="00C71574">
      <w:pPr>
        <w:pStyle w:val="BodyText"/>
        <w:tabs>
          <w:tab w:val="num" w:pos="360"/>
        </w:tabs>
        <w:rPr>
          <w:rFonts w:ascii="CG Omega" w:hAnsi="CG Omega"/>
          <w:bCs/>
          <w:szCs w:val="24"/>
          <w:highlight w:val="yellow"/>
        </w:rPr>
      </w:pPr>
    </w:p>
    <w:p w:rsidR="00855F49" w:rsidRPr="00BB666B" w:rsidRDefault="00E2286F" w:rsidP="00C71574">
      <w:pPr>
        <w:pStyle w:val="BodyText"/>
        <w:tabs>
          <w:tab w:val="num" w:pos="360"/>
        </w:tabs>
        <w:rPr>
          <w:rFonts w:ascii="CG Omega" w:hAnsi="CG Omega"/>
          <w:szCs w:val="24"/>
          <w:highlight w:val="yellow"/>
        </w:rPr>
      </w:pPr>
      <w:r w:rsidRPr="00BB666B">
        <w:rPr>
          <w:rFonts w:ascii="CG Omega" w:hAnsi="CG Omega"/>
          <w:bCs/>
          <w:szCs w:val="24"/>
        </w:rPr>
        <w:t>Two</w:t>
      </w:r>
      <w:r w:rsidR="003B1AE8" w:rsidRPr="00BB666B">
        <w:rPr>
          <w:rFonts w:ascii="CG Omega" w:hAnsi="CG Omega"/>
          <w:bCs/>
          <w:szCs w:val="24"/>
        </w:rPr>
        <w:t xml:space="preserve"> public input meeting</w:t>
      </w:r>
      <w:r w:rsidRPr="00BB666B">
        <w:rPr>
          <w:rFonts w:ascii="CG Omega" w:hAnsi="CG Omega"/>
          <w:bCs/>
          <w:szCs w:val="24"/>
        </w:rPr>
        <w:t>s</w:t>
      </w:r>
      <w:r w:rsidR="003B1AE8" w:rsidRPr="00BB666B">
        <w:rPr>
          <w:rFonts w:ascii="CG Omega" w:hAnsi="CG Omega"/>
          <w:bCs/>
          <w:szCs w:val="24"/>
        </w:rPr>
        <w:t xml:space="preserve"> w</w:t>
      </w:r>
      <w:r w:rsidRPr="00BB666B">
        <w:rPr>
          <w:rFonts w:ascii="CG Omega" w:hAnsi="CG Omega"/>
          <w:bCs/>
          <w:szCs w:val="24"/>
        </w:rPr>
        <w:t>ere</w:t>
      </w:r>
      <w:r w:rsidR="003B1AE8" w:rsidRPr="00BB666B">
        <w:rPr>
          <w:rFonts w:ascii="CG Omega" w:hAnsi="CG Omega"/>
          <w:bCs/>
          <w:szCs w:val="24"/>
        </w:rPr>
        <w:t xml:space="preserve"> held on May </w:t>
      </w:r>
      <w:r w:rsidR="00ED0881" w:rsidRPr="00BB666B">
        <w:rPr>
          <w:rFonts w:ascii="CG Omega" w:hAnsi="CG Omega"/>
          <w:bCs/>
          <w:szCs w:val="24"/>
        </w:rPr>
        <w:t>20, 2014</w:t>
      </w:r>
      <w:r w:rsidR="003B1AE8" w:rsidRPr="00BB666B">
        <w:rPr>
          <w:rFonts w:ascii="CG Omega" w:hAnsi="CG Omega"/>
          <w:bCs/>
          <w:szCs w:val="24"/>
        </w:rPr>
        <w:t xml:space="preserve"> in Albuquerque to offer the public an additional opportunity to offer feedback on the Consolidated Plan.  </w:t>
      </w:r>
      <w:r w:rsidR="00855F49" w:rsidRPr="00BB666B">
        <w:rPr>
          <w:rFonts w:ascii="CG Omega" w:hAnsi="CG Omega"/>
          <w:bCs/>
          <w:szCs w:val="24"/>
        </w:rPr>
        <w:t>These meetings were advertised in</w:t>
      </w:r>
      <w:r w:rsidR="003B1AE8" w:rsidRPr="00BB666B">
        <w:rPr>
          <w:rFonts w:ascii="CG Omega" w:hAnsi="CG Omega"/>
          <w:bCs/>
          <w:szCs w:val="24"/>
        </w:rPr>
        <w:t xml:space="preserve"> </w:t>
      </w:r>
      <w:r w:rsidR="00BC3AD4" w:rsidRPr="00BB666B">
        <w:rPr>
          <w:rFonts w:ascii="CG Omega" w:hAnsi="CG Omega"/>
          <w:bCs/>
          <w:szCs w:val="24"/>
        </w:rPr>
        <w:t xml:space="preserve">the </w:t>
      </w:r>
      <w:r w:rsidR="00BC3AD4" w:rsidRPr="00BB666B">
        <w:rPr>
          <w:rFonts w:ascii="CG Omega" w:hAnsi="CG Omega"/>
          <w:bCs/>
          <w:i/>
          <w:szCs w:val="24"/>
        </w:rPr>
        <w:t>Las Cruces Sun-News</w:t>
      </w:r>
      <w:r w:rsidR="00BC3AD4" w:rsidRPr="00BB666B">
        <w:rPr>
          <w:rFonts w:ascii="CG Omega" w:hAnsi="CG Omega"/>
          <w:bCs/>
          <w:szCs w:val="24"/>
        </w:rPr>
        <w:t xml:space="preserve">, the </w:t>
      </w:r>
      <w:r w:rsidR="00BC3AD4" w:rsidRPr="00BB666B">
        <w:rPr>
          <w:rFonts w:ascii="CG Omega" w:hAnsi="CG Omega"/>
          <w:bCs/>
          <w:i/>
          <w:szCs w:val="24"/>
        </w:rPr>
        <w:t>Albuquerque Journal</w:t>
      </w:r>
      <w:r w:rsidR="00BC3AD4" w:rsidRPr="00BB666B">
        <w:rPr>
          <w:rFonts w:ascii="CG Omega" w:hAnsi="CG Omega"/>
          <w:bCs/>
          <w:szCs w:val="24"/>
        </w:rPr>
        <w:t xml:space="preserve"> and the </w:t>
      </w:r>
      <w:r w:rsidR="00BC3AD4" w:rsidRPr="00BB666B">
        <w:rPr>
          <w:rFonts w:ascii="CG Omega" w:hAnsi="CG Omega"/>
          <w:bCs/>
          <w:i/>
          <w:szCs w:val="24"/>
        </w:rPr>
        <w:t>Santa Fe New Mexican</w:t>
      </w:r>
      <w:r w:rsidR="00C8595B" w:rsidRPr="00BB666B">
        <w:rPr>
          <w:rFonts w:ascii="CG Omega" w:hAnsi="CG Omega"/>
          <w:bCs/>
          <w:szCs w:val="24"/>
        </w:rPr>
        <w:t>, as documented in Appendix D</w:t>
      </w:r>
      <w:r w:rsidR="00855F49" w:rsidRPr="00BB666B">
        <w:rPr>
          <w:rFonts w:ascii="CG Omega" w:hAnsi="CG Omega"/>
          <w:bCs/>
          <w:szCs w:val="24"/>
        </w:rPr>
        <w:t xml:space="preserve">.  </w:t>
      </w:r>
      <w:r w:rsidR="00736953" w:rsidRPr="00BB666B">
        <w:rPr>
          <w:rFonts w:ascii="CG Omega" w:hAnsi="CG Omega"/>
          <w:bCs/>
          <w:szCs w:val="24"/>
        </w:rPr>
        <w:t>Previous planning efforts were also included in the process.</w:t>
      </w:r>
    </w:p>
    <w:p w:rsidR="003B1AE8" w:rsidRPr="00BB666B" w:rsidRDefault="003B1AE8" w:rsidP="009E6D22">
      <w:pPr>
        <w:tabs>
          <w:tab w:val="left" w:pos="0"/>
          <w:tab w:val="left" w:pos="481"/>
          <w:tab w:val="left" w:pos="962"/>
          <w:tab w:val="left" w:pos="1443"/>
          <w:tab w:val="left" w:pos="1924"/>
          <w:tab w:val="left" w:pos="2405"/>
          <w:tab w:val="left" w:pos="2886"/>
          <w:tab w:val="left" w:pos="3367"/>
          <w:tab w:val="left" w:pos="3848"/>
          <w:tab w:val="left" w:pos="4329"/>
          <w:tab w:val="left" w:pos="4810"/>
          <w:tab w:val="left" w:pos="5291"/>
          <w:tab w:val="left" w:pos="5772"/>
          <w:tab w:val="left" w:pos="6253"/>
          <w:tab w:val="left" w:pos="6734"/>
          <w:tab w:val="left" w:pos="7215"/>
          <w:tab w:val="left" w:pos="7696"/>
          <w:tab w:val="left" w:pos="8177"/>
          <w:tab w:val="left" w:pos="8658"/>
          <w:tab w:val="left" w:pos="9139"/>
        </w:tabs>
        <w:jc w:val="both"/>
        <w:rPr>
          <w:rFonts w:ascii="CG Omega" w:hAnsi="CG Omega"/>
        </w:rPr>
      </w:pPr>
    </w:p>
    <w:p w:rsidR="00C71574" w:rsidRPr="001C4452" w:rsidRDefault="00F37A32" w:rsidP="00BB666B">
      <w:pPr>
        <w:pStyle w:val="FirstHead"/>
      </w:pPr>
      <w:bookmarkStart w:id="25" w:name="_Toc233426571"/>
      <w:bookmarkStart w:id="26" w:name="_Toc233426756"/>
      <w:bookmarkStart w:id="27" w:name="_Toc399834563"/>
      <w:r w:rsidRPr="001C4452">
        <w:t>F</w:t>
      </w:r>
      <w:r w:rsidR="00C71574" w:rsidRPr="001C4452">
        <w:t>. Public Hearings and Approval Processes</w:t>
      </w:r>
      <w:bookmarkEnd w:id="25"/>
      <w:bookmarkEnd w:id="26"/>
      <w:bookmarkEnd w:id="27"/>
    </w:p>
    <w:p w:rsidR="00C71574" w:rsidRPr="004608D1" w:rsidRDefault="00C71574" w:rsidP="00C71574">
      <w:pPr>
        <w:pStyle w:val="BodyText"/>
        <w:tabs>
          <w:tab w:val="num" w:pos="360"/>
        </w:tabs>
        <w:rPr>
          <w:rFonts w:ascii="CG Omega" w:hAnsi="CG Omega"/>
          <w:sz w:val="16"/>
          <w:szCs w:val="16"/>
          <w:highlight w:val="yellow"/>
        </w:rPr>
      </w:pPr>
    </w:p>
    <w:p w:rsidR="00C73938" w:rsidRPr="00955C8C" w:rsidRDefault="00495008" w:rsidP="00BD3BF7">
      <w:pPr>
        <w:jc w:val="both"/>
        <w:rPr>
          <w:rFonts w:ascii="CG Omega" w:hAnsi="CG Omega"/>
          <w:highlight w:val="yellow"/>
        </w:rPr>
      </w:pPr>
      <w:r w:rsidRPr="00D91746">
        <w:rPr>
          <w:rFonts w:ascii="CG Omega" w:hAnsi="CG Omega"/>
        </w:rPr>
        <w:t>The</w:t>
      </w:r>
      <w:r w:rsidR="003D76AC" w:rsidRPr="00D91746">
        <w:rPr>
          <w:rFonts w:ascii="CG Omega" w:hAnsi="CG Omega"/>
        </w:rPr>
        <w:t xml:space="preserve"> draft </w:t>
      </w:r>
      <w:r w:rsidRPr="00D91746">
        <w:rPr>
          <w:rFonts w:ascii="CG Omega" w:hAnsi="CG Omega"/>
        </w:rPr>
        <w:t xml:space="preserve">report </w:t>
      </w:r>
      <w:r w:rsidR="005239BA" w:rsidRPr="00D91746">
        <w:rPr>
          <w:rFonts w:ascii="CG Omega" w:hAnsi="CG Omega"/>
        </w:rPr>
        <w:t>for public review was</w:t>
      </w:r>
      <w:r w:rsidR="003D76AC" w:rsidRPr="00D91746">
        <w:rPr>
          <w:rFonts w:ascii="CG Omega" w:hAnsi="CG Omega"/>
        </w:rPr>
        <w:t xml:space="preserve"> released on </w:t>
      </w:r>
      <w:r w:rsidR="00D91746" w:rsidRPr="00D91746">
        <w:rPr>
          <w:rFonts w:ascii="CG Omega" w:hAnsi="CG Omega"/>
        </w:rPr>
        <w:t xml:space="preserve">August </w:t>
      </w:r>
      <w:r w:rsidR="00E2286F">
        <w:rPr>
          <w:rFonts w:ascii="CG Omega" w:hAnsi="CG Omega"/>
        </w:rPr>
        <w:t>4</w:t>
      </w:r>
      <w:r w:rsidR="00D91746" w:rsidRPr="00D91746">
        <w:rPr>
          <w:rFonts w:ascii="CG Omega" w:hAnsi="CG Omega"/>
        </w:rPr>
        <w:t>, 2014</w:t>
      </w:r>
      <w:r w:rsidR="005239BA" w:rsidRPr="00D91746">
        <w:rPr>
          <w:rFonts w:ascii="CG Omega" w:hAnsi="CG Omega"/>
        </w:rPr>
        <w:t>, which</w:t>
      </w:r>
      <w:r w:rsidR="003B1AE8" w:rsidRPr="00D91746">
        <w:rPr>
          <w:rFonts w:ascii="CG Omega" w:hAnsi="CG Omega"/>
        </w:rPr>
        <w:t xml:space="preserve"> initiate</w:t>
      </w:r>
      <w:r w:rsidR="005239BA" w:rsidRPr="00D91746">
        <w:rPr>
          <w:rFonts w:ascii="CG Omega" w:hAnsi="CG Omega"/>
        </w:rPr>
        <w:t>d</w:t>
      </w:r>
      <w:r w:rsidR="003D76AC" w:rsidRPr="00D91746">
        <w:rPr>
          <w:rFonts w:ascii="CG Omega" w:hAnsi="CG Omega"/>
        </w:rPr>
        <w:t xml:space="preserve"> a 30-day public review period.  </w:t>
      </w:r>
      <w:r w:rsidR="008E1186">
        <w:rPr>
          <w:rFonts w:ascii="CG Omega" w:hAnsi="CG Omega"/>
        </w:rPr>
        <w:t>One</w:t>
      </w:r>
      <w:r w:rsidR="005239BA" w:rsidRPr="00E72B41">
        <w:rPr>
          <w:rFonts w:ascii="CG Omega" w:hAnsi="CG Omega"/>
        </w:rPr>
        <w:t xml:space="preserve"> public presentation of the </w:t>
      </w:r>
      <w:r w:rsidR="00E2286F">
        <w:rPr>
          <w:rFonts w:ascii="CG Omega" w:hAnsi="CG Omega"/>
        </w:rPr>
        <w:t xml:space="preserve">draft </w:t>
      </w:r>
      <w:r w:rsidR="008E1186">
        <w:rPr>
          <w:rFonts w:ascii="CG Omega" w:hAnsi="CG Omega"/>
        </w:rPr>
        <w:t>was</w:t>
      </w:r>
      <w:r w:rsidR="005239BA" w:rsidRPr="00E72B41">
        <w:rPr>
          <w:rFonts w:ascii="CG Omega" w:hAnsi="CG Omega"/>
        </w:rPr>
        <w:t xml:space="preserve"> made in Albuquerque on </w:t>
      </w:r>
      <w:r w:rsidR="00224B5C" w:rsidRPr="00E72B41">
        <w:rPr>
          <w:rFonts w:ascii="CG Omega" w:hAnsi="CG Omega"/>
        </w:rPr>
        <w:t>August 20</w:t>
      </w:r>
      <w:r w:rsidR="005239BA" w:rsidRPr="00E72B41">
        <w:rPr>
          <w:rFonts w:ascii="CG Omega" w:hAnsi="CG Omega"/>
        </w:rPr>
        <w:t xml:space="preserve">, </w:t>
      </w:r>
      <w:r w:rsidR="008E1186">
        <w:rPr>
          <w:rFonts w:ascii="CG Omega" w:hAnsi="CG Omega"/>
        </w:rPr>
        <w:t>which was also</w:t>
      </w:r>
      <w:r w:rsidR="005239BA" w:rsidRPr="00E72B41">
        <w:rPr>
          <w:rFonts w:ascii="CG Omega" w:hAnsi="CG Omega"/>
        </w:rPr>
        <w:t xml:space="preserve"> broadcast </w:t>
      </w:r>
      <w:r w:rsidR="008E1186">
        <w:rPr>
          <w:rFonts w:ascii="CG Omega" w:hAnsi="CG Omega"/>
        </w:rPr>
        <w:t>via interactive video conferencing</w:t>
      </w:r>
      <w:r w:rsidR="005239BA" w:rsidRPr="00E72B41">
        <w:rPr>
          <w:rFonts w:ascii="CG Omega" w:hAnsi="CG Omega"/>
        </w:rPr>
        <w:t xml:space="preserve"> throughout New Mexico.  </w:t>
      </w:r>
      <w:r w:rsidR="00736953" w:rsidRPr="00E72B41">
        <w:rPr>
          <w:rFonts w:ascii="CG Omega" w:hAnsi="CG Omega"/>
        </w:rPr>
        <w:t xml:space="preserve">On </w:t>
      </w:r>
      <w:r w:rsidR="00A201EB" w:rsidRPr="00E72B41">
        <w:rPr>
          <w:rFonts w:ascii="CG Omega" w:hAnsi="CG Omega"/>
        </w:rPr>
        <w:t>October 15, 2014</w:t>
      </w:r>
      <w:r w:rsidR="00736953" w:rsidRPr="00E72B41">
        <w:rPr>
          <w:rFonts w:ascii="CG Omega" w:hAnsi="CG Omega"/>
        </w:rPr>
        <w:t xml:space="preserve">, a public presentation of the draft was made to </w:t>
      </w:r>
      <w:r w:rsidR="00B10342">
        <w:rPr>
          <w:rFonts w:ascii="CG Omega" w:hAnsi="CG Omega"/>
        </w:rPr>
        <w:t xml:space="preserve">MFA Board of Directors as well as </w:t>
      </w:r>
      <w:r w:rsidR="00736953" w:rsidRPr="00E72B41">
        <w:rPr>
          <w:rFonts w:ascii="CG Omega" w:hAnsi="CG Omega"/>
        </w:rPr>
        <w:t xml:space="preserve">the </w:t>
      </w:r>
      <w:r w:rsidR="007D6613">
        <w:rPr>
          <w:rFonts w:ascii="CG Omega" w:hAnsi="CG Omega"/>
        </w:rPr>
        <w:t>CDC</w:t>
      </w:r>
      <w:r w:rsidR="00736953" w:rsidRPr="00E72B41">
        <w:rPr>
          <w:rFonts w:ascii="CG Omega" w:hAnsi="CG Omega"/>
        </w:rPr>
        <w:t>, as documented in Appendix D.</w:t>
      </w:r>
    </w:p>
    <w:p w:rsidR="004F350A" w:rsidRPr="00C82EE8" w:rsidRDefault="004F350A" w:rsidP="00C82EE8">
      <w:pPr>
        <w:jc w:val="both"/>
        <w:rPr>
          <w:rFonts w:ascii="CG Omega" w:hAnsi="CG Omega"/>
          <w:highlight w:val="yellow"/>
        </w:rPr>
        <w:sectPr w:rsidR="004F350A" w:rsidRPr="00C82EE8" w:rsidSect="00AD632B">
          <w:headerReference w:type="default" r:id="rId18"/>
          <w:headerReference w:type="first" r:id="rId19"/>
          <w:pgSz w:w="12240" w:h="15840"/>
          <w:pgMar w:top="1440" w:right="1440" w:bottom="1440" w:left="1440" w:header="1080" w:footer="720" w:gutter="0"/>
          <w:cols w:space="720"/>
          <w:titlePg/>
          <w:docGrid w:linePitch="360"/>
        </w:sectPr>
      </w:pPr>
    </w:p>
    <w:p w:rsidR="00BB666B" w:rsidRDefault="00BB666B" w:rsidP="005249F1">
      <w:pPr>
        <w:pStyle w:val="Subhead1"/>
        <w:rPr>
          <w:highlight w:val="yellow"/>
        </w:rPr>
        <w:sectPr w:rsidR="00BB666B" w:rsidSect="00B73787">
          <w:headerReference w:type="default" r:id="rId20"/>
          <w:footerReference w:type="default" r:id="rId21"/>
          <w:headerReference w:type="first" r:id="rId22"/>
          <w:type w:val="continuous"/>
          <w:pgSz w:w="12240" w:h="15840"/>
          <w:pgMar w:top="1440" w:right="1440" w:bottom="1440" w:left="1440" w:header="1080" w:footer="720" w:gutter="0"/>
          <w:cols w:space="720"/>
          <w:titlePg/>
          <w:docGrid w:linePitch="360"/>
        </w:sectPr>
      </w:pPr>
    </w:p>
    <w:p w:rsidR="00604581" w:rsidRPr="00BB666B" w:rsidRDefault="00604581" w:rsidP="00BB666B">
      <w:pPr>
        <w:pStyle w:val="FirstHead"/>
      </w:pPr>
      <w:bookmarkStart w:id="30" w:name="_Toc233426573"/>
      <w:bookmarkStart w:id="31" w:name="_Toc233426758"/>
    </w:p>
    <w:p w:rsidR="00A91B75" w:rsidRPr="0078185F" w:rsidRDefault="00CD3BC5" w:rsidP="00BB666B">
      <w:pPr>
        <w:pStyle w:val="FirstHead"/>
      </w:pPr>
      <w:bookmarkStart w:id="32" w:name="_Toc399834564"/>
      <w:r w:rsidRPr="0078185F">
        <w:t xml:space="preserve">A. </w:t>
      </w:r>
      <w:r w:rsidR="00A91B75" w:rsidRPr="0078185F">
        <w:t>Introduction</w:t>
      </w:r>
      <w:bookmarkEnd w:id="30"/>
      <w:bookmarkEnd w:id="31"/>
      <w:bookmarkEnd w:id="32"/>
    </w:p>
    <w:p w:rsidR="00A91B75" w:rsidRPr="00BB666B" w:rsidRDefault="00A91B75" w:rsidP="00A91B75">
      <w:pPr>
        <w:pStyle w:val="BodyText"/>
        <w:tabs>
          <w:tab w:val="num" w:pos="360"/>
        </w:tabs>
        <w:rPr>
          <w:rFonts w:ascii="CG Omega" w:hAnsi="CG Omega"/>
          <w:szCs w:val="24"/>
          <w:highlight w:val="yellow"/>
        </w:rPr>
      </w:pPr>
    </w:p>
    <w:p w:rsidR="00E94279" w:rsidRPr="00BB666B" w:rsidRDefault="00E94279" w:rsidP="00E94279">
      <w:pPr>
        <w:pStyle w:val="BodyText"/>
        <w:tabs>
          <w:tab w:val="num" w:pos="360"/>
        </w:tabs>
        <w:rPr>
          <w:rFonts w:ascii="CG Omega" w:hAnsi="CG Omega"/>
          <w:szCs w:val="24"/>
        </w:rPr>
      </w:pPr>
      <w:r w:rsidRPr="00BB666B">
        <w:rPr>
          <w:rFonts w:ascii="CG Omega" w:hAnsi="CG Omega"/>
          <w:szCs w:val="24"/>
        </w:rPr>
        <w:t>T</w:t>
      </w:r>
      <w:r w:rsidR="004E2338" w:rsidRPr="00BB666B">
        <w:rPr>
          <w:rFonts w:ascii="CG Omega" w:hAnsi="CG Omega"/>
          <w:szCs w:val="24"/>
        </w:rPr>
        <w:t>he following narrative examines a broad range of socioeconomic characteristics including population, race and ethnicit</w:t>
      </w:r>
      <w:r w:rsidR="001E7220" w:rsidRPr="00BB666B">
        <w:rPr>
          <w:rFonts w:ascii="CG Omega" w:hAnsi="CG Omega"/>
          <w:szCs w:val="24"/>
        </w:rPr>
        <w:t>y, disability,</w:t>
      </w:r>
      <w:r w:rsidR="004E2338" w:rsidRPr="00BB666B">
        <w:rPr>
          <w:rFonts w:ascii="CG Omega" w:hAnsi="CG Omega"/>
          <w:szCs w:val="24"/>
        </w:rPr>
        <w:t xml:space="preserve"> poverty</w:t>
      </w:r>
      <w:r w:rsidR="001E7220" w:rsidRPr="00BB666B">
        <w:rPr>
          <w:rFonts w:ascii="CG Omega" w:hAnsi="CG Omega"/>
          <w:szCs w:val="24"/>
        </w:rPr>
        <w:t xml:space="preserve"> and unemployment rates</w:t>
      </w:r>
      <w:r w:rsidR="004E2338" w:rsidRPr="00BB666B">
        <w:rPr>
          <w:rFonts w:ascii="CG Omega" w:hAnsi="CG Omega"/>
          <w:szCs w:val="24"/>
        </w:rPr>
        <w:t>.</w:t>
      </w:r>
      <w:r w:rsidRPr="00BB666B">
        <w:rPr>
          <w:rFonts w:ascii="CG Omega" w:hAnsi="CG Omega"/>
          <w:szCs w:val="24"/>
        </w:rPr>
        <w:t xml:space="preserve"> </w:t>
      </w:r>
      <w:r w:rsidR="004E2338" w:rsidRPr="00BB666B">
        <w:rPr>
          <w:rFonts w:ascii="CG Omega" w:hAnsi="CG Omega"/>
          <w:szCs w:val="24"/>
        </w:rPr>
        <w:t>Data w</w:t>
      </w:r>
      <w:r w:rsidR="00E03A68" w:rsidRPr="00BB666B">
        <w:rPr>
          <w:rFonts w:ascii="CG Omega" w:hAnsi="CG Omega"/>
          <w:szCs w:val="24"/>
        </w:rPr>
        <w:t>as</w:t>
      </w:r>
      <w:r w:rsidR="004E2338" w:rsidRPr="00BB666B">
        <w:rPr>
          <w:rFonts w:ascii="CG Omega" w:hAnsi="CG Omega"/>
          <w:szCs w:val="24"/>
        </w:rPr>
        <w:t xml:space="preserve"> gathered </w:t>
      </w:r>
      <w:r w:rsidR="00CD371F" w:rsidRPr="00BB666B">
        <w:rPr>
          <w:rFonts w:ascii="CG Omega" w:hAnsi="CG Omega"/>
          <w:szCs w:val="24"/>
        </w:rPr>
        <w:t xml:space="preserve">from </w:t>
      </w:r>
      <w:r w:rsidR="00013FC2" w:rsidRPr="00BB666B">
        <w:rPr>
          <w:rFonts w:ascii="CG Omega" w:hAnsi="CG Omega"/>
          <w:szCs w:val="24"/>
        </w:rPr>
        <w:t xml:space="preserve">the </w:t>
      </w:r>
      <w:r w:rsidR="001E7220" w:rsidRPr="00BB666B">
        <w:rPr>
          <w:rFonts w:ascii="CG Omega" w:hAnsi="CG Omega"/>
          <w:szCs w:val="24"/>
        </w:rPr>
        <w:t>U.S Census Bureau</w:t>
      </w:r>
      <w:r w:rsidRPr="00BB666B">
        <w:rPr>
          <w:rFonts w:ascii="CG Omega" w:hAnsi="CG Omega"/>
          <w:szCs w:val="24"/>
        </w:rPr>
        <w:t>,</w:t>
      </w:r>
      <w:r w:rsidR="006549BD" w:rsidRPr="00BB666B">
        <w:rPr>
          <w:rFonts w:ascii="CG Omega" w:hAnsi="CG Omega"/>
          <w:szCs w:val="24"/>
        </w:rPr>
        <w:t xml:space="preserve"> the Bureau of Economic Analysis</w:t>
      </w:r>
      <w:r w:rsidR="00F02CFC" w:rsidRPr="00BB666B">
        <w:rPr>
          <w:rFonts w:ascii="CG Omega" w:hAnsi="CG Omega"/>
          <w:szCs w:val="24"/>
        </w:rPr>
        <w:t>,</w:t>
      </w:r>
      <w:r w:rsidR="00CD371F" w:rsidRPr="00BB666B">
        <w:rPr>
          <w:rFonts w:ascii="CG Omega" w:hAnsi="CG Omega"/>
          <w:szCs w:val="24"/>
        </w:rPr>
        <w:t xml:space="preserve"> </w:t>
      </w:r>
      <w:r w:rsidRPr="00BB666B">
        <w:rPr>
          <w:rFonts w:ascii="CG Omega" w:hAnsi="CG Omega"/>
          <w:szCs w:val="24"/>
        </w:rPr>
        <w:t>the Bureau of Labor Statistics</w:t>
      </w:r>
      <w:r w:rsidR="00F02CFC" w:rsidRPr="00BB666B">
        <w:rPr>
          <w:rFonts w:ascii="CG Omega" w:hAnsi="CG Omega"/>
          <w:szCs w:val="24"/>
        </w:rPr>
        <w:t xml:space="preserve">, HUD, and the </w:t>
      </w:r>
      <w:r w:rsidR="00736953" w:rsidRPr="00BB666B">
        <w:rPr>
          <w:rFonts w:ascii="CG Omega" w:hAnsi="CG Omega"/>
          <w:szCs w:val="24"/>
        </w:rPr>
        <w:t xml:space="preserve">University of </w:t>
      </w:r>
      <w:r w:rsidR="00F02CFC" w:rsidRPr="00BB666B">
        <w:rPr>
          <w:rFonts w:ascii="CG Omega" w:hAnsi="CG Omega"/>
          <w:szCs w:val="24"/>
        </w:rPr>
        <w:t>New Mexico</w:t>
      </w:r>
      <w:r w:rsidR="00736953" w:rsidRPr="00BB666B">
        <w:rPr>
          <w:rFonts w:ascii="CG Omega" w:hAnsi="CG Omega"/>
          <w:szCs w:val="24"/>
        </w:rPr>
        <w:t>’s</w:t>
      </w:r>
      <w:r w:rsidR="00F02CFC" w:rsidRPr="00BB666B">
        <w:rPr>
          <w:rFonts w:ascii="CG Omega" w:hAnsi="CG Omega"/>
          <w:szCs w:val="24"/>
        </w:rPr>
        <w:t xml:space="preserve"> Bureau of Business and Economic Research</w:t>
      </w:r>
      <w:r w:rsidR="005B1975" w:rsidRPr="00BB666B">
        <w:rPr>
          <w:rFonts w:ascii="CG Omega" w:hAnsi="CG Omega"/>
          <w:szCs w:val="24"/>
        </w:rPr>
        <w:t>.</w:t>
      </w:r>
      <w:r w:rsidR="006549BD" w:rsidRPr="00BB666B">
        <w:rPr>
          <w:rFonts w:ascii="CG Omega" w:hAnsi="CG Omega"/>
          <w:szCs w:val="24"/>
        </w:rPr>
        <w:t xml:space="preserve"> T</w:t>
      </w:r>
      <w:r w:rsidR="004E2338" w:rsidRPr="00BB666B">
        <w:rPr>
          <w:rFonts w:ascii="CG Omega" w:hAnsi="CG Omega"/>
          <w:szCs w:val="24"/>
        </w:rPr>
        <w:t>his information was used</w:t>
      </w:r>
      <w:r w:rsidRPr="00BB666B">
        <w:rPr>
          <w:rFonts w:ascii="CG Omega" w:hAnsi="CG Omega"/>
          <w:szCs w:val="24"/>
        </w:rPr>
        <w:t xml:space="preserve"> to </w:t>
      </w:r>
      <w:r w:rsidR="006549BD" w:rsidRPr="00BB666B">
        <w:rPr>
          <w:rFonts w:ascii="CG Omega" w:hAnsi="CG Omega"/>
          <w:szCs w:val="24"/>
        </w:rPr>
        <w:t>analyze</w:t>
      </w:r>
      <w:r w:rsidR="00C946F9" w:rsidRPr="00BB666B">
        <w:rPr>
          <w:rFonts w:ascii="CG Omega" w:hAnsi="CG Omega"/>
          <w:szCs w:val="24"/>
        </w:rPr>
        <w:t xml:space="preserve"> the state</w:t>
      </w:r>
      <w:r w:rsidRPr="00BB666B">
        <w:rPr>
          <w:rFonts w:ascii="CG Omega" w:hAnsi="CG Omega"/>
          <w:szCs w:val="24"/>
        </w:rPr>
        <w:t>’s current social and economic complexion</w:t>
      </w:r>
      <w:r w:rsidR="006549BD" w:rsidRPr="00BB666B">
        <w:rPr>
          <w:rFonts w:ascii="CG Omega" w:hAnsi="CG Omega"/>
          <w:szCs w:val="24"/>
        </w:rPr>
        <w:t xml:space="preserve"> and determine </w:t>
      </w:r>
      <w:r w:rsidR="00495008" w:rsidRPr="00BB666B">
        <w:rPr>
          <w:rFonts w:ascii="CG Omega" w:hAnsi="CG Omega"/>
          <w:szCs w:val="24"/>
        </w:rPr>
        <w:t>prospective trends and</w:t>
      </w:r>
      <w:r w:rsidR="006549BD" w:rsidRPr="00BB666B">
        <w:rPr>
          <w:rFonts w:ascii="CG Omega" w:hAnsi="CG Omega"/>
          <w:szCs w:val="24"/>
        </w:rPr>
        <w:t xml:space="preserve"> patterns in </w:t>
      </w:r>
      <w:r w:rsidR="00C946F9" w:rsidRPr="00BB666B">
        <w:rPr>
          <w:rFonts w:ascii="CG Omega" w:hAnsi="CG Omega"/>
          <w:szCs w:val="24"/>
        </w:rPr>
        <w:t>growth</w:t>
      </w:r>
      <w:r w:rsidR="00BF45A2" w:rsidRPr="00BB666B">
        <w:rPr>
          <w:rFonts w:ascii="CG Omega" w:hAnsi="CG Omega"/>
          <w:szCs w:val="24"/>
        </w:rPr>
        <w:t xml:space="preserve"> </w:t>
      </w:r>
      <w:r w:rsidR="006549BD" w:rsidRPr="00BB666B">
        <w:rPr>
          <w:rFonts w:ascii="CG Omega" w:hAnsi="CG Omega"/>
          <w:szCs w:val="24"/>
        </w:rPr>
        <w:t>in the next five years</w:t>
      </w:r>
      <w:r w:rsidRPr="00BB666B">
        <w:rPr>
          <w:rFonts w:ascii="CG Omega" w:hAnsi="CG Omega"/>
          <w:szCs w:val="24"/>
        </w:rPr>
        <w:t xml:space="preserve">. </w:t>
      </w:r>
    </w:p>
    <w:p w:rsidR="00E95344" w:rsidRPr="00BB666B" w:rsidRDefault="00E95344" w:rsidP="00A91B75">
      <w:pPr>
        <w:pStyle w:val="BodyText"/>
        <w:tabs>
          <w:tab w:val="num" w:pos="360"/>
        </w:tabs>
        <w:rPr>
          <w:rFonts w:ascii="CG Omega" w:hAnsi="CG Omega"/>
          <w:szCs w:val="24"/>
        </w:rPr>
      </w:pPr>
    </w:p>
    <w:p w:rsidR="00D8477B" w:rsidRPr="00D91746" w:rsidRDefault="008207B5" w:rsidP="00BB666B">
      <w:pPr>
        <w:pStyle w:val="FirstHead"/>
      </w:pPr>
      <w:bookmarkStart w:id="33" w:name="_Toc233426575"/>
      <w:bookmarkStart w:id="34" w:name="_Toc233426760"/>
      <w:bookmarkStart w:id="35" w:name="_Toc399834565"/>
      <w:r w:rsidRPr="00D91746">
        <w:t>B</w:t>
      </w:r>
      <w:r w:rsidR="00D8477B" w:rsidRPr="00D91746">
        <w:t>. Demographic Trends</w:t>
      </w:r>
      <w:bookmarkEnd w:id="33"/>
      <w:bookmarkEnd w:id="34"/>
      <w:bookmarkEnd w:id="35"/>
    </w:p>
    <w:p w:rsidR="00D8477B" w:rsidRPr="00BB666B" w:rsidRDefault="00D8477B" w:rsidP="00D8477B">
      <w:pPr>
        <w:jc w:val="both"/>
        <w:rPr>
          <w:rFonts w:ascii="CG Omega" w:hAnsi="CG Omega"/>
          <w:b/>
          <w:bCs/>
        </w:rPr>
      </w:pPr>
    </w:p>
    <w:p w:rsidR="00D8477B" w:rsidRPr="00D91746" w:rsidRDefault="00D8477B" w:rsidP="00D8477B">
      <w:pPr>
        <w:jc w:val="both"/>
        <w:rPr>
          <w:rFonts w:ascii="CG Omega" w:hAnsi="CG Omega"/>
        </w:rPr>
      </w:pPr>
      <w:r w:rsidRPr="00D91746">
        <w:rPr>
          <w:rFonts w:ascii="CG Omega" w:hAnsi="CG Omega"/>
        </w:rPr>
        <w:t>The Census Bureau reports significant levels of detail about the demographic character</w:t>
      </w:r>
      <w:r w:rsidR="005C5863" w:rsidRPr="00D91746">
        <w:rPr>
          <w:rFonts w:ascii="CG Omega" w:hAnsi="CG Omega"/>
        </w:rPr>
        <w:t xml:space="preserve">istics of </w:t>
      </w:r>
      <w:r w:rsidR="006D395B" w:rsidRPr="00D91746">
        <w:rPr>
          <w:rFonts w:ascii="CG Omega" w:hAnsi="CG Omega"/>
        </w:rPr>
        <w:t xml:space="preserve">geographic </w:t>
      </w:r>
      <w:r w:rsidR="005C5863" w:rsidRPr="00D91746">
        <w:rPr>
          <w:rFonts w:ascii="CG Omega" w:hAnsi="CG Omega"/>
        </w:rPr>
        <w:t>areas in each of the decennial c</w:t>
      </w:r>
      <w:r w:rsidR="00AB3569" w:rsidRPr="00D91746">
        <w:rPr>
          <w:rFonts w:ascii="CG Omega" w:hAnsi="CG Omega"/>
        </w:rPr>
        <w:t xml:space="preserve">ensus enumerations. </w:t>
      </w:r>
      <w:r w:rsidRPr="00D91746">
        <w:rPr>
          <w:rFonts w:ascii="CG Omega" w:hAnsi="CG Omega"/>
        </w:rPr>
        <w:t xml:space="preserve">However, between these large and detailed counts of the population, </w:t>
      </w:r>
      <w:r w:rsidR="00F02CFC" w:rsidRPr="00D91746">
        <w:rPr>
          <w:rFonts w:ascii="CG Omega" w:hAnsi="CG Omega"/>
        </w:rPr>
        <w:t xml:space="preserve">more </w:t>
      </w:r>
      <w:r w:rsidRPr="00D91746">
        <w:rPr>
          <w:rFonts w:ascii="CG Omega" w:hAnsi="CG Omega"/>
        </w:rPr>
        <w:t>ge</w:t>
      </w:r>
      <w:r w:rsidR="00F02CFC" w:rsidRPr="00D91746">
        <w:rPr>
          <w:rFonts w:ascii="CG Omega" w:hAnsi="CG Omega"/>
        </w:rPr>
        <w:t>neral demographic estimates</w:t>
      </w:r>
      <w:r w:rsidR="00AB3569" w:rsidRPr="00D91746">
        <w:rPr>
          <w:rFonts w:ascii="CG Omega" w:hAnsi="CG Omega"/>
        </w:rPr>
        <w:t xml:space="preserve"> are released. </w:t>
      </w:r>
      <w:r w:rsidR="00F02CFC" w:rsidRPr="00D91746">
        <w:rPr>
          <w:rFonts w:ascii="CG Omega" w:hAnsi="CG Omega"/>
        </w:rPr>
        <w:t xml:space="preserve"> Both sets of information are presented in this section.</w:t>
      </w:r>
    </w:p>
    <w:tbl>
      <w:tblPr>
        <w:tblpPr w:leftFromText="180" w:rightFromText="180" w:vertAnchor="text" w:tblpXSpec="right" w:tblpY="1"/>
        <w:tblOverlap w:val="never"/>
        <w:tblW w:w="2987" w:type="dxa"/>
        <w:jc w:val="right"/>
        <w:tblLook w:val="04A0" w:firstRow="1" w:lastRow="0" w:firstColumn="1" w:lastColumn="0" w:noHBand="0" w:noVBand="1"/>
      </w:tblPr>
      <w:tblGrid>
        <w:gridCol w:w="2059"/>
        <w:gridCol w:w="928"/>
      </w:tblGrid>
      <w:tr w:rsidR="004075DF" w:rsidRPr="004075DF" w:rsidTr="004075DF">
        <w:trPr>
          <w:trHeight w:val="990"/>
          <w:jc w:val="right"/>
        </w:trPr>
        <w:tc>
          <w:tcPr>
            <w:tcW w:w="2987" w:type="dxa"/>
            <w:gridSpan w:val="2"/>
            <w:tcBorders>
              <w:top w:val="nil"/>
              <w:left w:val="nil"/>
              <w:right w:val="nil"/>
            </w:tcBorders>
            <w:shd w:val="clear" w:color="auto" w:fill="auto"/>
            <w:noWrap/>
            <w:vAlign w:val="center"/>
            <w:hideMark/>
          </w:tcPr>
          <w:p w:rsidR="004075DF" w:rsidRPr="004075DF" w:rsidRDefault="004075DF" w:rsidP="004075DF">
            <w:pPr>
              <w:jc w:val="center"/>
              <w:rPr>
                <w:rFonts w:ascii="Arial" w:hAnsi="Arial" w:cs="Arial"/>
                <w:b/>
                <w:bCs/>
                <w:color w:val="000000"/>
                <w:sz w:val="23"/>
                <w:szCs w:val="23"/>
              </w:rPr>
            </w:pPr>
            <w:r w:rsidRPr="004075DF">
              <w:rPr>
                <w:rFonts w:ascii="Arial" w:hAnsi="Arial" w:cs="Arial"/>
                <w:b/>
                <w:bCs/>
                <w:color w:val="000000"/>
                <w:sz w:val="23"/>
                <w:szCs w:val="23"/>
              </w:rPr>
              <w:t>Table III.1</w:t>
            </w:r>
          </w:p>
          <w:p w:rsidR="004075DF" w:rsidRPr="004075DF" w:rsidRDefault="004075DF" w:rsidP="004075DF">
            <w:pPr>
              <w:jc w:val="center"/>
              <w:rPr>
                <w:rFonts w:ascii="Arial" w:hAnsi="Arial" w:cs="Arial"/>
                <w:b/>
                <w:bCs/>
                <w:color w:val="000000"/>
                <w:sz w:val="20"/>
                <w:szCs w:val="20"/>
              </w:rPr>
            </w:pPr>
            <w:r w:rsidRPr="004075DF">
              <w:rPr>
                <w:rFonts w:ascii="Arial" w:hAnsi="Arial" w:cs="Arial"/>
                <w:b/>
                <w:bCs/>
                <w:color w:val="000000"/>
                <w:sz w:val="20"/>
                <w:szCs w:val="20"/>
              </w:rPr>
              <w:t>Population Change</w:t>
            </w:r>
          </w:p>
          <w:p w:rsidR="004075DF" w:rsidRPr="004075DF" w:rsidRDefault="004075DF" w:rsidP="004075DF">
            <w:pPr>
              <w:jc w:val="center"/>
              <w:rPr>
                <w:rFonts w:ascii="Arial" w:hAnsi="Arial" w:cs="Arial"/>
                <w:color w:val="000000"/>
                <w:sz w:val="16"/>
                <w:szCs w:val="16"/>
              </w:rPr>
            </w:pPr>
            <w:r w:rsidRPr="004075DF">
              <w:rPr>
                <w:rFonts w:ascii="Arial" w:hAnsi="Arial" w:cs="Arial"/>
                <w:color w:val="000000"/>
                <w:sz w:val="16"/>
                <w:szCs w:val="16"/>
              </w:rPr>
              <w:t>State of New Mexico</w:t>
            </w:r>
          </w:p>
          <w:p w:rsidR="004075DF" w:rsidRPr="004075DF" w:rsidRDefault="004075DF" w:rsidP="004075DF">
            <w:pPr>
              <w:jc w:val="center"/>
              <w:rPr>
                <w:rFonts w:ascii="Arial" w:hAnsi="Arial" w:cs="Arial"/>
                <w:b/>
                <w:bCs/>
                <w:color w:val="000000"/>
                <w:sz w:val="23"/>
                <w:szCs w:val="23"/>
              </w:rPr>
            </w:pPr>
            <w:r w:rsidRPr="004075DF">
              <w:rPr>
                <w:rFonts w:ascii="Arial" w:hAnsi="Arial" w:cs="Arial"/>
                <w:color w:val="000000"/>
                <w:sz w:val="16"/>
                <w:szCs w:val="16"/>
              </w:rPr>
              <w:t>Census Data,1980 - 7/2013</w:t>
            </w:r>
          </w:p>
        </w:tc>
      </w:tr>
      <w:tr w:rsidR="004075DF" w:rsidRPr="004075DF" w:rsidTr="004075DF">
        <w:trPr>
          <w:trHeight w:val="300"/>
          <w:jc w:val="right"/>
        </w:trPr>
        <w:tc>
          <w:tcPr>
            <w:tcW w:w="2059" w:type="dxa"/>
            <w:tcBorders>
              <w:top w:val="single" w:sz="4" w:space="0" w:color="008000"/>
              <w:left w:val="single" w:sz="4" w:space="0" w:color="008000"/>
              <w:bottom w:val="dotted" w:sz="4" w:space="0" w:color="008000"/>
              <w:right w:val="nil"/>
            </w:tcBorders>
            <w:shd w:val="clear" w:color="000000" w:fill="FFFFE1"/>
            <w:noWrap/>
            <w:vAlign w:val="center"/>
            <w:hideMark/>
          </w:tcPr>
          <w:p w:rsidR="004075DF" w:rsidRPr="004075DF" w:rsidRDefault="004075DF" w:rsidP="004075DF">
            <w:pPr>
              <w:rPr>
                <w:rFonts w:ascii="Arial" w:hAnsi="Arial" w:cs="Arial"/>
                <w:b/>
                <w:bCs/>
                <w:color w:val="000000"/>
                <w:sz w:val="16"/>
                <w:szCs w:val="16"/>
              </w:rPr>
            </w:pPr>
            <w:r w:rsidRPr="004075DF">
              <w:rPr>
                <w:rFonts w:ascii="Arial" w:hAnsi="Arial" w:cs="Arial"/>
                <w:b/>
                <w:bCs/>
                <w:color w:val="000000"/>
                <w:sz w:val="16"/>
                <w:szCs w:val="16"/>
              </w:rPr>
              <w:t>1980 Population</w:t>
            </w:r>
          </w:p>
        </w:tc>
        <w:tc>
          <w:tcPr>
            <w:tcW w:w="928" w:type="dxa"/>
            <w:tcBorders>
              <w:top w:val="single" w:sz="4" w:space="0" w:color="008000"/>
              <w:left w:val="nil"/>
              <w:bottom w:val="dotted" w:sz="4" w:space="0" w:color="008000"/>
              <w:right w:val="single" w:sz="4" w:space="0" w:color="008000"/>
            </w:tcBorders>
            <w:shd w:val="clear" w:color="000000" w:fill="FFFFE1"/>
            <w:noWrap/>
            <w:vAlign w:val="center"/>
            <w:hideMark/>
          </w:tcPr>
          <w:p w:rsidR="004075DF" w:rsidRPr="004075DF" w:rsidRDefault="004075DF" w:rsidP="004075DF">
            <w:pPr>
              <w:jc w:val="right"/>
              <w:rPr>
                <w:rFonts w:ascii="Arial" w:hAnsi="Arial" w:cs="Arial"/>
                <w:b/>
                <w:bCs/>
                <w:color w:val="000000"/>
                <w:sz w:val="16"/>
                <w:szCs w:val="16"/>
              </w:rPr>
            </w:pPr>
            <w:r w:rsidRPr="004075DF">
              <w:rPr>
                <w:rFonts w:ascii="Arial" w:hAnsi="Arial" w:cs="Arial"/>
                <w:b/>
                <w:bCs/>
                <w:color w:val="000000"/>
                <w:sz w:val="16"/>
                <w:szCs w:val="16"/>
              </w:rPr>
              <w:t>1,302,894</w:t>
            </w:r>
          </w:p>
        </w:tc>
      </w:tr>
      <w:tr w:rsidR="004075DF" w:rsidRPr="004075DF" w:rsidTr="004075DF">
        <w:trPr>
          <w:trHeight w:val="300"/>
          <w:jc w:val="right"/>
        </w:trPr>
        <w:tc>
          <w:tcPr>
            <w:tcW w:w="2059" w:type="dxa"/>
            <w:tcBorders>
              <w:top w:val="nil"/>
              <w:left w:val="single" w:sz="4" w:space="0" w:color="008000"/>
              <w:bottom w:val="nil"/>
              <w:right w:val="nil"/>
            </w:tcBorders>
            <w:shd w:val="clear" w:color="000000" w:fill="FFFFE1"/>
            <w:noWrap/>
            <w:vAlign w:val="center"/>
            <w:hideMark/>
          </w:tcPr>
          <w:p w:rsidR="004075DF" w:rsidRPr="004075DF" w:rsidRDefault="004075DF" w:rsidP="004075DF">
            <w:pPr>
              <w:rPr>
                <w:rFonts w:ascii="Arial" w:hAnsi="Arial" w:cs="Arial"/>
                <w:color w:val="000000"/>
                <w:sz w:val="16"/>
                <w:szCs w:val="16"/>
              </w:rPr>
            </w:pPr>
            <w:r w:rsidRPr="004075DF">
              <w:rPr>
                <w:rFonts w:ascii="Arial" w:hAnsi="Arial" w:cs="Arial"/>
                <w:color w:val="000000"/>
                <w:sz w:val="16"/>
                <w:szCs w:val="16"/>
              </w:rPr>
              <w:t>Natural Increase 80-90</w:t>
            </w:r>
          </w:p>
        </w:tc>
        <w:tc>
          <w:tcPr>
            <w:tcW w:w="928" w:type="dxa"/>
            <w:tcBorders>
              <w:top w:val="nil"/>
              <w:left w:val="nil"/>
              <w:bottom w:val="nil"/>
              <w:right w:val="single" w:sz="4" w:space="0" w:color="008000"/>
            </w:tcBorders>
            <w:shd w:val="clear" w:color="000000" w:fill="FFFFE1"/>
            <w:noWrap/>
            <w:vAlign w:val="center"/>
            <w:hideMark/>
          </w:tcPr>
          <w:p w:rsidR="004075DF" w:rsidRPr="004075DF" w:rsidRDefault="004075DF" w:rsidP="004075DF">
            <w:pPr>
              <w:jc w:val="right"/>
              <w:rPr>
                <w:rFonts w:ascii="Arial" w:hAnsi="Arial" w:cs="Arial"/>
                <w:color w:val="000000"/>
                <w:sz w:val="16"/>
                <w:szCs w:val="16"/>
              </w:rPr>
            </w:pPr>
            <w:r w:rsidRPr="004075DF">
              <w:rPr>
                <w:rFonts w:ascii="Arial" w:hAnsi="Arial" w:cs="Arial"/>
                <w:color w:val="000000"/>
                <w:sz w:val="16"/>
                <w:szCs w:val="16"/>
              </w:rPr>
              <w:t>175,206</w:t>
            </w:r>
          </w:p>
        </w:tc>
      </w:tr>
      <w:tr w:rsidR="004075DF" w:rsidRPr="004075DF" w:rsidTr="004075DF">
        <w:trPr>
          <w:trHeight w:val="300"/>
          <w:jc w:val="right"/>
        </w:trPr>
        <w:tc>
          <w:tcPr>
            <w:tcW w:w="2059" w:type="dxa"/>
            <w:tcBorders>
              <w:top w:val="nil"/>
              <w:left w:val="single" w:sz="4" w:space="0" w:color="008000"/>
              <w:bottom w:val="nil"/>
              <w:right w:val="nil"/>
            </w:tcBorders>
            <w:shd w:val="clear" w:color="000000" w:fill="FFFFE1"/>
            <w:noWrap/>
            <w:vAlign w:val="center"/>
            <w:hideMark/>
          </w:tcPr>
          <w:p w:rsidR="004075DF" w:rsidRPr="004075DF" w:rsidRDefault="004075DF" w:rsidP="004075DF">
            <w:pPr>
              <w:rPr>
                <w:rFonts w:ascii="Arial" w:hAnsi="Arial" w:cs="Arial"/>
                <w:color w:val="000000"/>
                <w:sz w:val="16"/>
                <w:szCs w:val="16"/>
              </w:rPr>
            </w:pPr>
            <w:r w:rsidRPr="004075DF">
              <w:rPr>
                <w:rFonts w:ascii="Arial" w:hAnsi="Arial" w:cs="Arial"/>
                <w:color w:val="000000"/>
                <w:sz w:val="16"/>
                <w:szCs w:val="16"/>
              </w:rPr>
              <w:t>Net Migration 80-90</w:t>
            </w:r>
          </w:p>
        </w:tc>
        <w:tc>
          <w:tcPr>
            <w:tcW w:w="928" w:type="dxa"/>
            <w:tcBorders>
              <w:top w:val="nil"/>
              <w:left w:val="nil"/>
              <w:bottom w:val="nil"/>
              <w:right w:val="single" w:sz="4" w:space="0" w:color="008000"/>
            </w:tcBorders>
            <w:shd w:val="clear" w:color="000000" w:fill="FFFFE1"/>
            <w:noWrap/>
            <w:vAlign w:val="center"/>
            <w:hideMark/>
          </w:tcPr>
          <w:p w:rsidR="004075DF" w:rsidRPr="004075DF" w:rsidRDefault="004075DF" w:rsidP="004075DF">
            <w:pPr>
              <w:jc w:val="right"/>
              <w:rPr>
                <w:rFonts w:ascii="Arial" w:hAnsi="Arial" w:cs="Arial"/>
                <w:color w:val="000000"/>
                <w:sz w:val="16"/>
                <w:szCs w:val="16"/>
              </w:rPr>
            </w:pPr>
            <w:r w:rsidRPr="004075DF">
              <w:rPr>
                <w:rFonts w:ascii="Arial" w:hAnsi="Arial" w:cs="Arial"/>
                <w:color w:val="000000"/>
                <w:sz w:val="16"/>
                <w:szCs w:val="16"/>
              </w:rPr>
              <w:t>36,969</w:t>
            </w:r>
          </w:p>
        </w:tc>
      </w:tr>
      <w:tr w:rsidR="004075DF" w:rsidRPr="004075DF" w:rsidTr="004075DF">
        <w:trPr>
          <w:trHeight w:val="300"/>
          <w:jc w:val="right"/>
        </w:trPr>
        <w:tc>
          <w:tcPr>
            <w:tcW w:w="2059" w:type="dxa"/>
            <w:tcBorders>
              <w:top w:val="single" w:sz="4" w:space="0" w:color="008000"/>
              <w:left w:val="single" w:sz="4" w:space="0" w:color="008000"/>
              <w:bottom w:val="dotted" w:sz="4" w:space="0" w:color="008000"/>
              <w:right w:val="nil"/>
            </w:tcBorders>
            <w:shd w:val="clear" w:color="000000" w:fill="FFFFE1"/>
            <w:noWrap/>
            <w:vAlign w:val="center"/>
            <w:hideMark/>
          </w:tcPr>
          <w:p w:rsidR="004075DF" w:rsidRPr="004075DF" w:rsidRDefault="004075DF" w:rsidP="004075DF">
            <w:pPr>
              <w:rPr>
                <w:rFonts w:ascii="Arial" w:hAnsi="Arial" w:cs="Arial"/>
                <w:b/>
                <w:bCs/>
                <w:color w:val="000000"/>
                <w:sz w:val="16"/>
                <w:szCs w:val="16"/>
              </w:rPr>
            </w:pPr>
            <w:r w:rsidRPr="004075DF">
              <w:rPr>
                <w:rFonts w:ascii="Arial" w:hAnsi="Arial" w:cs="Arial"/>
                <w:b/>
                <w:bCs/>
                <w:color w:val="000000"/>
                <w:sz w:val="16"/>
                <w:szCs w:val="16"/>
              </w:rPr>
              <w:t>1990 Population</w:t>
            </w:r>
          </w:p>
        </w:tc>
        <w:tc>
          <w:tcPr>
            <w:tcW w:w="928" w:type="dxa"/>
            <w:tcBorders>
              <w:top w:val="single" w:sz="4" w:space="0" w:color="008000"/>
              <w:left w:val="nil"/>
              <w:bottom w:val="dotted" w:sz="4" w:space="0" w:color="008000"/>
              <w:right w:val="single" w:sz="4" w:space="0" w:color="008000"/>
            </w:tcBorders>
            <w:shd w:val="clear" w:color="000000" w:fill="FFFFE1"/>
            <w:noWrap/>
            <w:vAlign w:val="center"/>
            <w:hideMark/>
          </w:tcPr>
          <w:p w:rsidR="004075DF" w:rsidRPr="004075DF" w:rsidRDefault="004075DF" w:rsidP="004075DF">
            <w:pPr>
              <w:jc w:val="right"/>
              <w:rPr>
                <w:rFonts w:ascii="Arial" w:hAnsi="Arial" w:cs="Arial"/>
                <w:b/>
                <w:bCs/>
                <w:color w:val="000000"/>
                <w:sz w:val="16"/>
                <w:szCs w:val="16"/>
              </w:rPr>
            </w:pPr>
            <w:r w:rsidRPr="004075DF">
              <w:rPr>
                <w:rFonts w:ascii="Arial" w:hAnsi="Arial" w:cs="Arial"/>
                <w:b/>
                <w:bCs/>
                <w:color w:val="000000"/>
                <w:sz w:val="16"/>
                <w:szCs w:val="16"/>
              </w:rPr>
              <w:t>1,515,069</w:t>
            </w:r>
          </w:p>
        </w:tc>
      </w:tr>
      <w:tr w:rsidR="004075DF" w:rsidRPr="004075DF" w:rsidTr="004075DF">
        <w:trPr>
          <w:trHeight w:val="300"/>
          <w:jc w:val="right"/>
        </w:trPr>
        <w:tc>
          <w:tcPr>
            <w:tcW w:w="2059" w:type="dxa"/>
            <w:tcBorders>
              <w:top w:val="nil"/>
              <w:left w:val="single" w:sz="4" w:space="0" w:color="008000"/>
              <w:bottom w:val="nil"/>
              <w:right w:val="nil"/>
            </w:tcBorders>
            <w:shd w:val="clear" w:color="000000" w:fill="FFFFE1"/>
            <w:noWrap/>
            <w:vAlign w:val="center"/>
            <w:hideMark/>
          </w:tcPr>
          <w:p w:rsidR="004075DF" w:rsidRPr="004075DF" w:rsidRDefault="004075DF" w:rsidP="004075DF">
            <w:pPr>
              <w:rPr>
                <w:rFonts w:ascii="Arial" w:hAnsi="Arial" w:cs="Arial"/>
                <w:color w:val="000000"/>
                <w:sz w:val="16"/>
                <w:szCs w:val="16"/>
              </w:rPr>
            </w:pPr>
            <w:r w:rsidRPr="004075DF">
              <w:rPr>
                <w:rFonts w:ascii="Arial" w:hAnsi="Arial" w:cs="Arial"/>
                <w:color w:val="000000"/>
                <w:sz w:val="16"/>
                <w:szCs w:val="16"/>
              </w:rPr>
              <w:t>Natural Increase 90-00</w:t>
            </w:r>
          </w:p>
        </w:tc>
        <w:tc>
          <w:tcPr>
            <w:tcW w:w="928" w:type="dxa"/>
            <w:tcBorders>
              <w:top w:val="nil"/>
              <w:left w:val="nil"/>
              <w:bottom w:val="nil"/>
              <w:right w:val="single" w:sz="4" w:space="0" w:color="008000"/>
            </w:tcBorders>
            <w:shd w:val="clear" w:color="000000" w:fill="FFFFE1"/>
            <w:noWrap/>
            <w:vAlign w:val="center"/>
            <w:hideMark/>
          </w:tcPr>
          <w:p w:rsidR="004075DF" w:rsidRPr="004075DF" w:rsidRDefault="004075DF" w:rsidP="004075DF">
            <w:pPr>
              <w:jc w:val="right"/>
              <w:rPr>
                <w:rFonts w:ascii="Arial" w:hAnsi="Arial" w:cs="Arial"/>
                <w:color w:val="000000"/>
                <w:sz w:val="16"/>
                <w:szCs w:val="16"/>
              </w:rPr>
            </w:pPr>
            <w:r w:rsidRPr="004075DF">
              <w:rPr>
                <w:rFonts w:ascii="Arial" w:hAnsi="Arial" w:cs="Arial"/>
                <w:color w:val="000000"/>
                <w:sz w:val="16"/>
                <w:szCs w:val="16"/>
              </w:rPr>
              <w:t>143,072</w:t>
            </w:r>
          </w:p>
        </w:tc>
      </w:tr>
      <w:tr w:rsidR="004075DF" w:rsidRPr="004075DF" w:rsidTr="004075DF">
        <w:trPr>
          <w:trHeight w:val="300"/>
          <w:jc w:val="right"/>
        </w:trPr>
        <w:tc>
          <w:tcPr>
            <w:tcW w:w="2059" w:type="dxa"/>
            <w:tcBorders>
              <w:top w:val="nil"/>
              <w:left w:val="single" w:sz="4" w:space="0" w:color="008000"/>
              <w:bottom w:val="nil"/>
              <w:right w:val="nil"/>
            </w:tcBorders>
            <w:shd w:val="clear" w:color="000000" w:fill="FFFFE1"/>
            <w:noWrap/>
            <w:vAlign w:val="center"/>
            <w:hideMark/>
          </w:tcPr>
          <w:p w:rsidR="004075DF" w:rsidRPr="004075DF" w:rsidRDefault="004075DF" w:rsidP="004075DF">
            <w:pPr>
              <w:rPr>
                <w:rFonts w:ascii="Arial" w:hAnsi="Arial" w:cs="Arial"/>
                <w:color w:val="000000"/>
                <w:sz w:val="16"/>
                <w:szCs w:val="16"/>
              </w:rPr>
            </w:pPr>
            <w:r w:rsidRPr="004075DF">
              <w:rPr>
                <w:rFonts w:ascii="Arial" w:hAnsi="Arial" w:cs="Arial"/>
                <w:color w:val="000000"/>
                <w:sz w:val="16"/>
                <w:szCs w:val="16"/>
              </w:rPr>
              <w:t>Net Migration 90-00</w:t>
            </w:r>
          </w:p>
        </w:tc>
        <w:tc>
          <w:tcPr>
            <w:tcW w:w="928" w:type="dxa"/>
            <w:tcBorders>
              <w:top w:val="nil"/>
              <w:left w:val="nil"/>
              <w:bottom w:val="nil"/>
              <w:right w:val="single" w:sz="4" w:space="0" w:color="008000"/>
            </w:tcBorders>
            <w:shd w:val="clear" w:color="000000" w:fill="FFFFE1"/>
            <w:noWrap/>
            <w:vAlign w:val="center"/>
            <w:hideMark/>
          </w:tcPr>
          <w:p w:rsidR="004075DF" w:rsidRPr="004075DF" w:rsidRDefault="004075DF" w:rsidP="004075DF">
            <w:pPr>
              <w:jc w:val="right"/>
              <w:rPr>
                <w:rFonts w:ascii="Arial" w:hAnsi="Arial" w:cs="Arial"/>
                <w:color w:val="000000"/>
                <w:sz w:val="16"/>
                <w:szCs w:val="16"/>
              </w:rPr>
            </w:pPr>
            <w:r w:rsidRPr="004075DF">
              <w:rPr>
                <w:rFonts w:ascii="Arial" w:hAnsi="Arial" w:cs="Arial"/>
                <w:color w:val="000000"/>
                <w:sz w:val="16"/>
                <w:szCs w:val="16"/>
              </w:rPr>
              <w:t>160,905</w:t>
            </w:r>
          </w:p>
        </w:tc>
      </w:tr>
      <w:tr w:rsidR="004075DF" w:rsidRPr="004075DF" w:rsidTr="004075DF">
        <w:trPr>
          <w:trHeight w:val="300"/>
          <w:jc w:val="right"/>
        </w:trPr>
        <w:tc>
          <w:tcPr>
            <w:tcW w:w="2059" w:type="dxa"/>
            <w:tcBorders>
              <w:top w:val="single" w:sz="4" w:space="0" w:color="008000"/>
              <w:left w:val="single" w:sz="4" w:space="0" w:color="008000"/>
              <w:bottom w:val="dotted" w:sz="4" w:space="0" w:color="008000"/>
              <w:right w:val="nil"/>
            </w:tcBorders>
            <w:shd w:val="clear" w:color="000000" w:fill="FFFFE1"/>
            <w:noWrap/>
            <w:vAlign w:val="center"/>
            <w:hideMark/>
          </w:tcPr>
          <w:p w:rsidR="004075DF" w:rsidRPr="004075DF" w:rsidRDefault="004075DF" w:rsidP="004075DF">
            <w:pPr>
              <w:rPr>
                <w:rFonts w:ascii="Arial" w:hAnsi="Arial" w:cs="Arial"/>
                <w:b/>
                <w:bCs/>
                <w:color w:val="000000"/>
                <w:sz w:val="16"/>
                <w:szCs w:val="16"/>
              </w:rPr>
            </w:pPr>
            <w:r w:rsidRPr="004075DF">
              <w:rPr>
                <w:rFonts w:ascii="Arial" w:hAnsi="Arial" w:cs="Arial"/>
                <w:b/>
                <w:bCs/>
                <w:color w:val="000000"/>
                <w:sz w:val="16"/>
                <w:szCs w:val="16"/>
              </w:rPr>
              <w:t>2000 Population</w:t>
            </w:r>
          </w:p>
        </w:tc>
        <w:tc>
          <w:tcPr>
            <w:tcW w:w="928" w:type="dxa"/>
            <w:tcBorders>
              <w:top w:val="single" w:sz="4" w:space="0" w:color="008000"/>
              <w:left w:val="nil"/>
              <w:bottom w:val="dotted" w:sz="4" w:space="0" w:color="008000"/>
              <w:right w:val="single" w:sz="4" w:space="0" w:color="008000"/>
            </w:tcBorders>
            <w:shd w:val="clear" w:color="000000" w:fill="FFFFE1"/>
            <w:noWrap/>
            <w:vAlign w:val="center"/>
            <w:hideMark/>
          </w:tcPr>
          <w:p w:rsidR="004075DF" w:rsidRPr="004075DF" w:rsidRDefault="004075DF" w:rsidP="004075DF">
            <w:pPr>
              <w:jc w:val="right"/>
              <w:rPr>
                <w:rFonts w:ascii="Arial" w:hAnsi="Arial" w:cs="Arial"/>
                <w:b/>
                <w:bCs/>
                <w:color w:val="000000"/>
                <w:sz w:val="16"/>
                <w:szCs w:val="16"/>
              </w:rPr>
            </w:pPr>
            <w:r w:rsidRPr="004075DF">
              <w:rPr>
                <w:rFonts w:ascii="Arial" w:hAnsi="Arial" w:cs="Arial"/>
                <w:b/>
                <w:bCs/>
                <w:color w:val="000000"/>
                <w:sz w:val="16"/>
                <w:szCs w:val="16"/>
              </w:rPr>
              <w:t>1,819,046</w:t>
            </w:r>
          </w:p>
        </w:tc>
      </w:tr>
      <w:tr w:rsidR="004075DF" w:rsidRPr="004075DF" w:rsidTr="004075DF">
        <w:trPr>
          <w:trHeight w:val="300"/>
          <w:jc w:val="right"/>
        </w:trPr>
        <w:tc>
          <w:tcPr>
            <w:tcW w:w="2059" w:type="dxa"/>
            <w:tcBorders>
              <w:top w:val="nil"/>
              <w:left w:val="single" w:sz="4" w:space="0" w:color="008000"/>
              <w:bottom w:val="nil"/>
              <w:right w:val="nil"/>
            </w:tcBorders>
            <w:shd w:val="clear" w:color="000000" w:fill="FFFFE1"/>
            <w:noWrap/>
            <w:vAlign w:val="center"/>
            <w:hideMark/>
          </w:tcPr>
          <w:p w:rsidR="004075DF" w:rsidRPr="004075DF" w:rsidRDefault="004075DF" w:rsidP="004075DF">
            <w:pPr>
              <w:rPr>
                <w:rFonts w:ascii="Arial" w:hAnsi="Arial" w:cs="Arial"/>
                <w:color w:val="000000"/>
                <w:sz w:val="16"/>
                <w:szCs w:val="16"/>
              </w:rPr>
            </w:pPr>
            <w:r w:rsidRPr="004075DF">
              <w:rPr>
                <w:rFonts w:ascii="Arial" w:hAnsi="Arial" w:cs="Arial"/>
                <w:color w:val="000000"/>
                <w:sz w:val="16"/>
                <w:szCs w:val="16"/>
              </w:rPr>
              <w:t>Natural Increase 00-10</w:t>
            </w:r>
          </w:p>
        </w:tc>
        <w:tc>
          <w:tcPr>
            <w:tcW w:w="928" w:type="dxa"/>
            <w:tcBorders>
              <w:top w:val="nil"/>
              <w:left w:val="nil"/>
              <w:bottom w:val="nil"/>
              <w:right w:val="single" w:sz="4" w:space="0" w:color="008000"/>
            </w:tcBorders>
            <w:shd w:val="clear" w:color="000000" w:fill="FFFFE1"/>
            <w:noWrap/>
            <w:vAlign w:val="center"/>
            <w:hideMark/>
          </w:tcPr>
          <w:p w:rsidR="004075DF" w:rsidRPr="004075DF" w:rsidRDefault="004075DF" w:rsidP="004075DF">
            <w:pPr>
              <w:jc w:val="right"/>
              <w:rPr>
                <w:rFonts w:ascii="Arial" w:hAnsi="Arial" w:cs="Arial"/>
                <w:color w:val="000000"/>
                <w:sz w:val="16"/>
                <w:szCs w:val="16"/>
              </w:rPr>
            </w:pPr>
            <w:r w:rsidRPr="004075DF">
              <w:rPr>
                <w:rFonts w:ascii="Arial" w:hAnsi="Arial" w:cs="Arial"/>
                <w:color w:val="000000"/>
                <w:sz w:val="16"/>
                <w:szCs w:val="16"/>
              </w:rPr>
              <w:t>129,591</w:t>
            </w:r>
          </w:p>
        </w:tc>
      </w:tr>
      <w:tr w:rsidR="004075DF" w:rsidRPr="004075DF" w:rsidTr="004075DF">
        <w:trPr>
          <w:trHeight w:val="300"/>
          <w:jc w:val="right"/>
        </w:trPr>
        <w:tc>
          <w:tcPr>
            <w:tcW w:w="2059" w:type="dxa"/>
            <w:tcBorders>
              <w:top w:val="nil"/>
              <w:left w:val="single" w:sz="4" w:space="0" w:color="008000"/>
              <w:bottom w:val="nil"/>
              <w:right w:val="nil"/>
            </w:tcBorders>
            <w:shd w:val="clear" w:color="000000" w:fill="FFFFE1"/>
            <w:noWrap/>
            <w:vAlign w:val="center"/>
            <w:hideMark/>
          </w:tcPr>
          <w:p w:rsidR="004075DF" w:rsidRPr="004075DF" w:rsidRDefault="004075DF" w:rsidP="004075DF">
            <w:pPr>
              <w:rPr>
                <w:rFonts w:ascii="Arial" w:hAnsi="Arial" w:cs="Arial"/>
                <w:color w:val="000000"/>
                <w:sz w:val="16"/>
                <w:szCs w:val="16"/>
              </w:rPr>
            </w:pPr>
            <w:r w:rsidRPr="004075DF">
              <w:rPr>
                <w:rFonts w:ascii="Arial" w:hAnsi="Arial" w:cs="Arial"/>
                <w:color w:val="000000"/>
                <w:sz w:val="16"/>
                <w:szCs w:val="16"/>
              </w:rPr>
              <w:t>Net Migration 00-10</w:t>
            </w:r>
          </w:p>
        </w:tc>
        <w:tc>
          <w:tcPr>
            <w:tcW w:w="928" w:type="dxa"/>
            <w:tcBorders>
              <w:top w:val="nil"/>
              <w:left w:val="nil"/>
              <w:bottom w:val="nil"/>
              <w:right w:val="single" w:sz="4" w:space="0" w:color="008000"/>
            </w:tcBorders>
            <w:shd w:val="clear" w:color="000000" w:fill="FFFFE1"/>
            <w:noWrap/>
            <w:vAlign w:val="center"/>
            <w:hideMark/>
          </w:tcPr>
          <w:p w:rsidR="004075DF" w:rsidRPr="004075DF" w:rsidRDefault="004075DF" w:rsidP="004075DF">
            <w:pPr>
              <w:jc w:val="right"/>
              <w:rPr>
                <w:rFonts w:ascii="Arial" w:hAnsi="Arial" w:cs="Arial"/>
                <w:color w:val="000000"/>
                <w:sz w:val="16"/>
                <w:szCs w:val="16"/>
              </w:rPr>
            </w:pPr>
            <w:r w:rsidRPr="004075DF">
              <w:rPr>
                <w:rFonts w:ascii="Arial" w:hAnsi="Arial" w:cs="Arial"/>
                <w:color w:val="000000"/>
                <w:sz w:val="16"/>
                <w:szCs w:val="16"/>
              </w:rPr>
              <w:t>110,542</w:t>
            </w:r>
          </w:p>
        </w:tc>
      </w:tr>
      <w:tr w:rsidR="004075DF" w:rsidRPr="004075DF" w:rsidTr="004075DF">
        <w:trPr>
          <w:trHeight w:val="300"/>
          <w:jc w:val="right"/>
        </w:trPr>
        <w:tc>
          <w:tcPr>
            <w:tcW w:w="2059" w:type="dxa"/>
            <w:tcBorders>
              <w:top w:val="single" w:sz="4" w:space="0" w:color="008000"/>
              <w:left w:val="single" w:sz="4" w:space="0" w:color="008000"/>
              <w:bottom w:val="dotted" w:sz="4" w:space="0" w:color="008000"/>
              <w:right w:val="nil"/>
            </w:tcBorders>
            <w:shd w:val="clear" w:color="000000" w:fill="FFFFE1"/>
            <w:noWrap/>
            <w:vAlign w:val="center"/>
            <w:hideMark/>
          </w:tcPr>
          <w:p w:rsidR="004075DF" w:rsidRPr="004075DF" w:rsidRDefault="004075DF" w:rsidP="004075DF">
            <w:pPr>
              <w:rPr>
                <w:rFonts w:ascii="Arial" w:hAnsi="Arial" w:cs="Arial"/>
                <w:b/>
                <w:bCs/>
                <w:color w:val="000000"/>
                <w:sz w:val="16"/>
                <w:szCs w:val="16"/>
              </w:rPr>
            </w:pPr>
            <w:r w:rsidRPr="004075DF">
              <w:rPr>
                <w:rFonts w:ascii="Arial" w:hAnsi="Arial" w:cs="Arial"/>
                <w:b/>
                <w:bCs/>
                <w:color w:val="000000"/>
                <w:sz w:val="16"/>
                <w:szCs w:val="16"/>
              </w:rPr>
              <w:t>2010 Population</w:t>
            </w:r>
          </w:p>
        </w:tc>
        <w:tc>
          <w:tcPr>
            <w:tcW w:w="928" w:type="dxa"/>
            <w:tcBorders>
              <w:top w:val="single" w:sz="4" w:space="0" w:color="008000"/>
              <w:left w:val="nil"/>
              <w:bottom w:val="dotted" w:sz="4" w:space="0" w:color="008000"/>
              <w:right w:val="single" w:sz="4" w:space="0" w:color="008000"/>
            </w:tcBorders>
            <w:shd w:val="clear" w:color="000000" w:fill="FFFFE1"/>
            <w:noWrap/>
            <w:vAlign w:val="center"/>
            <w:hideMark/>
          </w:tcPr>
          <w:p w:rsidR="004075DF" w:rsidRPr="004075DF" w:rsidRDefault="004075DF" w:rsidP="004075DF">
            <w:pPr>
              <w:jc w:val="right"/>
              <w:rPr>
                <w:rFonts w:ascii="Arial" w:hAnsi="Arial" w:cs="Arial"/>
                <w:b/>
                <w:bCs/>
                <w:color w:val="000000"/>
                <w:sz w:val="16"/>
                <w:szCs w:val="16"/>
              </w:rPr>
            </w:pPr>
            <w:r w:rsidRPr="004075DF">
              <w:rPr>
                <w:rFonts w:ascii="Arial" w:hAnsi="Arial" w:cs="Arial"/>
                <w:b/>
                <w:bCs/>
                <w:color w:val="000000"/>
                <w:sz w:val="16"/>
                <w:szCs w:val="16"/>
              </w:rPr>
              <w:t>2,059,179</w:t>
            </w:r>
          </w:p>
        </w:tc>
      </w:tr>
      <w:tr w:rsidR="004075DF" w:rsidRPr="004075DF" w:rsidTr="004075DF">
        <w:trPr>
          <w:trHeight w:val="300"/>
          <w:jc w:val="right"/>
        </w:trPr>
        <w:tc>
          <w:tcPr>
            <w:tcW w:w="2059" w:type="dxa"/>
            <w:tcBorders>
              <w:top w:val="nil"/>
              <w:left w:val="single" w:sz="4" w:space="0" w:color="008000"/>
              <w:bottom w:val="nil"/>
              <w:right w:val="nil"/>
            </w:tcBorders>
            <w:shd w:val="clear" w:color="000000" w:fill="FFFFE1"/>
            <w:noWrap/>
            <w:vAlign w:val="center"/>
            <w:hideMark/>
          </w:tcPr>
          <w:p w:rsidR="004075DF" w:rsidRPr="004075DF" w:rsidRDefault="004075DF" w:rsidP="004075DF">
            <w:pPr>
              <w:rPr>
                <w:rFonts w:ascii="Arial" w:hAnsi="Arial" w:cs="Arial"/>
                <w:color w:val="000000"/>
                <w:sz w:val="16"/>
                <w:szCs w:val="16"/>
              </w:rPr>
            </w:pPr>
            <w:r w:rsidRPr="004075DF">
              <w:rPr>
                <w:rFonts w:ascii="Arial" w:hAnsi="Arial" w:cs="Arial"/>
                <w:color w:val="000000"/>
                <w:sz w:val="16"/>
                <w:szCs w:val="16"/>
              </w:rPr>
              <w:t>Natural Increase 10-13</w:t>
            </w:r>
          </w:p>
        </w:tc>
        <w:tc>
          <w:tcPr>
            <w:tcW w:w="928" w:type="dxa"/>
            <w:tcBorders>
              <w:top w:val="nil"/>
              <w:left w:val="nil"/>
              <w:bottom w:val="nil"/>
              <w:right w:val="single" w:sz="4" w:space="0" w:color="008000"/>
            </w:tcBorders>
            <w:shd w:val="clear" w:color="000000" w:fill="FFFFE1"/>
            <w:noWrap/>
            <w:vAlign w:val="center"/>
            <w:hideMark/>
          </w:tcPr>
          <w:p w:rsidR="004075DF" w:rsidRPr="004075DF" w:rsidRDefault="004075DF" w:rsidP="004075DF">
            <w:pPr>
              <w:jc w:val="right"/>
              <w:rPr>
                <w:rFonts w:ascii="Arial" w:hAnsi="Arial" w:cs="Arial"/>
                <w:color w:val="000000"/>
                <w:sz w:val="16"/>
                <w:szCs w:val="16"/>
              </w:rPr>
            </w:pPr>
            <w:r w:rsidRPr="004075DF">
              <w:rPr>
                <w:rFonts w:ascii="Arial" w:hAnsi="Arial" w:cs="Arial"/>
                <w:color w:val="000000"/>
                <w:sz w:val="16"/>
                <w:szCs w:val="16"/>
              </w:rPr>
              <w:t>36,121</w:t>
            </w:r>
          </w:p>
        </w:tc>
      </w:tr>
      <w:tr w:rsidR="004075DF" w:rsidRPr="004075DF" w:rsidTr="004075DF">
        <w:trPr>
          <w:trHeight w:val="300"/>
          <w:jc w:val="right"/>
        </w:trPr>
        <w:tc>
          <w:tcPr>
            <w:tcW w:w="2059" w:type="dxa"/>
            <w:tcBorders>
              <w:top w:val="nil"/>
              <w:left w:val="single" w:sz="4" w:space="0" w:color="008000"/>
              <w:bottom w:val="nil"/>
              <w:right w:val="nil"/>
            </w:tcBorders>
            <w:shd w:val="clear" w:color="000000" w:fill="FFFFE1"/>
            <w:noWrap/>
            <w:vAlign w:val="center"/>
            <w:hideMark/>
          </w:tcPr>
          <w:p w:rsidR="004075DF" w:rsidRPr="004075DF" w:rsidRDefault="004075DF" w:rsidP="004075DF">
            <w:pPr>
              <w:rPr>
                <w:rFonts w:ascii="Arial" w:hAnsi="Arial" w:cs="Arial"/>
                <w:color w:val="000000"/>
                <w:sz w:val="16"/>
                <w:szCs w:val="16"/>
              </w:rPr>
            </w:pPr>
            <w:r w:rsidRPr="004075DF">
              <w:rPr>
                <w:rFonts w:ascii="Arial" w:hAnsi="Arial" w:cs="Arial"/>
                <w:color w:val="000000"/>
                <w:sz w:val="16"/>
                <w:szCs w:val="16"/>
              </w:rPr>
              <w:t>Net Migration 10-13</w:t>
            </w:r>
          </w:p>
        </w:tc>
        <w:tc>
          <w:tcPr>
            <w:tcW w:w="928" w:type="dxa"/>
            <w:tcBorders>
              <w:top w:val="nil"/>
              <w:left w:val="nil"/>
              <w:bottom w:val="nil"/>
              <w:right w:val="single" w:sz="4" w:space="0" w:color="008000"/>
            </w:tcBorders>
            <w:shd w:val="clear" w:color="000000" w:fill="FFFFE1"/>
            <w:noWrap/>
            <w:vAlign w:val="center"/>
            <w:hideMark/>
          </w:tcPr>
          <w:p w:rsidR="004075DF" w:rsidRPr="004075DF" w:rsidRDefault="004075DF" w:rsidP="004075DF">
            <w:pPr>
              <w:jc w:val="right"/>
              <w:rPr>
                <w:rFonts w:ascii="Arial" w:hAnsi="Arial" w:cs="Arial"/>
                <w:color w:val="000000"/>
                <w:sz w:val="16"/>
                <w:szCs w:val="16"/>
              </w:rPr>
            </w:pPr>
            <w:r w:rsidRPr="004075DF">
              <w:rPr>
                <w:rFonts w:ascii="Arial" w:hAnsi="Arial" w:cs="Arial"/>
                <w:color w:val="000000"/>
                <w:sz w:val="16"/>
                <w:szCs w:val="16"/>
              </w:rPr>
              <w:t>-10,013</w:t>
            </w:r>
          </w:p>
        </w:tc>
      </w:tr>
      <w:tr w:rsidR="004075DF" w:rsidRPr="004075DF" w:rsidTr="004075DF">
        <w:trPr>
          <w:trHeight w:val="300"/>
          <w:jc w:val="right"/>
        </w:trPr>
        <w:tc>
          <w:tcPr>
            <w:tcW w:w="2059" w:type="dxa"/>
            <w:tcBorders>
              <w:top w:val="single" w:sz="4" w:space="0" w:color="009900"/>
              <w:left w:val="single" w:sz="4" w:space="0" w:color="008000"/>
              <w:bottom w:val="single" w:sz="4" w:space="0" w:color="008000"/>
              <w:right w:val="nil"/>
            </w:tcBorders>
            <w:shd w:val="clear" w:color="000000" w:fill="FFFFE1"/>
            <w:noWrap/>
            <w:vAlign w:val="center"/>
            <w:hideMark/>
          </w:tcPr>
          <w:p w:rsidR="004075DF" w:rsidRPr="004075DF" w:rsidRDefault="004075DF" w:rsidP="004075DF">
            <w:pPr>
              <w:rPr>
                <w:rFonts w:ascii="Arial" w:hAnsi="Arial" w:cs="Arial"/>
                <w:b/>
                <w:bCs/>
                <w:color w:val="000000"/>
                <w:sz w:val="16"/>
                <w:szCs w:val="16"/>
              </w:rPr>
            </w:pPr>
            <w:r w:rsidRPr="004075DF">
              <w:rPr>
                <w:rFonts w:ascii="Arial" w:hAnsi="Arial" w:cs="Arial"/>
                <w:b/>
                <w:bCs/>
                <w:color w:val="000000"/>
                <w:sz w:val="16"/>
                <w:szCs w:val="16"/>
              </w:rPr>
              <w:t>2013 Population Est.</w:t>
            </w:r>
          </w:p>
        </w:tc>
        <w:tc>
          <w:tcPr>
            <w:tcW w:w="928" w:type="dxa"/>
            <w:tcBorders>
              <w:top w:val="single" w:sz="4" w:space="0" w:color="009900"/>
              <w:left w:val="nil"/>
              <w:bottom w:val="single" w:sz="4" w:space="0" w:color="008000"/>
              <w:right w:val="single" w:sz="4" w:space="0" w:color="008000"/>
            </w:tcBorders>
            <w:shd w:val="clear" w:color="000000" w:fill="FFFFE1"/>
            <w:noWrap/>
            <w:vAlign w:val="center"/>
            <w:hideMark/>
          </w:tcPr>
          <w:p w:rsidR="004075DF" w:rsidRPr="004075DF" w:rsidRDefault="004075DF" w:rsidP="004075DF">
            <w:pPr>
              <w:jc w:val="right"/>
              <w:rPr>
                <w:rFonts w:ascii="Arial" w:hAnsi="Arial" w:cs="Arial"/>
                <w:b/>
                <w:bCs/>
                <w:color w:val="000000"/>
                <w:sz w:val="16"/>
                <w:szCs w:val="16"/>
              </w:rPr>
            </w:pPr>
            <w:r w:rsidRPr="004075DF">
              <w:rPr>
                <w:rFonts w:ascii="Arial" w:hAnsi="Arial" w:cs="Arial"/>
                <w:b/>
                <w:bCs/>
                <w:color w:val="000000"/>
                <w:sz w:val="16"/>
                <w:szCs w:val="16"/>
              </w:rPr>
              <w:t>2,085,287</w:t>
            </w:r>
          </w:p>
        </w:tc>
      </w:tr>
    </w:tbl>
    <w:p w:rsidR="00EC2B3D" w:rsidRPr="00BB666B" w:rsidRDefault="00EC2B3D" w:rsidP="00D8477B">
      <w:pPr>
        <w:jc w:val="both"/>
        <w:rPr>
          <w:rFonts w:ascii="CG Omega" w:hAnsi="CG Omega"/>
          <w:highlight w:val="yellow"/>
        </w:rPr>
      </w:pPr>
    </w:p>
    <w:p w:rsidR="0044083A" w:rsidRPr="0078185F" w:rsidRDefault="0044083A" w:rsidP="0044083A">
      <w:pPr>
        <w:pStyle w:val="PlainText"/>
        <w:jc w:val="both"/>
        <w:rPr>
          <w:rFonts w:ascii="CG Omega" w:hAnsi="CG Omega"/>
          <w:b/>
          <w:bCs/>
          <w:smallCaps/>
          <w:sz w:val="26"/>
          <w:szCs w:val="26"/>
        </w:rPr>
      </w:pPr>
      <w:r w:rsidRPr="0078185F">
        <w:rPr>
          <w:rFonts w:ascii="CG Omega" w:hAnsi="CG Omega"/>
          <w:b/>
          <w:bCs/>
          <w:smallCaps/>
          <w:sz w:val="26"/>
          <w:szCs w:val="26"/>
        </w:rPr>
        <w:t>Total Population</w:t>
      </w:r>
    </w:p>
    <w:p w:rsidR="0044083A" w:rsidRPr="00BB666B" w:rsidRDefault="0044083A" w:rsidP="00D8477B">
      <w:pPr>
        <w:jc w:val="both"/>
        <w:rPr>
          <w:rFonts w:ascii="CG Omega" w:hAnsi="CG Omega"/>
        </w:rPr>
      </w:pPr>
    </w:p>
    <w:p w:rsidR="007E6ECF" w:rsidRPr="00955C8C" w:rsidRDefault="00BC2A8D" w:rsidP="00D8477B">
      <w:pPr>
        <w:jc w:val="both"/>
        <w:rPr>
          <w:rFonts w:ascii="CG Omega" w:hAnsi="CG Omega"/>
          <w:highlight w:val="yellow"/>
        </w:rPr>
      </w:pPr>
      <w:r w:rsidRPr="00974E80">
        <w:rPr>
          <w:rFonts w:ascii="CG Omega" w:hAnsi="CG Omega"/>
          <w:b/>
        </w:rPr>
        <w:t>Table III.1</w:t>
      </w:r>
      <w:r w:rsidR="00775D46" w:rsidRPr="0078185F">
        <w:rPr>
          <w:rFonts w:ascii="CG Omega" w:hAnsi="CG Omega"/>
        </w:rPr>
        <w:t>, at right,</w:t>
      </w:r>
      <w:r w:rsidRPr="0078185F">
        <w:rPr>
          <w:rFonts w:ascii="CG Omega" w:hAnsi="CG Omega"/>
        </w:rPr>
        <w:t xml:space="preserve"> shows the changes in population that have occurred in New Mexico from 1980 through the most rece</w:t>
      </w:r>
      <w:r w:rsidR="00395B8E">
        <w:rPr>
          <w:rFonts w:ascii="CG Omega" w:hAnsi="CG Omega"/>
        </w:rPr>
        <w:t>nt population estimates for 20</w:t>
      </w:r>
      <w:r w:rsidR="005865E7">
        <w:rPr>
          <w:rFonts w:ascii="CG Omega" w:hAnsi="CG Omega"/>
        </w:rPr>
        <w:t>13.</w:t>
      </w:r>
      <w:r w:rsidRPr="0078185F">
        <w:rPr>
          <w:rFonts w:ascii="CG Omega" w:hAnsi="CG Omega"/>
        </w:rPr>
        <w:t xml:space="preserve"> Overall, the population increased from 1.3 million in 1980 to </w:t>
      </w:r>
      <w:r w:rsidR="005865E7">
        <w:rPr>
          <w:rFonts w:ascii="CG Omega" w:hAnsi="CG Omega"/>
        </w:rPr>
        <w:t>over 2.0 million in 2013</w:t>
      </w:r>
      <w:r w:rsidRPr="0078185F">
        <w:rPr>
          <w:rFonts w:ascii="CG Omega" w:hAnsi="CG Omega"/>
        </w:rPr>
        <w:t>.</w:t>
      </w:r>
      <w:r w:rsidR="00F02CFC" w:rsidRPr="0078185F">
        <w:rPr>
          <w:rFonts w:ascii="CG Omega" w:hAnsi="CG Omega"/>
        </w:rPr>
        <w:t xml:space="preserve">  </w:t>
      </w:r>
      <w:r w:rsidR="0078185F">
        <w:rPr>
          <w:rFonts w:ascii="CG Omega" w:hAnsi="CG Omega"/>
        </w:rPr>
        <w:t>This was an increase of 60 percent over those three decades.</w:t>
      </w:r>
    </w:p>
    <w:p w:rsidR="00B73787" w:rsidRPr="00BB666B" w:rsidRDefault="00B73787" w:rsidP="00D8477B">
      <w:pPr>
        <w:jc w:val="both"/>
        <w:rPr>
          <w:rFonts w:ascii="CG Omega" w:hAnsi="CG Omega"/>
          <w:highlight w:val="yellow"/>
        </w:rPr>
      </w:pPr>
    </w:p>
    <w:p w:rsidR="00BC2A8D" w:rsidRDefault="00BC2A8D" w:rsidP="00D8477B">
      <w:pPr>
        <w:jc w:val="both"/>
        <w:rPr>
          <w:rFonts w:ascii="CG Omega" w:hAnsi="CG Omega"/>
          <w:highlight w:val="yellow"/>
        </w:rPr>
      </w:pPr>
      <w:r w:rsidRPr="007565F2">
        <w:rPr>
          <w:rFonts w:ascii="CG Omega" w:hAnsi="CG Omega"/>
        </w:rPr>
        <w:t>This table also details the population changes</w:t>
      </w:r>
      <w:r w:rsidR="00395B8E">
        <w:rPr>
          <w:rFonts w:ascii="CG Omega" w:hAnsi="CG Omega"/>
        </w:rPr>
        <w:t xml:space="preserve"> due to the natural increase, which is </w:t>
      </w:r>
      <w:r w:rsidR="007565F2" w:rsidRPr="007565F2">
        <w:rPr>
          <w:rFonts w:ascii="CG Omega" w:hAnsi="CG Omega"/>
        </w:rPr>
        <w:t>the number of bi</w:t>
      </w:r>
      <w:r w:rsidR="00395B8E">
        <w:rPr>
          <w:rFonts w:ascii="CG Omega" w:hAnsi="CG Omega"/>
        </w:rPr>
        <w:t>rths minus the number of deaths,</w:t>
      </w:r>
      <w:r w:rsidRPr="007565F2">
        <w:rPr>
          <w:rFonts w:ascii="CG Omega" w:hAnsi="CG Omega"/>
        </w:rPr>
        <w:t xml:space="preserve"> </w:t>
      </w:r>
      <w:r w:rsidR="00F02CFC" w:rsidRPr="007565F2">
        <w:rPr>
          <w:rFonts w:ascii="CG Omega" w:hAnsi="CG Omega"/>
        </w:rPr>
        <w:t>as well as the net migration, which refers to the</w:t>
      </w:r>
      <w:r w:rsidRPr="007565F2">
        <w:rPr>
          <w:rFonts w:ascii="CG Omega" w:hAnsi="CG Omega"/>
        </w:rPr>
        <w:t xml:space="preserve"> total persons moving </w:t>
      </w:r>
      <w:r w:rsidR="00F02CFC" w:rsidRPr="007565F2">
        <w:rPr>
          <w:rFonts w:ascii="CG Omega" w:hAnsi="CG Omega"/>
        </w:rPr>
        <w:t>in</w:t>
      </w:r>
      <w:r w:rsidRPr="007565F2">
        <w:rPr>
          <w:rFonts w:ascii="CG Omega" w:hAnsi="CG Omega"/>
        </w:rPr>
        <w:t xml:space="preserve">to or </w:t>
      </w:r>
      <w:r w:rsidR="00F02CFC" w:rsidRPr="007565F2">
        <w:rPr>
          <w:rFonts w:ascii="CG Omega" w:hAnsi="CG Omega"/>
        </w:rPr>
        <w:t xml:space="preserve">out </w:t>
      </w:r>
      <w:r w:rsidRPr="007565F2">
        <w:rPr>
          <w:rFonts w:ascii="CG Omega" w:hAnsi="CG Omega"/>
        </w:rPr>
        <w:t xml:space="preserve">from the state.  </w:t>
      </w:r>
      <w:r w:rsidRPr="006A176C">
        <w:rPr>
          <w:rFonts w:ascii="CG Omega" w:hAnsi="CG Omega"/>
        </w:rPr>
        <w:t xml:space="preserve">Between 2000 and 2009, </w:t>
      </w:r>
      <w:r w:rsidR="007565F2" w:rsidRPr="006A176C">
        <w:rPr>
          <w:rFonts w:ascii="CG Omega" w:hAnsi="CG Omega"/>
        </w:rPr>
        <w:t>more than half of the state’s population growth was attributable to natural increase, though migration did account for a substantial minorit</w:t>
      </w:r>
      <w:r w:rsidR="006A176C" w:rsidRPr="006A176C">
        <w:rPr>
          <w:rFonts w:ascii="CG Omega" w:hAnsi="CG Omega"/>
        </w:rPr>
        <w:t>y of overall population growth during that decade. The same has not been true for the period from 2010 to 2013, when New Mexico experienced a negative net flow of migration from the state.</w:t>
      </w:r>
    </w:p>
    <w:p w:rsidR="00B73787" w:rsidRPr="00866A4D" w:rsidRDefault="00B73787" w:rsidP="00D8477B">
      <w:pPr>
        <w:jc w:val="both"/>
        <w:rPr>
          <w:rFonts w:ascii="CG Omega" w:hAnsi="CG Omega"/>
          <w:highlight w:val="yellow"/>
        </w:rPr>
      </w:pPr>
    </w:p>
    <w:p w:rsidR="00071BCA" w:rsidRDefault="00071BCA" w:rsidP="00D8477B">
      <w:pPr>
        <w:jc w:val="both"/>
        <w:rPr>
          <w:rFonts w:ascii="CG Omega" w:hAnsi="CG Omega"/>
        </w:rPr>
      </w:pPr>
      <w:r w:rsidRPr="00071BCA">
        <w:rPr>
          <w:rFonts w:ascii="CG Omega" w:hAnsi="CG Omega"/>
        </w:rPr>
        <w:lastRenderedPageBreak/>
        <w:t xml:space="preserve">The year-to year estimated growth in population in New Mexico is also presented in </w:t>
      </w:r>
      <w:r w:rsidRPr="00974E80">
        <w:rPr>
          <w:rFonts w:ascii="CG Omega" w:hAnsi="CG Omega"/>
          <w:b/>
        </w:rPr>
        <w:t>Diagram III.1</w:t>
      </w:r>
      <w:r w:rsidRPr="00071BCA">
        <w:rPr>
          <w:rFonts w:ascii="CG Omega" w:hAnsi="CG Omega"/>
        </w:rPr>
        <w:t xml:space="preserve">, on the following page. </w:t>
      </w:r>
      <w:r>
        <w:rPr>
          <w:rFonts w:ascii="CG Omega" w:hAnsi="CG Omega"/>
        </w:rPr>
        <w:t xml:space="preserve">The growth rate for the state has slowed since the major growth in the early 2000s.  </w:t>
      </w:r>
      <w:r w:rsidRPr="00071BCA">
        <w:rPr>
          <w:rFonts w:ascii="CG Omega" w:hAnsi="CG Omega"/>
        </w:rPr>
        <w:t xml:space="preserve">  </w:t>
      </w:r>
    </w:p>
    <w:p w:rsidR="00B52F42" w:rsidRDefault="00B52F42" w:rsidP="00D8477B">
      <w:pPr>
        <w:jc w:val="both"/>
        <w:rPr>
          <w:rFonts w:ascii="CG Omega" w:hAnsi="CG Omega"/>
        </w:rPr>
      </w:pPr>
    </w:p>
    <w:p w:rsidR="00B52F42" w:rsidRDefault="00B52F42" w:rsidP="00D8477B">
      <w:pPr>
        <w:jc w:val="both"/>
        <w:rPr>
          <w:rFonts w:ascii="CG Omega" w:hAnsi="CG Omega"/>
        </w:rPr>
      </w:pPr>
    </w:p>
    <w:p w:rsidR="00B52F42" w:rsidRDefault="00B52F42" w:rsidP="00D8477B">
      <w:pPr>
        <w:jc w:val="both"/>
        <w:rPr>
          <w:rFonts w:ascii="CG Omega" w:hAnsi="CG Omega"/>
        </w:rPr>
      </w:pPr>
    </w:p>
    <w:p w:rsidR="00E96144" w:rsidRDefault="00E96144" w:rsidP="00E96144">
      <w:pPr>
        <w:jc w:val="both"/>
        <w:rPr>
          <w:rFonts w:ascii="CG Omega" w:hAnsi="CG Omega"/>
        </w:rPr>
      </w:pPr>
    </w:p>
    <w:p w:rsidR="00E96144" w:rsidRPr="0013476F" w:rsidRDefault="00E96144" w:rsidP="00E96144">
      <w:pPr>
        <w:jc w:val="center"/>
        <w:rPr>
          <w:rFonts w:ascii="Arial" w:hAnsi="Arial" w:cs="Arial"/>
          <w:sz w:val="22"/>
          <w:szCs w:val="22"/>
        </w:rPr>
      </w:pPr>
      <w:r w:rsidRPr="005B00C5">
        <w:rPr>
          <w:rFonts w:ascii="Arial" w:hAnsi="Arial" w:cs="Arial"/>
          <w:b/>
          <w:bCs/>
          <w:sz w:val="22"/>
          <w:szCs w:val="22"/>
        </w:rPr>
        <w:t>Diagram III.1</w:t>
      </w:r>
    </w:p>
    <w:p w:rsidR="00E96144" w:rsidRPr="0013476F" w:rsidRDefault="00E96144" w:rsidP="00E96144">
      <w:pPr>
        <w:jc w:val="center"/>
        <w:rPr>
          <w:rFonts w:ascii="Arial" w:hAnsi="Arial" w:cs="Arial"/>
          <w:sz w:val="20"/>
          <w:szCs w:val="20"/>
        </w:rPr>
      </w:pPr>
      <w:r w:rsidRPr="0013476F">
        <w:rPr>
          <w:rFonts w:ascii="Arial" w:hAnsi="Arial" w:cs="Arial"/>
          <w:b/>
          <w:bCs/>
          <w:sz w:val="20"/>
          <w:szCs w:val="20"/>
        </w:rPr>
        <w:t>Intercensal Population Estimates</w:t>
      </w:r>
    </w:p>
    <w:p w:rsidR="00E96144" w:rsidRPr="0013476F" w:rsidRDefault="00E96144" w:rsidP="00E96144">
      <w:pPr>
        <w:jc w:val="center"/>
        <w:rPr>
          <w:rFonts w:ascii="Arial" w:hAnsi="Arial" w:cs="Arial"/>
          <w:sz w:val="16"/>
          <w:szCs w:val="16"/>
        </w:rPr>
      </w:pPr>
      <w:r w:rsidRPr="0013476F">
        <w:rPr>
          <w:rFonts w:ascii="Arial" w:hAnsi="Arial" w:cs="Arial"/>
          <w:sz w:val="16"/>
          <w:szCs w:val="16"/>
        </w:rPr>
        <w:t>State of New Mexico</w:t>
      </w:r>
    </w:p>
    <w:p w:rsidR="00775D46" w:rsidRPr="00395B8E" w:rsidRDefault="00E96144" w:rsidP="00395B8E">
      <w:pPr>
        <w:jc w:val="center"/>
        <w:rPr>
          <w:rFonts w:ascii="Arial" w:hAnsi="Arial" w:cs="Arial"/>
          <w:sz w:val="16"/>
          <w:szCs w:val="16"/>
        </w:rPr>
      </w:pPr>
      <w:r w:rsidRPr="0013476F">
        <w:rPr>
          <w:rFonts w:ascii="Arial" w:hAnsi="Arial" w:cs="Arial"/>
          <w:sz w:val="16"/>
          <w:szCs w:val="16"/>
        </w:rPr>
        <w:t xml:space="preserve">2000 </w:t>
      </w:r>
      <w:r w:rsidR="00A201EB">
        <w:rPr>
          <w:rFonts w:ascii="Arial" w:hAnsi="Arial" w:cs="Arial"/>
          <w:sz w:val="16"/>
          <w:szCs w:val="16"/>
        </w:rPr>
        <w:t xml:space="preserve">and 2010 </w:t>
      </w:r>
      <w:r w:rsidRPr="0013476F">
        <w:rPr>
          <w:rFonts w:ascii="Arial" w:hAnsi="Arial" w:cs="Arial"/>
          <w:sz w:val="16"/>
          <w:szCs w:val="16"/>
        </w:rPr>
        <w:t>Census and Intercensal Estimates</w:t>
      </w:r>
    </w:p>
    <w:p w:rsidR="00775D46" w:rsidRDefault="00B61957" w:rsidP="00395B8E">
      <w:pPr>
        <w:jc w:val="center"/>
        <w:rPr>
          <w:rFonts w:ascii="CG Omega" w:hAnsi="CG Omega"/>
          <w:highlight w:val="yellow"/>
        </w:rPr>
      </w:pPr>
      <w:bookmarkStart w:id="36" w:name="_MON_1341295161"/>
      <w:bookmarkEnd w:id="36"/>
      <w:r>
        <w:rPr>
          <w:noProof/>
        </w:rPr>
        <w:drawing>
          <wp:inline distT="0" distB="0" distL="0" distR="0" wp14:anchorId="576D6F89" wp14:editId="1C5CC7DE">
            <wp:extent cx="5486400" cy="2971800"/>
            <wp:effectExtent l="0" t="0" r="0"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866A4D" w:rsidRPr="00395B8E" w:rsidRDefault="00866A4D" w:rsidP="00395B8E">
      <w:pPr>
        <w:jc w:val="center"/>
        <w:rPr>
          <w:rFonts w:ascii="CG Omega" w:hAnsi="CG Omega"/>
          <w:highlight w:val="yellow"/>
        </w:rPr>
      </w:pPr>
    </w:p>
    <w:p w:rsidR="001A022D" w:rsidRPr="00231CDE" w:rsidRDefault="001A022D" w:rsidP="0044083A">
      <w:pPr>
        <w:jc w:val="both"/>
        <w:rPr>
          <w:rFonts w:ascii="CG Omega" w:hAnsi="CG Omega"/>
          <w:b/>
          <w:bCs/>
          <w:smallCaps/>
          <w:sz w:val="26"/>
          <w:szCs w:val="26"/>
        </w:rPr>
      </w:pPr>
      <w:r w:rsidRPr="00231CDE">
        <w:rPr>
          <w:rFonts w:ascii="CG Omega" w:hAnsi="CG Omega"/>
          <w:b/>
          <w:bCs/>
          <w:smallCaps/>
          <w:sz w:val="26"/>
          <w:szCs w:val="26"/>
        </w:rPr>
        <w:t>Population by Race and Ethnicity</w:t>
      </w:r>
    </w:p>
    <w:p w:rsidR="001A022D" w:rsidRPr="00866A4D" w:rsidRDefault="001A022D" w:rsidP="0044083A">
      <w:pPr>
        <w:jc w:val="both"/>
        <w:rPr>
          <w:rFonts w:ascii="CG Omega" w:hAnsi="CG Omega"/>
          <w:b/>
          <w:bCs/>
          <w:smallCaps/>
          <w:highlight w:val="yellow"/>
        </w:rPr>
      </w:pPr>
    </w:p>
    <w:p w:rsidR="006458D4" w:rsidRDefault="00231CDE" w:rsidP="006458D4">
      <w:pPr>
        <w:jc w:val="both"/>
        <w:rPr>
          <w:rFonts w:ascii="CG Omega" w:hAnsi="CG Omega"/>
        </w:rPr>
      </w:pPr>
      <w:r w:rsidRPr="009B459B">
        <w:rPr>
          <w:rFonts w:ascii="CG Omega" w:hAnsi="CG Omega"/>
        </w:rPr>
        <w:t xml:space="preserve">As the population of New Mexico grew between 2000 and 2010, the racial and ethnic composition of the state </w:t>
      </w:r>
      <w:r w:rsidR="00D1685A">
        <w:rPr>
          <w:rFonts w:ascii="CG Omega" w:hAnsi="CG Omega"/>
        </w:rPr>
        <w:t>underwent a slight shift</w:t>
      </w:r>
      <w:r w:rsidR="00EA4494">
        <w:rPr>
          <w:rFonts w:ascii="CG Omega" w:hAnsi="CG Omega"/>
        </w:rPr>
        <w:t xml:space="preserve">, as shown in </w:t>
      </w:r>
      <w:r w:rsidR="00EA4494" w:rsidRPr="00974E80">
        <w:rPr>
          <w:rFonts w:ascii="CG Omega" w:hAnsi="CG Omega"/>
          <w:b/>
        </w:rPr>
        <w:t>Table III.2</w:t>
      </w:r>
      <w:r w:rsidR="00EA4494">
        <w:rPr>
          <w:rFonts w:ascii="CG Omega" w:hAnsi="CG Omega"/>
        </w:rPr>
        <w:t xml:space="preserve"> on the following page</w:t>
      </w:r>
      <w:r w:rsidRPr="009B459B">
        <w:rPr>
          <w:rFonts w:ascii="CG Omega" w:hAnsi="CG Omega"/>
        </w:rPr>
        <w:t>. Overall, the population grew by 13.2 percent</w:t>
      </w:r>
      <w:r w:rsidR="00071B4E" w:rsidRPr="009B459B">
        <w:rPr>
          <w:rFonts w:ascii="CG Omega" w:hAnsi="CG Omega"/>
        </w:rPr>
        <w:t xml:space="preserve"> during that time, though different racial and ethnic groups within the overall population grew at different rates. The </w:t>
      </w:r>
      <w:r w:rsidR="00CC3344">
        <w:rPr>
          <w:rFonts w:ascii="CG Omega" w:hAnsi="CG Omega"/>
        </w:rPr>
        <w:t>White</w:t>
      </w:r>
      <w:r w:rsidR="00071B4E" w:rsidRPr="009B459B">
        <w:rPr>
          <w:rFonts w:ascii="CG Omega" w:hAnsi="CG Omega"/>
        </w:rPr>
        <w:t xml:space="preserve"> population, which accounted for the largest proportion of New Mexicans in both years, grew by 15.9 percent and accounted for a larger proportion of the p</w:t>
      </w:r>
      <w:r w:rsidR="00D1685A">
        <w:rPr>
          <w:rFonts w:ascii="CG Omega" w:hAnsi="CG Omega"/>
        </w:rPr>
        <w:t>opulation in 2010</w:t>
      </w:r>
      <w:r w:rsidR="00071B4E" w:rsidRPr="009B459B">
        <w:rPr>
          <w:rFonts w:ascii="CG Omega" w:hAnsi="CG Omega"/>
        </w:rPr>
        <w:t xml:space="preserve"> th</w:t>
      </w:r>
      <w:r w:rsidR="00D1685A">
        <w:rPr>
          <w:rFonts w:ascii="CG Omega" w:hAnsi="CG Omega"/>
        </w:rPr>
        <w:t>an it had in 2000</w:t>
      </w:r>
      <w:r w:rsidR="00071B4E" w:rsidRPr="009B459B">
        <w:rPr>
          <w:rFonts w:ascii="CG Omega" w:hAnsi="CG Omega"/>
        </w:rPr>
        <w:t xml:space="preserve">. Likewise, the </w:t>
      </w:r>
      <w:r w:rsidR="00CC3344">
        <w:rPr>
          <w:rFonts w:ascii="CG Omega" w:hAnsi="CG Omega"/>
        </w:rPr>
        <w:t>Black</w:t>
      </w:r>
      <w:r w:rsidR="00071B4E" w:rsidRPr="009B459B">
        <w:rPr>
          <w:rFonts w:ascii="CG Omega" w:hAnsi="CG Omega"/>
        </w:rPr>
        <w:t xml:space="preserve"> population grew</w:t>
      </w:r>
      <w:r w:rsidR="00D1685A">
        <w:rPr>
          <w:rFonts w:ascii="CG Omega" w:hAnsi="CG Omega"/>
        </w:rPr>
        <w:t xml:space="preserve"> by 23.9 percent, a faster rate</w:t>
      </w:r>
      <w:r w:rsidR="00071B4E" w:rsidRPr="009B459B">
        <w:rPr>
          <w:rFonts w:ascii="CG Omega" w:hAnsi="CG Omega"/>
        </w:rPr>
        <w:t xml:space="preserve"> than the population overall, and accounted for 2.1 percent of the population in </w:t>
      </w:r>
      <w:r w:rsidR="004E27C8" w:rsidRPr="009B459B">
        <w:rPr>
          <w:rFonts w:ascii="CG Omega" w:hAnsi="CG Omega"/>
        </w:rPr>
        <w:t>2010. By contrast, growth in the American Indian population did not keep pace</w:t>
      </w:r>
      <w:r w:rsidR="00D1685A">
        <w:rPr>
          <w:rFonts w:ascii="CG Omega" w:hAnsi="CG Omega"/>
        </w:rPr>
        <w:t xml:space="preserve"> with overall population growth, </w:t>
      </w:r>
      <w:r w:rsidR="004E27C8" w:rsidRPr="009B459B">
        <w:rPr>
          <w:rFonts w:ascii="CG Omega" w:hAnsi="CG Omega"/>
        </w:rPr>
        <w:t xml:space="preserve">and as a result a smaller proportion of New Mexico citizens were American Indian in 2010 than had been in 2000. The only group that experienced an </w:t>
      </w:r>
      <w:r w:rsidR="004E27C8" w:rsidRPr="009B459B">
        <w:rPr>
          <w:rFonts w:ascii="CG Omega" w:hAnsi="CG Omega"/>
        </w:rPr>
        <w:lastRenderedPageBreak/>
        <w:t>absolute decline in population was composed of those who identified their race as “other”</w:t>
      </w:r>
      <w:r w:rsidR="009B459B" w:rsidRPr="009B459B">
        <w:rPr>
          <w:rFonts w:ascii="CG Omega" w:hAnsi="CG Omega"/>
        </w:rPr>
        <w:t xml:space="preserve">, which fell by 0.4 percent over the decade. </w:t>
      </w:r>
    </w:p>
    <w:p w:rsidR="009B459B" w:rsidRPr="00866A4D" w:rsidRDefault="009B459B" w:rsidP="006458D4">
      <w:pPr>
        <w:jc w:val="both"/>
        <w:rPr>
          <w:rFonts w:ascii="CG Omega" w:hAnsi="CG Omega"/>
        </w:rPr>
      </w:pPr>
    </w:p>
    <w:p w:rsidR="009B459B" w:rsidRPr="009B459B" w:rsidRDefault="00D1685A" w:rsidP="006458D4">
      <w:pPr>
        <w:jc w:val="both"/>
        <w:rPr>
          <w:rFonts w:ascii="CG Omega" w:hAnsi="CG Omega"/>
        </w:rPr>
      </w:pPr>
      <w:r>
        <w:rPr>
          <w:rFonts w:ascii="CG Omega" w:hAnsi="CG Omega"/>
        </w:rPr>
        <w:t>T</w:t>
      </w:r>
      <w:r w:rsidR="009B459B">
        <w:rPr>
          <w:rFonts w:ascii="CG Omega" w:hAnsi="CG Omega"/>
        </w:rPr>
        <w:t xml:space="preserve">he Hispanic population grew at a faster rate than the non-Hispanic population. In 2000, Hispanic residents accounted for 42.1 percent of the population. After experiencing a rate of growth </w:t>
      </w:r>
      <w:r w:rsidR="00695048">
        <w:rPr>
          <w:rFonts w:ascii="CG Omega" w:hAnsi="CG Omega"/>
        </w:rPr>
        <w:t xml:space="preserve">of 24.6 percent between 2000 and 2010, the Hispanic population came to account for 46.3 percent of the total population. Meanwhile, the non-Hispanic population </w:t>
      </w:r>
      <w:r w:rsidR="00FF00BD">
        <w:rPr>
          <w:rFonts w:ascii="CG Omega" w:hAnsi="CG Omega"/>
        </w:rPr>
        <w:t>grew</w:t>
      </w:r>
      <w:r w:rsidR="00695048">
        <w:rPr>
          <w:rFonts w:ascii="CG Omega" w:hAnsi="CG Omega"/>
        </w:rPr>
        <w:t xml:space="preserve"> by </w:t>
      </w:r>
      <w:r w:rsidR="00FF00BD">
        <w:rPr>
          <w:rFonts w:ascii="CG Omega" w:hAnsi="CG Omega"/>
        </w:rPr>
        <w:t xml:space="preserve">only </w:t>
      </w:r>
      <w:r w:rsidR="00695048">
        <w:rPr>
          <w:rFonts w:ascii="CG Omega" w:hAnsi="CG Omega"/>
        </w:rPr>
        <w:t>4.9 percent and the proportion of non-Hispanic New Mexico residents fe</w:t>
      </w:r>
      <w:r>
        <w:rPr>
          <w:rFonts w:ascii="CG Omega" w:hAnsi="CG Omega"/>
        </w:rPr>
        <w:t>ll by over 4 percentage points.</w:t>
      </w:r>
    </w:p>
    <w:tbl>
      <w:tblPr>
        <w:tblW w:w="9676" w:type="dxa"/>
        <w:jc w:val="center"/>
        <w:tblLook w:val="04A0" w:firstRow="1" w:lastRow="0" w:firstColumn="1" w:lastColumn="0" w:noHBand="0" w:noVBand="1"/>
      </w:tblPr>
      <w:tblGrid>
        <w:gridCol w:w="2571"/>
        <w:gridCol w:w="1502"/>
        <w:gridCol w:w="1844"/>
        <w:gridCol w:w="1112"/>
        <w:gridCol w:w="1455"/>
        <w:gridCol w:w="1192"/>
      </w:tblGrid>
      <w:tr w:rsidR="004F48D1" w:rsidRPr="004F48D1" w:rsidTr="00AF4B00">
        <w:trPr>
          <w:trHeight w:val="216"/>
          <w:jc w:val="center"/>
        </w:trPr>
        <w:tc>
          <w:tcPr>
            <w:tcW w:w="9676" w:type="dxa"/>
            <w:gridSpan w:val="6"/>
            <w:tcBorders>
              <w:bottom w:val="single" w:sz="4" w:space="0" w:color="009900"/>
            </w:tcBorders>
            <w:shd w:val="clear" w:color="000000" w:fill="auto"/>
            <w:vAlign w:val="center"/>
            <w:hideMark/>
          </w:tcPr>
          <w:p w:rsidR="004F48D1" w:rsidRPr="004F48D1" w:rsidRDefault="004F48D1" w:rsidP="004F48D1">
            <w:pPr>
              <w:keepNext/>
              <w:jc w:val="center"/>
              <w:rPr>
                <w:rFonts w:ascii="Arial" w:eastAsia="Calibri" w:hAnsi="Arial"/>
                <w:b/>
                <w:bCs/>
                <w:color w:val="000000"/>
                <w:sz w:val="22"/>
                <w:szCs w:val="18"/>
              </w:rPr>
            </w:pPr>
            <w:r w:rsidRPr="004F48D1">
              <w:rPr>
                <w:rFonts w:ascii="Arial" w:eastAsia="Calibri" w:hAnsi="Arial"/>
                <w:b/>
                <w:bCs/>
                <w:color w:val="000000"/>
                <w:sz w:val="22"/>
                <w:szCs w:val="18"/>
              </w:rPr>
              <w:t>Table I</w:t>
            </w:r>
            <w:r w:rsidR="005B00C5">
              <w:rPr>
                <w:rFonts w:ascii="Arial" w:eastAsia="Calibri" w:hAnsi="Arial"/>
                <w:b/>
                <w:bCs/>
                <w:color w:val="000000"/>
                <w:sz w:val="22"/>
                <w:szCs w:val="18"/>
              </w:rPr>
              <w:t>II.2</w:t>
            </w:r>
          </w:p>
          <w:p w:rsidR="004F48D1" w:rsidRPr="004F48D1" w:rsidRDefault="004F48D1" w:rsidP="004F48D1">
            <w:pPr>
              <w:keepNext/>
              <w:keepLines/>
              <w:suppressAutoHyphens/>
              <w:jc w:val="center"/>
              <w:rPr>
                <w:rFonts w:ascii="Arial" w:eastAsia="Calibri" w:hAnsi="Arial"/>
                <w:b/>
                <w:sz w:val="20"/>
                <w:szCs w:val="23"/>
              </w:rPr>
            </w:pPr>
            <w:r w:rsidRPr="004F48D1">
              <w:rPr>
                <w:rFonts w:ascii="Arial" w:eastAsia="Calibri" w:hAnsi="Arial"/>
                <w:b/>
                <w:sz w:val="20"/>
                <w:szCs w:val="23"/>
              </w:rPr>
              <w:t>Population by Race and Ethnicity</w:t>
            </w:r>
          </w:p>
          <w:p w:rsidR="004F48D1" w:rsidRPr="004F48D1" w:rsidRDefault="004F48D1" w:rsidP="004F48D1">
            <w:pPr>
              <w:suppressAutoHyphens/>
              <w:jc w:val="center"/>
              <w:rPr>
                <w:rFonts w:ascii="Arial" w:eastAsia="Calibri" w:hAnsi="Arial"/>
                <w:sz w:val="16"/>
                <w:szCs w:val="23"/>
              </w:rPr>
            </w:pPr>
            <w:r w:rsidRPr="004F48D1">
              <w:rPr>
                <w:rFonts w:ascii="Arial" w:eastAsia="Calibri" w:hAnsi="Arial"/>
                <w:noProof/>
                <w:sz w:val="16"/>
                <w:szCs w:val="23"/>
              </w:rPr>
              <w:t>State of New Mexico</w:t>
            </w:r>
          </w:p>
          <w:p w:rsidR="004F48D1" w:rsidRPr="004F48D1" w:rsidRDefault="004F48D1" w:rsidP="004F48D1">
            <w:pPr>
              <w:suppressAutoHyphens/>
              <w:jc w:val="center"/>
              <w:rPr>
                <w:rFonts w:ascii="Arial" w:eastAsia="Calibri" w:hAnsi="Arial"/>
                <w:b/>
                <w:bCs/>
                <w:sz w:val="16"/>
                <w:szCs w:val="23"/>
              </w:rPr>
            </w:pPr>
            <w:r w:rsidRPr="004F48D1">
              <w:rPr>
                <w:rFonts w:ascii="Arial" w:eastAsia="Calibri" w:hAnsi="Arial"/>
                <w:sz w:val="16"/>
                <w:szCs w:val="23"/>
              </w:rPr>
              <w:t>2000 &amp; 2010 Census SF1 Data</w:t>
            </w:r>
          </w:p>
        </w:tc>
      </w:tr>
      <w:tr w:rsidR="004F48D1" w:rsidRPr="004F48D1" w:rsidTr="00AF4B00">
        <w:trPr>
          <w:trHeight w:val="216"/>
          <w:jc w:val="center"/>
        </w:trPr>
        <w:tc>
          <w:tcPr>
            <w:tcW w:w="2571" w:type="dxa"/>
            <w:vMerge w:val="restart"/>
            <w:tcBorders>
              <w:top w:val="single" w:sz="4" w:space="0" w:color="009900"/>
              <w:left w:val="single" w:sz="4" w:space="0" w:color="009900"/>
              <w:bottom w:val="single" w:sz="4" w:space="0" w:color="009900"/>
              <w:right w:val="nil"/>
            </w:tcBorders>
            <w:shd w:val="clear" w:color="000000" w:fill="FFFFE1"/>
            <w:noWrap/>
            <w:vAlign w:val="center"/>
            <w:hideMark/>
          </w:tcPr>
          <w:p w:rsidR="004F48D1" w:rsidRPr="004F48D1" w:rsidRDefault="004F48D1" w:rsidP="004F48D1">
            <w:pPr>
              <w:suppressAutoHyphens/>
              <w:rPr>
                <w:rFonts w:ascii="Arial" w:eastAsia="Calibri" w:hAnsi="Arial"/>
                <w:b/>
                <w:sz w:val="16"/>
                <w:szCs w:val="23"/>
              </w:rPr>
            </w:pPr>
            <w:r w:rsidRPr="004F48D1">
              <w:rPr>
                <w:rFonts w:ascii="Arial" w:eastAsia="Calibri" w:hAnsi="Arial"/>
                <w:b/>
                <w:sz w:val="16"/>
                <w:szCs w:val="23"/>
              </w:rPr>
              <w:t>Race</w:t>
            </w:r>
          </w:p>
        </w:tc>
        <w:tc>
          <w:tcPr>
            <w:tcW w:w="3346" w:type="dxa"/>
            <w:gridSpan w:val="2"/>
            <w:tcBorders>
              <w:top w:val="single" w:sz="4" w:space="0" w:color="009900"/>
              <w:left w:val="nil"/>
              <w:bottom w:val="dotted" w:sz="4" w:space="0" w:color="009900"/>
              <w:right w:val="nil"/>
            </w:tcBorders>
            <w:shd w:val="clear" w:color="000000" w:fill="FFFFE1"/>
            <w:noWrap/>
            <w:vAlign w:val="center"/>
            <w:hideMark/>
          </w:tcPr>
          <w:p w:rsidR="004F48D1" w:rsidRPr="004F48D1" w:rsidRDefault="004F48D1" w:rsidP="004F48D1">
            <w:pPr>
              <w:suppressAutoHyphens/>
              <w:jc w:val="center"/>
              <w:rPr>
                <w:rFonts w:ascii="Arial" w:eastAsia="Calibri" w:hAnsi="Arial"/>
                <w:b/>
                <w:sz w:val="16"/>
                <w:szCs w:val="23"/>
              </w:rPr>
            </w:pPr>
            <w:r w:rsidRPr="004F48D1">
              <w:rPr>
                <w:rFonts w:ascii="Arial" w:eastAsia="Calibri" w:hAnsi="Arial"/>
                <w:b/>
                <w:sz w:val="16"/>
                <w:szCs w:val="23"/>
              </w:rPr>
              <w:t>2000 Census</w:t>
            </w:r>
          </w:p>
        </w:tc>
        <w:tc>
          <w:tcPr>
            <w:tcW w:w="2567" w:type="dxa"/>
            <w:gridSpan w:val="2"/>
            <w:tcBorders>
              <w:top w:val="single" w:sz="4" w:space="0" w:color="009900"/>
              <w:left w:val="nil"/>
              <w:bottom w:val="dotted" w:sz="4" w:space="0" w:color="009900"/>
              <w:right w:val="nil"/>
            </w:tcBorders>
            <w:shd w:val="clear" w:color="000000" w:fill="FFFFE1"/>
            <w:vAlign w:val="center"/>
            <w:hideMark/>
          </w:tcPr>
          <w:p w:rsidR="004F48D1" w:rsidRPr="004F48D1" w:rsidRDefault="004F48D1" w:rsidP="004F48D1">
            <w:pPr>
              <w:suppressAutoHyphens/>
              <w:jc w:val="center"/>
              <w:rPr>
                <w:rFonts w:ascii="Arial" w:eastAsia="Calibri" w:hAnsi="Arial"/>
                <w:b/>
                <w:sz w:val="16"/>
                <w:szCs w:val="23"/>
              </w:rPr>
            </w:pPr>
            <w:r w:rsidRPr="004F48D1">
              <w:rPr>
                <w:rFonts w:ascii="Arial" w:eastAsia="Calibri" w:hAnsi="Arial"/>
                <w:b/>
                <w:sz w:val="16"/>
                <w:szCs w:val="23"/>
              </w:rPr>
              <w:t>2010 Census</w:t>
            </w:r>
          </w:p>
        </w:tc>
        <w:tc>
          <w:tcPr>
            <w:tcW w:w="1192" w:type="dxa"/>
            <w:vMerge w:val="restart"/>
            <w:tcBorders>
              <w:top w:val="single" w:sz="4" w:space="0" w:color="009900"/>
              <w:left w:val="dotted" w:sz="4" w:space="0" w:color="009900"/>
              <w:bottom w:val="single" w:sz="4" w:space="0" w:color="009900"/>
              <w:right w:val="single" w:sz="4" w:space="0" w:color="009900"/>
            </w:tcBorders>
            <w:shd w:val="clear" w:color="000000" w:fill="FFFFE1"/>
            <w:vAlign w:val="center"/>
            <w:hideMark/>
          </w:tcPr>
          <w:p w:rsidR="004F48D1" w:rsidRPr="004F48D1" w:rsidRDefault="004F48D1" w:rsidP="004F48D1">
            <w:pPr>
              <w:suppressAutoHyphens/>
              <w:jc w:val="center"/>
              <w:rPr>
                <w:rFonts w:ascii="Arial" w:eastAsia="Calibri" w:hAnsi="Arial"/>
                <w:b/>
                <w:sz w:val="16"/>
                <w:szCs w:val="23"/>
              </w:rPr>
            </w:pPr>
            <w:r w:rsidRPr="004F48D1">
              <w:rPr>
                <w:rFonts w:ascii="Arial" w:eastAsia="Calibri" w:hAnsi="Arial"/>
                <w:b/>
                <w:sz w:val="16"/>
                <w:szCs w:val="23"/>
              </w:rPr>
              <w:t>% Change 00–10</w:t>
            </w:r>
          </w:p>
        </w:tc>
      </w:tr>
      <w:tr w:rsidR="004F48D1" w:rsidRPr="004F48D1" w:rsidTr="00AF4B00">
        <w:trPr>
          <w:trHeight w:val="216"/>
          <w:jc w:val="center"/>
        </w:trPr>
        <w:tc>
          <w:tcPr>
            <w:tcW w:w="2571" w:type="dxa"/>
            <w:vMerge/>
            <w:tcBorders>
              <w:top w:val="nil"/>
              <w:left w:val="single" w:sz="4" w:space="0" w:color="009900"/>
              <w:bottom w:val="single" w:sz="4" w:space="0" w:color="009900"/>
              <w:right w:val="nil"/>
            </w:tcBorders>
            <w:vAlign w:val="center"/>
            <w:hideMark/>
          </w:tcPr>
          <w:p w:rsidR="004F48D1" w:rsidRPr="004F48D1" w:rsidRDefault="004F48D1" w:rsidP="004F48D1">
            <w:pPr>
              <w:suppressAutoHyphens/>
              <w:rPr>
                <w:rFonts w:ascii="Arial" w:eastAsia="Calibri" w:hAnsi="Arial"/>
                <w:sz w:val="16"/>
                <w:szCs w:val="23"/>
              </w:rPr>
            </w:pPr>
          </w:p>
        </w:tc>
        <w:tc>
          <w:tcPr>
            <w:tcW w:w="1502" w:type="dxa"/>
            <w:tcBorders>
              <w:top w:val="nil"/>
              <w:left w:val="nil"/>
              <w:bottom w:val="single" w:sz="4" w:space="0" w:color="009900"/>
              <w:right w:val="nil"/>
            </w:tcBorders>
            <w:shd w:val="clear" w:color="000000" w:fill="FFFFE1"/>
            <w:noWrap/>
            <w:vAlign w:val="center"/>
            <w:hideMark/>
          </w:tcPr>
          <w:p w:rsidR="004F48D1" w:rsidRPr="004F48D1" w:rsidRDefault="004F48D1" w:rsidP="004F48D1">
            <w:pPr>
              <w:suppressAutoHyphens/>
              <w:jc w:val="center"/>
              <w:rPr>
                <w:rFonts w:ascii="Arial" w:eastAsia="Calibri" w:hAnsi="Arial"/>
                <w:b/>
                <w:sz w:val="16"/>
                <w:szCs w:val="23"/>
              </w:rPr>
            </w:pPr>
            <w:r w:rsidRPr="004F48D1">
              <w:rPr>
                <w:rFonts w:ascii="Arial" w:eastAsia="Calibri" w:hAnsi="Arial"/>
                <w:b/>
                <w:sz w:val="16"/>
                <w:szCs w:val="23"/>
              </w:rPr>
              <w:t>Population</w:t>
            </w:r>
          </w:p>
        </w:tc>
        <w:tc>
          <w:tcPr>
            <w:tcW w:w="1844" w:type="dxa"/>
            <w:tcBorders>
              <w:top w:val="nil"/>
              <w:left w:val="nil"/>
              <w:bottom w:val="single" w:sz="4" w:space="0" w:color="009900"/>
              <w:right w:val="nil"/>
            </w:tcBorders>
            <w:shd w:val="clear" w:color="000000" w:fill="FFFFE1"/>
            <w:noWrap/>
            <w:vAlign w:val="center"/>
            <w:hideMark/>
          </w:tcPr>
          <w:p w:rsidR="004F48D1" w:rsidRPr="004F48D1" w:rsidRDefault="004F48D1" w:rsidP="004F48D1">
            <w:pPr>
              <w:suppressAutoHyphens/>
              <w:jc w:val="center"/>
              <w:rPr>
                <w:rFonts w:ascii="Arial" w:eastAsia="Calibri" w:hAnsi="Arial"/>
                <w:b/>
                <w:sz w:val="16"/>
                <w:szCs w:val="23"/>
              </w:rPr>
            </w:pPr>
            <w:r w:rsidRPr="004F48D1">
              <w:rPr>
                <w:rFonts w:ascii="Arial" w:eastAsia="Calibri" w:hAnsi="Arial"/>
                <w:b/>
                <w:sz w:val="16"/>
                <w:szCs w:val="23"/>
              </w:rPr>
              <w:t>% of Total</w:t>
            </w:r>
          </w:p>
        </w:tc>
        <w:tc>
          <w:tcPr>
            <w:tcW w:w="1112" w:type="dxa"/>
            <w:tcBorders>
              <w:top w:val="nil"/>
              <w:left w:val="nil"/>
              <w:bottom w:val="single" w:sz="4" w:space="0" w:color="009900"/>
              <w:right w:val="nil"/>
            </w:tcBorders>
            <w:shd w:val="clear" w:color="000000" w:fill="FFFFE1"/>
            <w:noWrap/>
            <w:vAlign w:val="center"/>
            <w:hideMark/>
          </w:tcPr>
          <w:p w:rsidR="004F48D1" w:rsidRPr="004F48D1" w:rsidRDefault="004F48D1" w:rsidP="004F48D1">
            <w:pPr>
              <w:suppressAutoHyphens/>
              <w:jc w:val="center"/>
              <w:rPr>
                <w:rFonts w:ascii="Arial" w:eastAsia="Calibri" w:hAnsi="Arial"/>
                <w:b/>
                <w:sz w:val="16"/>
                <w:szCs w:val="23"/>
              </w:rPr>
            </w:pPr>
            <w:r w:rsidRPr="004F48D1">
              <w:rPr>
                <w:rFonts w:ascii="Arial" w:eastAsia="Calibri" w:hAnsi="Arial"/>
                <w:b/>
                <w:sz w:val="16"/>
                <w:szCs w:val="23"/>
              </w:rPr>
              <w:t>Population</w:t>
            </w:r>
          </w:p>
        </w:tc>
        <w:tc>
          <w:tcPr>
            <w:tcW w:w="1455" w:type="dxa"/>
            <w:tcBorders>
              <w:top w:val="nil"/>
              <w:left w:val="nil"/>
              <w:bottom w:val="single" w:sz="4" w:space="0" w:color="009900"/>
              <w:right w:val="nil"/>
            </w:tcBorders>
            <w:shd w:val="clear" w:color="000000" w:fill="FFFFE1"/>
            <w:noWrap/>
            <w:vAlign w:val="center"/>
            <w:hideMark/>
          </w:tcPr>
          <w:p w:rsidR="004F48D1" w:rsidRPr="004F48D1" w:rsidRDefault="004F48D1" w:rsidP="004F48D1">
            <w:pPr>
              <w:suppressAutoHyphens/>
              <w:jc w:val="center"/>
              <w:rPr>
                <w:rFonts w:ascii="Arial" w:eastAsia="Calibri" w:hAnsi="Arial"/>
                <w:b/>
                <w:sz w:val="16"/>
                <w:szCs w:val="23"/>
              </w:rPr>
            </w:pPr>
            <w:r w:rsidRPr="004F48D1">
              <w:rPr>
                <w:rFonts w:ascii="Arial" w:eastAsia="Calibri" w:hAnsi="Arial"/>
                <w:b/>
                <w:sz w:val="16"/>
                <w:szCs w:val="23"/>
              </w:rPr>
              <w:t>% of Total</w:t>
            </w:r>
          </w:p>
        </w:tc>
        <w:tc>
          <w:tcPr>
            <w:tcW w:w="1192" w:type="dxa"/>
            <w:vMerge/>
            <w:tcBorders>
              <w:top w:val="nil"/>
              <w:left w:val="dotted" w:sz="4" w:space="0" w:color="009900"/>
              <w:bottom w:val="single" w:sz="4" w:space="0" w:color="009900"/>
              <w:right w:val="single" w:sz="4" w:space="0" w:color="009900"/>
            </w:tcBorders>
            <w:vAlign w:val="center"/>
            <w:hideMark/>
          </w:tcPr>
          <w:p w:rsidR="004F48D1" w:rsidRPr="004F48D1" w:rsidRDefault="004F48D1" w:rsidP="004F48D1">
            <w:pPr>
              <w:suppressAutoHyphens/>
              <w:jc w:val="center"/>
              <w:rPr>
                <w:rFonts w:ascii="Arial" w:eastAsia="Calibri" w:hAnsi="Arial"/>
                <w:b/>
                <w:sz w:val="16"/>
                <w:szCs w:val="23"/>
              </w:rPr>
            </w:pPr>
          </w:p>
        </w:tc>
      </w:tr>
      <w:tr w:rsidR="004F48D1" w:rsidRPr="004F48D1" w:rsidTr="00AF4B00">
        <w:trPr>
          <w:trHeight w:val="216"/>
          <w:jc w:val="center"/>
        </w:trPr>
        <w:tc>
          <w:tcPr>
            <w:tcW w:w="2571" w:type="dxa"/>
            <w:tcBorders>
              <w:top w:val="nil"/>
              <w:left w:val="single" w:sz="4" w:space="0" w:color="009900"/>
              <w:bottom w:val="nil"/>
              <w:right w:val="nil"/>
            </w:tcBorders>
            <w:shd w:val="clear" w:color="000000" w:fill="FFFFE1"/>
            <w:noWrap/>
            <w:vAlign w:val="center"/>
            <w:hideMark/>
          </w:tcPr>
          <w:p w:rsidR="004F48D1" w:rsidRPr="004F48D1" w:rsidRDefault="00CC3344" w:rsidP="004F48D1">
            <w:pPr>
              <w:ind w:left="180" w:hanging="180"/>
              <w:rPr>
                <w:rFonts w:ascii="Arial" w:eastAsia="Calibri" w:hAnsi="Arial"/>
                <w:sz w:val="16"/>
                <w:szCs w:val="16"/>
              </w:rPr>
            </w:pPr>
            <w:r>
              <w:rPr>
                <w:rFonts w:ascii="Arial" w:eastAsia="Calibri" w:hAnsi="Arial"/>
                <w:sz w:val="16"/>
                <w:szCs w:val="16"/>
              </w:rPr>
              <w:t>White</w:t>
            </w:r>
          </w:p>
        </w:tc>
        <w:tc>
          <w:tcPr>
            <w:tcW w:w="1502" w:type="dxa"/>
            <w:tcBorders>
              <w:top w:val="nil"/>
              <w:left w:val="nil"/>
              <w:bottom w:val="nil"/>
              <w:right w:val="nil"/>
            </w:tcBorders>
            <w:shd w:val="clear" w:color="000000" w:fill="FFFFE1"/>
            <w:noWrap/>
            <w:vAlign w:val="center"/>
            <w:hideMark/>
          </w:tcPr>
          <w:p w:rsidR="004F48D1" w:rsidRPr="004F48D1" w:rsidRDefault="004F48D1" w:rsidP="004F48D1">
            <w:pPr>
              <w:suppressAutoHyphens/>
              <w:jc w:val="center"/>
              <w:rPr>
                <w:rFonts w:ascii="Arial" w:eastAsia="Calibri" w:hAnsi="Arial"/>
                <w:b/>
                <w:bCs/>
                <w:sz w:val="16"/>
                <w:szCs w:val="23"/>
              </w:rPr>
            </w:pPr>
            <w:r w:rsidRPr="004F48D1">
              <w:rPr>
                <w:rFonts w:ascii="Arial" w:eastAsia="Calibri" w:hAnsi="Arial"/>
                <w:noProof/>
                <w:sz w:val="16"/>
                <w:szCs w:val="23"/>
              </w:rPr>
              <w:t>1,214,253</w:t>
            </w:r>
          </w:p>
        </w:tc>
        <w:tc>
          <w:tcPr>
            <w:tcW w:w="1844" w:type="dxa"/>
            <w:tcBorders>
              <w:top w:val="nil"/>
              <w:left w:val="nil"/>
              <w:bottom w:val="nil"/>
              <w:right w:val="nil"/>
            </w:tcBorders>
            <w:shd w:val="clear" w:color="000000" w:fill="FFFFE1"/>
            <w:noWrap/>
            <w:vAlign w:val="center"/>
            <w:hideMark/>
          </w:tcPr>
          <w:p w:rsidR="004F48D1" w:rsidRPr="004F48D1" w:rsidRDefault="004F48D1" w:rsidP="004F48D1">
            <w:pPr>
              <w:suppressAutoHyphens/>
              <w:jc w:val="center"/>
              <w:rPr>
                <w:rFonts w:ascii="Arial" w:eastAsia="Calibri" w:hAnsi="Arial"/>
                <w:b/>
                <w:bCs/>
                <w:sz w:val="16"/>
                <w:szCs w:val="23"/>
              </w:rPr>
            </w:pPr>
            <w:r w:rsidRPr="004F48D1">
              <w:rPr>
                <w:rFonts w:ascii="Arial" w:eastAsia="Calibri" w:hAnsi="Arial"/>
                <w:noProof/>
                <w:sz w:val="16"/>
                <w:szCs w:val="23"/>
              </w:rPr>
              <w:t>66.8</w:t>
            </w:r>
            <w:r w:rsidRPr="004F48D1">
              <w:rPr>
                <w:rFonts w:ascii="Arial" w:eastAsia="Calibri" w:hAnsi="Arial"/>
                <w:sz w:val="16"/>
                <w:szCs w:val="23"/>
              </w:rPr>
              <w:t>%</w:t>
            </w:r>
          </w:p>
        </w:tc>
        <w:tc>
          <w:tcPr>
            <w:tcW w:w="1112" w:type="dxa"/>
            <w:tcBorders>
              <w:top w:val="nil"/>
              <w:left w:val="nil"/>
              <w:bottom w:val="nil"/>
              <w:right w:val="nil"/>
            </w:tcBorders>
            <w:shd w:val="clear" w:color="000000" w:fill="FFFFE1"/>
            <w:noWrap/>
            <w:vAlign w:val="center"/>
            <w:hideMark/>
          </w:tcPr>
          <w:p w:rsidR="004F48D1" w:rsidRPr="004F48D1" w:rsidRDefault="004F48D1" w:rsidP="004F48D1">
            <w:pPr>
              <w:suppressAutoHyphens/>
              <w:jc w:val="center"/>
              <w:rPr>
                <w:rFonts w:ascii="Arial" w:eastAsia="Calibri" w:hAnsi="Arial"/>
                <w:b/>
                <w:bCs/>
                <w:sz w:val="16"/>
                <w:szCs w:val="23"/>
              </w:rPr>
            </w:pPr>
            <w:r w:rsidRPr="004F48D1">
              <w:rPr>
                <w:rFonts w:ascii="Arial" w:eastAsia="Calibri" w:hAnsi="Arial"/>
                <w:noProof/>
                <w:sz w:val="16"/>
                <w:szCs w:val="23"/>
              </w:rPr>
              <w:t>1,407,876</w:t>
            </w:r>
          </w:p>
        </w:tc>
        <w:tc>
          <w:tcPr>
            <w:tcW w:w="1455" w:type="dxa"/>
            <w:tcBorders>
              <w:top w:val="nil"/>
              <w:left w:val="nil"/>
              <w:bottom w:val="nil"/>
              <w:right w:val="dotted" w:sz="4" w:space="0" w:color="009900"/>
            </w:tcBorders>
            <w:shd w:val="clear" w:color="000000" w:fill="FFFFE1"/>
            <w:noWrap/>
            <w:vAlign w:val="center"/>
            <w:hideMark/>
          </w:tcPr>
          <w:p w:rsidR="004F48D1" w:rsidRPr="004F48D1" w:rsidRDefault="004F48D1" w:rsidP="004F48D1">
            <w:pPr>
              <w:suppressAutoHyphens/>
              <w:jc w:val="center"/>
              <w:rPr>
                <w:rFonts w:ascii="Arial" w:eastAsia="Calibri" w:hAnsi="Arial"/>
                <w:b/>
                <w:bCs/>
                <w:sz w:val="16"/>
                <w:szCs w:val="23"/>
              </w:rPr>
            </w:pPr>
            <w:r w:rsidRPr="004F48D1">
              <w:rPr>
                <w:rFonts w:ascii="Arial" w:eastAsia="Calibri" w:hAnsi="Arial"/>
                <w:noProof/>
                <w:sz w:val="16"/>
                <w:szCs w:val="23"/>
              </w:rPr>
              <w:t>68.4</w:t>
            </w:r>
            <w:r w:rsidRPr="004F48D1">
              <w:rPr>
                <w:rFonts w:ascii="Arial" w:eastAsia="Calibri" w:hAnsi="Arial"/>
                <w:sz w:val="16"/>
                <w:szCs w:val="23"/>
              </w:rPr>
              <w:t>%</w:t>
            </w:r>
          </w:p>
        </w:tc>
        <w:tc>
          <w:tcPr>
            <w:tcW w:w="1192" w:type="dxa"/>
            <w:tcBorders>
              <w:top w:val="single" w:sz="4" w:space="0" w:color="009900"/>
              <w:left w:val="dotted" w:sz="4" w:space="0" w:color="009900"/>
              <w:bottom w:val="nil"/>
              <w:right w:val="single" w:sz="4" w:space="0" w:color="009900"/>
            </w:tcBorders>
            <w:shd w:val="clear" w:color="000000" w:fill="FFFFE1"/>
            <w:noWrap/>
            <w:vAlign w:val="center"/>
            <w:hideMark/>
          </w:tcPr>
          <w:p w:rsidR="004F48D1" w:rsidRPr="004F48D1" w:rsidRDefault="004F48D1" w:rsidP="004F48D1">
            <w:pPr>
              <w:suppressAutoHyphens/>
              <w:jc w:val="center"/>
              <w:rPr>
                <w:rFonts w:ascii="Arial" w:eastAsia="Calibri" w:hAnsi="Arial"/>
                <w:b/>
                <w:bCs/>
                <w:sz w:val="16"/>
                <w:szCs w:val="23"/>
              </w:rPr>
            </w:pPr>
            <w:r w:rsidRPr="004F48D1">
              <w:rPr>
                <w:rFonts w:ascii="Arial" w:eastAsia="Calibri" w:hAnsi="Arial"/>
                <w:noProof/>
                <w:sz w:val="16"/>
                <w:szCs w:val="23"/>
              </w:rPr>
              <w:t>15.9</w:t>
            </w:r>
            <w:r w:rsidRPr="004F48D1">
              <w:rPr>
                <w:rFonts w:ascii="Arial" w:eastAsia="Calibri" w:hAnsi="Arial"/>
                <w:sz w:val="16"/>
                <w:szCs w:val="23"/>
              </w:rPr>
              <w:t>%</w:t>
            </w:r>
          </w:p>
        </w:tc>
      </w:tr>
      <w:tr w:rsidR="004F48D1" w:rsidRPr="004F48D1" w:rsidTr="00AF4B00">
        <w:trPr>
          <w:trHeight w:val="216"/>
          <w:jc w:val="center"/>
        </w:trPr>
        <w:tc>
          <w:tcPr>
            <w:tcW w:w="2571" w:type="dxa"/>
            <w:tcBorders>
              <w:top w:val="nil"/>
              <w:left w:val="single" w:sz="4" w:space="0" w:color="009900"/>
              <w:bottom w:val="nil"/>
              <w:right w:val="nil"/>
            </w:tcBorders>
            <w:shd w:val="clear" w:color="000000" w:fill="FFFFE1"/>
            <w:noWrap/>
            <w:vAlign w:val="center"/>
            <w:hideMark/>
          </w:tcPr>
          <w:p w:rsidR="004F48D1" w:rsidRPr="004F48D1" w:rsidRDefault="004F48D1" w:rsidP="004F48D1">
            <w:pPr>
              <w:ind w:left="180" w:hanging="180"/>
              <w:rPr>
                <w:rFonts w:ascii="Arial" w:eastAsia="Calibri" w:hAnsi="Arial"/>
                <w:sz w:val="16"/>
                <w:szCs w:val="16"/>
              </w:rPr>
            </w:pPr>
            <w:r w:rsidRPr="004F48D1">
              <w:rPr>
                <w:rFonts w:ascii="Arial" w:eastAsia="Calibri" w:hAnsi="Arial"/>
                <w:sz w:val="16"/>
                <w:szCs w:val="16"/>
              </w:rPr>
              <w:t>Black</w:t>
            </w:r>
          </w:p>
        </w:tc>
        <w:tc>
          <w:tcPr>
            <w:tcW w:w="1502" w:type="dxa"/>
            <w:tcBorders>
              <w:top w:val="nil"/>
              <w:left w:val="nil"/>
              <w:bottom w:val="nil"/>
              <w:right w:val="nil"/>
            </w:tcBorders>
            <w:shd w:val="clear" w:color="000000" w:fill="FFFFE1"/>
            <w:noWrap/>
            <w:vAlign w:val="center"/>
            <w:hideMark/>
          </w:tcPr>
          <w:p w:rsidR="004F48D1" w:rsidRPr="004F48D1" w:rsidRDefault="004F48D1" w:rsidP="004F48D1">
            <w:pPr>
              <w:suppressAutoHyphens/>
              <w:jc w:val="center"/>
              <w:rPr>
                <w:rFonts w:ascii="Arial" w:eastAsia="Calibri" w:hAnsi="Arial"/>
                <w:b/>
                <w:bCs/>
                <w:sz w:val="16"/>
                <w:szCs w:val="23"/>
              </w:rPr>
            </w:pPr>
            <w:r w:rsidRPr="004F48D1">
              <w:rPr>
                <w:rFonts w:ascii="Arial" w:eastAsia="Calibri" w:hAnsi="Arial"/>
                <w:noProof/>
                <w:sz w:val="16"/>
                <w:szCs w:val="23"/>
              </w:rPr>
              <w:t>34,343</w:t>
            </w:r>
          </w:p>
        </w:tc>
        <w:tc>
          <w:tcPr>
            <w:tcW w:w="1844" w:type="dxa"/>
            <w:tcBorders>
              <w:top w:val="nil"/>
              <w:left w:val="nil"/>
              <w:bottom w:val="nil"/>
              <w:right w:val="nil"/>
            </w:tcBorders>
            <w:shd w:val="clear" w:color="000000" w:fill="FFFFE1"/>
            <w:noWrap/>
            <w:vAlign w:val="center"/>
            <w:hideMark/>
          </w:tcPr>
          <w:p w:rsidR="004F48D1" w:rsidRPr="004F48D1" w:rsidRDefault="004F48D1" w:rsidP="004F48D1">
            <w:pPr>
              <w:suppressAutoHyphens/>
              <w:jc w:val="center"/>
              <w:rPr>
                <w:rFonts w:ascii="Arial" w:eastAsia="Calibri" w:hAnsi="Arial"/>
                <w:b/>
                <w:bCs/>
                <w:sz w:val="16"/>
                <w:szCs w:val="23"/>
              </w:rPr>
            </w:pPr>
            <w:r w:rsidRPr="004F48D1">
              <w:rPr>
                <w:rFonts w:ascii="Arial" w:eastAsia="Calibri" w:hAnsi="Arial"/>
                <w:noProof/>
                <w:sz w:val="16"/>
                <w:szCs w:val="23"/>
              </w:rPr>
              <w:t>1.9</w:t>
            </w:r>
            <w:r w:rsidRPr="004F48D1">
              <w:rPr>
                <w:rFonts w:ascii="Arial" w:eastAsia="Calibri" w:hAnsi="Arial"/>
                <w:sz w:val="16"/>
                <w:szCs w:val="23"/>
              </w:rPr>
              <w:t>%</w:t>
            </w:r>
          </w:p>
        </w:tc>
        <w:tc>
          <w:tcPr>
            <w:tcW w:w="1112" w:type="dxa"/>
            <w:tcBorders>
              <w:top w:val="nil"/>
              <w:left w:val="nil"/>
              <w:bottom w:val="nil"/>
              <w:right w:val="nil"/>
            </w:tcBorders>
            <w:shd w:val="clear" w:color="000000" w:fill="FFFFE1"/>
            <w:noWrap/>
            <w:vAlign w:val="center"/>
            <w:hideMark/>
          </w:tcPr>
          <w:p w:rsidR="004F48D1" w:rsidRPr="004F48D1" w:rsidRDefault="004F48D1" w:rsidP="004F48D1">
            <w:pPr>
              <w:suppressAutoHyphens/>
              <w:jc w:val="center"/>
              <w:rPr>
                <w:rFonts w:ascii="Arial" w:eastAsia="Calibri" w:hAnsi="Arial"/>
                <w:b/>
                <w:bCs/>
                <w:sz w:val="16"/>
                <w:szCs w:val="23"/>
              </w:rPr>
            </w:pPr>
            <w:r w:rsidRPr="004F48D1">
              <w:rPr>
                <w:rFonts w:ascii="Arial" w:eastAsia="Calibri" w:hAnsi="Arial"/>
                <w:noProof/>
                <w:sz w:val="16"/>
                <w:szCs w:val="23"/>
              </w:rPr>
              <w:t>42,550</w:t>
            </w:r>
          </w:p>
        </w:tc>
        <w:tc>
          <w:tcPr>
            <w:tcW w:w="1455" w:type="dxa"/>
            <w:tcBorders>
              <w:top w:val="nil"/>
              <w:left w:val="nil"/>
              <w:bottom w:val="nil"/>
              <w:right w:val="dotted" w:sz="4" w:space="0" w:color="009900"/>
            </w:tcBorders>
            <w:shd w:val="clear" w:color="000000" w:fill="FFFFE1"/>
            <w:noWrap/>
            <w:vAlign w:val="center"/>
            <w:hideMark/>
          </w:tcPr>
          <w:p w:rsidR="004F48D1" w:rsidRPr="004F48D1" w:rsidRDefault="004F48D1" w:rsidP="004F48D1">
            <w:pPr>
              <w:suppressAutoHyphens/>
              <w:jc w:val="center"/>
              <w:rPr>
                <w:rFonts w:ascii="Arial" w:eastAsia="Calibri" w:hAnsi="Arial"/>
                <w:b/>
                <w:bCs/>
                <w:sz w:val="16"/>
                <w:szCs w:val="23"/>
              </w:rPr>
            </w:pPr>
            <w:r w:rsidRPr="004F48D1">
              <w:rPr>
                <w:rFonts w:ascii="Arial" w:eastAsia="Calibri" w:hAnsi="Arial"/>
                <w:noProof/>
                <w:sz w:val="16"/>
                <w:szCs w:val="23"/>
              </w:rPr>
              <w:t>2.1</w:t>
            </w:r>
            <w:r w:rsidRPr="004F48D1">
              <w:rPr>
                <w:rFonts w:ascii="Arial" w:eastAsia="Calibri" w:hAnsi="Arial"/>
                <w:sz w:val="16"/>
                <w:szCs w:val="23"/>
              </w:rPr>
              <w:t>%</w:t>
            </w:r>
          </w:p>
        </w:tc>
        <w:tc>
          <w:tcPr>
            <w:tcW w:w="1192" w:type="dxa"/>
            <w:tcBorders>
              <w:top w:val="nil"/>
              <w:left w:val="dotted" w:sz="4" w:space="0" w:color="009900"/>
              <w:bottom w:val="nil"/>
              <w:right w:val="single" w:sz="4" w:space="0" w:color="009900"/>
            </w:tcBorders>
            <w:shd w:val="clear" w:color="000000" w:fill="FFFFE1"/>
            <w:noWrap/>
            <w:vAlign w:val="center"/>
            <w:hideMark/>
          </w:tcPr>
          <w:p w:rsidR="004F48D1" w:rsidRPr="004F48D1" w:rsidRDefault="004F48D1" w:rsidP="004F48D1">
            <w:pPr>
              <w:suppressAutoHyphens/>
              <w:jc w:val="center"/>
              <w:rPr>
                <w:rFonts w:ascii="Arial" w:eastAsia="Calibri" w:hAnsi="Arial"/>
                <w:b/>
                <w:bCs/>
                <w:sz w:val="16"/>
                <w:szCs w:val="23"/>
              </w:rPr>
            </w:pPr>
            <w:r w:rsidRPr="004F48D1">
              <w:rPr>
                <w:rFonts w:ascii="Arial" w:eastAsia="Calibri" w:hAnsi="Arial"/>
                <w:noProof/>
                <w:sz w:val="16"/>
                <w:szCs w:val="23"/>
              </w:rPr>
              <w:t>23.9</w:t>
            </w:r>
            <w:r w:rsidRPr="004F48D1">
              <w:rPr>
                <w:rFonts w:ascii="Arial" w:eastAsia="Calibri" w:hAnsi="Arial"/>
                <w:sz w:val="16"/>
                <w:szCs w:val="23"/>
              </w:rPr>
              <w:t>%</w:t>
            </w:r>
          </w:p>
        </w:tc>
      </w:tr>
      <w:tr w:rsidR="004F48D1" w:rsidRPr="004F48D1" w:rsidTr="00AF4B00">
        <w:trPr>
          <w:trHeight w:val="216"/>
          <w:jc w:val="center"/>
        </w:trPr>
        <w:tc>
          <w:tcPr>
            <w:tcW w:w="2571" w:type="dxa"/>
            <w:tcBorders>
              <w:top w:val="nil"/>
              <w:left w:val="single" w:sz="4" w:space="0" w:color="009900"/>
              <w:bottom w:val="nil"/>
              <w:right w:val="nil"/>
            </w:tcBorders>
            <w:shd w:val="clear" w:color="000000" w:fill="FFFFE1"/>
            <w:noWrap/>
            <w:vAlign w:val="center"/>
            <w:hideMark/>
          </w:tcPr>
          <w:p w:rsidR="004F48D1" w:rsidRPr="004F48D1" w:rsidRDefault="004F48D1" w:rsidP="004F48D1">
            <w:pPr>
              <w:ind w:left="180" w:hanging="180"/>
              <w:rPr>
                <w:rFonts w:ascii="Arial" w:eastAsia="Calibri" w:hAnsi="Arial"/>
                <w:sz w:val="16"/>
                <w:szCs w:val="16"/>
              </w:rPr>
            </w:pPr>
            <w:r w:rsidRPr="004F48D1">
              <w:rPr>
                <w:rFonts w:ascii="Arial" w:eastAsia="Calibri" w:hAnsi="Arial"/>
                <w:sz w:val="16"/>
                <w:szCs w:val="16"/>
              </w:rPr>
              <w:t>American Indian</w:t>
            </w:r>
          </w:p>
        </w:tc>
        <w:tc>
          <w:tcPr>
            <w:tcW w:w="1502" w:type="dxa"/>
            <w:tcBorders>
              <w:top w:val="nil"/>
              <w:left w:val="nil"/>
              <w:bottom w:val="nil"/>
              <w:right w:val="nil"/>
            </w:tcBorders>
            <w:shd w:val="clear" w:color="000000" w:fill="FFFFE1"/>
            <w:noWrap/>
            <w:vAlign w:val="center"/>
            <w:hideMark/>
          </w:tcPr>
          <w:p w:rsidR="004F48D1" w:rsidRPr="004F48D1" w:rsidRDefault="004F48D1" w:rsidP="004F48D1">
            <w:pPr>
              <w:suppressAutoHyphens/>
              <w:jc w:val="center"/>
              <w:rPr>
                <w:rFonts w:ascii="Arial" w:eastAsia="Calibri" w:hAnsi="Arial"/>
                <w:b/>
                <w:bCs/>
                <w:sz w:val="16"/>
                <w:szCs w:val="23"/>
              </w:rPr>
            </w:pPr>
            <w:r w:rsidRPr="004F48D1">
              <w:rPr>
                <w:rFonts w:ascii="Arial" w:eastAsia="Calibri" w:hAnsi="Arial"/>
                <w:noProof/>
                <w:sz w:val="16"/>
                <w:szCs w:val="23"/>
              </w:rPr>
              <w:t>173,483</w:t>
            </w:r>
          </w:p>
        </w:tc>
        <w:tc>
          <w:tcPr>
            <w:tcW w:w="1844" w:type="dxa"/>
            <w:tcBorders>
              <w:top w:val="nil"/>
              <w:left w:val="nil"/>
              <w:bottom w:val="nil"/>
              <w:right w:val="nil"/>
            </w:tcBorders>
            <w:shd w:val="clear" w:color="000000" w:fill="FFFFE1"/>
            <w:noWrap/>
            <w:vAlign w:val="center"/>
            <w:hideMark/>
          </w:tcPr>
          <w:p w:rsidR="004F48D1" w:rsidRPr="004F48D1" w:rsidRDefault="004F48D1" w:rsidP="004F48D1">
            <w:pPr>
              <w:suppressAutoHyphens/>
              <w:jc w:val="center"/>
              <w:rPr>
                <w:rFonts w:ascii="Arial" w:eastAsia="Calibri" w:hAnsi="Arial"/>
                <w:b/>
                <w:bCs/>
                <w:sz w:val="16"/>
                <w:szCs w:val="23"/>
              </w:rPr>
            </w:pPr>
            <w:r w:rsidRPr="004F48D1">
              <w:rPr>
                <w:rFonts w:ascii="Arial" w:eastAsia="Calibri" w:hAnsi="Arial"/>
                <w:noProof/>
                <w:sz w:val="16"/>
                <w:szCs w:val="23"/>
              </w:rPr>
              <w:t>9.5</w:t>
            </w:r>
            <w:r w:rsidRPr="004F48D1">
              <w:rPr>
                <w:rFonts w:ascii="Arial" w:eastAsia="Calibri" w:hAnsi="Arial"/>
                <w:sz w:val="16"/>
                <w:szCs w:val="23"/>
              </w:rPr>
              <w:t>%</w:t>
            </w:r>
          </w:p>
        </w:tc>
        <w:tc>
          <w:tcPr>
            <w:tcW w:w="1112" w:type="dxa"/>
            <w:tcBorders>
              <w:top w:val="nil"/>
              <w:left w:val="nil"/>
              <w:bottom w:val="nil"/>
              <w:right w:val="nil"/>
            </w:tcBorders>
            <w:shd w:val="clear" w:color="000000" w:fill="FFFFE1"/>
            <w:noWrap/>
            <w:vAlign w:val="center"/>
            <w:hideMark/>
          </w:tcPr>
          <w:p w:rsidR="004F48D1" w:rsidRPr="004F48D1" w:rsidRDefault="004F48D1" w:rsidP="004F48D1">
            <w:pPr>
              <w:suppressAutoHyphens/>
              <w:jc w:val="center"/>
              <w:rPr>
                <w:rFonts w:ascii="Arial" w:eastAsia="Calibri" w:hAnsi="Arial"/>
                <w:b/>
                <w:bCs/>
                <w:sz w:val="16"/>
                <w:szCs w:val="23"/>
              </w:rPr>
            </w:pPr>
            <w:r w:rsidRPr="004F48D1">
              <w:rPr>
                <w:rFonts w:ascii="Arial" w:eastAsia="Calibri" w:hAnsi="Arial"/>
                <w:noProof/>
                <w:sz w:val="16"/>
                <w:szCs w:val="23"/>
              </w:rPr>
              <w:t>193,222</w:t>
            </w:r>
          </w:p>
        </w:tc>
        <w:tc>
          <w:tcPr>
            <w:tcW w:w="1455" w:type="dxa"/>
            <w:tcBorders>
              <w:top w:val="nil"/>
              <w:left w:val="nil"/>
              <w:bottom w:val="nil"/>
              <w:right w:val="dotted" w:sz="4" w:space="0" w:color="009900"/>
            </w:tcBorders>
            <w:shd w:val="clear" w:color="000000" w:fill="FFFFE1"/>
            <w:noWrap/>
            <w:vAlign w:val="center"/>
            <w:hideMark/>
          </w:tcPr>
          <w:p w:rsidR="004F48D1" w:rsidRPr="004F48D1" w:rsidRDefault="004F48D1" w:rsidP="004F48D1">
            <w:pPr>
              <w:suppressAutoHyphens/>
              <w:jc w:val="center"/>
              <w:rPr>
                <w:rFonts w:ascii="Arial" w:eastAsia="Calibri" w:hAnsi="Arial"/>
                <w:b/>
                <w:bCs/>
                <w:sz w:val="16"/>
                <w:szCs w:val="23"/>
              </w:rPr>
            </w:pPr>
            <w:r w:rsidRPr="004F48D1">
              <w:rPr>
                <w:rFonts w:ascii="Arial" w:eastAsia="Calibri" w:hAnsi="Arial"/>
                <w:noProof/>
                <w:sz w:val="16"/>
                <w:szCs w:val="23"/>
              </w:rPr>
              <w:t>9.4</w:t>
            </w:r>
            <w:r w:rsidRPr="004F48D1">
              <w:rPr>
                <w:rFonts w:ascii="Arial" w:eastAsia="Calibri" w:hAnsi="Arial"/>
                <w:sz w:val="16"/>
                <w:szCs w:val="23"/>
              </w:rPr>
              <w:t>%</w:t>
            </w:r>
          </w:p>
        </w:tc>
        <w:tc>
          <w:tcPr>
            <w:tcW w:w="1192" w:type="dxa"/>
            <w:tcBorders>
              <w:top w:val="nil"/>
              <w:left w:val="dotted" w:sz="4" w:space="0" w:color="009900"/>
              <w:bottom w:val="nil"/>
              <w:right w:val="single" w:sz="4" w:space="0" w:color="009900"/>
            </w:tcBorders>
            <w:shd w:val="clear" w:color="000000" w:fill="FFFFE1"/>
            <w:noWrap/>
            <w:vAlign w:val="center"/>
            <w:hideMark/>
          </w:tcPr>
          <w:p w:rsidR="004F48D1" w:rsidRPr="004F48D1" w:rsidRDefault="004F48D1" w:rsidP="004F48D1">
            <w:pPr>
              <w:suppressAutoHyphens/>
              <w:jc w:val="center"/>
              <w:rPr>
                <w:rFonts w:ascii="Arial" w:eastAsia="Calibri" w:hAnsi="Arial"/>
                <w:b/>
                <w:bCs/>
                <w:sz w:val="16"/>
                <w:szCs w:val="23"/>
              </w:rPr>
            </w:pPr>
            <w:r w:rsidRPr="004F48D1">
              <w:rPr>
                <w:rFonts w:ascii="Arial" w:eastAsia="Calibri" w:hAnsi="Arial"/>
                <w:noProof/>
                <w:sz w:val="16"/>
                <w:szCs w:val="23"/>
              </w:rPr>
              <w:t>11.4</w:t>
            </w:r>
            <w:r w:rsidRPr="004F48D1">
              <w:rPr>
                <w:rFonts w:ascii="Arial" w:eastAsia="Calibri" w:hAnsi="Arial"/>
                <w:sz w:val="16"/>
                <w:szCs w:val="23"/>
              </w:rPr>
              <w:t>%</w:t>
            </w:r>
          </w:p>
        </w:tc>
      </w:tr>
      <w:tr w:rsidR="004F48D1" w:rsidRPr="004F48D1" w:rsidTr="00AF4B00">
        <w:trPr>
          <w:trHeight w:val="216"/>
          <w:jc w:val="center"/>
        </w:trPr>
        <w:tc>
          <w:tcPr>
            <w:tcW w:w="2571" w:type="dxa"/>
            <w:tcBorders>
              <w:top w:val="nil"/>
              <w:left w:val="single" w:sz="4" w:space="0" w:color="009900"/>
              <w:bottom w:val="nil"/>
              <w:right w:val="nil"/>
            </w:tcBorders>
            <w:shd w:val="clear" w:color="000000" w:fill="FFFFE1"/>
            <w:noWrap/>
            <w:vAlign w:val="center"/>
            <w:hideMark/>
          </w:tcPr>
          <w:p w:rsidR="004F48D1" w:rsidRPr="004F48D1" w:rsidRDefault="004F48D1" w:rsidP="004F48D1">
            <w:pPr>
              <w:ind w:left="180" w:hanging="180"/>
              <w:rPr>
                <w:rFonts w:ascii="Arial" w:eastAsia="Calibri" w:hAnsi="Arial"/>
                <w:sz w:val="16"/>
                <w:szCs w:val="16"/>
              </w:rPr>
            </w:pPr>
            <w:r w:rsidRPr="004F48D1">
              <w:rPr>
                <w:rFonts w:ascii="Arial" w:eastAsia="Calibri" w:hAnsi="Arial"/>
                <w:sz w:val="16"/>
                <w:szCs w:val="16"/>
              </w:rPr>
              <w:t>Asian</w:t>
            </w:r>
          </w:p>
        </w:tc>
        <w:tc>
          <w:tcPr>
            <w:tcW w:w="1502" w:type="dxa"/>
            <w:tcBorders>
              <w:top w:val="nil"/>
              <w:left w:val="nil"/>
              <w:bottom w:val="nil"/>
              <w:right w:val="nil"/>
            </w:tcBorders>
            <w:shd w:val="clear" w:color="000000" w:fill="FFFFE1"/>
            <w:noWrap/>
            <w:vAlign w:val="center"/>
            <w:hideMark/>
          </w:tcPr>
          <w:p w:rsidR="004F48D1" w:rsidRPr="004F48D1" w:rsidRDefault="004F48D1" w:rsidP="004F48D1">
            <w:pPr>
              <w:suppressAutoHyphens/>
              <w:jc w:val="center"/>
              <w:rPr>
                <w:rFonts w:ascii="Arial" w:eastAsia="Calibri" w:hAnsi="Arial"/>
                <w:b/>
                <w:bCs/>
                <w:sz w:val="16"/>
                <w:szCs w:val="23"/>
              </w:rPr>
            </w:pPr>
            <w:r w:rsidRPr="004F48D1">
              <w:rPr>
                <w:rFonts w:ascii="Arial" w:eastAsia="Calibri" w:hAnsi="Arial"/>
                <w:noProof/>
                <w:sz w:val="16"/>
                <w:szCs w:val="23"/>
              </w:rPr>
              <w:t>19,255</w:t>
            </w:r>
          </w:p>
        </w:tc>
        <w:tc>
          <w:tcPr>
            <w:tcW w:w="1844" w:type="dxa"/>
            <w:tcBorders>
              <w:top w:val="nil"/>
              <w:left w:val="nil"/>
              <w:bottom w:val="nil"/>
              <w:right w:val="nil"/>
            </w:tcBorders>
            <w:shd w:val="clear" w:color="000000" w:fill="FFFFE1"/>
            <w:noWrap/>
            <w:vAlign w:val="center"/>
            <w:hideMark/>
          </w:tcPr>
          <w:p w:rsidR="004F48D1" w:rsidRPr="004F48D1" w:rsidRDefault="004F48D1" w:rsidP="004F48D1">
            <w:pPr>
              <w:suppressAutoHyphens/>
              <w:jc w:val="center"/>
              <w:rPr>
                <w:rFonts w:ascii="Arial" w:eastAsia="Calibri" w:hAnsi="Arial"/>
                <w:b/>
                <w:bCs/>
                <w:sz w:val="16"/>
                <w:szCs w:val="23"/>
              </w:rPr>
            </w:pPr>
            <w:r w:rsidRPr="004F48D1">
              <w:rPr>
                <w:rFonts w:ascii="Arial" w:eastAsia="Calibri" w:hAnsi="Arial"/>
                <w:noProof/>
                <w:sz w:val="16"/>
                <w:szCs w:val="23"/>
              </w:rPr>
              <w:t>1.1</w:t>
            </w:r>
            <w:r w:rsidRPr="004F48D1">
              <w:rPr>
                <w:rFonts w:ascii="Arial" w:eastAsia="Calibri" w:hAnsi="Arial"/>
                <w:sz w:val="16"/>
                <w:szCs w:val="23"/>
              </w:rPr>
              <w:t>%</w:t>
            </w:r>
          </w:p>
        </w:tc>
        <w:tc>
          <w:tcPr>
            <w:tcW w:w="1112" w:type="dxa"/>
            <w:tcBorders>
              <w:top w:val="nil"/>
              <w:left w:val="nil"/>
              <w:bottom w:val="nil"/>
              <w:right w:val="nil"/>
            </w:tcBorders>
            <w:shd w:val="clear" w:color="000000" w:fill="FFFFE1"/>
            <w:noWrap/>
            <w:vAlign w:val="center"/>
            <w:hideMark/>
          </w:tcPr>
          <w:p w:rsidR="004F48D1" w:rsidRPr="004F48D1" w:rsidRDefault="004F48D1" w:rsidP="004F48D1">
            <w:pPr>
              <w:suppressAutoHyphens/>
              <w:jc w:val="center"/>
              <w:rPr>
                <w:rFonts w:ascii="Arial" w:eastAsia="Calibri" w:hAnsi="Arial"/>
                <w:b/>
                <w:bCs/>
                <w:sz w:val="16"/>
                <w:szCs w:val="23"/>
              </w:rPr>
            </w:pPr>
            <w:r w:rsidRPr="004F48D1">
              <w:rPr>
                <w:rFonts w:ascii="Arial" w:eastAsia="Calibri" w:hAnsi="Arial"/>
                <w:noProof/>
                <w:sz w:val="16"/>
                <w:szCs w:val="23"/>
              </w:rPr>
              <w:t>28,208</w:t>
            </w:r>
          </w:p>
        </w:tc>
        <w:tc>
          <w:tcPr>
            <w:tcW w:w="1455" w:type="dxa"/>
            <w:tcBorders>
              <w:top w:val="nil"/>
              <w:left w:val="nil"/>
              <w:bottom w:val="nil"/>
              <w:right w:val="dotted" w:sz="4" w:space="0" w:color="009900"/>
            </w:tcBorders>
            <w:shd w:val="clear" w:color="000000" w:fill="FFFFE1"/>
            <w:noWrap/>
            <w:vAlign w:val="center"/>
            <w:hideMark/>
          </w:tcPr>
          <w:p w:rsidR="004F48D1" w:rsidRPr="004F48D1" w:rsidRDefault="004F48D1" w:rsidP="004F48D1">
            <w:pPr>
              <w:suppressAutoHyphens/>
              <w:jc w:val="center"/>
              <w:rPr>
                <w:rFonts w:ascii="Arial" w:eastAsia="Calibri" w:hAnsi="Arial"/>
                <w:b/>
                <w:bCs/>
                <w:sz w:val="16"/>
                <w:szCs w:val="23"/>
              </w:rPr>
            </w:pPr>
            <w:r w:rsidRPr="004F48D1">
              <w:rPr>
                <w:rFonts w:ascii="Arial" w:eastAsia="Calibri" w:hAnsi="Arial"/>
                <w:noProof/>
                <w:sz w:val="16"/>
                <w:szCs w:val="23"/>
              </w:rPr>
              <w:t>1.4</w:t>
            </w:r>
            <w:r w:rsidRPr="004F48D1">
              <w:rPr>
                <w:rFonts w:ascii="Arial" w:eastAsia="Calibri" w:hAnsi="Arial"/>
                <w:sz w:val="16"/>
                <w:szCs w:val="23"/>
              </w:rPr>
              <w:t>%</w:t>
            </w:r>
          </w:p>
        </w:tc>
        <w:tc>
          <w:tcPr>
            <w:tcW w:w="1192" w:type="dxa"/>
            <w:tcBorders>
              <w:top w:val="nil"/>
              <w:left w:val="dotted" w:sz="4" w:space="0" w:color="009900"/>
              <w:bottom w:val="nil"/>
              <w:right w:val="single" w:sz="4" w:space="0" w:color="009900"/>
            </w:tcBorders>
            <w:shd w:val="clear" w:color="000000" w:fill="FFFFE1"/>
            <w:noWrap/>
            <w:vAlign w:val="center"/>
            <w:hideMark/>
          </w:tcPr>
          <w:p w:rsidR="004F48D1" w:rsidRPr="004F48D1" w:rsidRDefault="004F48D1" w:rsidP="004F48D1">
            <w:pPr>
              <w:suppressAutoHyphens/>
              <w:jc w:val="center"/>
              <w:rPr>
                <w:rFonts w:ascii="Arial" w:eastAsia="Calibri" w:hAnsi="Arial"/>
                <w:b/>
                <w:bCs/>
                <w:sz w:val="16"/>
                <w:szCs w:val="23"/>
              </w:rPr>
            </w:pPr>
            <w:r w:rsidRPr="004F48D1">
              <w:rPr>
                <w:rFonts w:ascii="Arial" w:eastAsia="Calibri" w:hAnsi="Arial"/>
                <w:noProof/>
                <w:sz w:val="16"/>
                <w:szCs w:val="23"/>
              </w:rPr>
              <w:t>46.5</w:t>
            </w:r>
            <w:r w:rsidRPr="004F48D1">
              <w:rPr>
                <w:rFonts w:ascii="Arial" w:eastAsia="Calibri" w:hAnsi="Arial"/>
                <w:sz w:val="16"/>
                <w:szCs w:val="23"/>
              </w:rPr>
              <w:t>%</w:t>
            </w:r>
          </w:p>
        </w:tc>
      </w:tr>
      <w:tr w:rsidR="004F48D1" w:rsidRPr="004F48D1" w:rsidTr="00AF4B00">
        <w:trPr>
          <w:trHeight w:val="216"/>
          <w:jc w:val="center"/>
        </w:trPr>
        <w:tc>
          <w:tcPr>
            <w:tcW w:w="2571" w:type="dxa"/>
            <w:tcBorders>
              <w:top w:val="nil"/>
              <w:left w:val="single" w:sz="4" w:space="0" w:color="009900"/>
              <w:bottom w:val="nil"/>
              <w:right w:val="nil"/>
            </w:tcBorders>
            <w:shd w:val="clear" w:color="000000" w:fill="FFFFE1"/>
            <w:noWrap/>
            <w:vAlign w:val="center"/>
            <w:hideMark/>
          </w:tcPr>
          <w:p w:rsidR="004F48D1" w:rsidRPr="004F48D1" w:rsidRDefault="004F48D1" w:rsidP="004F48D1">
            <w:pPr>
              <w:ind w:left="180" w:hanging="180"/>
              <w:rPr>
                <w:rFonts w:ascii="Arial" w:eastAsia="Calibri" w:hAnsi="Arial"/>
                <w:sz w:val="16"/>
                <w:szCs w:val="16"/>
              </w:rPr>
            </w:pPr>
            <w:r w:rsidRPr="004F48D1">
              <w:rPr>
                <w:rFonts w:ascii="Arial" w:eastAsia="Calibri" w:hAnsi="Arial"/>
                <w:sz w:val="16"/>
                <w:szCs w:val="16"/>
              </w:rPr>
              <w:t>Native Hawaiian/ Pacific Islander</w:t>
            </w:r>
          </w:p>
        </w:tc>
        <w:tc>
          <w:tcPr>
            <w:tcW w:w="1502" w:type="dxa"/>
            <w:tcBorders>
              <w:top w:val="nil"/>
              <w:left w:val="nil"/>
              <w:bottom w:val="nil"/>
              <w:right w:val="nil"/>
            </w:tcBorders>
            <w:shd w:val="clear" w:color="000000" w:fill="FFFFE1"/>
            <w:noWrap/>
            <w:vAlign w:val="center"/>
            <w:hideMark/>
          </w:tcPr>
          <w:p w:rsidR="004F48D1" w:rsidRPr="004F48D1" w:rsidRDefault="004F48D1" w:rsidP="004F48D1">
            <w:pPr>
              <w:suppressAutoHyphens/>
              <w:jc w:val="center"/>
              <w:rPr>
                <w:rFonts w:ascii="Arial" w:eastAsia="Calibri" w:hAnsi="Arial"/>
                <w:b/>
                <w:bCs/>
                <w:sz w:val="16"/>
                <w:szCs w:val="23"/>
              </w:rPr>
            </w:pPr>
            <w:r w:rsidRPr="004F48D1">
              <w:rPr>
                <w:rFonts w:ascii="Arial" w:eastAsia="Calibri" w:hAnsi="Arial"/>
                <w:noProof/>
                <w:sz w:val="16"/>
                <w:szCs w:val="23"/>
              </w:rPr>
              <w:t>1,503</w:t>
            </w:r>
          </w:p>
        </w:tc>
        <w:tc>
          <w:tcPr>
            <w:tcW w:w="1844" w:type="dxa"/>
            <w:tcBorders>
              <w:top w:val="nil"/>
              <w:left w:val="nil"/>
              <w:bottom w:val="nil"/>
              <w:right w:val="nil"/>
            </w:tcBorders>
            <w:shd w:val="clear" w:color="000000" w:fill="FFFFE1"/>
            <w:noWrap/>
            <w:vAlign w:val="center"/>
            <w:hideMark/>
          </w:tcPr>
          <w:p w:rsidR="004F48D1" w:rsidRPr="004F48D1" w:rsidRDefault="004F48D1" w:rsidP="004F48D1">
            <w:pPr>
              <w:suppressAutoHyphens/>
              <w:jc w:val="center"/>
              <w:rPr>
                <w:rFonts w:ascii="Arial" w:eastAsia="Calibri" w:hAnsi="Arial"/>
                <w:b/>
                <w:bCs/>
                <w:sz w:val="16"/>
                <w:szCs w:val="23"/>
              </w:rPr>
            </w:pPr>
            <w:r w:rsidRPr="004F48D1">
              <w:rPr>
                <w:rFonts w:ascii="Arial" w:eastAsia="Calibri" w:hAnsi="Arial"/>
                <w:noProof/>
                <w:sz w:val="16"/>
                <w:szCs w:val="23"/>
              </w:rPr>
              <w:t>.1</w:t>
            </w:r>
            <w:r w:rsidRPr="004F48D1">
              <w:rPr>
                <w:rFonts w:ascii="Arial" w:eastAsia="Calibri" w:hAnsi="Arial"/>
                <w:sz w:val="16"/>
                <w:szCs w:val="23"/>
              </w:rPr>
              <w:t>%</w:t>
            </w:r>
          </w:p>
        </w:tc>
        <w:tc>
          <w:tcPr>
            <w:tcW w:w="1112" w:type="dxa"/>
            <w:tcBorders>
              <w:top w:val="nil"/>
              <w:left w:val="nil"/>
              <w:bottom w:val="nil"/>
              <w:right w:val="nil"/>
            </w:tcBorders>
            <w:shd w:val="clear" w:color="000000" w:fill="FFFFE1"/>
            <w:noWrap/>
            <w:vAlign w:val="center"/>
            <w:hideMark/>
          </w:tcPr>
          <w:p w:rsidR="004F48D1" w:rsidRPr="004F48D1" w:rsidRDefault="004F48D1" w:rsidP="004F48D1">
            <w:pPr>
              <w:suppressAutoHyphens/>
              <w:jc w:val="center"/>
              <w:rPr>
                <w:rFonts w:ascii="Arial" w:eastAsia="Calibri" w:hAnsi="Arial"/>
                <w:b/>
                <w:bCs/>
                <w:sz w:val="16"/>
                <w:szCs w:val="23"/>
              </w:rPr>
            </w:pPr>
            <w:r w:rsidRPr="004F48D1">
              <w:rPr>
                <w:rFonts w:ascii="Arial" w:eastAsia="Calibri" w:hAnsi="Arial"/>
                <w:noProof/>
                <w:sz w:val="16"/>
                <w:szCs w:val="23"/>
              </w:rPr>
              <w:t>1,810</w:t>
            </w:r>
          </w:p>
        </w:tc>
        <w:tc>
          <w:tcPr>
            <w:tcW w:w="1455" w:type="dxa"/>
            <w:tcBorders>
              <w:top w:val="nil"/>
              <w:left w:val="nil"/>
              <w:bottom w:val="nil"/>
              <w:right w:val="dotted" w:sz="4" w:space="0" w:color="009900"/>
            </w:tcBorders>
            <w:shd w:val="clear" w:color="000000" w:fill="FFFFE1"/>
            <w:noWrap/>
            <w:vAlign w:val="center"/>
            <w:hideMark/>
          </w:tcPr>
          <w:p w:rsidR="004F48D1" w:rsidRPr="004F48D1" w:rsidRDefault="004F48D1" w:rsidP="004F48D1">
            <w:pPr>
              <w:suppressAutoHyphens/>
              <w:jc w:val="center"/>
              <w:rPr>
                <w:rFonts w:ascii="Arial" w:eastAsia="Calibri" w:hAnsi="Arial"/>
                <w:b/>
                <w:bCs/>
                <w:sz w:val="16"/>
                <w:szCs w:val="23"/>
              </w:rPr>
            </w:pPr>
            <w:r w:rsidRPr="004F48D1">
              <w:rPr>
                <w:rFonts w:ascii="Arial" w:eastAsia="Calibri" w:hAnsi="Arial"/>
                <w:noProof/>
                <w:sz w:val="16"/>
                <w:szCs w:val="23"/>
              </w:rPr>
              <w:t>.1</w:t>
            </w:r>
            <w:r w:rsidRPr="004F48D1">
              <w:rPr>
                <w:rFonts w:ascii="Arial" w:eastAsia="Calibri" w:hAnsi="Arial"/>
                <w:sz w:val="16"/>
                <w:szCs w:val="23"/>
              </w:rPr>
              <w:t>%</w:t>
            </w:r>
          </w:p>
        </w:tc>
        <w:tc>
          <w:tcPr>
            <w:tcW w:w="1192" w:type="dxa"/>
            <w:tcBorders>
              <w:top w:val="nil"/>
              <w:left w:val="dotted" w:sz="4" w:space="0" w:color="009900"/>
              <w:bottom w:val="nil"/>
              <w:right w:val="single" w:sz="4" w:space="0" w:color="009900"/>
            </w:tcBorders>
            <w:shd w:val="clear" w:color="000000" w:fill="FFFFE1"/>
            <w:noWrap/>
            <w:vAlign w:val="center"/>
            <w:hideMark/>
          </w:tcPr>
          <w:p w:rsidR="004F48D1" w:rsidRPr="004F48D1" w:rsidRDefault="004F48D1" w:rsidP="004F48D1">
            <w:pPr>
              <w:suppressAutoHyphens/>
              <w:jc w:val="center"/>
              <w:rPr>
                <w:rFonts w:ascii="Arial" w:eastAsia="Calibri" w:hAnsi="Arial"/>
                <w:b/>
                <w:bCs/>
                <w:sz w:val="16"/>
                <w:szCs w:val="23"/>
              </w:rPr>
            </w:pPr>
            <w:r w:rsidRPr="004F48D1">
              <w:rPr>
                <w:rFonts w:ascii="Arial" w:eastAsia="Calibri" w:hAnsi="Arial"/>
                <w:noProof/>
                <w:sz w:val="16"/>
                <w:szCs w:val="23"/>
              </w:rPr>
              <w:t>20.4</w:t>
            </w:r>
            <w:r w:rsidRPr="004F48D1">
              <w:rPr>
                <w:rFonts w:ascii="Arial" w:eastAsia="Calibri" w:hAnsi="Arial"/>
                <w:sz w:val="16"/>
                <w:szCs w:val="23"/>
              </w:rPr>
              <w:t>%</w:t>
            </w:r>
          </w:p>
        </w:tc>
      </w:tr>
      <w:tr w:rsidR="004F48D1" w:rsidRPr="004F48D1" w:rsidTr="00AF4B00">
        <w:trPr>
          <w:trHeight w:val="216"/>
          <w:jc w:val="center"/>
        </w:trPr>
        <w:tc>
          <w:tcPr>
            <w:tcW w:w="2571" w:type="dxa"/>
            <w:tcBorders>
              <w:top w:val="nil"/>
              <w:left w:val="single" w:sz="4" w:space="0" w:color="009900"/>
              <w:bottom w:val="nil"/>
              <w:right w:val="nil"/>
            </w:tcBorders>
            <w:shd w:val="clear" w:color="000000" w:fill="FFFFE1"/>
            <w:noWrap/>
            <w:vAlign w:val="center"/>
            <w:hideMark/>
          </w:tcPr>
          <w:p w:rsidR="004F48D1" w:rsidRPr="004F48D1" w:rsidRDefault="004F48D1" w:rsidP="004F48D1">
            <w:pPr>
              <w:ind w:left="180" w:hanging="180"/>
              <w:rPr>
                <w:rFonts w:ascii="Arial" w:eastAsia="Calibri" w:hAnsi="Arial"/>
                <w:sz w:val="16"/>
                <w:szCs w:val="16"/>
              </w:rPr>
            </w:pPr>
            <w:r w:rsidRPr="004F48D1">
              <w:rPr>
                <w:rFonts w:ascii="Arial" w:eastAsia="Calibri" w:hAnsi="Arial"/>
                <w:sz w:val="16"/>
                <w:szCs w:val="16"/>
              </w:rPr>
              <w:t>Other</w:t>
            </w:r>
          </w:p>
        </w:tc>
        <w:tc>
          <w:tcPr>
            <w:tcW w:w="1502" w:type="dxa"/>
            <w:tcBorders>
              <w:top w:val="nil"/>
              <w:left w:val="nil"/>
              <w:bottom w:val="nil"/>
              <w:right w:val="nil"/>
            </w:tcBorders>
            <w:shd w:val="clear" w:color="000000" w:fill="FFFFE1"/>
            <w:noWrap/>
            <w:vAlign w:val="center"/>
            <w:hideMark/>
          </w:tcPr>
          <w:p w:rsidR="004F48D1" w:rsidRPr="004F48D1" w:rsidRDefault="004F48D1" w:rsidP="004F48D1">
            <w:pPr>
              <w:suppressAutoHyphens/>
              <w:jc w:val="center"/>
              <w:rPr>
                <w:rFonts w:ascii="Arial" w:eastAsia="Calibri" w:hAnsi="Arial"/>
                <w:b/>
                <w:bCs/>
                <w:sz w:val="16"/>
                <w:szCs w:val="23"/>
              </w:rPr>
            </w:pPr>
            <w:r w:rsidRPr="004F48D1">
              <w:rPr>
                <w:rFonts w:ascii="Arial" w:eastAsia="Calibri" w:hAnsi="Arial"/>
                <w:noProof/>
                <w:sz w:val="16"/>
                <w:szCs w:val="23"/>
              </w:rPr>
              <w:t>309,882</w:t>
            </w:r>
          </w:p>
        </w:tc>
        <w:tc>
          <w:tcPr>
            <w:tcW w:w="1844" w:type="dxa"/>
            <w:tcBorders>
              <w:top w:val="nil"/>
              <w:left w:val="nil"/>
              <w:bottom w:val="nil"/>
              <w:right w:val="nil"/>
            </w:tcBorders>
            <w:shd w:val="clear" w:color="000000" w:fill="FFFFE1"/>
            <w:noWrap/>
            <w:vAlign w:val="center"/>
            <w:hideMark/>
          </w:tcPr>
          <w:p w:rsidR="004F48D1" w:rsidRPr="004F48D1" w:rsidRDefault="004F48D1" w:rsidP="004F48D1">
            <w:pPr>
              <w:suppressAutoHyphens/>
              <w:jc w:val="center"/>
              <w:rPr>
                <w:rFonts w:ascii="Arial" w:eastAsia="Calibri" w:hAnsi="Arial"/>
                <w:b/>
                <w:bCs/>
                <w:sz w:val="16"/>
                <w:szCs w:val="23"/>
              </w:rPr>
            </w:pPr>
            <w:r w:rsidRPr="004F48D1">
              <w:rPr>
                <w:rFonts w:ascii="Arial" w:eastAsia="Calibri" w:hAnsi="Arial"/>
                <w:noProof/>
                <w:sz w:val="16"/>
                <w:szCs w:val="23"/>
              </w:rPr>
              <w:t>17.0</w:t>
            </w:r>
            <w:r w:rsidRPr="004F48D1">
              <w:rPr>
                <w:rFonts w:ascii="Arial" w:eastAsia="Calibri" w:hAnsi="Arial"/>
                <w:sz w:val="16"/>
                <w:szCs w:val="23"/>
              </w:rPr>
              <w:t>%</w:t>
            </w:r>
          </w:p>
        </w:tc>
        <w:tc>
          <w:tcPr>
            <w:tcW w:w="1112" w:type="dxa"/>
            <w:tcBorders>
              <w:top w:val="nil"/>
              <w:left w:val="nil"/>
              <w:bottom w:val="nil"/>
              <w:right w:val="nil"/>
            </w:tcBorders>
            <w:shd w:val="clear" w:color="000000" w:fill="FFFFE1"/>
            <w:noWrap/>
            <w:vAlign w:val="center"/>
            <w:hideMark/>
          </w:tcPr>
          <w:p w:rsidR="004F48D1" w:rsidRPr="004F48D1" w:rsidRDefault="004F48D1" w:rsidP="004F48D1">
            <w:pPr>
              <w:suppressAutoHyphens/>
              <w:jc w:val="center"/>
              <w:rPr>
                <w:rFonts w:ascii="Arial" w:eastAsia="Calibri" w:hAnsi="Arial"/>
                <w:b/>
                <w:bCs/>
                <w:sz w:val="16"/>
                <w:szCs w:val="23"/>
              </w:rPr>
            </w:pPr>
            <w:r w:rsidRPr="004F48D1">
              <w:rPr>
                <w:rFonts w:ascii="Arial" w:eastAsia="Calibri" w:hAnsi="Arial"/>
                <w:noProof/>
                <w:sz w:val="16"/>
                <w:szCs w:val="23"/>
              </w:rPr>
              <w:t>308,503</w:t>
            </w:r>
          </w:p>
        </w:tc>
        <w:tc>
          <w:tcPr>
            <w:tcW w:w="1455" w:type="dxa"/>
            <w:tcBorders>
              <w:top w:val="nil"/>
              <w:left w:val="nil"/>
              <w:bottom w:val="nil"/>
              <w:right w:val="dotted" w:sz="4" w:space="0" w:color="009900"/>
            </w:tcBorders>
            <w:shd w:val="clear" w:color="000000" w:fill="FFFFE1"/>
            <w:noWrap/>
            <w:vAlign w:val="center"/>
            <w:hideMark/>
          </w:tcPr>
          <w:p w:rsidR="004F48D1" w:rsidRPr="004F48D1" w:rsidRDefault="004F48D1" w:rsidP="004F48D1">
            <w:pPr>
              <w:suppressAutoHyphens/>
              <w:jc w:val="center"/>
              <w:rPr>
                <w:rFonts w:ascii="Arial" w:eastAsia="Calibri" w:hAnsi="Arial"/>
                <w:b/>
                <w:bCs/>
                <w:sz w:val="16"/>
                <w:szCs w:val="23"/>
              </w:rPr>
            </w:pPr>
            <w:r w:rsidRPr="004F48D1">
              <w:rPr>
                <w:rFonts w:ascii="Arial" w:eastAsia="Calibri" w:hAnsi="Arial"/>
                <w:noProof/>
                <w:sz w:val="16"/>
                <w:szCs w:val="23"/>
              </w:rPr>
              <w:t>15.0</w:t>
            </w:r>
            <w:r w:rsidRPr="004F48D1">
              <w:rPr>
                <w:rFonts w:ascii="Arial" w:eastAsia="Calibri" w:hAnsi="Arial"/>
                <w:sz w:val="16"/>
                <w:szCs w:val="23"/>
              </w:rPr>
              <w:t>%</w:t>
            </w:r>
          </w:p>
        </w:tc>
        <w:tc>
          <w:tcPr>
            <w:tcW w:w="1192" w:type="dxa"/>
            <w:tcBorders>
              <w:top w:val="nil"/>
              <w:left w:val="dotted" w:sz="4" w:space="0" w:color="009900"/>
              <w:bottom w:val="nil"/>
              <w:right w:val="single" w:sz="4" w:space="0" w:color="009900"/>
            </w:tcBorders>
            <w:shd w:val="clear" w:color="000000" w:fill="FFFFE1"/>
            <w:noWrap/>
            <w:vAlign w:val="center"/>
            <w:hideMark/>
          </w:tcPr>
          <w:p w:rsidR="004F48D1" w:rsidRPr="004F48D1" w:rsidRDefault="004F48D1" w:rsidP="004F48D1">
            <w:pPr>
              <w:suppressAutoHyphens/>
              <w:jc w:val="center"/>
              <w:rPr>
                <w:rFonts w:ascii="Arial" w:eastAsia="Calibri" w:hAnsi="Arial"/>
                <w:b/>
                <w:bCs/>
                <w:sz w:val="16"/>
                <w:szCs w:val="23"/>
              </w:rPr>
            </w:pPr>
            <w:r w:rsidRPr="004F48D1">
              <w:rPr>
                <w:rFonts w:ascii="Arial" w:eastAsia="Calibri" w:hAnsi="Arial"/>
                <w:noProof/>
                <w:sz w:val="16"/>
                <w:szCs w:val="23"/>
              </w:rPr>
              <w:t>-.4</w:t>
            </w:r>
            <w:r w:rsidRPr="004F48D1">
              <w:rPr>
                <w:rFonts w:ascii="Arial" w:eastAsia="Calibri" w:hAnsi="Arial"/>
                <w:sz w:val="16"/>
                <w:szCs w:val="23"/>
              </w:rPr>
              <w:t>%</w:t>
            </w:r>
          </w:p>
        </w:tc>
      </w:tr>
      <w:tr w:rsidR="004F48D1" w:rsidRPr="004F48D1" w:rsidTr="00AF4B00">
        <w:trPr>
          <w:trHeight w:val="216"/>
          <w:jc w:val="center"/>
        </w:trPr>
        <w:tc>
          <w:tcPr>
            <w:tcW w:w="2571" w:type="dxa"/>
            <w:tcBorders>
              <w:top w:val="nil"/>
              <w:left w:val="single" w:sz="4" w:space="0" w:color="009900"/>
              <w:bottom w:val="nil"/>
              <w:right w:val="nil"/>
            </w:tcBorders>
            <w:shd w:val="clear" w:color="000000" w:fill="FFFFE1"/>
            <w:noWrap/>
            <w:vAlign w:val="center"/>
            <w:hideMark/>
          </w:tcPr>
          <w:p w:rsidR="004F48D1" w:rsidRPr="004F48D1" w:rsidRDefault="004F48D1" w:rsidP="004F48D1">
            <w:pPr>
              <w:ind w:left="180" w:hanging="180"/>
              <w:rPr>
                <w:rFonts w:ascii="Arial" w:eastAsia="Calibri" w:hAnsi="Arial"/>
                <w:sz w:val="16"/>
                <w:szCs w:val="16"/>
              </w:rPr>
            </w:pPr>
            <w:r w:rsidRPr="004F48D1">
              <w:rPr>
                <w:rFonts w:ascii="Arial" w:eastAsia="Calibri" w:hAnsi="Arial"/>
                <w:sz w:val="16"/>
                <w:szCs w:val="16"/>
              </w:rPr>
              <w:t>Two or More Races</w:t>
            </w:r>
          </w:p>
        </w:tc>
        <w:tc>
          <w:tcPr>
            <w:tcW w:w="1502" w:type="dxa"/>
            <w:tcBorders>
              <w:top w:val="nil"/>
              <w:left w:val="nil"/>
              <w:bottom w:val="double" w:sz="6" w:space="0" w:color="009900"/>
              <w:right w:val="nil"/>
            </w:tcBorders>
            <w:shd w:val="clear" w:color="000000" w:fill="FFFFE1"/>
            <w:noWrap/>
            <w:vAlign w:val="center"/>
            <w:hideMark/>
          </w:tcPr>
          <w:p w:rsidR="004F48D1" w:rsidRPr="004F48D1" w:rsidRDefault="004F48D1" w:rsidP="004F48D1">
            <w:pPr>
              <w:suppressAutoHyphens/>
              <w:jc w:val="center"/>
              <w:rPr>
                <w:rFonts w:ascii="Arial" w:eastAsia="Calibri" w:hAnsi="Arial"/>
                <w:b/>
                <w:bCs/>
                <w:sz w:val="16"/>
                <w:szCs w:val="23"/>
              </w:rPr>
            </w:pPr>
            <w:r w:rsidRPr="004F48D1">
              <w:rPr>
                <w:rFonts w:ascii="Arial" w:eastAsia="Calibri" w:hAnsi="Arial"/>
                <w:noProof/>
                <w:sz w:val="16"/>
                <w:szCs w:val="23"/>
              </w:rPr>
              <w:t>66,327</w:t>
            </w:r>
          </w:p>
        </w:tc>
        <w:tc>
          <w:tcPr>
            <w:tcW w:w="1844" w:type="dxa"/>
            <w:tcBorders>
              <w:top w:val="nil"/>
              <w:left w:val="nil"/>
              <w:bottom w:val="double" w:sz="6" w:space="0" w:color="009900"/>
              <w:right w:val="nil"/>
            </w:tcBorders>
            <w:shd w:val="clear" w:color="000000" w:fill="FFFFE1"/>
            <w:noWrap/>
            <w:vAlign w:val="center"/>
            <w:hideMark/>
          </w:tcPr>
          <w:p w:rsidR="004F48D1" w:rsidRPr="004F48D1" w:rsidRDefault="004F48D1" w:rsidP="004F48D1">
            <w:pPr>
              <w:suppressAutoHyphens/>
              <w:jc w:val="center"/>
              <w:rPr>
                <w:rFonts w:ascii="Arial" w:eastAsia="Calibri" w:hAnsi="Arial"/>
                <w:b/>
                <w:bCs/>
                <w:sz w:val="16"/>
                <w:szCs w:val="23"/>
              </w:rPr>
            </w:pPr>
            <w:r w:rsidRPr="004F48D1">
              <w:rPr>
                <w:rFonts w:ascii="Arial" w:eastAsia="Calibri" w:hAnsi="Arial"/>
                <w:noProof/>
                <w:sz w:val="16"/>
                <w:szCs w:val="23"/>
              </w:rPr>
              <w:t>3.6</w:t>
            </w:r>
            <w:r w:rsidRPr="004F48D1">
              <w:rPr>
                <w:rFonts w:ascii="Arial" w:eastAsia="Calibri" w:hAnsi="Arial"/>
                <w:sz w:val="16"/>
                <w:szCs w:val="23"/>
              </w:rPr>
              <w:t>%</w:t>
            </w:r>
          </w:p>
        </w:tc>
        <w:tc>
          <w:tcPr>
            <w:tcW w:w="1112" w:type="dxa"/>
            <w:tcBorders>
              <w:top w:val="nil"/>
              <w:left w:val="nil"/>
              <w:bottom w:val="double" w:sz="6" w:space="0" w:color="009900"/>
              <w:right w:val="nil"/>
            </w:tcBorders>
            <w:shd w:val="clear" w:color="000000" w:fill="FFFFE1"/>
            <w:noWrap/>
            <w:vAlign w:val="center"/>
            <w:hideMark/>
          </w:tcPr>
          <w:p w:rsidR="004F48D1" w:rsidRPr="004F48D1" w:rsidRDefault="004F48D1" w:rsidP="004F48D1">
            <w:pPr>
              <w:suppressAutoHyphens/>
              <w:jc w:val="center"/>
              <w:rPr>
                <w:rFonts w:ascii="Arial" w:eastAsia="Calibri" w:hAnsi="Arial"/>
                <w:b/>
                <w:bCs/>
                <w:sz w:val="16"/>
                <w:szCs w:val="23"/>
              </w:rPr>
            </w:pPr>
            <w:r w:rsidRPr="004F48D1">
              <w:rPr>
                <w:rFonts w:ascii="Arial" w:eastAsia="Calibri" w:hAnsi="Arial"/>
                <w:noProof/>
                <w:sz w:val="16"/>
                <w:szCs w:val="23"/>
              </w:rPr>
              <w:t>77,010</w:t>
            </w:r>
          </w:p>
        </w:tc>
        <w:tc>
          <w:tcPr>
            <w:tcW w:w="1455" w:type="dxa"/>
            <w:tcBorders>
              <w:top w:val="nil"/>
              <w:left w:val="nil"/>
              <w:bottom w:val="double" w:sz="6" w:space="0" w:color="009900"/>
              <w:right w:val="dotted" w:sz="4" w:space="0" w:color="009900"/>
            </w:tcBorders>
            <w:shd w:val="clear" w:color="000000" w:fill="FFFFE1"/>
            <w:noWrap/>
            <w:vAlign w:val="center"/>
            <w:hideMark/>
          </w:tcPr>
          <w:p w:rsidR="004F48D1" w:rsidRPr="004F48D1" w:rsidRDefault="004F48D1" w:rsidP="004F48D1">
            <w:pPr>
              <w:suppressAutoHyphens/>
              <w:jc w:val="center"/>
              <w:rPr>
                <w:rFonts w:ascii="Arial" w:eastAsia="Calibri" w:hAnsi="Arial"/>
                <w:b/>
                <w:bCs/>
                <w:sz w:val="16"/>
                <w:szCs w:val="23"/>
              </w:rPr>
            </w:pPr>
            <w:r w:rsidRPr="004F48D1">
              <w:rPr>
                <w:rFonts w:ascii="Arial" w:eastAsia="Calibri" w:hAnsi="Arial"/>
                <w:noProof/>
                <w:sz w:val="16"/>
                <w:szCs w:val="23"/>
              </w:rPr>
              <w:t>3.7</w:t>
            </w:r>
            <w:r w:rsidRPr="004F48D1">
              <w:rPr>
                <w:rFonts w:ascii="Arial" w:eastAsia="Calibri" w:hAnsi="Arial"/>
                <w:sz w:val="16"/>
                <w:szCs w:val="23"/>
              </w:rPr>
              <w:t>%</w:t>
            </w:r>
          </w:p>
        </w:tc>
        <w:tc>
          <w:tcPr>
            <w:tcW w:w="1192" w:type="dxa"/>
            <w:tcBorders>
              <w:top w:val="nil"/>
              <w:left w:val="dotted" w:sz="4" w:space="0" w:color="009900"/>
              <w:bottom w:val="nil"/>
              <w:right w:val="single" w:sz="4" w:space="0" w:color="009900"/>
            </w:tcBorders>
            <w:shd w:val="clear" w:color="000000" w:fill="FFFFE1"/>
            <w:noWrap/>
            <w:vAlign w:val="center"/>
            <w:hideMark/>
          </w:tcPr>
          <w:p w:rsidR="004F48D1" w:rsidRPr="004F48D1" w:rsidRDefault="004F48D1" w:rsidP="004F48D1">
            <w:pPr>
              <w:suppressAutoHyphens/>
              <w:jc w:val="center"/>
              <w:rPr>
                <w:rFonts w:ascii="Arial" w:eastAsia="Calibri" w:hAnsi="Arial"/>
                <w:b/>
                <w:bCs/>
                <w:sz w:val="16"/>
                <w:szCs w:val="23"/>
              </w:rPr>
            </w:pPr>
            <w:r w:rsidRPr="004F48D1">
              <w:rPr>
                <w:rFonts w:ascii="Arial" w:eastAsia="Calibri" w:hAnsi="Arial"/>
                <w:noProof/>
                <w:sz w:val="16"/>
                <w:szCs w:val="23"/>
              </w:rPr>
              <w:t>16.1</w:t>
            </w:r>
            <w:r w:rsidRPr="004F48D1">
              <w:rPr>
                <w:rFonts w:ascii="Arial" w:eastAsia="Calibri" w:hAnsi="Arial"/>
                <w:sz w:val="16"/>
                <w:szCs w:val="23"/>
              </w:rPr>
              <w:t>%</w:t>
            </w:r>
          </w:p>
        </w:tc>
      </w:tr>
      <w:tr w:rsidR="004F48D1" w:rsidRPr="004F48D1" w:rsidTr="00AF4B00">
        <w:trPr>
          <w:trHeight w:val="216"/>
          <w:jc w:val="center"/>
        </w:trPr>
        <w:tc>
          <w:tcPr>
            <w:tcW w:w="2571" w:type="dxa"/>
            <w:tcBorders>
              <w:top w:val="double" w:sz="6" w:space="0" w:color="009900"/>
              <w:left w:val="single" w:sz="4" w:space="0" w:color="009900"/>
              <w:bottom w:val="single" w:sz="4" w:space="0" w:color="009900"/>
              <w:right w:val="nil"/>
            </w:tcBorders>
            <w:shd w:val="clear" w:color="000000" w:fill="FFFFE1"/>
            <w:noWrap/>
            <w:vAlign w:val="center"/>
            <w:hideMark/>
          </w:tcPr>
          <w:p w:rsidR="004F48D1" w:rsidRPr="004F48D1" w:rsidRDefault="004F48D1" w:rsidP="004F48D1">
            <w:pPr>
              <w:suppressAutoHyphens/>
              <w:rPr>
                <w:rFonts w:ascii="Arial" w:eastAsia="Calibri" w:hAnsi="Arial"/>
                <w:b/>
                <w:sz w:val="16"/>
                <w:szCs w:val="23"/>
              </w:rPr>
            </w:pPr>
            <w:r w:rsidRPr="004F48D1">
              <w:rPr>
                <w:rFonts w:ascii="Arial" w:eastAsia="Calibri" w:hAnsi="Arial"/>
                <w:b/>
                <w:sz w:val="16"/>
                <w:szCs w:val="23"/>
              </w:rPr>
              <w:t>Total</w:t>
            </w:r>
          </w:p>
        </w:tc>
        <w:tc>
          <w:tcPr>
            <w:tcW w:w="1502" w:type="dxa"/>
            <w:tcBorders>
              <w:top w:val="nil"/>
              <w:left w:val="nil"/>
              <w:bottom w:val="single" w:sz="4" w:space="0" w:color="009900"/>
              <w:right w:val="nil"/>
            </w:tcBorders>
            <w:shd w:val="clear" w:color="000000" w:fill="FFFFE1"/>
            <w:noWrap/>
            <w:vAlign w:val="center"/>
            <w:hideMark/>
          </w:tcPr>
          <w:p w:rsidR="004F48D1" w:rsidRPr="004F48D1" w:rsidRDefault="004F48D1" w:rsidP="004F48D1">
            <w:pPr>
              <w:suppressAutoHyphens/>
              <w:jc w:val="center"/>
              <w:rPr>
                <w:rFonts w:ascii="Arial" w:eastAsia="Calibri" w:hAnsi="Arial"/>
                <w:b/>
                <w:bCs/>
                <w:sz w:val="16"/>
                <w:szCs w:val="23"/>
              </w:rPr>
            </w:pPr>
            <w:r w:rsidRPr="004F48D1">
              <w:rPr>
                <w:rFonts w:ascii="Arial" w:eastAsia="Calibri" w:hAnsi="Arial"/>
                <w:b/>
                <w:noProof/>
                <w:sz w:val="16"/>
                <w:szCs w:val="23"/>
              </w:rPr>
              <w:t>1,819,046</w:t>
            </w:r>
          </w:p>
        </w:tc>
        <w:tc>
          <w:tcPr>
            <w:tcW w:w="1844" w:type="dxa"/>
            <w:tcBorders>
              <w:top w:val="nil"/>
              <w:left w:val="nil"/>
              <w:bottom w:val="single" w:sz="4" w:space="0" w:color="009900"/>
              <w:right w:val="nil"/>
            </w:tcBorders>
            <w:shd w:val="clear" w:color="000000" w:fill="FFFFE1"/>
            <w:noWrap/>
            <w:vAlign w:val="center"/>
            <w:hideMark/>
          </w:tcPr>
          <w:p w:rsidR="004F48D1" w:rsidRPr="004F48D1" w:rsidRDefault="004F48D1" w:rsidP="004F48D1">
            <w:pPr>
              <w:suppressAutoHyphens/>
              <w:jc w:val="center"/>
              <w:rPr>
                <w:rFonts w:ascii="Arial" w:eastAsia="Calibri" w:hAnsi="Arial"/>
                <w:b/>
                <w:bCs/>
                <w:sz w:val="16"/>
                <w:szCs w:val="23"/>
              </w:rPr>
            </w:pPr>
            <w:r w:rsidRPr="004F48D1">
              <w:rPr>
                <w:rFonts w:ascii="Arial" w:eastAsia="Calibri" w:hAnsi="Arial"/>
                <w:b/>
                <w:sz w:val="16"/>
                <w:szCs w:val="23"/>
              </w:rPr>
              <w:t>100.0%</w:t>
            </w:r>
          </w:p>
        </w:tc>
        <w:tc>
          <w:tcPr>
            <w:tcW w:w="1112" w:type="dxa"/>
            <w:tcBorders>
              <w:top w:val="nil"/>
              <w:left w:val="nil"/>
              <w:bottom w:val="single" w:sz="4" w:space="0" w:color="009900"/>
              <w:right w:val="nil"/>
            </w:tcBorders>
            <w:shd w:val="clear" w:color="000000" w:fill="FFFFE1"/>
            <w:noWrap/>
            <w:vAlign w:val="center"/>
            <w:hideMark/>
          </w:tcPr>
          <w:p w:rsidR="004F48D1" w:rsidRPr="004F48D1" w:rsidRDefault="004F48D1" w:rsidP="004F48D1">
            <w:pPr>
              <w:suppressAutoHyphens/>
              <w:jc w:val="center"/>
              <w:rPr>
                <w:rFonts w:ascii="Arial" w:eastAsia="Calibri" w:hAnsi="Arial"/>
                <w:b/>
                <w:bCs/>
                <w:sz w:val="16"/>
                <w:szCs w:val="23"/>
              </w:rPr>
            </w:pPr>
            <w:r w:rsidRPr="004F48D1">
              <w:rPr>
                <w:rFonts w:ascii="Arial" w:eastAsia="Calibri" w:hAnsi="Arial"/>
                <w:b/>
                <w:noProof/>
                <w:sz w:val="16"/>
                <w:szCs w:val="23"/>
              </w:rPr>
              <w:t>2,059,179</w:t>
            </w:r>
          </w:p>
        </w:tc>
        <w:tc>
          <w:tcPr>
            <w:tcW w:w="1455" w:type="dxa"/>
            <w:tcBorders>
              <w:top w:val="nil"/>
              <w:left w:val="nil"/>
              <w:bottom w:val="single" w:sz="4" w:space="0" w:color="009900"/>
              <w:right w:val="dotted" w:sz="4" w:space="0" w:color="009900"/>
            </w:tcBorders>
            <w:shd w:val="clear" w:color="000000" w:fill="FFFFE1"/>
            <w:noWrap/>
            <w:vAlign w:val="center"/>
            <w:hideMark/>
          </w:tcPr>
          <w:p w:rsidR="004F48D1" w:rsidRPr="004F48D1" w:rsidRDefault="004F48D1" w:rsidP="004F48D1">
            <w:pPr>
              <w:suppressAutoHyphens/>
              <w:jc w:val="center"/>
              <w:rPr>
                <w:rFonts w:ascii="Arial" w:eastAsia="Calibri" w:hAnsi="Arial"/>
                <w:b/>
                <w:bCs/>
                <w:sz w:val="16"/>
                <w:szCs w:val="23"/>
              </w:rPr>
            </w:pPr>
            <w:r w:rsidRPr="004F48D1">
              <w:rPr>
                <w:rFonts w:ascii="Arial" w:eastAsia="Calibri" w:hAnsi="Arial"/>
                <w:b/>
                <w:sz w:val="16"/>
                <w:szCs w:val="23"/>
              </w:rPr>
              <w:t>100.0%</w:t>
            </w:r>
            <w:r w:rsidRPr="004F48D1">
              <w:rPr>
                <w:rFonts w:ascii="Arial" w:eastAsia="Calibri" w:hAnsi="Arial"/>
                <w:b/>
                <w:bCs/>
                <w:sz w:val="16"/>
                <w:szCs w:val="23"/>
              </w:rPr>
              <w:t xml:space="preserve"> </w:t>
            </w:r>
          </w:p>
        </w:tc>
        <w:tc>
          <w:tcPr>
            <w:tcW w:w="1192" w:type="dxa"/>
            <w:tcBorders>
              <w:top w:val="double" w:sz="6" w:space="0" w:color="009900"/>
              <w:left w:val="dotted" w:sz="4" w:space="0" w:color="009900"/>
              <w:bottom w:val="single" w:sz="4" w:space="0" w:color="009900"/>
              <w:right w:val="single" w:sz="4" w:space="0" w:color="009900"/>
            </w:tcBorders>
            <w:shd w:val="clear" w:color="000000" w:fill="FFFFE1"/>
            <w:noWrap/>
            <w:vAlign w:val="center"/>
            <w:hideMark/>
          </w:tcPr>
          <w:p w:rsidR="004F48D1" w:rsidRPr="004F48D1" w:rsidRDefault="004F48D1" w:rsidP="004F48D1">
            <w:pPr>
              <w:suppressAutoHyphens/>
              <w:jc w:val="center"/>
              <w:rPr>
                <w:rFonts w:ascii="Arial" w:eastAsia="Calibri" w:hAnsi="Arial"/>
                <w:b/>
                <w:bCs/>
                <w:sz w:val="16"/>
                <w:szCs w:val="23"/>
              </w:rPr>
            </w:pPr>
            <w:r w:rsidRPr="004F48D1">
              <w:rPr>
                <w:rFonts w:ascii="Arial" w:eastAsia="Calibri" w:hAnsi="Arial"/>
                <w:b/>
                <w:noProof/>
                <w:sz w:val="16"/>
                <w:szCs w:val="23"/>
              </w:rPr>
              <w:t>13.2</w:t>
            </w:r>
            <w:r w:rsidRPr="004F48D1">
              <w:rPr>
                <w:rFonts w:ascii="Arial" w:eastAsia="Calibri" w:hAnsi="Arial"/>
                <w:b/>
                <w:sz w:val="16"/>
                <w:szCs w:val="23"/>
              </w:rPr>
              <w:t>%</w:t>
            </w:r>
          </w:p>
        </w:tc>
      </w:tr>
      <w:tr w:rsidR="004F48D1" w:rsidRPr="004F48D1" w:rsidTr="00AF4B00">
        <w:trPr>
          <w:trHeight w:val="216"/>
          <w:jc w:val="center"/>
        </w:trPr>
        <w:tc>
          <w:tcPr>
            <w:tcW w:w="2571" w:type="dxa"/>
            <w:tcBorders>
              <w:top w:val="single" w:sz="4" w:space="0" w:color="009900"/>
              <w:left w:val="single" w:sz="4" w:space="0" w:color="009900"/>
              <w:right w:val="nil"/>
            </w:tcBorders>
            <w:shd w:val="clear" w:color="000000" w:fill="FFFFE1"/>
            <w:noWrap/>
            <w:vAlign w:val="center"/>
          </w:tcPr>
          <w:p w:rsidR="004F48D1" w:rsidRPr="004F48D1" w:rsidRDefault="004F48D1" w:rsidP="004F48D1">
            <w:pPr>
              <w:suppressAutoHyphens/>
              <w:rPr>
                <w:rFonts w:ascii="Arial" w:eastAsia="Calibri" w:hAnsi="Arial"/>
                <w:b/>
                <w:sz w:val="16"/>
                <w:szCs w:val="23"/>
              </w:rPr>
            </w:pPr>
            <w:r w:rsidRPr="004F48D1">
              <w:rPr>
                <w:rFonts w:ascii="Arial" w:eastAsia="Calibri" w:hAnsi="Arial"/>
                <w:b/>
                <w:sz w:val="16"/>
                <w:szCs w:val="23"/>
              </w:rPr>
              <w:t>Non-Hispanic</w:t>
            </w:r>
          </w:p>
        </w:tc>
        <w:tc>
          <w:tcPr>
            <w:tcW w:w="1502" w:type="dxa"/>
            <w:tcBorders>
              <w:top w:val="single" w:sz="4" w:space="0" w:color="009900"/>
              <w:left w:val="nil"/>
              <w:right w:val="nil"/>
            </w:tcBorders>
            <w:shd w:val="clear" w:color="000000" w:fill="FFFFE1"/>
            <w:noWrap/>
            <w:vAlign w:val="center"/>
          </w:tcPr>
          <w:p w:rsidR="004F48D1" w:rsidRPr="004F48D1" w:rsidRDefault="004F48D1" w:rsidP="004F48D1">
            <w:pPr>
              <w:suppressAutoHyphens/>
              <w:jc w:val="center"/>
              <w:rPr>
                <w:rFonts w:ascii="Arial" w:eastAsia="Calibri" w:hAnsi="Arial"/>
                <w:b/>
                <w:sz w:val="16"/>
                <w:szCs w:val="23"/>
              </w:rPr>
            </w:pPr>
            <w:r w:rsidRPr="004F48D1">
              <w:rPr>
                <w:rFonts w:ascii="Arial" w:eastAsia="Calibri" w:hAnsi="Arial"/>
                <w:noProof/>
                <w:sz w:val="16"/>
                <w:szCs w:val="23"/>
              </w:rPr>
              <w:t>1</w:t>
            </w:r>
            <w:r w:rsidR="00231CDE">
              <w:rPr>
                <w:rFonts w:ascii="Arial" w:eastAsia="Calibri" w:hAnsi="Arial"/>
                <w:noProof/>
                <w:sz w:val="16"/>
                <w:szCs w:val="23"/>
              </w:rPr>
              <w:t>,</w:t>
            </w:r>
            <w:r w:rsidRPr="004F48D1">
              <w:rPr>
                <w:rFonts w:ascii="Arial" w:eastAsia="Calibri" w:hAnsi="Arial"/>
                <w:noProof/>
                <w:sz w:val="16"/>
                <w:szCs w:val="23"/>
              </w:rPr>
              <w:t>053</w:t>
            </w:r>
            <w:r w:rsidR="00231CDE">
              <w:rPr>
                <w:rFonts w:ascii="Arial" w:eastAsia="Calibri" w:hAnsi="Arial"/>
                <w:noProof/>
                <w:sz w:val="16"/>
                <w:szCs w:val="23"/>
              </w:rPr>
              <w:t>,</w:t>
            </w:r>
            <w:r w:rsidRPr="004F48D1">
              <w:rPr>
                <w:rFonts w:ascii="Arial" w:eastAsia="Calibri" w:hAnsi="Arial"/>
                <w:noProof/>
                <w:sz w:val="16"/>
                <w:szCs w:val="23"/>
              </w:rPr>
              <w:t>660</w:t>
            </w:r>
          </w:p>
        </w:tc>
        <w:tc>
          <w:tcPr>
            <w:tcW w:w="1844" w:type="dxa"/>
            <w:tcBorders>
              <w:top w:val="single" w:sz="4" w:space="0" w:color="009900"/>
              <w:left w:val="nil"/>
              <w:right w:val="nil"/>
            </w:tcBorders>
            <w:shd w:val="clear" w:color="000000" w:fill="FFFFE1"/>
            <w:noWrap/>
            <w:vAlign w:val="center"/>
          </w:tcPr>
          <w:p w:rsidR="004F48D1" w:rsidRPr="004F48D1" w:rsidRDefault="004F48D1" w:rsidP="004F48D1">
            <w:pPr>
              <w:suppressAutoHyphens/>
              <w:jc w:val="center"/>
              <w:rPr>
                <w:rFonts w:ascii="Arial" w:eastAsia="Calibri" w:hAnsi="Arial"/>
                <w:b/>
                <w:sz w:val="16"/>
                <w:szCs w:val="23"/>
              </w:rPr>
            </w:pPr>
            <w:r w:rsidRPr="004F48D1">
              <w:rPr>
                <w:rFonts w:ascii="Arial" w:eastAsia="Calibri" w:hAnsi="Arial"/>
                <w:noProof/>
                <w:sz w:val="16"/>
                <w:szCs w:val="23"/>
              </w:rPr>
              <w:t>57.9%</w:t>
            </w:r>
          </w:p>
        </w:tc>
        <w:tc>
          <w:tcPr>
            <w:tcW w:w="1112" w:type="dxa"/>
            <w:tcBorders>
              <w:top w:val="single" w:sz="4" w:space="0" w:color="009900"/>
              <w:left w:val="nil"/>
              <w:right w:val="nil"/>
            </w:tcBorders>
            <w:shd w:val="clear" w:color="000000" w:fill="FFFFE1"/>
            <w:noWrap/>
            <w:vAlign w:val="center"/>
          </w:tcPr>
          <w:p w:rsidR="004F48D1" w:rsidRPr="004F48D1" w:rsidRDefault="004F48D1" w:rsidP="004F48D1">
            <w:pPr>
              <w:suppressAutoHyphens/>
              <w:jc w:val="center"/>
              <w:rPr>
                <w:rFonts w:ascii="Arial" w:eastAsia="Calibri" w:hAnsi="Arial"/>
                <w:bCs/>
                <w:sz w:val="16"/>
                <w:szCs w:val="23"/>
              </w:rPr>
            </w:pPr>
            <w:r w:rsidRPr="004F48D1">
              <w:rPr>
                <w:rFonts w:ascii="Arial" w:eastAsia="Calibri" w:hAnsi="Arial"/>
                <w:noProof/>
                <w:sz w:val="16"/>
                <w:szCs w:val="23"/>
              </w:rPr>
              <w:t>1</w:t>
            </w:r>
            <w:r w:rsidR="00231CDE">
              <w:rPr>
                <w:rFonts w:ascii="Arial" w:eastAsia="Calibri" w:hAnsi="Arial"/>
                <w:noProof/>
                <w:sz w:val="16"/>
                <w:szCs w:val="23"/>
              </w:rPr>
              <w:t>,</w:t>
            </w:r>
            <w:r w:rsidRPr="004F48D1">
              <w:rPr>
                <w:rFonts w:ascii="Arial" w:eastAsia="Calibri" w:hAnsi="Arial"/>
                <w:noProof/>
                <w:sz w:val="16"/>
                <w:szCs w:val="23"/>
              </w:rPr>
              <w:t>105</w:t>
            </w:r>
            <w:r w:rsidR="00231CDE">
              <w:rPr>
                <w:rFonts w:ascii="Arial" w:eastAsia="Calibri" w:hAnsi="Arial"/>
                <w:noProof/>
                <w:sz w:val="16"/>
                <w:szCs w:val="23"/>
              </w:rPr>
              <w:t>,</w:t>
            </w:r>
            <w:r w:rsidRPr="004F48D1">
              <w:rPr>
                <w:rFonts w:ascii="Arial" w:eastAsia="Calibri" w:hAnsi="Arial"/>
                <w:noProof/>
                <w:sz w:val="16"/>
                <w:szCs w:val="23"/>
              </w:rPr>
              <w:t>776</w:t>
            </w:r>
          </w:p>
        </w:tc>
        <w:tc>
          <w:tcPr>
            <w:tcW w:w="1455" w:type="dxa"/>
            <w:tcBorders>
              <w:top w:val="single" w:sz="4" w:space="0" w:color="009900"/>
              <w:left w:val="nil"/>
              <w:right w:val="dotted" w:sz="4" w:space="0" w:color="009900"/>
            </w:tcBorders>
            <w:shd w:val="clear" w:color="000000" w:fill="FFFFE1"/>
            <w:noWrap/>
            <w:vAlign w:val="center"/>
          </w:tcPr>
          <w:p w:rsidR="004F48D1" w:rsidRPr="004F48D1" w:rsidRDefault="004F48D1" w:rsidP="004F48D1">
            <w:pPr>
              <w:suppressAutoHyphens/>
              <w:jc w:val="center"/>
              <w:rPr>
                <w:rFonts w:ascii="Arial" w:eastAsia="Calibri" w:hAnsi="Arial"/>
                <w:bCs/>
                <w:sz w:val="16"/>
                <w:szCs w:val="23"/>
              </w:rPr>
            </w:pPr>
            <w:r w:rsidRPr="004F48D1">
              <w:rPr>
                <w:rFonts w:ascii="Arial" w:eastAsia="Calibri" w:hAnsi="Arial"/>
                <w:noProof/>
                <w:sz w:val="16"/>
                <w:szCs w:val="23"/>
              </w:rPr>
              <w:t>53.7</w:t>
            </w:r>
            <w:r w:rsidRPr="004F48D1">
              <w:rPr>
                <w:rFonts w:ascii="Arial" w:eastAsia="Calibri" w:hAnsi="Arial"/>
                <w:sz w:val="16"/>
                <w:szCs w:val="23"/>
              </w:rPr>
              <w:t>%</w:t>
            </w:r>
          </w:p>
        </w:tc>
        <w:tc>
          <w:tcPr>
            <w:tcW w:w="1192" w:type="dxa"/>
            <w:tcBorders>
              <w:top w:val="single" w:sz="4" w:space="0" w:color="009900"/>
              <w:left w:val="dotted" w:sz="4" w:space="0" w:color="009900"/>
              <w:right w:val="single" w:sz="4" w:space="0" w:color="009900"/>
            </w:tcBorders>
            <w:shd w:val="clear" w:color="000000" w:fill="FFFFE1"/>
            <w:noWrap/>
            <w:vAlign w:val="center"/>
          </w:tcPr>
          <w:p w:rsidR="004F48D1" w:rsidRPr="004F48D1" w:rsidRDefault="004F48D1" w:rsidP="004F48D1">
            <w:pPr>
              <w:suppressAutoHyphens/>
              <w:jc w:val="center"/>
              <w:rPr>
                <w:rFonts w:ascii="Arial" w:eastAsia="Calibri" w:hAnsi="Arial"/>
                <w:bCs/>
                <w:sz w:val="16"/>
                <w:szCs w:val="23"/>
              </w:rPr>
            </w:pPr>
            <w:r w:rsidRPr="004F48D1">
              <w:rPr>
                <w:rFonts w:ascii="Arial" w:eastAsia="Calibri" w:hAnsi="Arial"/>
                <w:noProof/>
                <w:sz w:val="16"/>
                <w:szCs w:val="23"/>
              </w:rPr>
              <w:t>4.9</w:t>
            </w:r>
            <w:r w:rsidRPr="004F48D1">
              <w:rPr>
                <w:rFonts w:ascii="Arial" w:eastAsia="Calibri" w:hAnsi="Arial"/>
                <w:sz w:val="16"/>
                <w:szCs w:val="23"/>
              </w:rPr>
              <w:t>%</w:t>
            </w:r>
          </w:p>
        </w:tc>
      </w:tr>
      <w:tr w:rsidR="004F48D1" w:rsidRPr="004F48D1" w:rsidTr="00AF4B00">
        <w:trPr>
          <w:trHeight w:val="216"/>
          <w:jc w:val="center"/>
        </w:trPr>
        <w:tc>
          <w:tcPr>
            <w:tcW w:w="2571" w:type="dxa"/>
            <w:tcBorders>
              <w:left w:val="single" w:sz="4" w:space="0" w:color="009900"/>
              <w:bottom w:val="single" w:sz="4" w:space="0" w:color="009900"/>
              <w:right w:val="nil"/>
            </w:tcBorders>
            <w:shd w:val="clear" w:color="000000" w:fill="FFFFE1"/>
            <w:noWrap/>
            <w:vAlign w:val="center"/>
            <w:hideMark/>
          </w:tcPr>
          <w:p w:rsidR="004F48D1" w:rsidRPr="004F48D1" w:rsidRDefault="004F48D1" w:rsidP="004F48D1">
            <w:pPr>
              <w:suppressAutoHyphens/>
              <w:rPr>
                <w:rFonts w:ascii="Arial" w:eastAsia="Calibri" w:hAnsi="Arial"/>
                <w:b/>
                <w:sz w:val="16"/>
                <w:szCs w:val="23"/>
              </w:rPr>
            </w:pPr>
            <w:r w:rsidRPr="004F48D1">
              <w:rPr>
                <w:rFonts w:ascii="Arial" w:eastAsia="Calibri" w:hAnsi="Arial"/>
                <w:b/>
                <w:sz w:val="16"/>
                <w:szCs w:val="23"/>
              </w:rPr>
              <w:t>Hispanic</w:t>
            </w:r>
          </w:p>
        </w:tc>
        <w:tc>
          <w:tcPr>
            <w:tcW w:w="1502" w:type="dxa"/>
            <w:tcBorders>
              <w:left w:val="nil"/>
              <w:bottom w:val="single" w:sz="4" w:space="0" w:color="009900"/>
              <w:right w:val="nil"/>
            </w:tcBorders>
            <w:shd w:val="clear" w:color="000000" w:fill="FFFFE1"/>
            <w:noWrap/>
            <w:vAlign w:val="center"/>
            <w:hideMark/>
          </w:tcPr>
          <w:p w:rsidR="004F48D1" w:rsidRPr="004F48D1" w:rsidRDefault="004F48D1" w:rsidP="004F48D1">
            <w:pPr>
              <w:suppressAutoHyphens/>
              <w:jc w:val="center"/>
              <w:rPr>
                <w:rFonts w:ascii="Arial" w:eastAsia="Calibri" w:hAnsi="Arial"/>
                <w:bCs/>
                <w:sz w:val="16"/>
                <w:szCs w:val="23"/>
              </w:rPr>
            </w:pPr>
            <w:r w:rsidRPr="004F48D1">
              <w:rPr>
                <w:rFonts w:ascii="Arial" w:eastAsia="Calibri" w:hAnsi="Arial"/>
                <w:noProof/>
                <w:sz w:val="16"/>
                <w:szCs w:val="23"/>
              </w:rPr>
              <w:t>765,386</w:t>
            </w:r>
          </w:p>
        </w:tc>
        <w:tc>
          <w:tcPr>
            <w:tcW w:w="1844" w:type="dxa"/>
            <w:tcBorders>
              <w:left w:val="nil"/>
              <w:bottom w:val="single" w:sz="4" w:space="0" w:color="009900"/>
              <w:right w:val="nil"/>
            </w:tcBorders>
            <w:shd w:val="clear" w:color="000000" w:fill="FFFFE1"/>
            <w:noWrap/>
            <w:vAlign w:val="center"/>
            <w:hideMark/>
          </w:tcPr>
          <w:p w:rsidR="004F48D1" w:rsidRPr="004F48D1" w:rsidRDefault="004F48D1" w:rsidP="004F48D1">
            <w:pPr>
              <w:suppressAutoHyphens/>
              <w:jc w:val="center"/>
              <w:rPr>
                <w:rFonts w:ascii="Arial" w:eastAsia="Calibri" w:hAnsi="Arial"/>
                <w:bCs/>
                <w:sz w:val="16"/>
                <w:szCs w:val="23"/>
              </w:rPr>
            </w:pPr>
            <w:r w:rsidRPr="004F48D1">
              <w:rPr>
                <w:rFonts w:ascii="Arial" w:eastAsia="Calibri" w:hAnsi="Arial"/>
                <w:noProof/>
                <w:sz w:val="16"/>
                <w:szCs w:val="23"/>
              </w:rPr>
              <w:t>42.1</w:t>
            </w:r>
            <w:r w:rsidRPr="004F48D1">
              <w:rPr>
                <w:rFonts w:ascii="Arial" w:eastAsia="Calibri" w:hAnsi="Arial"/>
                <w:sz w:val="16"/>
                <w:szCs w:val="23"/>
              </w:rPr>
              <w:t>%</w:t>
            </w:r>
          </w:p>
        </w:tc>
        <w:tc>
          <w:tcPr>
            <w:tcW w:w="1112" w:type="dxa"/>
            <w:tcBorders>
              <w:left w:val="nil"/>
              <w:bottom w:val="single" w:sz="4" w:space="0" w:color="009900"/>
              <w:right w:val="nil"/>
            </w:tcBorders>
            <w:shd w:val="clear" w:color="000000" w:fill="FFFFE1"/>
            <w:noWrap/>
            <w:vAlign w:val="center"/>
            <w:hideMark/>
          </w:tcPr>
          <w:p w:rsidR="004F48D1" w:rsidRPr="004F48D1" w:rsidRDefault="004F48D1" w:rsidP="004F48D1">
            <w:pPr>
              <w:suppressAutoHyphens/>
              <w:jc w:val="center"/>
              <w:rPr>
                <w:rFonts w:ascii="Arial" w:eastAsia="Calibri" w:hAnsi="Arial"/>
                <w:bCs/>
                <w:sz w:val="16"/>
                <w:szCs w:val="23"/>
              </w:rPr>
            </w:pPr>
            <w:r w:rsidRPr="004F48D1">
              <w:rPr>
                <w:rFonts w:ascii="Arial" w:eastAsia="Calibri" w:hAnsi="Arial"/>
                <w:noProof/>
                <w:sz w:val="16"/>
                <w:szCs w:val="23"/>
              </w:rPr>
              <w:t>953,403</w:t>
            </w:r>
          </w:p>
        </w:tc>
        <w:tc>
          <w:tcPr>
            <w:tcW w:w="1455" w:type="dxa"/>
            <w:tcBorders>
              <w:left w:val="nil"/>
              <w:bottom w:val="single" w:sz="4" w:space="0" w:color="009900"/>
              <w:right w:val="dotted" w:sz="4" w:space="0" w:color="009900"/>
            </w:tcBorders>
            <w:shd w:val="clear" w:color="000000" w:fill="FFFFE1"/>
            <w:noWrap/>
            <w:vAlign w:val="center"/>
            <w:hideMark/>
          </w:tcPr>
          <w:p w:rsidR="004F48D1" w:rsidRPr="004F48D1" w:rsidRDefault="004F48D1" w:rsidP="004F48D1">
            <w:pPr>
              <w:suppressAutoHyphens/>
              <w:jc w:val="center"/>
              <w:rPr>
                <w:rFonts w:ascii="Arial" w:eastAsia="Calibri" w:hAnsi="Arial"/>
                <w:bCs/>
                <w:sz w:val="16"/>
                <w:szCs w:val="23"/>
              </w:rPr>
            </w:pPr>
            <w:r w:rsidRPr="004F48D1">
              <w:rPr>
                <w:rFonts w:ascii="Arial" w:eastAsia="Calibri" w:hAnsi="Arial"/>
                <w:noProof/>
                <w:sz w:val="16"/>
                <w:szCs w:val="23"/>
              </w:rPr>
              <w:t>46.3</w:t>
            </w:r>
            <w:r w:rsidRPr="004F48D1">
              <w:rPr>
                <w:rFonts w:ascii="Arial" w:eastAsia="Calibri" w:hAnsi="Arial"/>
                <w:sz w:val="16"/>
                <w:szCs w:val="23"/>
              </w:rPr>
              <w:t>%</w:t>
            </w:r>
          </w:p>
        </w:tc>
        <w:tc>
          <w:tcPr>
            <w:tcW w:w="1192" w:type="dxa"/>
            <w:tcBorders>
              <w:left w:val="dotted" w:sz="4" w:space="0" w:color="009900"/>
              <w:bottom w:val="single" w:sz="4" w:space="0" w:color="009900"/>
              <w:right w:val="single" w:sz="4" w:space="0" w:color="009900"/>
            </w:tcBorders>
            <w:shd w:val="clear" w:color="000000" w:fill="FFFFE1"/>
            <w:noWrap/>
            <w:vAlign w:val="center"/>
            <w:hideMark/>
          </w:tcPr>
          <w:p w:rsidR="004F48D1" w:rsidRPr="004F48D1" w:rsidRDefault="004F48D1" w:rsidP="004F48D1">
            <w:pPr>
              <w:suppressAutoHyphens/>
              <w:jc w:val="center"/>
              <w:rPr>
                <w:rFonts w:ascii="Arial" w:eastAsia="Calibri" w:hAnsi="Arial"/>
                <w:bCs/>
                <w:sz w:val="16"/>
                <w:szCs w:val="23"/>
              </w:rPr>
            </w:pPr>
            <w:r w:rsidRPr="004F48D1">
              <w:rPr>
                <w:rFonts w:ascii="Arial" w:eastAsia="Calibri" w:hAnsi="Arial"/>
                <w:noProof/>
                <w:sz w:val="16"/>
                <w:szCs w:val="23"/>
              </w:rPr>
              <w:t>24.6</w:t>
            </w:r>
            <w:r w:rsidRPr="004F48D1">
              <w:rPr>
                <w:rFonts w:ascii="Arial" w:eastAsia="Calibri" w:hAnsi="Arial"/>
                <w:sz w:val="16"/>
                <w:szCs w:val="23"/>
              </w:rPr>
              <w:t>%</w:t>
            </w:r>
          </w:p>
        </w:tc>
      </w:tr>
    </w:tbl>
    <w:p w:rsidR="004F48D1" w:rsidRPr="00866A4D" w:rsidRDefault="004F48D1" w:rsidP="0044083A">
      <w:pPr>
        <w:jc w:val="both"/>
        <w:rPr>
          <w:rFonts w:ascii="CG Omega" w:hAnsi="CG Omega"/>
          <w:highlight w:val="yellow"/>
        </w:rPr>
      </w:pPr>
    </w:p>
    <w:p w:rsidR="000568FC" w:rsidRPr="00971A23" w:rsidRDefault="0091207B" w:rsidP="0044083A">
      <w:pPr>
        <w:jc w:val="both"/>
        <w:rPr>
          <w:rFonts w:ascii="CG Omega" w:hAnsi="CG Omega"/>
        </w:rPr>
      </w:pPr>
      <w:r w:rsidRPr="00971A23">
        <w:rPr>
          <w:rFonts w:ascii="CG Omega" w:hAnsi="CG Omega"/>
        </w:rPr>
        <w:t>The population of New Mexico grew by around 24,000 person</w:t>
      </w:r>
      <w:r w:rsidR="0043621C" w:rsidRPr="00971A23">
        <w:rPr>
          <w:rFonts w:ascii="CG Omega" w:hAnsi="CG Omega"/>
        </w:rPr>
        <w:t>s per year between 2000 and 201</w:t>
      </w:r>
      <w:r w:rsidR="00971A23" w:rsidRPr="00971A23">
        <w:rPr>
          <w:rFonts w:ascii="CG Omega" w:hAnsi="CG Omega"/>
        </w:rPr>
        <w:t>0, though overall population growth has since slowed</w:t>
      </w:r>
      <w:r w:rsidR="00FF00BD">
        <w:rPr>
          <w:rFonts w:ascii="CG Omega" w:hAnsi="CG Omega"/>
        </w:rPr>
        <w:t>, as seen in</w:t>
      </w:r>
      <w:r w:rsidR="00971A23">
        <w:rPr>
          <w:rFonts w:ascii="CG Omega" w:hAnsi="CG Omega"/>
        </w:rPr>
        <w:t xml:space="preserve"> </w:t>
      </w:r>
      <w:r w:rsidR="00971A23" w:rsidRPr="00866A4D">
        <w:rPr>
          <w:rFonts w:ascii="CG Omega" w:hAnsi="CG Omega"/>
          <w:b/>
        </w:rPr>
        <w:t>Table II</w:t>
      </w:r>
      <w:r w:rsidR="005B00C5" w:rsidRPr="00866A4D">
        <w:rPr>
          <w:rFonts w:ascii="CG Omega" w:hAnsi="CG Omega"/>
          <w:b/>
        </w:rPr>
        <w:t>I.3</w:t>
      </w:r>
      <w:r w:rsidR="00FF00BD">
        <w:rPr>
          <w:rFonts w:ascii="CG Omega" w:hAnsi="CG Omega"/>
        </w:rPr>
        <w:t>, below</w:t>
      </w:r>
      <w:r w:rsidR="00971A23" w:rsidRPr="00971A23">
        <w:rPr>
          <w:rFonts w:ascii="CG Omega" w:hAnsi="CG Omega"/>
        </w:rPr>
        <w:t xml:space="preserve">. Growth was steady </w:t>
      </w:r>
      <w:r w:rsidR="0043621C" w:rsidRPr="00971A23">
        <w:rPr>
          <w:rFonts w:ascii="CG Omega" w:hAnsi="CG Omega"/>
        </w:rPr>
        <w:t>in the white population</w:t>
      </w:r>
      <w:r w:rsidR="00971A23" w:rsidRPr="00971A23">
        <w:rPr>
          <w:rFonts w:ascii="CG Omega" w:hAnsi="CG Omega"/>
        </w:rPr>
        <w:t>, which grew by an estimated 11.7 percent over the whole period. However, more notable was the increase in the number of residents who identified thei</w:t>
      </w:r>
      <w:r w:rsidR="00FF00BD">
        <w:rPr>
          <w:rFonts w:ascii="CG Omega" w:hAnsi="CG Omega"/>
        </w:rPr>
        <w:t xml:space="preserve">r ethnic background as Hispanic, since </w:t>
      </w:r>
      <w:r w:rsidR="00971A23" w:rsidRPr="00971A23">
        <w:rPr>
          <w:rFonts w:ascii="CG Omega" w:hAnsi="CG Omega"/>
        </w:rPr>
        <w:t>this population grew by an estimat</w:t>
      </w:r>
      <w:r w:rsidR="00FF00BD">
        <w:rPr>
          <w:rFonts w:ascii="CG Omega" w:hAnsi="CG Omega"/>
        </w:rPr>
        <w:t>ed 28 percent from 2000 to 2012</w:t>
      </w:r>
      <w:r w:rsidR="001874FC">
        <w:rPr>
          <w:rFonts w:ascii="CG Omega" w:hAnsi="CG Omega"/>
        </w:rPr>
        <w:t>, as seen below</w:t>
      </w:r>
      <w:r w:rsidR="00FF00BD">
        <w:rPr>
          <w:rFonts w:ascii="CG Omega" w:hAnsi="CG Omega"/>
        </w:rPr>
        <w:t>. This growth was</w:t>
      </w:r>
      <w:r w:rsidR="00971A23" w:rsidRPr="00971A23">
        <w:rPr>
          <w:rFonts w:ascii="CG Omega" w:hAnsi="CG Omega"/>
        </w:rPr>
        <w:t xml:space="preserve"> nearly twice the growth rate of the overall population of New Mexi</w:t>
      </w:r>
      <w:r w:rsidR="00971A23">
        <w:rPr>
          <w:rFonts w:ascii="CG Omega" w:hAnsi="CG Omega"/>
        </w:rPr>
        <w:t>co</w:t>
      </w:r>
      <w:r w:rsidR="00971A23" w:rsidRPr="00971A23">
        <w:rPr>
          <w:rFonts w:ascii="CG Omega" w:hAnsi="CG Omega"/>
        </w:rPr>
        <w:t>.</w:t>
      </w:r>
      <w:r w:rsidR="00D1685A">
        <w:rPr>
          <w:rFonts w:ascii="CG Omega" w:hAnsi="CG Omega"/>
        </w:rPr>
        <w:t xml:space="preserve"> As was the case with the </w:t>
      </w:r>
      <w:r w:rsidR="00CC3344">
        <w:rPr>
          <w:rFonts w:ascii="CG Omega" w:hAnsi="CG Omega"/>
        </w:rPr>
        <w:t>White</w:t>
      </w:r>
      <w:r w:rsidR="00D1685A">
        <w:rPr>
          <w:rFonts w:ascii="CG Omega" w:hAnsi="CG Omega"/>
        </w:rPr>
        <w:t xml:space="preserve"> population, growth in the Hispanic population was steady from year to year during that time.</w:t>
      </w:r>
      <w:r w:rsidR="00971A23" w:rsidRPr="00971A23">
        <w:rPr>
          <w:rFonts w:ascii="CG Omega" w:hAnsi="CG Omega"/>
        </w:rPr>
        <w:t xml:space="preserve"> </w:t>
      </w:r>
      <w:r w:rsidR="0043621C" w:rsidRPr="00971A23">
        <w:rPr>
          <w:rFonts w:ascii="CG Omega" w:hAnsi="CG Omega"/>
        </w:rPr>
        <w:t xml:space="preserve">  </w:t>
      </w:r>
    </w:p>
    <w:p w:rsidR="00466FD1" w:rsidRPr="00866A4D" w:rsidRDefault="00466FD1" w:rsidP="0044083A">
      <w:pPr>
        <w:jc w:val="both"/>
        <w:rPr>
          <w:rFonts w:ascii="CG Omega" w:hAnsi="CG Omega"/>
          <w:highlight w:val="yellow"/>
        </w:rPr>
      </w:pPr>
    </w:p>
    <w:tbl>
      <w:tblPr>
        <w:tblW w:w="9503" w:type="dxa"/>
        <w:jc w:val="center"/>
        <w:tblLook w:val="04A0" w:firstRow="1" w:lastRow="0" w:firstColumn="1" w:lastColumn="0" w:noHBand="0" w:noVBand="1"/>
      </w:tblPr>
      <w:tblGrid>
        <w:gridCol w:w="996"/>
        <w:gridCol w:w="1040"/>
        <w:gridCol w:w="1040"/>
        <w:gridCol w:w="1040"/>
        <w:gridCol w:w="963"/>
        <w:gridCol w:w="1470"/>
        <w:gridCol w:w="923"/>
        <w:gridCol w:w="1035"/>
        <w:gridCol w:w="996"/>
      </w:tblGrid>
      <w:tr w:rsidR="004075DF" w:rsidRPr="004075DF" w:rsidTr="00866A4D">
        <w:trPr>
          <w:trHeight w:val="900"/>
          <w:jc w:val="center"/>
        </w:trPr>
        <w:tc>
          <w:tcPr>
            <w:tcW w:w="9503" w:type="dxa"/>
            <w:gridSpan w:val="9"/>
            <w:tcBorders>
              <w:top w:val="nil"/>
              <w:left w:val="nil"/>
              <w:bottom w:val="single" w:sz="4" w:space="0" w:color="009900"/>
              <w:right w:val="nil"/>
            </w:tcBorders>
            <w:shd w:val="clear" w:color="auto" w:fill="auto"/>
            <w:noWrap/>
            <w:vAlign w:val="bottom"/>
            <w:hideMark/>
          </w:tcPr>
          <w:p w:rsidR="004075DF" w:rsidRPr="0083362E" w:rsidRDefault="005B00C5" w:rsidP="004075DF">
            <w:pPr>
              <w:jc w:val="center"/>
              <w:rPr>
                <w:rFonts w:ascii="Arial" w:hAnsi="Arial" w:cs="Arial"/>
                <w:b/>
                <w:bCs/>
                <w:color w:val="000000"/>
                <w:sz w:val="22"/>
                <w:szCs w:val="22"/>
              </w:rPr>
            </w:pPr>
            <w:r>
              <w:rPr>
                <w:rFonts w:ascii="Arial" w:hAnsi="Arial" w:cs="Arial"/>
                <w:b/>
                <w:bCs/>
                <w:color w:val="000000"/>
                <w:sz w:val="22"/>
                <w:szCs w:val="22"/>
              </w:rPr>
              <w:t>Table III.3</w:t>
            </w:r>
          </w:p>
          <w:p w:rsidR="004075DF" w:rsidRPr="004075DF" w:rsidRDefault="004075DF" w:rsidP="004075DF">
            <w:pPr>
              <w:jc w:val="center"/>
              <w:rPr>
                <w:rFonts w:ascii="Arial" w:hAnsi="Arial" w:cs="Arial"/>
                <w:b/>
                <w:bCs/>
                <w:color w:val="000000"/>
                <w:sz w:val="20"/>
                <w:szCs w:val="20"/>
              </w:rPr>
            </w:pPr>
            <w:r w:rsidRPr="004075DF">
              <w:rPr>
                <w:rFonts w:ascii="Arial" w:hAnsi="Arial" w:cs="Arial"/>
                <w:b/>
                <w:bCs/>
                <w:color w:val="000000"/>
                <w:sz w:val="20"/>
                <w:szCs w:val="20"/>
              </w:rPr>
              <w:t>Intercensal Population Estimates by Race and Ethnicity</w:t>
            </w:r>
          </w:p>
          <w:p w:rsidR="004075DF" w:rsidRPr="004075DF" w:rsidRDefault="004075DF" w:rsidP="004075DF">
            <w:pPr>
              <w:jc w:val="center"/>
              <w:rPr>
                <w:rFonts w:ascii="Arial" w:hAnsi="Arial" w:cs="Arial"/>
                <w:color w:val="000000"/>
                <w:sz w:val="16"/>
                <w:szCs w:val="16"/>
              </w:rPr>
            </w:pPr>
            <w:r w:rsidRPr="004075DF">
              <w:rPr>
                <w:rFonts w:ascii="Arial" w:hAnsi="Arial" w:cs="Arial"/>
                <w:color w:val="000000"/>
                <w:sz w:val="16"/>
                <w:szCs w:val="16"/>
              </w:rPr>
              <w:t>State of New Mexico</w:t>
            </w:r>
          </w:p>
          <w:p w:rsidR="004075DF" w:rsidRPr="004075DF" w:rsidRDefault="004075DF" w:rsidP="004075DF">
            <w:pPr>
              <w:jc w:val="center"/>
              <w:rPr>
                <w:rFonts w:ascii="Arial" w:hAnsi="Arial" w:cs="Arial"/>
                <w:sz w:val="16"/>
                <w:szCs w:val="16"/>
              </w:rPr>
            </w:pPr>
            <w:r w:rsidRPr="004075DF">
              <w:rPr>
                <w:rFonts w:ascii="Arial" w:hAnsi="Arial" w:cs="Arial"/>
                <w:color w:val="000000"/>
                <w:sz w:val="16"/>
                <w:szCs w:val="16"/>
              </w:rPr>
              <w:t>Intercensal Census Data, 2000 - 2012</w:t>
            </w:r>
          </w:p>
        </w:tc>
      </w:tr>
      <w:tr w:rsidR="004075DF" w:rsidRPr="004075DF" w:rsidTr="00866A4D">
        <w:trPr>
          <w:trHeight w:val="683"/>
          <w:jc w:val="center"/>
        </w:trPr>
        <w:tc>
          <w:tcPr>
            <w:tcW w:w="996" w:type="dxa"/>
            <w:tcBorders>
              <w:top w:val="single" w:sz="4" w:space="0" w:color="009900"/>
              <w:left w:val="single" w:sz="4" w:space="0" w:color="009900"/>
              <w:bottom w:val="single" w:sz="4" w:space="0" w:color="009900"/>
              <w:right w:val="nil"/>
            </w:tcBorders>
            <w:shd w:val="clear" w:color="000000" w:fill="FFFFE1"/>
            <w:noWrap/>
            <w:vAlign w:val="center"/>
            <w:hideMark/>
          </w:tcPr>
          <w:p w:rsidR="004075DF" w:rsidRPr="004075DF" w:rsidRDefault="004075DF" w:rsidP="004075DF">
            <w:pPr>
              <w:rPr>
                <w:rFonts w:ascii="Arial" w:hAnsi="Arial" w:cs="Arial"/>
                <w:b/>
                <w:bCs/>
                <w:sz w:val="16"/>
                <w:szCs w:val="16"/>
              </w:rPr>
            </w:pPr>
            <w:r w:rsidRPr="004075DF">
              <w:rPr>
                <w:rFonts w:ascii="Arial" w:hAnsi="Arial" w:cs="Arial"/>
                <w:b/>
                <w:bCs/>
                <w:sz w:val="16"/>
                <w:szCs w:val="16"/>
              </w:rPr>
              <w:t>Year</w:t>
            </w:r>
          </w:p>
        </w:tc>
        <w:tc>
          <w:tcPr>
            <w:tcW w:w="1040" w:type="dxa"/>
            <w:tcBorders>
              <w:top w:val="single" w:sz="4" w:space="0" w:color="009900"/>
              <w:left w:val="nil"/>
              <w:bottom w:val="single" w:sz="4" w:space="0" w:color="009900"/>
              <w:right w:val="nil"/>
            </w:tcBorders>
            <w:shd w:val="clear" w:color="000000" w:fill="FFFFE1"/>
            <w:vAlign w:val="center"/>
            <w:hideMark/>
          </w:tcPr>
          <w:p w:rsidR="004075DF" w:rsidRPr="004075DF" w:rsidRDefault="004075DF" w:rsidP="004075DF">
            <w:pPr>
              <w:jc w:val="center"/>
              <w:rPr>
                <w:rFonts w:ascii="Arial" w:hAnsi="Arial" w:cs="Arial"/>
                <w:b/>
                <w:bCs/>
                <w:color w:val="000000"/>
                <w:sz w:val="16"/>
                <w:szCs w:val="16"/>
              </w:rPr>
            </w:pPr>
            <w:r w:rsidRPr="004075DF">
              <w:rPr>
                <w:rFonts w:ascii="Arial" w:hAnsi="Arial" w:cs="Arial"/>
                <w:b/>
                <w:bCs/>
                <w:color w:val="000000"/>
                <w:sz w:val="16"/>
                <w:szCs w:val="16"/>
              </w:rPr>
              <w:t>White</w:t>
            </w:r>
          </w:p>
        </w:tc>
        <w:tc>
          <w:tcPr>
            <w:tcW w:w="1040" w:type="dxa"/>
            <w:tcBorders>
              <w:top w:val="single" w:sz="4" w:space="0" w:color="009900"/>
              <w:left w:val="nil"/>
              <w:bottom w:val="single" w:sz="4" w:space="0" w:color="009900"/>
              <w:right w:val="nil"/>
            </w:tcBorders>
            <w:shd w:val="clear" w:color="000000" w:fill="FFFFE1"/>
            <w:vAlign w:val="center"/>
            <w:hideMark/>
          </w:tcPr>
          <w:p w:rsidR="004075DF" w:rsidRPr="004075DF" w:rsidRDefault="004075DF" w:rsidP="004075DF">
            <w:pPr>
              <w:jc w:val="center"/>
              <w:rPr>
                <w:rFonts w:ascii="Arial" w:hAnsi="Arial" w:cs="Arial"/>
                <w:b/>
                <w:bCs/>
                <w:color w:val="000000"/>
                <w:sz w:val="16"/>
                <w:szCs w:val="16"/>
              </w:rPr>
            </w:pPr>
            <w:r w:rsidRPr="004075DF">
              <w:rPr>
                <w:rFonts w:ascii="Arial" w:hAnsi="Arial" w:cs="Arial"/>
                <w:b/>
                <w:bCs/>
                <w:color w:val="000000"/>
                <w:sz w:val="16"/>
                <w:szCs w:val="16"/>
              </w:rPr>
              <w:t>Black</w:t>
            </w:r>
          </w:p>
        </w:tc>
        <w:tc>
          <w:tcPr>
            <w:tcW w:w="1040" w:type="dxa"/>
            <w:tcBorders>
              <w:top w:val="single" w:sz="4" w:space="0" w:color="009900"/>
              <w:left w:val="nil"/>
              <w:bottom w:val="single" w:sz="4" w:space="0" w:color="009900"/>
              <w:right w:val="nil"/>
            </w:tcBorders>
            <w:shd w:val="clear" w:color="000000" w:fill="FFFFE1"/>
            <w:vAlign w:val="center"/>
            <w:hideMark/>
          </w:tcPr>
          <w:p w:rsidR="004075DF" w:rsidRPr="004075DF" w:rsidRDefault="004075DF" w:rsidP="004075DF">
            <w:pPr>
              <w:jc w:val="center"/>
              <w:rPr>
                <w:rFonts w:ascii="Arial" w:hAnsi="Arial" w:cs="Arial"/>
                <w:b/>
                <w:bCs/>
                <w:color w:val="000000"/>
                <w:sz w:val="16"/>
                <w:szCs w:val="16"/>
              </w:rPr>
            </w:pPr>
            <w:r w:rsidRPr="004075DF">
              <w:rPr>
                <w:rFonts w:ascii="Arial" w:hAnsi="Arial" w:cs="Arial"/>
                <w:b/>
                <w:bCs/>
                <w:color w:val="000000"/>
                <w:sz w:val="16"/>
                <w:szCs w:val="16"/>
              </w:rPr>
              <w:t>American Indian</w:t>
            </w:r>
          </w:p>
        </w:tc>
        <w:tc>
          <w:tcPr>
            <w:tcW w:w="963" w:type="dxa"/>
            <w:tcBorders>
              <w:top w:val="single" w:sz="4" w:space="0" w:color="009900"/>
              <w:left w:val="nil"/>
              <w:bottom w:val="single" w:sz="4" w:space="0" w:color="009900"/>
              <w:right w:val="nil"/>
            </w:tcBorders>
            <w:shd w:val="clear" w:color="000000" w:fill="FFFFE1"/>
            <w:vAlign w:val="center"/>
            <w:hideMark/>
          </w:tcPr>
          <w:p w:rsidR="004075DF" w:rsidRPr="004075DF" w:rsidRDefault="004075DF" w:rsidP="004075DF">
            <w:pPr>
              <w:jc w:val="center"/>
              <w:rPr>
                <w:rFonts w:ascii="Arial" w:hAnsi="Arial" w:cs="Arial"/>
                <w:b/>
                <w:bCs/>
                <w:color w:val="000000"/>
                <w:sz w:val="16"/>
                <w:szCs w:val="16"/>
              </w:rPr>
            </w:pPr>
            <w:r w:rsidRPr="004075DF">
              <w:rPr>
                <w:rFonts w:ascii="Arial" w:hAnsi="Arial" w:cs="Arial"/>
                <w:b/>
                <w:bCs/>
                <w:color w:val="000000"/>
                <w:sz w:val="16"/>
                <w:szCs w:val="16"/>
              </w:rPr>
              <w:t>Asian</w:t>
            </w:r>
          </w:p>
        </w:tc>
        <w:tc>
          <w:tcPr>
            <w:tcW w:w="1470" w:type="dxa"/>
            <w:tcBorders>
              <w:top w:val="single" w:sz="4" w:space="0" w:color="009900"/>
              <w:left w:val="nil"/>
              <w:bottom w:val="single" w:sz="4" w:space="0" w:color="009900"/>
              <w:right w:val="nil"/>
            </w:tcBorders>
            <w:shd w:val="clear" w:color="000000" w:fill="FFFFE1"/>
            <w:vAlign w:val="center"/>
            <w:hideMark/>
          </w:tcPr>
          <w:p w:rsidR="004075DF" w:rsidRPr="004075DF" w:rsidRDefault="004075DF" w:rsidP="004075DF">
            <w:pPr>
              <w:jc w:val="center"/>
              <w:rPr>
                <w:rFonts w:ascii="Arial" w:hAnsi="Arial" w:cs="Arial"/>
                <w:b/>
                <w:bCs/>
                <w:color w:val="000000"/>
                <w:sz w:val="16"/>
                <w:szCs w:val="16"/>
              </w:rPr>
            </w:pPr>
            <w:r w:rsidRPr="004075DF">
              <w:rPr>
                <w:rFonts w:ascii="Arial" w:hAnsi="Arial" w:cs="Arial"/>
                <w:b/>
                <w:bCs/>
                <w:color w:val="000000"/>
                <w:sz w:val="16"/>
                <w:szCs w:val="16"/>
              </w:rPr>
              <w:t>Native Hawaiian/Pacific Islander</w:t>
            </w:r>
          </w:p>
        </w:tc>
        <w:tc>
          <w:tcPr>
            <w:tcW w:w="923" w:type="dxa"/>
            <w:tcBorders>
              <w:top w:val="single" w:sz="4" w:space="0" w:color="009900"/>
              <w:left w:val="nil"/>
              <w:bottom w:val="single" w:sz="4" w:space="0" w:color="009900"/>
              <w:right w:val="nil"/>
            </w:tcBorders>
            <w:shd w:val="clear" w:color="000000" w:fill="FFFFE1"/>
            <w:vAlign w:val="center"/>
            <w:hideMark/>
          </w:tcPr>
          <w:p w:rsidR="004075DF" w:rsidRPr="004075DF" w:rsidRDefault="004075DF" w:rsidP="004075DF">
            <w:pPr>
              <w:jc w:val="center"/>
              <w:rPr>
                <w:rFonts w:ascii="Arial" w:hAnsi="Arial" w:cs="Arial"/>
                <w:b/>
                <w:bCs/>
                <w:color w:val="000000"/>
                <w:sz w:val="16"/>
                <w:szCs w:val="16"/>
              </w:rPr>
            </w:pPr>
            <w:r w:rsidRPr="004075DF">
              <w:rPr>
                <w:rFonts w:ascii="Arial" w:hAnsi="Arial" w:cs="Arial"/>
                <w:b/>
                <w:bCs/>
                <w:color w:val="000000"/>
                <w:sz w:val="16"/>
                <w:szCs w:val="16"/>
              </w:rPr>
              <w:t>Two or More Races</w:t>
            </w:r>
          </w:p>
        </w:tc>
        <w:tc>
          <w:tcPr>
            <w:tcW w:w="1035" w:type="dxa"/>
            <w:tcBorders>
              <w:top w:val="single" w:sz="4" w:space="0" w:color="009900"/>
              <w:left w:val="nil"/>
              <w:bottom w:val="single" w:sz="4" w:space="0" w:color="009900"/>
              <w:right w:val="nil"/>
            </w:tcBorders>
            <w:shd w:val="clear" w:color="000000" w:fill="FFFFE1"/>
            <w:vAlign w:val="center"/>
            <w:hideMark/>
          </w:tcPr>
          <w:p w:rsidR="004075DF" w:rsidRPr="004075DF" w:rsidRDefault="004075DF" w:rsidP="004075DF">
            <w:pPr>
              <w:jc w:val="center"/>
              <w:rPr>
                <w:rFonts w:ascii="Arial" w:hAnsi="Arial" w:cs="Arial"/>
                <w:b/>
                <w:bCs/>
                <w:color w:val="000000"/>
                <w:sz w:val="16"/>
                <w:szCs w:val="16"/>
              </w:rPr>
            </w:pPr>
            <w:r w:rsidRPr="004075DF">
              <w:rPr>
                <w:rFonts w:ascii="Arial" w:hAnsi="Arial" w:cs="Arial"/>
                <w:b/>
                <w:bCs/>
                <w:color w:val="000000"/>
                <w:sz w:val="16"/>
                <w:szCs w:val="16"/>
              </w:rPr>
              <w:t>Total</w:t>
            </w:r>
          </w:p>
        </w:tc>
        <w:tc>
          <w:tcPr>
            <w:tcW w:w="996" w:type="dxa"/>
            <w:tcBorders>
              <w:top w:val="single" w:sz="4" w:space="0" w:color="009900"/>
              <w:left w:val="nil"/>
              <w:bottom w:val="single" w:sz="4" w:space="0" w:color="009900"/>
              <w:right w:val="single" w:sz="4" w:space="0" w:color="009900"/>
            </w:tcBorders>
            <w:shd w:val="clear" w:color="000000" w:fill="FFFFE1"/>
            <w:vAlign w:val="center"/>
            <w:hideMark/>
          </w:tcPr>
          <w:p w:rsidR="004075DF" w:rsidRPr="004075DF" w:rsidRDefault="004075DF" w:rsidP="004075DF">
            <w:pPr>
              <w:jc w:val="center"/>
              <w:rPr>
                <w:rFonts w:ascii="Arial" w:hAnsi="Arial" w:cs="Arial"/>
                <w:b/>
                <w:bCs/>
                <w:color w:val="000000"/>
                <w:sz w:val="16"/>
                <w:szCs w:val="16"/>
              </w:rPr>
            </w:pPr>
            <w:r w:rsidRPr="004075DF">
              <w:rPr>
                <w:rFonts w:ascii="Arial" w:hAnsi="Arial" w:cs="Arial"/>
                <w:b/>
                <w:bCs/>
                <w:color w:val="000000"/>
                <w:sz w:val="16"/>
                <w:szCs w:val="16"/>
              </w:rPr>
              <w:t>Hispanic</w:t>
            </w:r>
          </w:p>
        </w:tc>
      </w:tr>
      <w:tr w:rsidR="004075DF" w:rsidRPr="004075DF" w:rsidTr="00866A4D">
        <w:trPr>
          <w:trHeight w:val="225"/>
          <w:jc w:val="center"/>
        </w:trPr>
        <w:tc>
          <w:tcPr>
            <w:tcW w:w="996" w:type="dxa"/>
            <w:tcBorders>
              <w:top w:val="nil"/>
              <w:left w:val="single" w:sz="4" w:space="0" w:color="009900"/>
              <w:bottom w:val="nil"/>
              <w:right w:val="nil"/>
            </w:tcBorders>
            <w:shd w:val="clear" w:color="000000" w:fill="FFFFE1"/>
            <w:noWrap/>
            <w:vAlign w:val="bottom"/>
            <w:hideMark/>
          </w:tcPr>
          <w:p w:rsidR="004075DF" w:rsidRPr="004075DF" w:rsidRDefault="004075DF" w:rsidP="004075DF">
            <w:pPr>
              <w:rPr>
                <w:rFonts w:ascii="Arial" w:hAnsi="Arial" w:cs="Arial"/>
                <w:sz w:val="16"/>
                <w:szCs w:val="16"/>
              </w:rPr>
            </w:pPr>
            <w:r w:rsidRPr="004075DF">
              <w:rPr>
                <w:rFonts w:ascii="Arial" w:hAnsi="Arial" w:cs="Arial"/>
                <w:sz w:val="16"/>
                <w:szCs w:val="16"/>
              </w:rPr>
              <w:t>2000</w:t>
            </w:r>
          </w:p>
        </w:tc>
        <w:tc>
          <w:tcPr>
            <w:tcW w:w="1040"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1,553,005</w:t>
            </w:r>
          </w:p>
        </w:tc>
        <w:tc>
          <w:tcPr>
            <w:tcW w:w="1040"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38,433</w:t>
            </w:r>
          </w:p>
        </w:tc>
        <w:tc>
          <w:tcPr>
            <w:tcW w:w="1040"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178,870</w:t>
            </w:r>
          </w:p>
        </w:tc>
        <w:tc>
          <w:tcPr>
            <w:tcW w:w="963"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21,186</w:t>
            </w:r>
          </w:p>
        </w:tc>
        <w:tc>
          <w:tcPr>
            <w:tcW w:w="1470"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2,112</w:t>
            </w:r>
          </w:p>
        </w:tc>
        <w:tc>
          <w:tcPr>
            <w:tcW w:w="923"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25,411</w:t>
            </w:r>
          </w:p>
        </w:tc>
        <w:tc>
          <w:tcPr>
            <w:tcW w:w="1035"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1,819,017</w:t>
            </w:r>
          </w:p>
        </w:tc>
        <w:tc>
          <w:tcPr>
            <w:tcW w:w="996" w:type="dxa"/>
            <w:tcBorders>
              <w:top w:val="nil"/>
              <w:left w:val="nil"/>
              <w:bottom w:val="nil"/>
              <w:right w:val="single" w:sz="4" w:space="0" w:color="009900"/>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765,406</w:t>
            </w:r>
          </w:p>
        </w:tc>
      </w:tr>
      <w:tr w:rsidR="004075DF" w:rsidRPr="004075DF" w:rsidTr="00866A4D">
        <w:trPr>
          <w:trHeight w:val="225"/>
          <w:jc w:val="center"/>
        </w:trPr>
        <w:tc>
          <w:tcPr>
            <w:tcW w:w="996" w:type="dxa"/>
            <w:tcBorders>
              <w:top w:val="nil"/>
              <w:left w:val="single" w:sz="4" w:space="0" w:color="009900"/>
              <w:bottom w:val="nil"/>
              <w:right w:val="nil"/>
            </w:tcBorders>
            <w:shd w:val="clear" w:color="000000" w:fill="FFFFE1"/>
            <w:noWrap/>
            <w:vAlign w:val="bottom"/>
            <w:hideMark/>
          </w:tcPr>
          <w:p w:rsidR="004075DF" w:rsidRPr="004075DF" w:rsidRDefault="004075DF" w:rsidP="004075DF">
            <w:pPr>
              <w:rPr>
                <w:rFonts w:ascii="Arial" w:hAnsi="Arial" w:cs="Arial"/>
                <w:sz w:val="16"/>
                <w:szCs w:val="16"/>
              </w:rPr>
            </w:pPr>
            <w:r w:rsidRPr="004075DF">
              <w:rPr>
                <w:rFonts w:ascii="Arial" w:hAnsi="Arial" w:cs="Arial"/>
                <w:sz w:val="16"/>
                <w:szCs w:val="16"/>
              </w:rPr>
              <w:t>2001</w:t>
            </w:r>
          </w:p>
        </w:tc>
        <w:tc>
          <w:tcPr>
            <w:tcW w:w="1040"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1,558,945</w:t>
            </w:r>
          </w:p>
        </w:tc>
        <w:tc>
          <w:tcPr>
            <w:tcW w:w="1040"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39,240</w:t>
            </w:r>
          </w:p>
        </w:tc>
        <w:tc>
          <w:tcPr>
            <w:tcW w:w="1040"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182,434</w:t>
            </w:r>
          </w:p>
        </w:tc>
        <w:tc>
          <w:tcPr>
            <w:tcW w:w="963"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21,670</w:t>
            </w:r>
          </w:p>
        </w:tc>
        <w:tc>
          <w:tcPr>
            <w:tcW w:w="1470"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2,247</w:t>
            </w:r>
          </w:p>
        </w:tc>
        <w:tc>
          <w:tcPr>
            <w:tcW w:w="923"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27,154</w:t>
            </w:r>
          </w:p>
        </w:tc>
        <w:tc>
          <w:tcPr>
            <w:tcW w:w="1035"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1,831,690</w:t>
            </w:r>
          </w:p>
        </w:tc>
        <w:tc>
          <w:tcPr>
            <w:tcW w:w="996" w:type="dxa"/>
            <w:tcBorders>
              <w:top w:val="nil"/>
              <w:left w:val="nil"/>
              <w:bottom w:val="nil"/>
              <w:right w:val="single" w:sz="4" w:space="0" w:color="009900"/>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783,543</w:t>
            </w:r>
          </w:p>
        </w:tc>
      </w:tr>
      <w:tr w:rsidR="004075DF" w:rsidRPr="004075DF" w:rsidTr="00866A4D">
        <w:trPr>
          <w:trHeight w:val="225"/>
          <w:jc w:val="center"/>
        </w:trPr>
        <w:tc>
          <w:tcPr>
            <w:tcW w:w="996" w:type="dxa"/>
            <w:tcBorders>
              <w:top w:val="nil"/>
              <w:left w:val="single" w:sz="4" w:space="0" w:color="009900"/>
              <w:bottom w:val="nil"/>
              <w:right w:val="nil"/>
            </w:tcBorders>
            <w:shd w:val="clear" w:color="000000" w:fill="FFFFE1"/>
            <w:noWrap/>
            <w:vAlign w:val="bottom"/>
            <w:hideMark/>
          </w:tcPr>
          <w:p w:rsidR="004075DF" w:rsidRPr="004075DF" w:rsidRDefault="004075DF" w:rsidP="004075DF">
            <w:pPr>
              <w:rPr>
                <w:rFonts w:ascii="Arial" w:hAnsi="Arial" w:cs="Arial"/>
                <w:sz w:val="16"/>
                <w:szCs w:val="16"/>
              </w:rPr>
            </w:pPr>
            <w:r w:rsidRPr="004075DF">
              <w:rPr>
                <w:rFonts w:ascii="Arial" w:hAnsi="Arial" w:cs="Arial"/>
                <w:sz w:val="16"/>
                <w:szCs w:val="16"/>
              </w:rPr>
              <w:t>2002</w:t>
            </w:r>
          </w:p>
        </w:tc>
        <w:tc>
          <w:tcPr>
            <w:tcW w:w="1040"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1,575,099</w:t>
            </w:r>
          </w:p>
        </w:tc>
        <w:tc>
          <w:tcPr>
            <w:tcW w:w="1040"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40,480</w:t>
            </w:r>
          </w:p>
        </w:tc>
        <w:tc>
          <w:tcPr>
            <w:tcW w:w="1040"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185,548</w:t>
            </w:r>
          </w:p>
        </w:tc>
        <w:tc>
          <w:tcPr>
            <w:tcW w:w="963"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22,828</w:t>
            </w:r>
          </w:p>
        </w:tc>
        <w:tc>
          <w:tcPr>
            <w:tcW w:w="1470"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2,360</w:t>
            </w:r>
          </w:p>
        </w:tc>
        <w:tc>
          <w:tcPr>
            <w:tcW w:w="923"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28,994</w:t>
            </w:r>
          </w:p>
        </w:tc>
        <w:tc>
          <w:tcPr>
            <w:tcW w:w="1035"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1,855,309</w:t>
            </w:r>
          </w:p>
        </w:tc>
        <w:tc>
          <w:tcPr>
            <w:tcW w:w="996" w:type="dxa"/>
            <w:tcBorders>
              <w:top w:val="nil"/>
              <w:left w:val="nil"/>
              <w:bottom w:val="nil"/>
              <w:right w:val="single" w:sz="4" w:space="0" w:color="009900"/>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800,870</w:t>
            </w:r>
          </w:p>
        </w:tc>
      </w:tr>
      <w:tr w:rsidR="004075DF" w:rsidRPr="004075DF" w:rsidTr="00866A4D">
        <w:trPr>
          <w:trHeight w:val="225"/>
          <w:jc w:val="center"/>
        </w:trPr>
        <w:tc>
          <w:tcPr>
            <w:tcW w:w="996" w:type="dxa"/>
            <w:tcBorders>
              <w:top w:val="nil"/>
              <w:left w:val="single" w:sz="4" w:space="0" w:color="009900"/>
              <w:bottom w:val="nil"/>
              <w:right w:val="nil"/>
            </w:tcBorders>
            <w:shd w:val="clear" w:color="000000" w:fill="FFFFE1"/>
            <w:noWrap/>
            <w:vAlign w:val="bottom"/>
            <w:hideMark/>
          </w:tcPr>
          <w:p w:rsidR="004075DF" w:rsidRPr="004075DF" w:rsidRDefault="004075DF" w:rsidP="004075DF">
            <w:pPr>
              <w:rPr>
                <w:rFonts w:ascii="Arial" w:hAnsi="Arial" w:cs="Arial"/>
                <w:sz w:val="16"/>
                <w:szCs w:val="16"/>
              </w:rPr>
            </w:pPr>
            <w:r w:rsidRPr="004075DF">
              <w:rPr>
                <w:rFonts w:ascii="Arial" w:hAnsi="Arial" w:cs="Arial"/>
                <w:sz w:val="16"/>
                <w:szCs w:val="16"/>
              </w:rPr>
              <w:t>2003</w:t>
            </w:r>
          </w:p>
        </w:tc>
        <w:tc>
          <w:tcPr>
            <w:tcW w:w="1040"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1,590,445</w:t>
            </w:r>
          </w:p>
        </w:tc>
        <w:tc>
          <w:tcPr>
            <w:tcW w:w="1040"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41,351</w:t>
            </w:r>
          </w:p>
        </w:tc>
        <w:tc>
          <w:tcPr>
            <w:tcW w:w="1040"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188,600</w:t>
            </w:r>
          </w:p>
        </w:tc>
        <w:tc>
          <w:tcPr>
            <w:tcW w:w="963"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23,919</w:t>
            </w:r>
          </w:p>
        </w:tc>
        <w:tc>
          <w:tcPr>
            <w:tcW w:w="1470"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2,436</w:t>
            </w:r>
          </w:p>
        </w:tc>
        <w:tc>
          <w:tcPr>
            <w:tcW w:w="923"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30,823</w:t>
            </w:r>
          </w:p>
        </w:tc>
        <w:tc>
          <w:tcPr>
            <w:tcW w:w="1035"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1,877,574</w:t>
            </w:r>
          </w:p>
        </w:tc>
        <w:tc>
          <w:tcPr>
            <w:tcW w:w="996" w:type="dxa"/>
            <w:tcBorders>
              <w:top w:val="nil"/>
              <w:left w:val="nil"/>
              <w:bottom w:val="nil"/>
              <w:right w:val="single" w:sz="4" w:space="0" w:color="009900"/>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817,520</w:t>
            </w:r>
          </w:p>
        </w:tc>
      </w:tr>
      <w:tr w:rsidR="004075DF" w:rsidRPr="004075DF" w:rsidTr="00866A4D">
        <w:trPr>
          <w:trHeight w:val="225"/>
          <w:jc w:val="center"/>
        </w:trPr>
        <w:tc>
          <w:tcPr>
            <w:tcW w:w="996" w:type="dxa"/>
            <w:tcBorders>
              <w:top w:val="nil"/>
              <w:left w:val="single" w:sz="4" w:space="0" w:color="009900"/>
              <w:bottom w:val="nil"/>
              <w:right w:val="nil"/>
            </w:tcBorders>
            <w:shd w:val="clear" w:color="000000" w:fill="FFFFE1"/>
            <w:noWrap/>
            <w:vAlign w:val="bottom"/>
            <w:hideMark/>
          </w:tcPr>
          <w:p w:rsidR="004075DF" w:rsidRPr="004075DF" w:rsidRDefault="004075DF" w:rsidP="004075DF">
            <w:pPr>
              <w:rPr>
                <w:rFonts w:ascii="Arial" w:hAnsi="Arial" w:cs="Arial"/>
                <w:sz w:val="16"/>
                <w:szCs w:val="16"/>
              </w:rPr>
            </w:pPr>
            <w:r w:rsidRPr="004075DF">
              <w:rPr>
                <w:rFonts w:ascii="Arial" w:hAnsi="Arial" w:cs="Arial"/>
                <w:sz w:val="16"/>
                <w:szCs w:val="16"/>
              </w:rPr>
              <w:lastRenderedPageBreak/>
              <w:t>2004</w:t>
            </w:r>
          </w:p>
        </w:tc>
        <w:tc>
          <w:tcPr>
            <w:tcW w:w="1040"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1,609,492</w:t>
            </w:r>
          </w:p>
        </w:tc>
        <w:tc>
          <w:tcPr>
            <w:tcW w:w="1040"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42,590</w:t>
            </w:r>
          </w:p>
        </w:tc>
        <w:tc>
          <w:tcPr>
            <w:tcW w:w="1040"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191,406</w:t>
            </w:r>
          </w:p>
        </w:tc>
        <w:tc>
          <w:tcPr>
            <w:tcW w:w="963"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25,080</w:t>
            </w:r>
          </w:p>
        </w:tc>
        <w:tc>
          <w:tcPr>
            <w:tcW w:w="1470"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2,519</w:t>
            </w:r>
          </w:p>
        </w:tc>
        <w:tc>
          <w:tcPr>
            <w:tcW w:w="923"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32,721</w:t>
            </w:r>
          </w:p>
        </w:tc>
        <w:tc>
          <w:tcPr>
            <w:tcW w:w="1035"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1,903,808</w:t>
            </w:r>
          </w:p>
        </w:tc>
        <w:tc>
          <w:tcPr>
            <w:tcW w:w="996" w:type="dxa"/>
            <w:tcBorders>
              <w:top w:val="nil"/>
              <w:left w:val="nil"/>
              <w:bottom w:val="nil"/>
              <w:right w:val="single" w:sz="4" w:space="0" w:color="009900"/>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834,722</w:t>
            </w:r>
          </w:p>
        </w:tc>
      </w:tr>
      <w:tr w:rsidR="004075DF" w:rsidRPr="004075DF" w:rsidTr="00866A4D">
        <w:trPr>
          <w:trHeight w:val="225"/>
          <w:jc w:val="center"/>
        </w:trPr>
        <w:tc>
          <w:tcPr>
            <w:tcW w:w="996" w:type="dxa"/>
            <w:tcBorders>
              <w:top w:val="nil"/>
              <w:left w:val="single" w:sz="4" w:space="0" w:color="009900"/>
              <w:bottom w:val="nil"/>
              <w:right w:val="nil"/>
            </w:tcBorders>
            <w:shd w:val="clear" w:color="000000" w:fill="FFFFE1"/>
            <w:noWrap/>
            <w:vAlign w:val="bottom"/>
            <w:hideMark/>
          </w:tcPr>
          <w:p w:rsidR="004075DF" w:rsidRPr="004075DF" w:rsidRDefault="004075DF" w:rsidP="004075DF">
            <w:pPr>
              <w:rPr>
                <w:rFonts w:ascii="Arial" w:hAnsi="Arial" w:cs="Arial"/>
                <w:sz w:val="16"/>
                <w:szCs w:val="16"/>
              </w:rPr>
            </w:pPr>
            <w:r w:rsidRPr="004075DF">
              <w:rPr>
                <w:rFonts w:ascii="Arial" w:hAnsi="Arial" w:cs="Arial"/>
                <w:sz w:val="16"/>
                <w:szCs w:val="16"/>
              </w:rPr>
              <w:t>2005</w:t>
            </w:r>
          </w:p>
        </w:tc>
        <w:tc>
          <w:tcPr>
            <w:tcW w:w="1040"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1,631,078</w:t>
            </w:r>
          </w:p>
        </w:tc>
        <w:tc>
          <w:tcPr>
            <w:tcW w:w="1040"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43,575</w:t>
            </w:r>
          </w:p>
        </w:tc>
        <w:tc>
          <w:tcPr>
            <w:tcW w:w="1040"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193,882</w:t>
            </w:r>
          </w:p>
        </w:tc>
        <w:tc>
          <w:tcPr>
            <w:tcW w:w="963"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26,239</w:t>
            </w:r>
          </w:p>
        </w:tc>
        <w:tc>
          <w:tcPr>
            <w:tcW w:w="1470"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2,565</w:t>
            </w:r>
          </w:p>
        </w:tc>
        <w:tc>
          <w:tcPr>
            <w:tcW w:w="923"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34,935</w:t>
            </w:r>
          </w:p>
        </w:tc>
        <w:tc>
          <w:tcPr>
            <w:tcW w:w="1035"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1,932,274</w:t>
            </w:r>
          </w:p>
        </w:tc>
        <w:tc>
          <w:tcPr>
            <w:tcW w:w="996" w:type="dxa"/>
            <w:tcBorders>
              <w:top w:val="nil"/>
              <w:left w:val="nil"/>
              <w:bottom w:val="nil"/>
              <w:right w:val="single" w:sz="4" w:space="0" w:color="009900"/>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854,026</w:t>
            </w:r>
          </w:p>
        </w:tc>
      </w:tr>
      <w:tr w:rsidR="004075DF" w:rsidRPr="004075DF" w:rsidTr="00866A4D">
        <w:trPr>
          <w:trHeight w:val="225"/>
          <w:jc w:val="center"/>
        </w:trPr>
        <w:tc>
          <w:tcPr>
            <w:tcW w:w="996" w:type="dxa"/>
            <w:tcBorders>
              <w:top w:val="nil"/>
              <w:left w:val="single" w:sz="4" w:space="0" w:color="009900"/>
              <w:bottom w:val="nil"/>
              <w:right w:val="nil"/>
            </w:tcBorders>
            <w:shd w:val="clear" w:color="000000" w:fill="FFFFE1"/>
            <w:noWrap/>
            <w:vAlign w:val="bottom"/>
            <w:hideMark/>
          </w:tcPr>
          <w:p w:rsidR="004075DF" w:rsidRPr="004075DF" w:rsidRDefault="004075DF" w:rsidP="004075DF">
            <w:pPr>
              <w:rPr>
                <w:rFonts w:ascii="Arial" w:hAnsi="Arial" w:cs="Arial"/>
                <w:sz w:val="16"/>
                <w:szCs w:val="16"/>
              </w:rPr>
            </w:pPr>
            <w:r w:rsidRPr="004075DF">
              <w:rPr>
                <w:rFonts w:ascii="Arial" w:hAnsi="Arial" w:cs="Arial"/>
                <w:sz w:val="16"/>
                <w:szCs w:val="16"/>
              </w:rPr>
              <w:t>2006</w:t>
            </w:r>
          </w:p>
        </w:tc>
        <w:tc>
          <w:tcPr>
            <w:tcW w:w="1040"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1,654,067</w:t>
            </w:r>
          </w:p>
        </w:tc>
        <w:tc>
          <w:tcPr>
            <w:tcW w:w="1040"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44,804</w:t>
            </w:r>
          </w:p>
        </w:tc>
        <w:tc>
          <w:tcPr>
            <w:tcW w:w="1040"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196,074</w:t>
            </w:r>
          </w:p>
        </w:tc>
        <w:tc>
          <w:tcPr>
            <w:tcW w:w="963"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27,400</w:t>
            </w:r>
          </w:p>
        </w:tc>
        <w:tc>
          <w:tcPr>
            <w:tcW w:w="1470"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2,757</w:t>
            </w:r>
          </w:p>
        </w:tc>
        <w:tc>
          <w:tcPr>
            <w:tcW w:w="923"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37,035</w:t>
            </w:r>
          </w:p>
        </w:tc>
        <w:tc>
          <w:tcPr>
            <w:tcW w:w="1035"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1,962,137</w:t>
            </w:r>
          </w:p>
        </w:tc>
        <w:tc>
          <w:tcPr>
            <w:tcW w:w="996" w:type="dxa"/>
            <w:tcBorders>
              <w:top w:val="nil"/>
              <w:left w:val="nil"/>
              <w:bottom w:val="nil"/>
              <w:right w:val="single" w:sz="4" w:space="0" w:color="009900"/>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874,649</w:t>
            </w:r>
          </w:p>
        </w:tc>
      </w:tr>
      <w:tr w:rsidR="004075DF" w:rsidRPr="004075DF" w:rsidTr="00866A4D">
        <w:trPr>
          <w:trHeight w:val="225"/>
          <w:jc w:val="center"/>
        </w:trPr>
        <w:tc>
          <w:tcPr>
            <w:tcW w:w="996" w:type="dxa"/>
            <w:tcBorders>
              <w:top w:val="nil"/>
              <w:left w:val="single" w:sz="4" w:space="0" w:color="009900"/>
              <w:bottom w:val="nil"/>
              <w:right w:val="nil"/>
            </w:tcBorders>
            <w:shd w:val="clear" w:color="000000" w:fill="FFFFE1"/>
            <w:noWrap/>
            <w:vAlign w:val="bottom"/>
            <w:hideMark/>
          </w:tcPr>
          <w:p w:rsidR="004075DF" w:rsidRPr="004075DF" w:rsidRDefault="004075DF" w:rsidP="004075DF">
            <w:pPr>
              <w:rPr>
                <w:rFonts w:ascii="Arial" w:hAnsi="Arial" w:cs="Arial"/>
                <w:sz w:val="16"/>
                <w:szCs w:val="16"/>
              </w:rPr>
            </w:pPr>
            <w:r w:rsidRPr="004075DF">
              <w:rPr>
                <w:rFonts w:ascii="Arial" w:hAnsi="Arial" w:cs="Arial"/>
                <w:sz w:val="16"/>
                <w:szCs w:val="16"/>
              </w:rPr>
              <w:t>2007</w:t>
            </w:r>
          </w:p>
        </w:tc>
        <w:tc>
          <w:tcPr>
            <w:tcW w:w="1040"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1,674,570</w:t>
            </w:r>
          </w:p>
        </w:tc>
        <w:tc>
          <w:tcPr>
            <w:tcW w:w="1040"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45,995</w:t>
            </w:r>
          </w:p>
        </w:tc>
        <w:tc>
          <w:tcPr>
            <w:tcW w:w="1040"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199,158</w:t>
            </w:r>
          </w:p>
        </w:tc>
        <w:tc>
          <w:tcPr>
            <w:tcW w:w="963"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28,348</w:t>
            </w:r>
          </w:p>
        </w:tc>
        <w:tc>
          <w:tcPr>
            <w:tcW w:w="1470"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2,798</w:t>
            </w:r>
          </w:p>
        </w:tc>
        <w:tc>
          <w:tcPr>
            <w:tcW w:w="923"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39,201</w:t>
            </w:r>
          </w:p>
        </w:tc>
        <w:tc>
          <w:tcPr>
            <w:tcW w:w="1035"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1,990,070</w:t>
            </w:r>
          </w:p>
        </w:tc>
        <w:tc>
          <w:tcPr>
            <w:tcW w:w="996" w:type="dxa"/>
            <w:tcBorders>
              <w:top w:val="nil"/>
              <w:left w:val="nil"/>
              <w:bottom w:val="nil"/>
              <w:right w:val="single" w:sz="4" w:space="0" w:color="009900"/>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896,537</w:t>
            </w:r>
          </w:p>
        </w:tc>
      </w:tr>
      <w:tr w:rsidR="004075DF" w:rsidRPr="004075DF" w:rsidTr="00866A4D">
        <w:trPr>
          <w:trHeight w:val="225"/>
          <w:jc w:val="center"/>
        </w:trPr>
        <w:tc>
          <w:tcPr>
            <w:tcW w:w="996" w:type="dxa"/>
            <w:tcBorders>
              <w:top w:val="nil"/>
              <w:left w:val="single" w:sz="4" w:space="0" w:color="009900"/>
              <w:bottom w:val="nil"/>
              <w:right w:val="nil"/>
            </w:tcBorders>
            <w:shd w:val="clear" w:color="000000" w:fill="FFFFE1"/>
            <w:noWrap/>
            <w:vAlign w:val="bottom"/>
            <w:hideMark/>
          </w:tcPr>
          <w:p w:rsidR="004075DF" w:rsidRPr="004075DF" w:rsidRDefault="004075DF" w:rsidP="004075DF">
            <w:pPr>
              <w:rPr>
                <w:rFonts w:ascii="Arial" w:hAnsi="Arial" w:cs="Arial"/>
                <w:sz w:val="16"/>
                <w:szCs w:val="16"/>
              </w:rPr>
            </w:pPr>
            <w:r w:rsidRPr="004075DF">
              <w:rPr>
                <w:rFonts w:ascii="Arial" w:hAnsi="Arial" w:cs="Arial"/>
                <w:sz w:val="16"/>
                <w:szCs w:val="16"/>
              </w:rPr>
              <w:t>2008</w:t>
            </w:r>
          </w:p>
        </w:tc>
        <w:tc>
          <w:tcPr>
            <w:tcW w:w="1040"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1,687,600</w:t>
            </w:r>
          </w:p>
        </w:tc>
        <w:tc>
          <w:tcPr>
            <w:tcW w:w="1040"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46,536</w:t>
            </w:r>
          </w:p>
        </w:tc>
        <w:tc>
          <w:tcPr>
            <w:tcW w:w="1040"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202,878</w:t>
            </w:r>
          </w:p>
        </w:tc>
        <w:tc>
          <w:tcPr>
            <w:tcW w:w="963"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29,262</w:t>
            </w:r>
          </w:p>
        </w:tc>
        <w:tc>
          <w:tcPr>
            <w:tcW w:w="1470"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2,934</w:t>
            </w:r>
          </w:p>
        </w:tc>
        <w:tc>
          <w:tcPr>
            <w:tcW w:w="923"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41,452</w:t>
            </w:r>
          </w:p>
        </w:tc>
        <w:tc>
          <w:tcPr>
            <w:tcW w:w="1035"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2,010,662</w:t>
            </w:r>
          </w:p>
        </w:tc>
        <w:tc>
          <w:tcPr>
            <w:tcW w:w="996" w:type="dxa"/>
            <w:tcBorders>
              <w:top w:val="nil"/>
              <w:left w:val="nil"/>
              <w:bottom w:val="nil"/>
              <w:right w:val="single" w:sz="4" w:space="0" w:color="009900"/>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916,565</w:t>
            </w:r>
          </w:p>
        </w:tc>
      </w:tr>
      <w:tr w:rsidR="004075DF" w:rsidRPr="004075DF" w:rsidTr="00866A4D">
        <w:trPr>
          <w:trHeight w:val="225"/>
          <w:jc w:val="center"/>
        </w:trPr>
        <w:tc>
          <w:tcPr>
            <w:tcW w:w="996" w:type="dxa"/>
            <w:tcBorders>
              <w:top w:val="nil"/>
              <w:left w:val="single" w:sz="4" w:space="0" w:color="009900"/>
              <w:bottom w:val="nil"/>
              <w:right w:val="nil"/>
            </w:tcBorders>
            <w:shd w:val="clear" w:color="000000" w:fill="FFFFE1"/>
            <w:noWrap/>
            <w:vAlign w:val="bottom"/>
            <w:hideMark/>
          </w:tcPr>
          <w:p w:rsidR="004075DF" w:rsidRPr="004075DF" w:rsidRDefault="004075DF" w:rsidP="004075DF">
            <w:pPr>
              <w:rPr>
                <w:rFonts w:ascii="Arial" w:hAnsi="Arial" w:cs="Arial"/>
                <w:sz w:val="16"/>
                <w:szCs w:val="16"/>
              </w:rPr>
            </w:pPr>
            <w:r w:rsidRPr="004075DF">
              <w:rPr>
                <w:rFonts w:ascii="Arial" w:hAnsi="Arial" w:cs="Arial"/>
                <w:sz w:val="16"/>
                <w:szCs w:val="16"/>
              </w:rPr>
              <w:t>2009</w:t>
            </w:r>
          </w:p>
        </w:tc>
        <w:tc>
          <w:tcPr>
            <w:tcW w:w="1040"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1,704,855</w:t>
            </w:r>
          </w:p>
        </w:tc>
        <w:tc>
          <w:tcPr>
            <w:tcW w:w="1040"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47,952</w:t>
            </w:r>
          </w:p>
        </w:tc>
        <w:tc>
          <w:tcPr>
            <w:tcW w:w="1040"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206,560</w:t>
            </w:r>
          </w:p>
        </w:tc>
        <w:tc>
          <w:tcPr>
            <w:tcW w:w="963"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30,303</w:t>
            </w:r>
          </w:p>
        </w:tc>
        <w:tc>
          <w:tcPr>
            <w:tcW w:w="1470"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3,106</w:t>
            </w:r>
          </w:p>
        </w:tc>
        <w:tc>
          <w:tcPr>
            <w:tcW w:w="923"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44,026</w:t>
            </w:r>
          </w:p>
        </w:tc>
        <w:tc>
          <w:tcPr>
            <w:tcW w:w="1035"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2,036,802</w:t>
            </w:r>
          </w:p>
        </w:tc>
        <w:tc>
          <w:tcPr>
            <w:tcW w:w="996" w:type="dxa"/>
            <w:tcBorders>
              <w:top w:val="nil"/>
              <w:left w:val="nil"/>
              <w:bottom w:val="nil"/>
              <w:right w:val="single" w:sz="4" w:space="0" w:color="009900"/>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937,564</w:t>
            </w:r>
          </w:p>
        </w:tc>
      </w:tr>
      <w:tr w:rsidR="004075DF" w:rsidRPr="004075DF" w:rsidTr="00866A4D">
        <w:trPr>
          <w:trHeight w:val="225"/>
          <w:jc w:val="center"/>
        </w:trPr>
        <w:tc>
          <w:tcPr>
            <w:tcW w:w="996" w:type="dxa"/>
            <w:tcBorders>
              <w:top w:val="nil"/>
              <w:left w:val="single" w:sz="4" w:space="0" w:color="009900"/>
              <w:bottom w:val="nil"/>
              <w:right w:val="nil"/>
            </w:tcBorders>
            <w:shd w:val="clear" w:color="000000" w:fill="FFFFE1"/>
            <w:noWrap/>
            <w:vAlign w:val="bottom"/>
            <w:hideMark/>
          </w:tcPr>
          <w:p w:rsidR="004075DF" w:rsidRPr="004075DF" w:rsidRDefault="004075DF" w:rsidP="004075DF">
            <w:pPr>
              <w:rPr>
                <w:rFonts w:ascii="Arial" w:hAnsi="Arial" w:cs="Arial"/>
                <w:sz w:val="16"/>
                <w:szCs w:val="16"/>
              </w:rPr>
            </w:pPr>
            <w:r w:rsidRPr="004075DF">
              <w:rPr>
                <w:rFonts w:ascii="Arial" w:hAnsi="Arial" w:cs="Arial"/>
                <w:sz w:val="16"/>
                <w:szCs w:val="16"/>
              </w:rPr>
              <w:t>2010</w:t>
            </w:r>
          </w:p>
        </w:tc>
        <w:tc>
          <w:tcPr>
            <w:tcW w:w="1040"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1,720,992</w:t>
            </w:r>
          </w:p>
        </w:tc>
        <w:tc>
          <w:tcPr>
            <w:tcW w:w="1040"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49,006</w:t>
            </w:r>
          </w:p>
        </w:tc>
        <w:tc>
          <w:tcPr>
            <w:tcW w:w="1040"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208,890</w:t>
            </w:r>
          </w:p>
        </w:tc>
        <w:tc>
          <w:tcPr>
            <w:tcW w:w="963"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31,253</w:t>
            </w:r>
          </w:p>
        </w:tc>
        <w:tc>
          <w:tcPr>
            <w:tcW w:w="1470"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3,132</w:t>
            </w:r>
          </w:p>
        </w:tc>
        <w:tc>
          <w:tcPr>
            <w:tcW w:w="923"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45,906</w:t>
            </w:r>
          </w:p>
        </w:tc>
        <w:tc>
          <w:tcPr>
            <w:tcW w:w="1035"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2,059,179</w:t>
            </w:r>
          </w:p>
        </w:tc>
        <w:tc>
          <w:tcPr>
            <w:tcW w:w="996" w:type="dxa"/>
            <w:tcBorders>
              <w:top w:val="nil"/>
              <w:left w:val="nil"/>
              <w:bottom w:val="nil"/>
              <w:right w:val="single" w:sz="4" w:space="0" w:color="009900"/>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953,403</w:t>
            </w:r>
          </w:p>
        </w:tc>
      </w:tr>
      <w:tr w:rsidR="004075DF" w:rsidRPr="004075DF" w:rsidTr="00866A4D">
        <w:trPr>
          <w:trHeight w:val="225"/>
          <w:jc w:val="center"/>
        </w:trPr>
        <w:tc>
          <w:tcPr>
            <w:tcW w:w="996" w:type="dxa"/>
            <w:tcBorders>
              <w:top w:val="nil"/>
              <w:left w:val="single" w:sz="4" w:space="0" w:color="009900"/>
              <w:bottom w:val="nil"/>
              <w:right w:val="nil"/>
            </w:tcBorders>
            <w:shd w:val="clear" w:color="000000" w:fill="FFFFE1"/>
            <w:noWrap/>
            <w:vAlign w:val="bottom"/>
            <w:hideMark/>
          </w:tcPr>
          <w:p w:rsidR="004075DF" w:rsidRPr="004075DF" w:rsidRDefault="004075DF" w:rsidP="004075DF">
            <w:pPr>
              <w:rPr>
                <w:rFonts w:ascii="Arial" w:hAnsi="Arial" w:cs="Arial"/>
                <w:sz w:val="16"/>
                <w:szCs w:val="16"/>
              </w:rPr>
            </w:pPr>
            <w:r w:rsidRPr="004075DF">
              <w:rPr>
                <w:rFonts w:ascii="Arial" w:hAnsi="Arial" w:cs="Arial"/>
                <w:sz w:val="16"/>
                <w:szCs w:val="16"/>
              </w:rPr>
              <w:t>2011</w:t>
            </w:r>
          </w:p>
        </w:tc>
        <w:tc>
          <w:tcPr>
            <w:tcW w:w="1040"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1,733,301</w:t>
            </w:r>
          </w:p>
        </w:tc>
        <w:tc>
          <w:tcPr>
            <w:tcW w:w="1040"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50,220</w:t>
            </w:r>
          </w:p>
        </w:tc>
        <w:tc>
          <w:tcPr>
            <w:tcW w:w="1040"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211,532</w:t>
            </w:r>
          </w:p>
        </w:tc>
        <w:tc>
          <w:tcPr>
            <w:tcW w:w="963"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32,649</w:t>
            </w:r>
          </w:p>
        </w:tc>
        <w:tc>
          <w:tcPr>
            <w:tcW w:w="1470"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3,255</w:t>
            </w:r>
          </w:p>
        </w:tc>
        <w:tc>
          <w:tcPr>
            <w:tcW w:w="923"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47,717</w:t>
            </w:r>
          </w:p>
        </w:tc>
        <w:tc>
          <w:tcPr>
            <w:tcW w:w="1035"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2,078,674</w:t>
            </w:r>
          </w:p>
        </w:tc>
        <w:tc>
          <w:tcPr>
            <w:tcW w:w="996" w:type="dxa"/>
            <w:tcBorders>
              <w:top w:val="nil"/>
              <w:left w:val="nil"/>
              <w:bottom w:val="nil"/>
              <w:right w:val="single" w:sz="4" w:space="0" w:color="009900"/>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970,601</w:t>
            </w:r>
          </w:p>
        </w:tc>
      </w:tr>
      <w:tr w:rsidR="004075DF" w:rsidRPr="004075DF" w:rsidTr="00866A4D">
        <w:trPr>
          <w:trHeight w:val="225"/>
          <w:jc w:val="center"/>
        </w:trPr>
        <w:tc>
          <w:tcPr>
            <w:tcW w:w="996" w:type="dxa"/>
            <w:tcBorders>
              <w:top w:val="nil"/>
              <w:left w:val="single" w:sz="4" w:space="0" w:color="009900"/>
              <w:bottom w:val="nil"/>
              <w:right w:val="nil"/>
            </w:tcBorders>
            <w:shd w:val="clear" w:color="000000" w:fill="FFFFE1"/>
            <w:noWrap/>
            <w:vAlign w:val="bottom"/>
            <w:hideMark/>
          </w:tcPr>
          <w:p w:rsidR="004075DF" w:rsidRPr="004075DF" w:rsidRDefault="004075DF" w:rsidP="004075DF">
            <w:pPr>
              <w:rPr>
                <w:rFonts w:ascii="Arial" w:hAnsi="Arial" w:cs="Arial"/>
                <w:sz w:val="16"/>
                <w:szCs w:val="16"/>
              </w:rPr>
            </w:pPr>
            <w:r w:rsidRPr="004075DF">
              <w:rPr>
                <w:rFonts w:ascii="Arial" w:hAnsi="Arial" w:cs="Arial"/>
                <w:sz w:val="16"/>
                <w:szCs w:val="16"/>
              </w:rPr>
              <w:t>2012</w:t>
            </w:r>
          </w:p>
        </w:tc>
        <w:tc>
          <w:tcPr>
            <w:tcW w:w="1040"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1,735,255</w:t>
            </w:r>
          </w:p>
        </w:tc>
        <w:tc>
          <w:tcPr>
            <w:tcW w:w="1040"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51,087</w:t>
            </w:r>
          </w:p>
        </w:tc>
        <w:tc>
          <w:tcPr>
            <w:tcW w:w="1040"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213,081</w:t>
            </w:r>
          </w:p>
        </w:tc>
        <w:tc>
          <w:tcPr>
            <w:tcW w:w="963"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33,665</w:t>
            </w:r>
          </w:p>
        </w:tc>
        <w:tc>
          <w:tcPr>
            <w:tcW w:w="1470"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3,327</w:t>
            </w:r>
          </w:p>
        </w:tc>
        <w:tc>
          <w:tcPr>
            <w:tcW w:w="923"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49,123</w:t>
            </w:r>
          </w:p>
        </w:tc>
        <w:tc>
          <w:tcPr>
            <w:tcW w:w="1035" w:type="dxa"/>
            <w:tcBorders>
              <w:top w:val="nil"/>
              <w:left w:val="nil"/>
              <w:bottom w:val="nil"/>
              <w:right w:val="nil"/>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2,085,538</w:t>
            </w:r>
          </w:p>
        </w:tc>
        <w:tc>
          <w:tcPr>
            <w:tcW w:w="996" w:type="dxa"/>
            <w:tcBorders>
              <w:top w:val="nil"/>
              <w:left w:val="nil"/>
              <w:bottom w:val="nil"/>
              <w:right w:val="single" w:sz="4" w:space="0" w:color="009900"/>
            </w:tcBorders>
            <w:shd w:val="clear" w:color="000000" w:fill="FFFFE1"/>
            <w:noWrap/>
            <w:vAlign w:val="center"/>
            <w:hideMark/>
          </w:tcPr>
          <w:p w:rsidR="004075DF" w:rsidRPr="004075DF" w:rsidRDefault="004075DF" w:rsidP="004075DF">
            <w:pPr>
              <w:jc w:val="center"/>
              <w:rPr>
                <w:rFonts w:ascii="Arial" w:hAnsi="Arial" w:cs="Arial"/>
                <w:sz w:val="16"/>
                <w:szCs w:val="16"/>
              </w:rPr>
            </w:pPr>
            <w:r w:rsidRPr="004075DF">
              <w:rPr>
                <w:rFonts w:ascii="Arial" w:hAnsi="Arial" w:cs="Arial"/>
                <w:sz w:val="16"/>
                <w:szCs w:val="16"/>
              </w:rPr>
              <w:t>979,722</w:t>
            </w:r>
          </w:p>
        </w:tc>
      </w:tr>
      <w:tr w:rsidR="004075DF" w:rsidRPr="004075DF" w:rsidTr="00866A4D">
        <w:trPr>
          <w:trHeight w:val="525"/>
          <w:jc w:val="center"/>
        </w:trPr>
        <w:tc>
          <w:tcPr>
            <w:tcW w:w="996" w:type="dxa"/>
            <w:tcBorders>
              <w:top w:val="dotted" w:sz="4" w:space="0" w:color="009900"/>
              <w:left w:val="single" w:sz="4" w:space="0" w:color="009900"/>
              <w:bottom w:val="single" w:sz="4" w:space="0" w:color="009900"/>
              <w:right w:val="nil"/>
            </w:tcBorders>
            <w:shd w:val="clear" w:color="000000" w:fill="FFFFE1"/>
            <w:vAlign w:val="center"/>
            <w:hideMark/>
          </w:tcPr>
          <w:p w:rsidR="004075DF" w:rsidRPr="004075DF" w:rsidRDefault="004075DF" w:rsidP="004075DF">
            <w:pPr>
              <w:rPr>
                <w:rFonts w:ascii="Arial" w:hAnsi="Arial" w:cs="Arial"/>
                <w:b/>
                <w:bCs/>
                <w:sz w:val="16"/>
                <w:szCs w:val="16"/>
              </w:rPr>
            </w:pPr>
            <w:r w:rsidRPr="004075DF">
              <w:rPr>
                <w:rFonts w:ascii="Arial" w:hAnsi="Arial" w:cs="Arial"/>
                <w:b/>
                <w:bCs/>
                <w:sz w:val="16"/>
                <w:szCs w:val="16"/>
              </w:rPr>
              <w:t>Percent Change 00-12</w:t>
            </w:r>
          </w:p>
        </w:tc>
        <w:tc>
          <w:tcPr>
            <w:tcW w:w="1040" w:type="dxa"/>
            <w:tcBorders>
              <w:top w:val="dotted" w:sz="4" w:space="0" w:color="009900"/>
              <w:left w:val="nil"/>
              <w:bottom w:val="single" w:sz="4" w:space="0" w:color="009900"/>
              <w:right w:val="nil"/>
            </w:tcBorders>
            <w:shd w:val="clear" w:color="000000" w:fill="FFFFE1"/>
            <w:noWrap/>
            <w:vAlign w:val="center"/>
            <w:hideMark/>
          </w:tcPr>
          <w:p w:rsidR="004075DF" w:rsidRPr="004075DF" w:rsidRDefault="004075DF" w:rsidP="004075DF">
            <w:pPr>
              <w:jc w:val="center"/>
              <w:rPr>
                <w:rFonts w:ascii="Arial" w:hAnsi="Arial" w:cs="Arial"/>
                <w:b/>
                <w:bCs/>
                <w:sz w:val="16"/>
                <w:szCs w:val="16"/>
              </w:rPr>
            </w:pPr>
            <w:r w:rsidRPr="004075DF">
              <w:rPr>
                <w:rFonts w:ascii="Arial" w:hAnsi="Arial" w:cs="Arial"/>
                <w:b/>
                <w:bCs/>
                <w:sz w:val="16"/>
                <w:szCs w:val="16"/>
              </w:rPr>
              <w:t>11.7</w:t>
            </w:r>
          </w:p>
        </w:tc>
        <w:tc>
          <w:tcPr>
            <w:tcW w:w="1040" w:type="dxa"/>
            <w:tcBorders>
              <w:top w:val="dotted" w:sz="4" w:space="0" w:color="009900"/>
              <w:left w:val="nil"/>
              <w:bottom w:val="single" w:sz="4" w:space="0" w:color="009900"/>
              <w:right w:val="nil"/>
            </w:tcBorders>
            <w:shd w:val="clear" w:color="000000" w:fill="FFFFE1"/>
            <w:noWrap/>
            <w:vAlign w:val="center"/>
            <w:hideMark/>
          </w:tcPr>
          <w:p w:rsidR="004075DF" w:rsidRPr="004075DF" w:rsidRDefault="004075DF" w:rsidP="004075DF">
            <w:pPr>
              <w:jc w:val="center"/>
              <w:rPr>
                <w:rFonts w:ascii="Arial" w:hAnsi="Arial" w:cs="Arial"/>
                <w:b/>
                <w:bCs/>
                <w:sz w:val="16"/>
                <w:szCs w:val="16"/>
              </w:rPr>
            </w:pPr>
            <w:r w:rsidRPr="004075DF">
              <w:rPr>
                <w:rFonts w:ascii="Arial" w:hAnsi="Arial" w:cs="Arial"/>
                <w:b/>
                <w:bCs/>
                <w:sz w:val="16"/>
                <w:szCs w:val="16"/>
              </w:rPr>
              <w:t>32.9</w:t>
            </w:r>
          </w:p>
        </w:tc>
        <w:tc>
          <w:tcPr>
            <w:tcW w:w="1040" w:type="dxa"/>
            <w:tcBorders>
              <w:top w:val="dotted" w:sz="4" w:space="0" w:color="009900"/>
              <w:left w:val="nil"/>
              <w:bottom w:val="single" w:sz="4" w:space="0" w:color="009900"/>
              <w:right w:val="nil"/>
            </w:tcBorders>
            <w:shd w:val="clear" w:color="000000" w:fill="FFFFE1"/>
            <w:noWrap/>
            <w:vAlign w:val="center"/>
            <w:hideMark/>
          </w:tcPr>
          <w:p w:rsidR="004075DF" w:rsidRPr="004075DF" w:rsidRDefault="004075DF" w:rsidP="004075DF">
            <w:pPr>
              <w:jc w:val="center"/>
              <w:rPr>
                <w:rFonts w:ascii="Arial" w:hAnsi="Arial" w:cs="Arial"/>
                <w:b/>
                <w:bCs/>
                <w:sz w:val="16"/>
                <w:szCs w:val="16"/>
              </w:rPr>
            </w:pPr>
            <w:r w:rsidRPr="004075DF">
              <w:rPr>
                <w:rFonts w:ascii="Arial" w:hAnsi="Arial" w:cs="Arial"/>
                <w:b/>
                <w:bCs/>
                <w:sz w:val="16"/>
                <w:szCs w:val="16"/>
              </w:rPr>
              <w:t>19.1</w:t>
            </w:r>
          </w:p>
        </w:tc>
        <w:tc>
          <w:tcPr>
            <w:tcW w:w="963" w:type="dxa"/>
            <w:tcBorders>
              <w:top w:val="dotted" w:sz="4" w:space="0" w:color="009900"/>
              <w:left w:val="nil"/>
              <w:bottom w:val="single" w:sz="4" w:space="0" w:color="009900"/>
              <w:right w:val="nil"/>
            </w:tcBorders>
            <w:shd w:val="clear" w:color="000000" w:fill="FFFFE1"/>
            <w:noWrap/>
            <w:vAlign w:val="center"/>
            <w:hideMark/>
          </w:tcPr>
          <w:p w:rsidR="004075DF" w:rsidRPr="004075DF" w:rsidRDefault="004075DF" w:rsidP="004075DF">
            <w:pPr>
              <w:jc w:val="center"/>
              <w:rPr>
                <w:rFonts w:ascii="Arial" w:hAnsi="Arial" w:cs="Arial"/>
                <w:b/>
                <w:bCs/>
                <w:sz w:val="16"/>
                <w:szCs w:val="16"/>
              </w:rPr>
            </w:pPr>
            <w:r w:rsidRPr="004075DF">
              <w:rPr>
                <w:rFonts w:ascii="Arial" w:hAnsi="Arial" w:cs="Arial"/>
                <w:b/>
                <w:bCs/>
                <w:sz w:val="16"/>
                <w:szCs w:val="16"/>
              </w:rPr>
              <w:t>58.9</w:t>
            </w:r>
          </w:p>
        </w:tc>
        <w:tc>
          <w:tcPr>
            <w:tcW w:w="1470" w:type="dxa"/>
            <w:tcBorders>
              <w:top w:val="dotted" w:sz="4" w:space="0" w:color="009900"/>
              <w:left w:val="nil"/>
              <w:bottom w:val="single" w:sz="4" w:space="0" w:color="009900"/>
              <w:right w:val="nil"/>
            </w:tcBorders>
            <w:shd w:val="clear" w:color="000000" w:fill="FFFFE1"/>
            <w:noWrap/>
            <w:vAlign w:val="center"/>
            <w:hideMark/>
          </w:tcPr>
          <w:p w:rsidR="004075DF" w:rsidRPr="004075DF" w:rsidRDefault="004075DF" w:rsidP="004075DF">
            <w:pPr>
              <w:jc w:val="center"/>
              <w:rPr>
                <w:rFonts w:ascii="Arial" w:hAnsi="Arial" w:cs="Arial"/>
                <w:b/>
                <w:bCs/>
                <w:sz w:val="16"/>
                <w:szCs w:val="16"/>
              </w:rPr>
            </w:pPr>
            <w:r w:rsidRPr="004075DF">
              <w:rPr>
                <w:rFonts w:ascii="Arial" w:hAnsi="Arial" w:cs="Arial"/>
                <w:b/>
                <w:bCs/>
                <w:sz w:val="16"/>
                <w:szCs w:val="16"/>
              </w:rPr>
              <w:t>57.5</w:t>
            </w:r>
          </w:p>
        </w:tc>
        <w:tc>
          <w:tcPr>
            <w:tcW w:w="923" w:type="dxa"/>
            <w:tcBorders>
              <w:top w:val="dotted" w:sz="4" w:space="0" w:color="009900"/>
              <w:left w:val="nil"/>
              <w:bottom w:val="single" w:sz="4" w:space="0" w:color="009900"/>
              <w:right w:val="nil"/>
            </w:tcBorders>
            <w:shd w:val="clear" w:color="000000" w:fill="FFFFE1"/>
            <w:noWrap/>
            <w:vAlign w:val="center"/>
            <w:hideMark/>
          </w:tcPr>
          <w:p w:rsidR="004075DF" w:rsidRPr="004075DF" w:rsidRDefault="004075DF" w:rsidP="004075DF">
            <w:pPr>
              <w:jc w:val="center"/>
              <w:rPr>
                <w:rFonts w:ascii="Arial" w:hAnsi="Arial" w:cs="Arial"/>
                <w:b/>
                <w:bCs/>
                <w:sz w:val="16"/>
                <w:szCs w:val="16"/>
              </w:rPr>
            </w:pPr>
            <w:r w:rsidRPr="004075DF">
              <w:rPr>
                <w:rFonts w:ascii="Arial" w:hAnsi="Arial" w:cs="Arial"/>
                <w:b/>
                <w:bCs/>
                <w:sz w:val="16"/>
                <w:szCs w:val="16"/>
              </w:rPr>
              <w:t>93.3</w:t>
            </w:r>
          </w:p>
        </w:tc>
        <w:tc>
          <w:tcPr>
            <w:tcW w:w="1035" w:type="dxa"/>
            <w:tcBorders>
              <w:top w:val="dotted" w:sz="4" w:space="0" w:color="009900"/>
              <w:left w:val="nil"/>
              <w:bottom w:val="single" w:sz="4" w:space="0" w:color="009900"/>
              <w:right w:val="nil"/>
            </w:tcBorders>
            <w:shd w:val="clear" w:color="000000" w:fill="FFFFE1"/>
            <w:noWrap/>
            <w:vAlign w:val="center"/>
            <w:hideMark/>
          </w:tcPr>
          <w:p w:rsidR="004075DF" w:rsidRPr="004075DF" w:rsidRDefault="004075DF" w:rsidP="004075DF">
            <w:pPr>
              <w:jc w:val="center"/>
              <w:rPr>
                <w:rFonts w:ascii="Arial" w:hAnsi="Arial" w:cs="Arial"/>
                <w:b/>
                <w:bCs/>
                <w:sz w:val="16"/>
                <w:szCs w:val="16"/>
              </w:rPr>
            </w:pPr>
            <w:r w:rsidRPr="004075DF">
              <w:rPr>
                <w:rFonts w:ascii="Arial" w:hAnsi="Arial" w:cs="Arial"/>
                <w:b/>
                <w:bCs/>
                <w:sz w:val="16"/>
                <w:szCs w:val="16"/>
              </w:rPr>
              <w:t>14.7</w:t>
            </w:r>
          </w:p>
        </w:tc>
        <w:tc>
          <w:tcPr>
            <w:tcW w:w="996" w:type="dxa"/>
            <w:tcBorders>
              <w:top w:val="dotted" w:sz="4" w:space="0" w:color="009900"/>
              <w:left w:val="nil"/>
              <w:bottom w:val="single" w:sz="4" w:space="0" w:color="009900"/>
              <w:right w:val="single" w:sz="4" w:space="0" w:color="009900"/>
            </w:tcBorders>
            <w:shd w:val="clear" w:color="000000" w:fill="FFFFE1"/>
            <w:noWrap/>
            <w:vAlign w:val="center"/>
            <w:hideMark/>
          </w:tcPr>
          <w:p w:rsidR="004075DF" w:rsidRPr="004075DF" w:rsidRDefault="004075DF" w:rsidP="004075DF">
            <w:pPr>
              <w:jc w:val="center"/>
              <w:rPr>
                <w:rFonts w:ascii="Arial" w:hAnsi="Arial" w:cs="Arial"/>
                <w:b/>
                <w:bCs/>
                <w:sz w:val="16"/>
                <w:szCs w:val="16"/>
              </w:rPr>
            </w:pPr>
            <w:r w:rsidRPr="004075DF">
              <w:rPr>
                <w:rFonts w:ascii="Arial" w:hAnsi="Arial" w:cs="Arial"/>
                <w:b/>
                <w:bCs/>
                <w:sz w:val="16"/>
                <w:szCs w:val="16"/>
              </w:rPr>
              <w:t>28.0</w:t>
            </w:r>
          </w:p>
        </w:tc>
      </w:tr>
    </w:tbl>
    <w:p w:rsidR="000568FC" w:rsidRPr="004608D1" w:rsidRDefault="000568FC" w:rsidP="0044083A">
      <w:pPr>
        <w:jc w:val="both"/>
        <w:rPr>
          <w:rFonts w:ascii="CG Omega" w:hAnsi="CG Omega"/>
          <w:sz w:val="16"/>
          <w:szCs w:val="16"/>
          <w:highlight w:val="yellow"/>
        </w:rPr>
      </w:pPr>
    </w:p>
    <w:p w:rsidR="00695048" w:rsidRPr="006100F6" w:rsidRDefault="006100F6" w:rsidP="00B773FA">
      <w:pPr>
        <w:jc w:val="both"/>
        <w:rPr>
          <w:rFonts w:ascii="CG Omega" w:hAnsi="CG Omega"/>
          <w:szCs w:val="48"/>
          <w:highlight w:val="yellow"/>
        </w:rPr>
      </w:pPr>
      <w:r w:rsidRPr="006100F6">
        <w:rPr>
          <w:rFonts w:ascii="CG Omega" w:hAnsi="CG Omega"/>
        </w:rPr>
        <w:t>Geographic a</w:t>
      </w:r>
      <w:r w:rsidR="00B773FA" w:rsidRPr="006100F6">
        <w:rPr>
          <w:rFonts w:ascii="CG Omega" w:hAnsi="CG Omega"/>
        </w:rPr>
        <w:t>nalysis of racial distribution was conducted by calculating the percentage share of total population within each census tract</w:t>
      </w:r>
      <w:r w:rsidR="00E2057C" w:rsidRPr="006100F6">
        <w:rPr>
          <w:rFonts w:ascii="CG Omega" w:hAnsi="CG Omega"/>
        </w:rPr>
        <w:t xml:space="preserve"> of the particular </w:t>
      </w:r>
      <w:r w:rsidR="00092949">
        <w:rPr>
          <w:rFonts w:ascii="CG Omega" w:hAnsi="CG Omega"/>
        </w:rPr>
        <w:t xml:space="preserve">sub-population; </w:t>
      </w:r>
      <w:r>
        <w:rPr>
          <w:rFonts w:ascii="CG Omega" w:hAnsi="CG Omega"/>
        </w:rPr>
        <w:t xml:space="preserve">i.e., </w:t>
      </w:r>
      <w:r w:rsidR="00E2057C" w:rsidRPr="006100F6">
        <w:rPr>
          <w:rFonts w:ascii="CG Omega" w:hAnsi="CG Omega"/>
        </w:rPr>
        <w:t>racial or ethnic group</w:t>
      </w:r>
      <w:r w:rsidR="00B773FA" w:rsidRPr="006100F6">
        <w:rPr>
          <w:rFonts w:ascii="CG Omega" w:hAnsi="CG Omega"/>
        </w:rPr>
        <w:t>. That share was then plotted on a geographic map.</w:t>
      </w:r>
      <w:r w:rsidR="00B773FA" w:rsidRPr="006100F6">
        <w:rPr>
          <w:rFonts w:ascii="CG Omega" w:hAnsi="CG Omega"/>
          <w:szCs w:val="48"/>
        </w:rPr>
        <w:t xml:space="preserve"> </w:t>
      </w:r>
      <w:r w:rsidRPr="006100F6">
        <w:rPr>
          <w:rFonts w:ascii="CG Omega" w:hAnsi="CG Omega"/>
          <w:szCs w:val="48"/>
        </w:rPr>
        <w:t xml:space="preserve"> </w:t>
      </w:r>
      <w:r>
        <w:rPr>
          <w:rFonts w:ascii="CG Omega" w:hAnsi="CG Omega"/>
          <w:szCs w:val="48"/>
        </w:rPr>
        <w:t xml:space="preserve">The goal of this analysis was to identify areas with disproportionate concentrations of each sub-population. </w:t>
      </w:r>
      <w:r w:rsidR="00B773FA" w:rsidRPr="006100F6">
        <w:rPr>
          <w:rFonts w:ascii="CG Omega" w:hAnsi="CG Omega"/>
        </w:rPr>
        <w:t>HUD defines a population as having a disproportionate share when a portion of a population is more than 10 percentage points higher than the jurisdiction average.</w:t>
      </w:r>
      <w:r w:rsidR="00747807" w:rsidRPr="006100F6">
        <w:rPr>
          <w:rFonts w:ascii="CG Omega" w:hAnsi="CG Omega"/>
        </w:rPr>
        <w:t xml:space="preserve"> </w:t>
      </w:r>
      <w:r w:rsidR="00747807" w:rsidRPr="00747807">
        <w:rPr>
          <w:rFonts w:ascii="CG Omega" w:hAnsi="CG Omega"/>
        </w:rPr>
        <w:t xml:space="preserve">For example, the </w:t>
      </w:r>
      <w:r w:rsidR="00CC3344">
        <w:rPr>
          <w:rFonts w:ascii="CG Omega" w:hAnsi="CG Omega"/>
        </w:rPr>
        <w:t>White</w:t>
      </w:r>
      <w:r w:rsidR="00747807" w:rsidRPr="00747807">
        <w:rPr>
          <w:rFonts w:ascii="CG Omega" w:hAnsi="CG Omega"/>
        </w:rPr>
        <w:t xml:space="preserve"> population accounted for 68.4 percent of the total population</w:t>
      </w:r>
      <w:r>
        <w:rPr>
          <w:rFonts w:ascii="CG Omega" w:hAnsi="CG Omega"/>
        </w:rPr>
        <w:t xml:space="preserve"> of the State</w:t>
      </w:r>
      <w:r w:rsidR="00747807" w:rsidRPr="00747807">
        <w:rPr>
          <w:rFonts w:ascii="CG Omega" w:hAnsi="CG Omega"/>
        </w:rPr>
        <w:t xml:space="preserve"> in 2010—accordingly, the disproportionate share threshold for that population was 78.4 percent in that year.</w:t>
      </w:r>
      <w:r>
        <w:rPr>
          <w:rFonts w:ascii="CG Omega" w:hAnsi="CG Omega"/>
        </w:rPr>
        <w:t xml:space="preserve"> Any areas in which more than 78.4 percent of the population was </w:t>
      </w:r>
      <w:r w:rsidR="00CC3344">
        <w:rPr>
          <w:rFonts w:ascii="CG Omega" w:hAnsi="CG Omega"/>
        </w:rPr>
        <w:t>W</w:t>
      </w:r>
      <w:r>
        <w:rPr>
          <w:rFonts w:ascii="CG Omega" w:hAnsi="CG Omega"/>
        </w:rPr>
        <w:t xml:space="preserve">hite were therefore said to hold a disproportionate share of </w:t>
      </w:r>
      <w:r w:rsidR="00CC3344">
        <w:rPr>
          <w:rFonts w:ascii="CG Omega" w:hAnsi="CG Omega"/>
        </w:rPr>
        <w:t>White</w:t>
      </w:r>
      <w:r>
        <w:rPr>
          <w:rFonts w:ascii="CG Omega" w:hAnsi="CG Omega"/>
        </w:rPr>
        <w:t xml:space="preserve"> residents. </w:t>
      </w:r>
    </w:p>
    <w:p w:rsidR="006E1218" w:rsidRPr="004608D1" w:rsidRDefault="006E1218" w:rsidP="00B773FA">
      <w:pPr>
        <w:jc w:val="both"/>
        <w:rPr>
          <w:rFonts w:ascii="CG Omega" w:hAnsi="CG Omega"/>
          <w:sz w:val="16"/>
          <w:szCs w:val="16"/>
        </w:rPr>
      </w:pPr>
    </w:p>
    <w:p w:rsidR="0005714D" w:rsidRPr="00626D13" w:rsidRDefault="00EB7382" w:rsidP="00B773FA">
      <w:pPr>
        <w:jc w:val="both"/>
        <w:rPr>
          <w:rFonts w:ascii="CG Omega" w:hAnsi="CG Omega"/>
        </w:rPr>
      </w:pPr>
      <w:r w:rsidRPr="00626D13">
        <w:rPr>
          <w:rFonts w:ascii="CG Omega" w:hAnsi="CG Omega"/>
        </w:rPr>
        <w:t xml:space="preserve">In the year 2000, </w:t>
      </w:r>
      <w:r w:rsidR="00CC3344">
        <w:rPr>
          <w:rFonts w:ascii="CG Omega" w:hAnsi="CG Omega"/>
        </w:rPr>
        <w:t>White</w:t>
      </w:r>
      <w:r w:rsidR="00380AD9" w:rsidRPr="00626D13">
        <w:rPr>
          <w:rFonts w:ascii="CG Omega" w:hAnsi="CG Omega"/>
        </w:rPr>
        <w:t xml:space="preserve"> residents accounted for </w:t>
      </w:r>
      <w:r w:rsidR="0026533E">
        <w:rPr>
          <w:rFonts w:ascii="CG Omega" w:hAnsi="CG Omega"/>
        </w:rPr>
        <w:t>66.8</w:t>
      </w:r>
      <w:r w:rsidR="00380AD9" w:rsidRPr="00626D13">
        <w:rPr>
          <w:rFonts w:ascii="CG Omega" w:hAnsi="CG Omega"/>
        </w:rPr>
        <w:t xml:space="preserve"> percent of the population of New Mexico. </w:t>
      </w:r>
      <w:r w:rsidR="00626D13" w:rsidRPr="00626D13">
        <w:rPr>
          <w:rFonts w:ascii="CG Omega" w:hAnsi="CG Omega"/>
        </w:rPr>
        <w:t>Accordingly, the disproportionate share threshold for that population</w:t>
      </w:r>
      <w:r w:rsidR="00092949">
        <w:rPr>
          <w:rFonts w:ascii="CG Omega" w:hAnsi="CG Omega"/>
        </w:rPr>
        <w:t xml:space="preserve"> was </w:t>
      </w:r>
      <w:r w:rsidR="0026533E">
        <w:rPr>
          <w:rFonts w:ascii="CG Omega" w:hAnsi="CG Omega"/>
        </w:rPr>
        <w:t>76.8</w:t>
      </w:r>
      <w:r w:rsidR="00092949">
        <w:rPr>
          <w:rFonts w:ascii="CG Omega" w:hAnsi="CG Omega"/>
        </w:rPr>
        <w:t xml:space="preserve">percent in that year. </w:t>
      </w:r>
      <w:r w:rsidR="00626D13" w:rsidRPr="00626D13">
        <w:rPr>
          <w:rFonts w:ascii="CG Omega" w:hAnsi="CG Omega"/>
        </w:rPr>
        <w:t xml:space="preserve">Census tracts with such disproportionately high concentrations of </w:t>
      </w:r>
      <w:r w:rsidR="00CC3344">
        <w:rPr>
          <w:rFonts w:ascii="CG Omega" w:hAnsi="CG Omega"/>
        </w:rPr>
        <w:t>White</w:t>
      </w:r>
      <w:r w:rsidR="00626D13" w:rsidRPr="00626D13">
        <w:rPr>
          <w:rFonts w:ascii="CG Omega" w:hAnsi="CG Omega"/>
        </w:rPr>
        <w:t xml:space="preserve"> residents appeared throughout the state in 2000, but were largely confined to large, rural Census tracts outside of major cities</w:t>
      </w:r>
      <w:r w:rsidR="00FF00BD">
        <w:rPr>
          <w:rFonts w:ascii="CG Omega" w:hAnsi="CG Omega"/>
        </w:rPr>
        <w:t>, as s</w:t>
      </w:r>
      <w:r w:rsidR="00626D13">
        <w:rPr>
          <w:rFonts w:ascii="CG Omega" w:hAnsi="CG Omega"/>
        </w:rPr>
        <w:t>ee</w:t>
      </w:r>
      <w:r w:rsidR="00FF00BD">
        <w:rPr>
          <w:rFonts w:ascii="CG Omega" w:hAnsi="CG Omega"/>
        </w:rPr>
        <w:t>n in</w:t>
      </w:r>
      <w:r w:rsidR="00626D13">
        <w:rPr>
          <w:rFonts w:ascii="CG Omega" w:hAnsi="CG Omega"/>
        </w:rPr>
        <w:t xml:space="preserve"> </w:t>
      </w:r>
      <w:r w:rsidR="00626D13" w:rsidRPr="00974E80">
        <w:rPr>
          <w:rFonts w:ascii="CG Omega" w:hAnsi="CG Omega"/>
          <w:b/>
        </w:rPr>
        <w:t>Map III.</w:t>
      </w:r>
      <w:r w:rsidR="00EA4494" w:rsidRPr="00974E80">
        <w:rPr>
          <w:rFonts w:ascii="CG Omega" w:hAnsi="CG Omega"/>
          <w:b/>
        </w:rPr>
        <w:t>1</w:t>
      </w:r>
      <w:r w:rsidR="00EA4494">
        <w:rPr>
          <w:rFonts w:ascii="CG Omega" w:hAnsi="CG Omega"/>
        </w:rPr>
        <w:t xml:space="preserve"> on the following page</w:t>
      </w:r>
      <w:r w:rsidR="00FF00BD">
        <w:rPr>
          <w:rFonts w:ascii="CG Omega" w:hAnsi="CG Omega"/>
        </w:rPr>
        <w:t>.</w:t>
      </w:r>
      <w:r w:rsidR="00626D13" w:rsidRPr="00626D13">
        <w:rPr>
          <w:rFonts w:ascii="CG Omega" w:hAnsi="CG Omega"/>
        </w:rPr>
        <w:t xml:space="preserve"> Tracts with above-average and disproportionate shares of </w:t>
      </w:r>
      <w:r w:rsidR="00CC3344">
        <w:rPr>
          <w:rFonts w:ascii="CG Omega" w:hAnsi="CG Omega"/>
        </w:rPr>
        <w:t>White</w:t>
      </w:r>
      <w:r w:rsidR="00626D13" w:rsidRPr="00626D13">
        <w:rPr>
          <w:rFonts w:ascii="CG Omega" w:hAnsi="CG Omega"/>
        </w:rPr>
        <w:t xml:space="preserve"> residents were largely absent from the northwestern portion of the state, a majority of which is encompassed by tribal land. </w:t>
      </w:r>
    </w:p>
    <w:p w:rsidR="00EB7382" w:rsidRPr="004608D1" w:rsidRDefault="00EB7382" w:rsidP="00B773FA">
      <w:pPr>
        <w:jc w:val="both"/>
        <w:rPr>
          <w:rFonts w:ascii="CG Omega" w:hAnsi="CG Omega"/>
          <w:sz w:val="16"/>
          <w:szCs w:val="16"/>
          <w:highlight w:val="yellow"/>
        </w:rPr>
      </w:pPr>
    </w:p>
    <w:p w:rsidR="00626D13" w:rsidRPr="00D17E19" w:rsidRDefault="00C74F1D" w:rsidP="0005714D">
      <w:pPr>
        <w:jc w:val="both"/>
        <w:rPr>
          <w:rFonts w:ascii="CG Omega" w:hAnsi="CG Omega"/>
        </w:rPr>
      </w:pPr>
      <w:r w:rsidRPr="00D17E19">
        <w:rPr>
          <w:rFonts w:ascii="CG Omega" w:hAnsi="CG Omega"/>
        </w:rPr>
        <w:t xml:space="preserve">By 2010 the </w:t>
      </w:r>
      <w:r w:rsidR="00CC3344">
        <w:rPr>
          <w:rFonts w:ascii="CG Omega" w:hAnsi="CG Omega"/>
        </w:rPr>
        <w:t>White</w:t>
      </w:r>
      <w:r w:rsidRPr="00D17E19">
        <w:rPr>
          <w:rFonts w:ascii="CG Omega" w:hAnsi="CG Omega"/>
        </w:rPr>
        <w:t xml:space="preserve"> population had grown by 15.9 percent</w:t>
      </w:r>
      <w:r w:rsidR="00092949">
        <w:rPr>
          <w:rFonts w:ascii="CG Omega" w:hAnsi="CG Omega"/>
        </w:rPr>
        <w:t xml:space="preserve"> since 2000. </w:t>
      </w:r>
      <w:r w:rsidRPr="00D17E19">
        <w:rPr>
          <w:rFonts w:ascii="CG Omega" w:hAnsi="CG Omega"/>
        </w:rPr>
        <w:t xml:space="preserve">On average, 68.4 percent of residents in each Census tract were </w:t>
      </w:r>
      <w:r w:rsidR="00CC3344">
        <w:rPr>
          <w:rFonts w:ascii="CG Omega" w:hAnsi="CG Omega"/>
        </w:rPr>
        <w:t>White</w:t>
      </w:r>
      <w:r w:rsidRPr="00D17E19">
        <w:rPr>
          <w:rFonts w:ascii="CG Omega" w:hAnsi="CG Omega"/>
        </w:rPr>
        <w:t>.</w:t>
      </w:r>
      <w:r w:rsidR="00D17E19" w:rsidRPr="00D17E19">
        <w:rPr>
          <w:rFonts w:ascii="CG Omega" w:hAnsi="CG Omega"/>
        </w:rPr>
        <w:t xml:space="preserve"> T</w:t>
      </w:r>
      <w:r w:rsidRPr="00D17E19">
        <w:rPr>
          <w:rFonts w:ascii="CG Omega" w:hAnsi="CG Omega"/>
        </w:rPr>
        <w:t>he geographic distribution of</w:t>
      </w:r>
      <w:r w:rsidR="00D17E19" w:rsidRPr="00D17E19">
        <w:rPr>
          <w:rFonts w:ascii="CG Omega" w:hAnsi="CG Omega"/>
        </w:rPr>
        <w:t xml:space="preserve"> Census tracts that were disproportionately </w:t>
      </w:r>
      <w:r w:rsidR="00CC3344">
        <w:rPr>
          <w:rFonts w:ascii="CG Omega" w:hAnsi="CG Omega"/>
        </w:rPr>
        <w:t>White</w:t>
      </w:r>
      <w:r w:rsidR="00D17E19" w:rsidRPr="00D17E19">
        <w:rPr>
          <w:rFonts w:ascii="CG Omega" w:hAnsi="CG Omega"/>
        </w:rPr>
        <w:t xml:space="preserve"> in 2010 followed the same overall pattern that was observed in 2000, in which </w:t>
      </w:r>
      <w:r w:rsidR="00CC3344">
        <w:rPr>
          <w:rFonts w:ascii="CG Omega" w:hAnsi="CG Omega"/>
        </w:rPr>
        <w:t>White</w:t>
      </w:r>
      <w:r w:rsidR="00D17E19" w:rsidRPr="00D17E19">
        <w:rPr>
          <w:rFonts w:ascii="CG Omega" w:hAnsi="CG Omega"/>
        </w:rPr>
        <w:t xml:space="preserve"> residents were observed to be disproportionately concentrated in large, rural tracts and less concentrated in urban and northwestern areas</w:t>
      </w:r>
      <w:r w:rsidR="00FF00BD">
        <w:rPr>
          <w:rFonts w:ascii="CG Omega" w:hAnsi="CG Omega"/>
        </w:rPr>
        <w:t>, as seen in</w:t>
      </w:r>
      <w:r w:rsidR="000307B2">
        <w:rPr>
          <w:rFonts w:ascii="CG Omega" w:hAnsi="CG Omega"/>
        </w:rPr>
        <w:t xml:space="preserve"> </w:t>
      </w:r>
      <w:r w:rsidR="000307B2" w:rsidRPr="00974E80">
        <w:rPr>
          <w:rFonts w:ascii="CG Omega" w:hAnsi="CG Omega"/>
          <w:b/>
        </w:rPr>
        <w:t>Map III.2</w:t>
      </w:r>
      <w:r w:rsidR="00EA4494">
        <w:rPr>
          <w:rFonts w:ascii="CG Omega" w:hAnsi="CG Omega"/>
        </w:rPr>
        <w:t xml:space="preserve"> on page 2</w:t>
      </w:r>
      <w:r w:rsidR="00866A4D">
        <w:rPr>
          <w:rFonts w:ascii="CG Omega" w:hAnsi="CG Omega"/>
        </w:rPr>
        <w:t>7</w:t>
      </w:r>
      <w:r w:rsidR="00D17E19" w:rsidRPr="00D17E19">
        <w:rPr>
          <w:rFonts w:ascii="CG Omega" w:hAnsi="CG Omega"/>
        </w:rPr>
        <w:t>.</w:t>
      </w:r>
    </w:p>
    <w:p w:rsidR="00626D13" w:rsidRPr="004608D1" w:rsidRDefault="00626D13" w:rsidP="0005714D">
      <w:pPr>
        <w:jc w:val="both"/>
        <w:rPr>
          <w:rFonts w:ascii="CG Omega" w:hAnsi="CG Omega"/>
          <w:sz w:val="16"/>
          <w:szCs w:val="16"/>
          <w:highlight w:val="yellow"/>
        </w:rPr>
      </w:pPr>
    </w:p>
    <w:p w:rsidR="00A83488" w:rsidRDefault="000307B2" w:rsidP="0005714D">
      <w:pPr>
        <w:jc w:val="both"/>
        <w:rPr>
          <w:rFonts w:ascii="CG Omega" w:hAnsi="CG Omega"/>
        </w:rPr>
      </w:pPr>
      <w:r w:rsidRPr="00CD68C6">
        <w:rPr>
          <w:rFonts w:ascii="CG Omega" w:hAnsi="CG Omega"/>
        </w:rPr>
        <w:t xml:space="preserve">By contrast, the </w:t>
      </w:r>
      <w:r w:rsidR="00D1685A">
        <w:rPr>
          <w:rFonts w:ascii="CG Omega" w:hAnsi="CG Omega"/>
        </w:rPr>
        <w:t>Black</w:t>
      </w:r>
      <w:r w:rsidRPr="00CD68C6">
        <w:rPr>
          <w:rFonts w:ascii="CG Omega" w:hAnsi="CG Omega"/>
        </w:rPr>
        <w:t xml:space="preserve"> population tended to be disproportion</w:t>
      </w:r>
      <w:r w:rsidR="00713A84" w:rsidRPr="00CD68C6">
        <w:rPr>
          <w:rFonts w:ascii="CG Omega" w:hAnsi="CG Omega"/>
        </w:rPr>
        <w:t>ately concentrated in</w:t>
      </w:r>
      <w:r w:rsidRPr="00CD68C6">
        <w:rPr>
          <w:rFonts w:ascii="CG Omega" w:hAnsi="CG Omega"/>
        </w:rPr>
        <w:t xml:space="preserve"> urban areas of the state</w:t>
      </w:r>
      <w:r w:rsidR="00CD68C6" w:rsidRPr="00CD68C6">
        <w:rPr>
          <w:rFonts w:ascii="CG Omega" w:hAnsi="CG Omega"/>
        </w:rPr>
        <w:t>—</w:t>
      </w:r>
      <w:r w:rsidRPr="00CD68C6">
        <w:rPr>
          <w:rFonts w:ascii="CG Omega" w:hAnsi="CG Omega"/>
        </w:rPr>
        <w:t xml:space="preserve">particularly in </w:t>
      </w:r>
      <w:r w:rsidR="00F1173F">
        <w:rPr>
          <w:rFonts w:ascii="CG Omega" w:hAnsi="CG Omega"/>
        </w:rPr>
        <w:t>Hobbs</w:t>
      </w:r>
      <w:r w:rsidR="00713A84" w:rsidRPr="00CD68C6">
        <w:rPr>
          <w:rFonts w:ascii="CG Omega" w:hAnsi="CG Omega"/>
        </w:rPr>
        <w:t xml:space="preserve"> </w:t>
      </w:r>
      <w:r w:rsidR="00CD68C6" w:rsidRPr="00CD68C6">
        <w:rPr>
          <w:rFonts w:ascii="CG Omega" w:hAnsi="CG Omega"/>
        </w:rPr>
        <w:t>and Clovis—</w:t>
      </w:r>
      <w:r w:rsidR="00713A84" w:rsidRPr="00CD68C6">
        <w:rPr>
          <w:rFonts w:ascii="CG Omega" w:hAnsi="CG Omega"/>
        </w:rPr>
        <w:t>though there was also a large, rural Census tract to the southeast of Alamogordo that contained</w:t>
      </w:r>
      <w:r w:rsidR="00CD68C6" w:rsidRPr="00CD68C6">
        <w:rPr>
          <w:rFonts w:ascii="CG Omega" w:hAnsi="CG Omega"/>
        </w:rPr>
        <w:t xml:space="preserve"> a disproportionate share of </w:t>
      </w:r>
      <w:r w:rsidR="00D1685A">
        <w:rPr>
          <w:rFonts w:ascii="CG Omega" w:hAnsi="CG Omega"/>
        </w:rPr>
        <w:t>Black</w:t>
      </w:r>
      <w:r w:rsidR="00CD68C6" w:rsidRPr="00CD68C6">
        <w:rPr>
          <w:rFonts w:ascii="CG Omega" w:hAnsi="CG Omega"/>
        </w:rPr>
        <w:t xml:space="preserve"> residents</w:t>
      </w:r>
      <w:r w:rsidR="00FF00BD">
        <w:rPr>
          <w:rFonts w:ascii="CG Omega" w:hAnsi="CG Omega"/>
        </w:rPr>
        <w:t>, as seen in</w:t>
      </w:r>
      <w:r w:rsidR="00CD68C6" w:rsidRPr="00CD68C6">
        <w:rPr>
          <w:rFonts w:ascii="CG Omega" w:hAnsi="CG Omega"/>
        </w:rPr>
        <w:t xml:space="preserve"> </w:t>
      </w:r>
      <w:r w:rsidR="00CD68C6" w:rsidRPr="00974E80">
        <w:rPr>
          <w:rFonts w:ascii="CG Omega" w:hAnsi="CG Omega"/>
          <w:b/>
        </w:rPr>
        <w:t>Map III.3</w:t>
      </w:r>
      <w:r w:rsidR="00EA4494">
        <w:rPr>
          <w:rFonts w:ascii="CG Omega" w:hAnsi="CG Omega"/>
        </w:rPr>
        <w:t xml:space="preserve"> on page 2</w:t>
      </w:r>
      <w:r w:rsidR="00866A4D">
        <w:rPr>
          <w:rFonts w:ascii="CG Omega" w:hAnsi="CG Omega"/>
        </w:rPr>
        <w:t>8</w:t>
      </w:r>
      <w:r w:rsidR="00CD68C6" w:rsidRPr="00CD68C6">
        <w:rPr>
          <w:rFonts w:ascii="CG Omega" w:hAnsi="CG Omega"/>
        </w:rPr>
        <w:t xml:space="preserve">. Tracts with an above-average share of </w:t>
      </w:r>
      <w:r w:rsidR="00D1685A">
        <w:rPr>
          <w:rFonts w:ascii="CG Omega" w:hAnsi="CG Omega"/>
        </w:rPr>
        <w:lastRenderedPageBreak/>
        <w:t>Black</w:t>
      </w:r>
      <w:r w:rsidR="00CD68C6" w:rsidRPr="00CD68C6">
        <w:rPr>
          <w:rFonts w:ascii="CG Omega" w:hAnsi="CG Omega"/>
        </w:rPr>
        <w:t xml:space="preserve"> residents (i.e., in which more than 1.9 percent of residents were </w:t>
      </w:r>
      <w:r w:rsidR="00D1685A">
        <w:rPr>
          <w:rFonts w:ascii="CG Omega" w:hAnsi="CG Omega"/>
        </w:rPr>
        <w:t>Black</w:t>
      </w:r>
      <w:r w:rsidR="00CD68C6" w:rsidRPr="00CD68C6">
        <w:rPr>
          <w:rFonts w:ascii="CG Omega" w:hAnsi="CG Omega"/>
        </w:rPr>
        <w:t xml:space="preserve">) likewise tended to be in and around urban areas of the state, while large, rural tracts tended to hold concentrations of </w:t>
      </w:r>
      <w:r w:rsidR="00D1685A">
        <w:rPr>
          <w:rFonts w:ascii="CG Omega" w:hAnsi="CG Omega"/>
        </w:rPr>
        <w:t>Black</w:t>
      </w:r>
      <w:r w:rsidR="00CD68C6" w:rsidRPr="00CD68C6">
        <w:rPr>
          <w:rFonts w:ascii="CG Omega" w:hAnsi="CG Omega"/>
        </w:rPr>
        <w:t xml:space="preserve"> residents that were at or below average.</w:t>
      </w:r>
      <w:r w:rsidR="00A83488">
        <w:rPr>
          <w:rFonts w:ascii="CG Omega" w:hAnsi="CG Omega"/>
        </w:rPr>
        <w:t xml:space="preserve"> </w:t>
      </w:r>
    </w:p>
    <w:p w:rsidR="00A83488" w:rsidRPr="004608D1" w:rsidRDefault="00A83488" w:rsidP="0005714D">
      <w:pPr>
        <w:jc w:val="both"/>
        <w:rPr>
          <w:rFonts w:ascii="CG Omega" w:hAnsi="CG Omega"/>
          <w:sz w:val="16"/>
          <w:szCs w:val="16"/>
        </w:rPr>
      </w:pPr>
    </w:p>
    <w:p w:rsidR="00CD68C6" w:rsidRDefault="00CD68C6" w:rsidP="0005714D">
      <w:pPr>
        <w:jc w:val="both"/>
        <w:rPr>
          <w:rFonts w:ascii="CG Omega" w:hAnsi="CG Omega"/>
        </w:rPr>
      </w:pPr>
      <w:r w:rsidRPr="00A83488">
        <w:rPr>
          <w:rFonts w:ascii="CG Omega" w:hAnsi="CG Omega"/>
        </w:rPr>
        <w:t xml:space="preserve">By 2010, </w:t>
      </w:r>
      <w:r w:rsidR="00D1685A">
        <w:rPr>
          <w:rFonts w:ascii="CG Omega" w:hAnsi="CG Omega"/>
        </w:rPr>
        <w:t>Black</w:t>
      </w:r>
      <w:r w:rsidRPr="00A83488">
        <w:rPr>
          <w:rFonts w:ascii="CG Omega" w:hAnsi="CG Omega"/>
        </w:rPr>
        <w:t xml:space="preserve"> residents had come to account for 2.1 percent of the statewide p</w:t>
      </w:r>
      <w:r w:rsidR="00F1173F" w:rsidRPr="00A83488">
        <w:rPr>
          <w:rFonts w:ascii="CG Omega" w:hAnsi="CG Omega"/>
        </w:rPr>
        <w:t>opulation.</w:t>
      </w:r>
      <w:r w:rsidRPr="00A83488">
        <w:rPr>
          <w:rFonts w:ascii="CG Omega" w:hAnsi="CG Omega"/>
        </w:rPr>
        <w:t xml:space="preserve"> </w:t>
      </w:r>
      <w:r w:rsidR="00F1173F" w:rsidRPr="00A83488">
        <w:rPr>
          <w:rFonts w:ascii="CG Omega" w:hAnsi="CG Omega"/>
        </w:rPr>
        <w:t>The overall distribution of the population remained similar to the pattern observed in 2000. Tracts with disproportionate shares of the population continued to appear in the urban Census tracts of Hobbs and Clovis, though the large tract to the southwest of Alamogordo no longer held a dispropo</w:t>
      </w:r>
      <w:r w:rsidR="00A83488">
        <w:rPr>
          <w:rFonts w:ascii="CG Omega" w:hAnsi="CG Omega"/>
        </w:rPr>
        <w:t xml:space="preserve">rtionate share of </w:t>
      </w:r>
      <w:r w:rsidR="00D1685A">
        <w:rPr>
          <w:rFonts w:ascii="CG Omega" w:hAnsi="CG Omega"/>
        </w:rPr>
        <w:t>Black</w:t>
      </w:r>
      <w:r w:rsidR="00A83488">
        <w:rPr>
          <w:rFonts w:ascii="CG Omega" w:hAnsi="CG Omega"/>
        </w:rPr>
        <w:t xml:space="preserve"> residents</w:t>
      </w:r>
      <w:r w:rsidR="00EA4494">
        <w:rPr>
          <w:rFonts w:ascii="CG Omega" w:hAnsi="CG Omega"/>
        </w:rPr>
        <w:t xml:space="preserve">, as shown in </w:t>
      </w:r>
      <w:r w:rsidR="00EA4494" w:rsidRPr="00974E80">
        <w:rPr>
          <w:rFonts w:ascii="CG Omega" w:hAnsi="CG Omega"/>
          <w:b/>
        </w:rPr>
        <w:t>Map III.4</w:t>
      </w:r>
      <w:r w:rsidR="00EA4494">
        <w:rPr>
          <w:rFonts w:ascii="CG Omega" w:hAnsi="CG Omega"/>
        </w:rPr>
        <w:t xml:space="preserve"> on page </w:t>
      </w:r>
      <w:r w:rsidR="00866A4D">
        <w:rPr>
          <w:rFonts w:ascii="CG Omega" w:hAnsi="CG Omega"/>
        </w:rPr>
        <w:t>29</w:t>
      </w:r>
      <w:r w:rsidR="00A83488">
        <w:rPr>
          <w:rFonts w:ascii="CG Omega" w:hAnsi="CG Omega"/>
        </w:rPr>
        <w:t xml:space="preserve">. It is worth noting that between 2000 and 2010 the maximum percentage of the population to appear in any Census tract fell. Whereas the tract that held the highest proportion of </w:t>
      </w:r>
      <w:r w:rsidR="00D1685A">
        <w:rPr>
          <w:rFonts w:ascii="CG Omega" w:hAnsi="CG Omega"/>
        </w:rPr>
        <w:t>Black</w:t>
      </w:r>
      <w:r w:rsidR="00A83488">
        <w:rPr>
          <w:rFonts w:ascii="CG Omega" w:hAnsi="CG Omega"/>
        </w:rPr>
        <w:t xml:space="preserve"> residents in 2000 was 15.8 percent </w:t>
      </w:r>
      <w:r w:rsidR="00D1685A">
        <w:rPr>
          <w:rFonts w:ascii="CG Omega" w:hAnsi="CG Omega"/>
        </w:rPr>
        <w:t>Black</w:t>
      </w:r>
      <w:r w:rsidR="00A83488">
        <w:rPr>
          <w:rFonts w:ascii="CG Omega" w:hAnsi="CG Omega"/>
        </w:rPr>
        <w:t xml:space="preserve">, </w:t>
      </w:r>
      <w:r w:rsidR="00694C93">
        <w:rPr>
          <w:rFonts w:ascii="CG Omega" w:hAnsi="CG Omega"/>
        </w:rPr>
        <w:t xml:space="preserve">no more than 13.8 percent of the population was </w:t>
      </w:r>
      <w:r w:rsidR="00D1685A">
        <w:rPr>
          <w:rFonts w:ascii="CG Omega" w:hAnsi="CG Omega"/>
        </w:rPr>
        <w:t>Black</w:t>
      </w:r>
      <w:r w:rsidR="00694C93">
        <w:rPr>
          <w:rFonts w:ascii="CG Omega" w:hAnsi="CG Omega"/>
        </w:rPr>
        <w:t xml:space="preserve"> in any of the </w:t>
      </w:r>
      <w:r w:rsidR="00092949">
        <w:rPr>
          <w:rFonts w:ascii="CG Omega" w:hAnsi="CG Omega"/>
        </w:rPr>
        <w:t>Census tracts observed in 2010.</w:t>
      </w:r>
    </w:p>
    <w:p w:rsidR="00A201EB" w:rsidRPr="00A201EB" w:rsidRDefault="00A201EB" w:rsidP="00A201EB">
      <w:pPr>
        <w:keepNext/>
        <w:jc w:val="center"/>
        <w:rPr>
          <w:sz w:val="16"/>
          <w:szCs w:val="16"/>
        </w:rPr>
      </w:pPr>
      <w:r>
        <w:rPr>
          <w:sz w:val="16"/>
          <w:szCs w:val="16"/>
        </w:rPr>
        <w:br w:type="page"/>
      </w:r>
    </w:p>
    <w:p w:rsidR="00A201EB" w:rsidRPr="0005714D" w:rsidRDefault="00A201EB" w:rsidP="00A201EB">
      <w:pPr>
        <w:keepNext/>
        <w:jc w:val="center"/>
        <w:rPr>
          <w:rFonts w:ascii="Arial" w:hAnsi="Arial" w:cs="Arial"/>
          <w:b/>
          <w:sz w:val="23"/>
          <w:szCs w:val="23"/>
        </w:rPr>
      </w:pPr>
      <w:r w:rsidRPr="0005714D">
        <w:rPr>
          <w:rFonts w:ascii="Arial" w:hAnsi="Arial" w:cs="Arial"/>
          <w:b/>
          <w:sz w:val="23"/>
          <w:szCs w:val="23"/>
        </w:rPr>
        <w:lastRenderedPageBreak/>
        <w:t>Map III.1</w:t>
      </w:r>
    </w:p>
    <w:p w:rsidR="00A201EB" w:rsidRPr="0005714D" w:rsidRDefault="00A201EB" w:rsidP="00A201EB">
      <w:pPr>
        <w:keepNext/>
        <w:jc w:val="center"/>
        <w:rPr>
          <w:rFonts w:ascii="Arial" w:hAnsi="Arial" w:cs="Arial"/>
          <w:b/>
          <w:sz w:val="20"/>
          <w:szCs w:val="20"/>
        </w:rPr>
      </w:pPr>
      <w:r w:rsidRPr="0005714D">
        <w:rPr>
          <w:rFonts w:ascii="Arial" w:hAnsi="Arial" w:cs="Arial"/>
          <w:b/>
          <w:sz w:val="20"/>
          <w:szCs w:val="20"/>
        </w:rPr>
        <w:t xml:space="preserve">Percent </w:t>
      </w:r>
      <w:r w:rsidR="00CC3344">
        <w:rPr>
          <w:rFonts w:ascii="Arial" w:hAnsi="Arial" w:cs="Arial"/>
          <w:b/>
          <w:sz w:val="20"/>
          <w:szCs w:val="20"/>
        </w:rPr>
        <w:t>White</w:t>
      </w:r>
      <w:r w:rsidRPr="0005714D">
        <w:rPr>
          <w:rFonts w:ascii="Arial" w:hAnsi="Arial" w:cs="Arial"/>
          <w:b/>
          <w:sz w:val="20"/>
          <w:szCs w:val="20"/>
        </w:rPr>
        <w:t xml:space="preserve"> Population by Census Tract</w:t>
      </w:r>
    </w:p>
    <w:p w:rsidR="00A201EB" w:rsidRDefault="00A201EB" w:rsidP="00A201EB">
      <w:pPr>
        <w:jc w:val="center"/>
        <w:rPr>
          <w:rFonts w:ascii="Arial" w:hAnsi="Arial" w:cs="Arial"/>
          <w:bCs/>
          <w:sz w:val="16"/>
          <w:szCs w:val="16"/>
        </w:rPr>
      </w:pPr>
      <w:r w:rsidRPr="0005714D">
        <w:rPr>
          <w:rFonts w:ascii="Arial" w:hAnsi="Arial" w:cs="Arial"/>
          <w:bCs/>
          <w:sz w:val="16"/>
          <w:szCs w:val="16"/>
        </w:rPr>
        <w:t>State of New Mexico</w:t>
      </w:r>
    </w:p>
    <w:p w:rsidR="009267A2" w:rsidRPr="009267A2" w:rsidRDefault="00A201EB" w:rsidP="009267A2">
      <w:pPr>
        <w:jc w:val="center"/>
        <w:rPr>
          <w:rFonts w:ascii="Arial" w:hAnsi="Arial" w:cs="Arial"/>
          <w:bCs/>
          <w:sz w:val="16"/>
          <w:szCs w:val="16"/>
        </w:rPr>
      </w:pPr>
      <w:r w:rsidRPr="0005714D">
        <w:rPr>
          <w:rFonts w:ascii="Arial" w:hAnsi="Arial" w:cs="Arial"/>
          <w:sz w:val="16"/>
          <w:szCs w:val="16"/>
        </w:rPr>
        <w:t>2000 Census Data</w:t>
      </w:r>
    </w:p>
    <w:p w:rsidR="00A201EB" w:rsidRDefault="009267A2" w:rsidP="00A201EB">
      <w:pPr>
        <w:jc w:val="center"/>
        <w:rPr>
          <w:sz w:val="16"/>
          <w:szCs w:val="16"/>
          <w:highlight w:val="yellow"/>
        </w:rPr>
      </w:pPr>
      <w:r>
        <w:rPr>
          <w:noProof/>
        </w:rPr>
        <w:drawing>
          <wp:inline distT="0" distB="0" distL="0" distR="0" wp14:anchorId="2E6C551C" wp14:editId="0D09D543">
            <wp:extent cx="5295900" cy="7010400"/>
            <wp:effectExtent l="0" t="0" r="0" b="0"/>
            <wp:docPr id="2" name="Picture 2" descr="N:\NMMFA03\Figures\Consolidated Plan\NMMFA03_2000_Wh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NMMFA03\Figures\Consolidated Plan\NMMFA03_2000_White.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5136" t="4461" r="5618" b="4337"/>
                    <a:stretch/>
                  </pic:blipFill>
                  <pic:spPr bwMode="auto">
                    <a:xfrm>
                      <a:off x="0" y="0"/>
                      <a:ext cx="5295900" cy="7010400"/>
                    </a:xfrm>
                    <a:prstGeom prst="rect">
                      <a:avLst/>
                    </a:prstGeom>
                    <a:noFill/>
                    <a:ln>
                      <a:noFill/>
                    </a:ln>
                    <a:extLst>
                      <a:ext uri="{53640926-AAD7-44D8-BBD7-CCE9431645EC}">
                        <a14:shadowObscured xmlns:a14="http://schemas.microsoft.com/office/drawing/2010/main"/>
                      </a:ext>
                    </a:extLst>
                  </pic:spPr>
                </pic:pic>
              </a:graphicData>
            </a:graphic>
          </wp:inline>
        </w:drawing>
      </w:r>
    </w:p>
    <w:p w:rsidR="00A201EB" w:rsidRDefault="00A201EB" w:rsidP="004608D1">
      <w:pPr>
        <w:rPr>
          <w:sz w:val="16"/>
          <w:szCs w:val="16"/>
          <w:highlight w:val="yellow"/>
        </w:rPr>
      </w:pPr>
    </w:p>
    <w:p w:rsidR="00A201EB" w:rsidRDefault="00A201EB" w:rsidP="004608D1">
      <w:pPr>
        <w:rPr>
          <w:sz w:val="16"/>
          <w:szCs w:val="16"/>
          <w:highlight w:val="yellow"/>
        </w:rPr>
      </w:pPr>
    </w:p>
    <w:p w:rsidR="00A201EB" w:rsidRDefault="00A201EB" w:rsidP="004608D1">
      <w:pPr>
        <w:rPr>
          <w:sz w:val="16"/>
          <w:szCs w:val="16"/>
          <w:highlight w:val="yellow"/>
        </w:rPr>
      </w:pPr>
      <w:r>
        <w:rPr>
          <w:sz w:val="16"/>
          <w:szCs w:val="16"/>
          <w:highlight w:val="yellow"/>
        </w:rPr>
        <w:br w:type="page"/>
      </w:r>
    </w:p>
    <w:p w:rsidR="00A201EB" w:rsidRPr="00A201EB" w:rsidRDefault="00A201EB" w:rsidP="00A201EB">
      <w:pPr>
        <w:jc w:val="center"/>
        <w:rPr>
          <w:rFonts w:ascii="CG Omega" w:hAnsi="CG Omega"/>
        </w:rPr>
      </w:pPr>
      <w:r>
        <w:rPr>
          <w:rFonts w:ascii="Arial" w:hAnsi="Arial" w:cs="Arial"/>
          <w:b/>
          <w:sz w:val="23"/>
          <w:szCs w:val="23"/>
        </w:rPr>
        <w:lastRenderedPageBreak/>
        <w:t>Map III.2</w:t>
      </w:r>
    </w:p>
    <w:p w:rsidR="00A201EB" w:rsidRPr="0005714D" w:rsidRDefault="00A201EB" w:rsidP="00A201EB">
      <w:pPr>
        <w:keepNext/>
        <w:jc w:val="center"/>
        <w:rPr>
          <w:rFonts w:ascii="Arial" w:hAnsi="Arial" w:cs="Arial"/>
          <w:b/>
          <w:sz w:val="20"/>
          <w:szCs w:val="20"/>
        </w:rPr>
      </w:pPr>
      <w:r w:rsidRPr="0005714D">
        <w:rPr>
          <w:rFonts w:ascii="Arial" w:hAnsi="Arial" w:cs="Arial"/>
          <w:b/>
          <w:sz w:val="20"/>
          <w:szCs w:val="20"/>
        </w:rPr>
        <w:t>Percent White Population by Census Tract</w:t>
      </w:r>
    </w:p>
    <w:p w:rsidR="00A201EB" w:rsidRPr="0005714D" w:rsidRDefault="00A201EB" w:rsidP="00A201EB">
      <w:pPr>
        <w:jc w:val="center"/>
        <w:rPr>
          <w:rFonts w:ascii="Arial" w:hAnsi="Arial" w:cs="Arial"/>
          <w:bCs/>
          <w:sz w:val="16"/>
          <w:szCs w:val="16"/>
        </w:rPr>
      </w:pPr>
      <w:r w:rsidRPr="0005714D">
        <w:rPr>
          <w:rFonts w:ascii="Arial" w:hAnsi="Arial" w:cs="Arial"/>
          <w:bCs/>
          <w:sz w:val="16"/>
          <w:szCs w:val="16"/>
        </w:rPr>
        <w:t>State of New Mexico</w:t>
      </w:r>
    </w:p>
    <w:p w:rsidR="009267A2" w:rsidRPr="009267A2" w:rsidRDefault="00A201EB" w:rsidP="009267A2">
      <w:pPr>
        <w:keepNext/>
        <w:jc w:val="center"/>
        <w:rPr>
          <w:rFonts w:ascii="Arial" w:hAnsi="Arial" w:cs="Arial"/>
          <w:sz w:val="16"/>
          <w:szCs w:val="16"/>
        </w:rPr>
      </w:pPr>
      <w:r>
        <w:rPr>
          <w:rFonts w:ascii="Arial" w:hAnsi="Arial" w:cs="Arial"/>
          <w:sz w:val="16"/>
          <w:szCs w:val="16"/>
        </w:rPr>
        <w:t>201</w:t>
      </w:r>
      <w:r w:rsidRPr="0005714D">
        <w:rPr>
          <w:rFonts w:ascii="Arial" w:hAnsi="Arial" w:cs="Arial"/>
          <w:sz w:val="16"/>
          <w:szCs w:val="16"/>
        </w:rPr>
        <w:t>0 Census Data</w:t>
      </w:r>
    </w:p>
    <w:p w:rsidR="00A201EB" w:rsidRDefault="009267A2" w:rsidP="00A201EB">
      <w:pPr>
        <w:jc w:val="center"/>
        <w:rPr>
          <w:sz w:val="16"/>
          <w:szCs w:val="16"/>
          <w:highlight w:val="yellow"/>
        </w:rPr>
      </w:pPr>
      <w:r>
        <w:rPr>
          <w:noProof/>
        </w:rPr>
        <w:drawing>
          <wp:inline distT="0" distB="0" distL="0" distR="0" wp14:anchorId="4D4726C2" wp14:editId="3DA6BBE4">
            <wp:extent cx="5305425" cy="7038975"/>
            <wp:effectExtent l="0" t="0" r="9525" b="9525"/>
            <wp:docPr id="5" name="Picture 5" descr="N:\NMMFA03\Figures\Consolidated Plan\NMMFA03_2010_Wh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NMMFA03\Figures\Consolidated Plan\NMMFA03_2010_White.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4976" t="4213" r="5618" b="4213"/>
                    <a:stretch/>
                  </pic:blipFill>
                  <pic:spPr bwMode="auto">
                    <a:xfrm>
                      <a:off x="0" y="0"/>
                      <a:ext cx="5305425" cy="7038975"/>
                    </a:xfrm>
                    <a:prstGeom prst="rect">
                      <a:avLst/>
                    </a:prstGeom>
                    <a:noFill/>
                    <a:ln>
                      <a:noFill/>
                    </a:ln>
                    <a:extLst>
                      <a:ext uri="{53640926-AAD7-44D8-BBD7-CCE9431645EC}">
                        <a14:shadowObscured xmlns:a14="http://schemas.microsoft.com/office/drawing/2010/main"/>
                      </a:ext>
                    </a:extLst>
                  </pic:spPr>
                </pic:pic>
              </a:graphicData>
            </a:graphic>
          </wp:inline>
        </w:drawing>
      </w:r>
      <w:r w:rsidR="00A201EB">
        <w:rPr>
          <w:sz w:val="16"/>
          <w:szCs w:val="16"/>
          <w:highlight w:val="yellow"/>
        </w:rPr>
        <w:br w:type="page"/>
      </w:r>
    </w:p>
    <w:p w:rsidR="00741437" w:rsidRPr="0005714D" w:rsidRDefault="00741437" w:rsidP="00741437">
      <w:pPr>
        <w:keepNext/>
        <w:jc w:val="center"/>
        <w:rPr>
          <w:rFonts w:ascii="Arial" w:hAnsi="Arial" w:cs="Arial"/>
          <w:b/>
          <w:sz w:val="23"/>
          <w:szCs w:val="23"/>
        </w:rPr>
      </w:pPr>
      <w:r>
        <w:rPr>
          <w:rFonts w:ascii="Arial" w:hAnsi="Arial" w:cs="Arial"/>
          <w:b/>
          <w:sz w:val="23"/>
          <w:szCs w:val="23"/>
        </w:rPr>
        <w:lastRenderedPageBreak/>
        <w:t>Map III.3</w:t>
      </w:r>
    </w:p>
    <w:p w:rsidR="00741437" w:rsidRPr="0005714D" w:rsidRDefault="00741437" w:rsidP="00741437">
      <w:pPr>
        <w:keepNext/>
        <w:jc w:val="center"/>
        <w:rPr>
          <w:rFonts w:ascii="Arial" w:hAnsi="Arial" w:cs="Arial"/>
          <w:b/>
          <w:sz w:val="20"/>
          <w:szCs w:val="20"/>
        </w:rPr>
      </w:pPr>
      <w:r w:rsidRPr="0005714D">
        <w:rPr>
          <w:rFonts w:ascii="Arial" w:hAnsi="Arial" w:cs="Arial"/>
          <w:b/>
          <w:sz w:val="20"/>
          <w:szCs w:val="20"/>
        </w:rPr>
        <w:t>Percent Black Population by Census Tract</w:t>
      </w:r>
    </w:p>
    <w:p w:rsidR="00741437" w:rsidRPr="0005714D" w:rsidRDefault="00741437" w:rsidP="00741437">
      <w:pPr>
        <w:jc w:val="center"/>
        <w:rPr>
          <w:rFonts w:ascii="Arial" w:hAnsi="Arial" w:cs="Arial"/>
          <w:bCs/>
          <w:sz w:val="16"/>
          <w:szCs w:val="16"/>
        </w:rPr>
      </w:pPr>
      <w:r w:rsidRPr="0005714D">
        <w:rPr>
          <w:rFonts w:ascii="Arial" w:hAnsi="Arial" w:cs="Arial"/>
          <w:bCs/>
          <w:sz w:val="16"/>
          <w:szCs w:val="16"/>
        </w:rPr>
        <w:t>State of New Mexico</w:t>
      </w:r>
    </w:p>
    <w:p w:rsidR="009267A2" w:rsidRDefault="00741437" w:rsidP="009267A2">
      <w:pPr>
        <w:keepNext/>
        <w:jc w:val="center"/>
        <w:rPr>
          <w:rFonts w:ascii="Arial" w:hAnsi="Arial" w:cs="Arial"/>
          <w:sz w:val="16"/>
          <w:szCs w:val="16"/>
        </w:rPr>
      </w:pPr>
      <w:r w:rsidRPr="0005714D">
        <w:rPr>
          <w:rFonts w:ascii="Arial" w:hAnsi="Arial" w:cs="Arial"/>
          <w:sz w:val="16"/>
          <w:szCs w:val="16"/>
        </w:rPr>
        <w:t>2000 Census Data</w:t>
      </w:r>
    </w:p>
    <w:p w:rsidR="00741437" w:rsidRDefault="009267A2" w:rsidP="00A201EB">
      <w:pPr>
        <w:jc w:val="center"/>
        <w:rPr>
          <w:sz w:val="16"/>
          <w:szCs w:val="16"/>
          <w:highlight w:val="yellow"/>
        </w:rPr>
      </w:pPr>
      <w:r>
        <w:rPr>
          <w:rFonts w:ascii="Arial" w:hAnsi="Arial" w:cs="Arial"/>
          <w:noProof/>
          <w:sz w:val="16"/>
          <w:szCs w:val="16"/>
        </w:rPr>
        <w:drawing>
          <wp:inline distT="0" distB="0" distL="0" distR="0" wp14:anchorId="4082E462" wp14:editId="7880532C">
            <wp:extent cx="5286375" cy="7000875"/>
            <wp:effectExtent l="0" t="0" r="9525" b="9525"/>
            <wp:docPr id="6" name="Picture 6" descr="N:\NMMFA03\Figures\Consolidated Plan\NMMFA03_2000_Bl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NMMFA03\Figures\Consolidated Plan\NMMFA03_2000_Black.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5136" t="4461" r="5778" b="4461"/>
                    <a:stretch/>
                  </pic:blipFill>
                  <pic:spPr bwMode="auto">
                    <a:xfrm>
                      <a:off x="0" y="0"/>
                      <a:ext cx="5286375" cy="7000875"/>
                    </a:xfrm>
                    <a:prstGeom prst="rect">
                      <a:avLst/>
                    </a:prstGeom>
                    <a:noFill/>
                    <a:ln>
                      <a:noFill/>
                    </a:ln>
                    <a:extLst>
                      <a:ext uri="{53640926-AAD7-44D8-BBD7-CCE9431645EC}">
                        <a14:shadowObscured xmlns:a14="http://schemas.microsoft.com/office/drawing/2010/main"/>
                      </a:ext>
                    </a:extLst>
                  </pic:spPr>
                </pic:pic>
              </a:graphicData>
            </a:graphic>
          </wp:inline>
        </w:drawing>
      </w:r>
      <w:r w:rsidR="00741437">
        <w:rPr>
          <w:sz w:val="16"/>
          <w:szCs w:val="16"/>
          <w:highlight w:val="yellow"/>
        </w:rPr>
        <w:br w:type="page"/>
      </w:r>
    </w:p>
    <w:p w:rsidR="00741437" w:rsidRPr="0005714D" w:rsidRDefault="00741437" w:rsidP="00741437">
      <w:pPr>
        <w:keepNext/>
        <w:jc w:val="center"/>
        <w:rPr>
          <w:rFonts w:ascii="Arial" w:hAnsi="Arial" w:cs="Arial"/>
          <w:b/>
          <w:sz w:val="23"/>
          <w:szCs w:val="23"/>
        </w:rPr>
      </w:pPr>
      <w:r>
        <w:rPr>
          <w:rFonts w:ascii="Arial" w:hAnsi="Arial" w:cs="Arial"/>
          <w:b/>
          <w:sz w:val="23"/>
          <w:szCs w:val="23"/>
        </w:rPr>
        <w:lastRenderedPageBreak/>
        <w:t>Map III.4</w:t>
      </w:r>
    </w:p>
    <w:p w:rsidR="00741437" w:rsidRPr="0005714D" w:rsidRDefault="00741437" w:rsidP="00741437">
      <w:pPr>
        <w:keepNext/>
        <w:jc w:val="center"/>
        <w:rPr>
          <w:rFonts w:ascii="Arial" w:hAnsi="Arial" w:cs="Arial"/>
          <w:b/>
          <w:sz w:val="20"/>
          <w:szCs w:val="20"/>
        </w:rPr>
      </w:pPr>
      <w:r w:rsidRPr="0005714D">
        <w:rPr>
          <w:rFonts w:ascii="Arial" w:hAnsi="Arial" w:cs="Arial"/>
          <w:b/>
          <w:sz w:val="20"/>
          <w:szCs w:val="20"/>
        </w:rPr>
        <w:t>Percent Black Population by Census Tract</w:t>
      </w:r>
    </w:p>
    <w:p w:rsidR="00741437" w:rsidRPr="0005714D" w:rsidRDefault="00741437" w:rsidP="00741437">
      <w:pPr>
        <w:jc w:val="center"/>
        <w:rPr>
          <w:rFonts w:ascii="Arial" w:hAnsi="Arial" w:cs="Arial"/>
          <w:bCs/>
          <w:sz w:val="16"/>
          <w:szCs w:val="16"/>
        </w:rPr>
      </w:pPr>
      <w:r w:rsidRPr="0005714D">
        <w:rPr>
          <w:rFonts w:ascii="Arial" w:hAnsi="Arial" w:cs="Arial"/>
          <w:bCs/>
          <w:sz w:val="16"/>
          <w:szCs w:val="16"/>
        </w:rPr>
        <w:t>State of New Mexico</w:t>
      </w:r>
    </w:p>
    <w:p w:rsidR="009267A2" w:rsidRPr="009267A2" w:rsidRDefault="00741437" w:rsidP="009267A2">
      <w:pPr>
        <w:keepNext/>
        <w:jc w:val="center"/>
        <w:rPr>
          <w:rFonts w:ascii="Arial" w:hAnsi="Arial" w:cs="Arial"/>
          <w:sz w:val="16"/>
          <w:szCs w:val="16"/>
        </w:rPr>
      </w:pPr>
      <w:r>
        <w:rPr>
          <w:rFonts w:ascii="Arial" w:hAnsi="Arial" w:cs="Arial"/>
          <w:sz w:val="16"/>
          <w:szCs w:val="16"/>
        </w:rPr>
        <w:t>201</w:t>
      </w:r>
      <w:r w:rsidRPr="0005714D">
        <w:rPr>
          <w:rFonts w:ascii="Arial" w:hAnsi="Arial" w:cs="Arial"/>
          <w:sz w:val="16"/>
          <w:szCs w:val="16"/>
        </w:rPr>
        <w:t>0 Census Data</w:t>
      </w:r>
    </w:p>
    <w:p w:rsidR="00741437" w:rsidRDefault="009267A2" w:rsidP="00A201EB">
      <w:pPr>
        <w:jc w:val="center"/>
        <w:rPr>
          <w:sz w:val="16"/>
          <w:szCs w:val="16"/>
          <w:highlight w:val="yellow"/>
        </w:rPr>
      </w:pPr>
      <w:r>
        <w:rPr>
          <w:noProof/>
        </w:rPr>
        <w:drawing>
          <wp:inline distT="0" distB="0" distL="0" distR="0" wp14:anchorId="6E03BB70" wp14:editId="203AACA7">
            <wp:extent cx="5286375" cy="7019925"/>
            <wp:effectExtent l="0" t="0" r="9525" b="9525"/>
            <wp:docPr id="23" name="Picture 23" descr="N:\NMMFA03\Figures\Consolidated Plan\NMMFA03_2010_Bl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NMMFA03\Figures\Consolidated Plan\NMMFA03_2010_Black.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5136" t="4337" r="5778" b="4337"/>
                    <a:stretch/>
                  </pic:blipFill>
                  <pic:spPr bwMode="auto">
                    <a:xfrm>
                      <a:off x="0" y="0"/>
                      <a:ext cx="5286375" cy="7019925"/>
                    </a:xfrm>
                    <a:prstGeom prst="rect">
                      <a:avLst/>
                    </a:prstGeom>
                    <a:noFill/>
                    <a:ln>
                      <a:noFill/>
                    </a:ln>
                    <a:extLst>
                      <a:ext uri="{53640926-AAD7-44D8-BBD7-CCE9431645EC}">
                        <a14:shadowObscured xmlns:a14="http://schemas.microsoft.com/office/drawing/2010/main"/>
                      </a:ext>
                    </a:extLst>
                  </pic:spPr>
                </pic:pic>
              </a:graphicData>
            </a:graphic>
          </wp:inline>
        </w:drawing>
      </w:r>
      <w:r w:rsidR="00741437">
        <w:rPr>
          <w:sz w:val="16"/>
          <w:szCs w:val="16"/>
          <w:highlight w:val="yellow"/>
        </w:rPr>
        <w:br w:type="page"/>
      </w:r>
    </w:p>
    <w:p w:rsidR="00A201EB" w:rsidRPr="004608D1" w:rsidRDefault="00A201EB" w:rsidP="00A201EB">
      <w:pPr>
        <w:jc w:val="center"/>
        <w:rPr>
          <w:sz w:val="16"/>
          <w:szCs w:val="16"/>
          <w:highlight w:val="yellow"/>
        </w:rPr>
      </w:pPr>
    </w:p>
    <w:p w:rsidR="00456004" w:rsidRPr="00A83488" w:rsidRDefault="00694C93" w:rsidP="00456004">
      <w:pPr>
        <w:jc w:val="both"/>
        <w:rPr>
          <w:rFonts w:ascii="CG Omega" w:hAnsi="CG Omega"/>
        </w:rPr>
      </w:pPr>
      <w:r w:rsidRPr="00675D0E">
        <w:rPr>
          <w:rFonts w:ascii="CG Omega" w:hAnsi="CG Omega"/>
        </w:rPr>
        <w:t>Hispanic residents accounted for just over 42 percent of the population of New Mexico in 2000, and areas with disproportionately high concentrations of these residents tended to be located in and aroun</w:t>
      </w:r>
      <w:r w:rsidR="00456004" w:rsidRPr="00675D0E">
        <w:rPr>
          <w:rFonts w:ascii="CG Omega" w:hAnsi="CG Omega"/>
        </w:rPr>
        <w:t>d urban areas of the state, with the notable exception of large, rural tracts in the north of the state</w:t>
      </w:r>
      <w:r w:rsidR="002C14BA">
        <w:rPr>
          <w:rFonts w:ascii="CG Omega" w:hAnsi="CG Omega"/>
        </w:rPr>
        <w:t>, as seen in</w:t>
      </w:r>
      <w:r w:rsidR="000B4C3B">
        <w:rPr>
          <w:rFonts w:ascii="CG Omega" w:hAnsi="CG Omega"/>
        </w:rPr>
        <w:t xml:space="preserve"> </w:t>
      </w:r>
      <w:r w:rsidR="000B4C3B" w:rsidRPr="00974E80">
        <w:rPr>
          <w:rFonts w:ascii="CG Omega" w:hAnsi="CG Omega"/>
          <w:b/>
        </w:rPr>
        <w:t>Map III.5</w:t>
      </w:r>
      <w:r w:rsidR="00EA4494">
        <w:rPr>
          <w:rFonts w:ascii="CG Omega" w:hAnsi="CG Omega"/>
        </w:rPr>
        <w:t xml:space="preserve"> on the following page</w:t>
      </w:r>
      <w:r w:rsidR="00456004" w:rsidRPr="00675D0E">
        <w:rPr>
          <w:rFonts w:ascii="CG Omega" w:hAnsi="CG Omega"/>
        </w:rPr>
        <w:t xml:space="preserve">. </w:t>
      </w:r>
      <w:r w:rsidR="00456004">
        <w:rPr>
          <w:rFonts w:ascii="CG Omega" w:hAnsi="CG Omega"/>
        </w:rPr>
        <w:t>The highest concentrations of Hispanic residents were observed in densely populated tracts in the south of Doña Ana County</w:t>
      </w:r>
      <w:r w:rsidR="00456004">
        <w:rPr>
          <w:rStyle w:val="FootnoteReference"/>
          <w:rFonts w:ascii="CG Omega" w:hAnsi="CG Omega"/>
        </w:rPr>
        <w:footnoteReference w:id="4"/>
      </w:r>
      <w:r w:rsidR="00092949">
        <w:rPr>
          <w:rFonts w:ascii="CG Omega" w:hAnsi="CG Omega"/>
        </w:rPr>
        <w:t>. I</w:t>
      </w:r>
      <w:r w:rsidR="00456004">
        <w:rPr>
          <w:rFonts w:ascii="CG Omega" w:hAnsi="CG Omega"/>
        </w:rPr>
        <w:t>n many of these tracts Hispanic residents accounted for more than 90 percent of the total population.</w:t>
      </w:r>
      <w:r w:rsidR="00675D0E">
        <w:rPr>
          <w:rFonts w:ascii="CG Omega" w:hAnsi="CG Omega"/>
        </w:rPr>
        <w:t xml:space="preserve"> This remained the case in 2010</w:t>
      </w:r>
      <w:r w:rsidR="002C14BA">
        <w:rPr>
          <w:rFonts w:ascii="CG Omega" w:hAnsi="CG Omega"/>
        </w:rPr>
        <w:t>, as s</w:t>
      </w:r>
      <w:r w:rsidR="000B4C3B">
        <w:rPr>
          <w:rFonts w:ascii="CG Omega" w:hAnsi="CG Omega"/>
        </w:rPr>
        <w:t>ee</w:t>
      </w:r>
      <w:r w:rsidR="002C14BA">
        <w:rPr>
          <w:rFonts w:ascii="CG Omega" w:hAnsi="CG Omega"/>
        </w:rPr>
        <w:t>n in</w:t>
      </w:r>
      <w:r w:rsidR="000B4C3B">
        <w:rPr>
          <w:rFonts w:ascii="CG Omega" w:hAnsi="CG Omega"/>
        </w:rPr>
        <w:t xml:space="preserve"> </w:t>
      </w:r>
      <w:r w:rsidR="000B4C3B" w:rsidRPr="00974E80">
        <w:rPr>
          <w:rFonts w:ascii="CG Omega" w:hAnsi="CG Omega"/>
          <w:b/>
        </w:rPr>
        <w:t>Map III.6</w:t>
      </w:r>
      <w:r w:rsidR="00EA4494">
        <w:rPr>
          <w:rFonts w:ascii="CG Omega" w:hAnsi="CG Omega"/>
        </w:rPr>
        <w:t xml:space="preserve"> on page </w:t>
      </w:r>
      <w:r w:rsidR="00866A4D">
        <w:rPr>
          <w:rFonts w:ascii="CG Omega" w:hAnsi="CG Omega"/>
        </w:rPr>
        <w:t>32</w:t>
      </w:r>
      <w:r w:rsidR="000B4C3B">
        <w:rPr>
          <w:rFonts w:ascii="CG Omega" w:hAnsi="CG Omega"/>
        </w:rPr>
        <w:t>.</w:t>
      </w:r>
    </w:p>
    <w:p w:rsidR="00E2057C" w:rsidRPr="004608D1" w:rsidRDefault="00E2057C" w:rsidP="00B773FA">
      <w:pPr>
        <w:jc w:val="both"/>
        <w:rPr>
          <w:rFonts w:ascii="CG Omega" w:hAnsi="CG Omega"/>
          <w:sz w:val="16"/>
          <w:szCs w:val="16"/>
          <w:highlight w:val="yellow"/>
        </w:rPr>
      </w:pPr>
    </w:p>
    <w:p w:rsidR="00A201EB" w:rsidRDefault="00CD0AF3" w:rsidP="00A201EB">
      <w:pPr>
        <w:jc w:val="both"/>
        <w:rPr>
          <w:rFonts w:ascii="CG Omega" w:hAnsi="CG Omega"/>
        </w:rPr>
      </w:pPr>
      <w:r w:rsidRPr="00486E00">
        <w:rPr>
          <w:rFonts w:ascii="CG Omega" w:hAnsi="CG Omega"/>
        </w:rPr>
        <w:t>The American Indian population was largely concentrated in and around tribal trust and reservation lands in the northwest of the state in both 2000 and 2010</w:t>
      </w:r>
      <w:r w:rsidR="002C14BA">
        <w:rPr>
          <w:rFonts w:ascii="CG Omega" w:hAnsi="CG Omega"/>
        </w:rPr>
        <w:t>, as seen in</w:t>
      </w:r>
      <w:r w:rsidR="00486E00" w:rsidRPr="00486E00">
        <w:rPr>
          <w:rFonts w:ascii="CG Omega" w:hAnsi="CG Omega"/>
        </w:rPr>
        <w:t xml:space="preserve"> </w:t>
      </w:r>
      <w:r w:rsidR="00486E00" w:rsidRPr="00974E80">
        <w:rPr>
          <w:rFonts w:ascii="CG Omega" w:hAnsi="CG Omega"/>
          <w:b/>
        </w:rPr>
        <w:t>Maps III.7 and III.8</w:t>
      </w:r>
      <w:r w:rsidR="00EA4494">
        <w:rPr>
          <w:rFonts w:ascii="CG Omega" w:hAnsi="CG Omega"/>
        </w:rPr>
        <w:t>, on pages 3</w:t>
      </w:r>
      <w:r w:rsidR="00866A4D">
        <w:rPr>
          <w:rFonts w:ascii="CG Omega" w:hAnsi="CG Omega"/>
        </w:rPr>
        <w:t>3 and 34</w:t>
      </w:r>
      <w:r w:rsidR="002C14BA">
        <w:rPr>
          <w:rFonts w:ascii="CG Omega" w:hAnsi="CG Omega"/>
        </w:rPr>
        <w:t>.</w:t>
      </w:r>
      <w:r w:rsidR="00486E00" w:rsidRPr="00486E00">
        <w:rPr>
          <w:rFonts w:ascii="CG Omega" w:hAnsi="CG Omega"/>
        </w:rPr>
        <w:t xml:space="preserve"> Similarly, over 90 percent of residents were American Indian in one central Census tract that lay within tribal lands. Outside of those tribal areas, there were few areas with above-average concentrations of American Indian residents. </w:t>
      </w:r>
    </w:p>
    <w:p w:rsidR="00F32ECD" w:rsidRPr="00741437" w:rsidRDefault="0005714D" w:rsidP="00741437">
      <w:pPr>
        <w:rPr>
          <w:rFonts w:ascii="Arial" w:hAnsi="Arial" w:cs="Arial"/>
          <w:b/>
          <w:sz w:val="23"/>
          <w:szCs w:val="23"/>
        </w:rPr>
      </w:pPr>
      <w:r>
        <w:rPr>
          <w:rFonts w:ascii="Arial" w:hAnsi="Arial" w:cs="Arial"/>
          <w:b/>
          <w:sz w:val="23"/>
          <w:szCs w:val="23"/>
        </w:rPr>
        <w:br w:type="page"/>
      </w:r>
    </w:p>
    <w:p w:rsidR="008C1E36" w:rsidRPr="0005714D" w:rsidRDefault="00694C93" w:rsidP="00741437">
      <w:pPr>
        <w:keepNext/>
        <w:jc w:val="center"/>
        <w:rPr>
          <w:rFonts w:ascii="Arial" w:hAnsi="Arial" w:cs="Arial"/>
          <w:b/>
          <w:sz w:val="23"/>
          <w:szCs w:val="23"/>
        </w:rPr>
      </w:pPr>
      <w:r>
        <w:rPr>
          <w:rFonts w:ascii="Arial" w:hAnsi="Arial" w:cs="Arial"/>
          <w:b/>
          <w:sz w:val="23"/>
          <w:szCs w:val="23"/>
        </w:rPr>
        <w:lastRenderedPageBreak/>
        <w:t>Map III.5</w:t>
      </w:r>
    </w:p>
    <w:p w:rsidR="008C1E36" w:rsidRPr="0005714D" w:rsidRDefault="008C1E36" w:rsidP="008C1E36">
      <w:pPr>
        <w:keepNext/>
        <w:jc w:val="center"/>
        <w:rPr>
          <w:rFonts w:ascii="Arial" w:hAnsi="Arial" w:cs="Arial"/>
          <w:b/>
          <w:sz w:val="20"/>
          <w:szCs w:val="20"/>
        </w:rPr>
      </w:pPr>
      <w:r w:rsidRPr="0005714D">
        <w:rPr>
          <w:rFonts w:ascii="Arial" w:hAnsi="Arial" w:cs="Arial"/>
          <w:b/>
          <w:sz w:val="20"/>
          <w:szCs w:val="20"/>
        </w:rPr>
        <w:t>Percent Hispanic Population by Census Tract</w:t>
      </w:r>
    </w:p>
    <w:p w:rsidR="00290BE9" w:rsidRPr="0005714D" w:rsidRDefault="00E365BD" w:rsidP="00290BE9">
      <w:pPr>
        <w:jc w:val="center"/>
        <w:rPr>
          <w:rFonts w:ascii="Arial" w:hAnsi="Arial" w:cs="Arial"/>
          <w:bCs/>
          <w:sz w:val="16"/>
          <w:szCs w:val="16"/>
        </w:rPr>
      </w:pPr>
      <w:r w:rsidRPr="0005714D">
        <w:rPr>
          <w:rFonts w:ascii="Arial" w:hAnsi="Arial" w:cs="Arial"/>
          <w:bCs/>
          <w:sz w:val="16"/>
          <w:szCs w:val="16"/>
        </w:rPr>
        <w:t>State of New Mexico</w:t>
      </w:r>
    </w:p>
    <w:p w:rsidR="009267A2" w:rsidRPr="009267A2" w:rsidRDefault="008C1E36" w:rsidP="009267A2">
      <w:pPr>
        <w:keepNext/>
        <w:jc w:val="center"/>
        <w:rPr>
          <w:rFonts w:ascii="Arial" w:hAnsi="Arial" w:cs="Arial"/>
          <w:sz w:val="16"/>
          <w:szCs w:val="16"/>
        </w:rPr>
      </w:pPr>
      <w:r w:rsidRPr="0005714D">
        <w:rPr>
          <w:rFonts w:ascii="Arial" w:hAnsi="Arial" w:cs="Arial"/>
          <w:sz w:val="16"/>
          <w:szCs w:val="16"/>
        </w:rPr>
        <w:t>2000 Census Data</w:t>
      </w:r>
    </w:p>
    <w:p w:rsidR="0005714D" w:rsidRDefault="009267A2" w:rsidP="008C1E36">
      <w:pPr>
        <w:keepNext/>
        <w:widowControl w:val="0"/>
        <w:jc w:val="center"/>
        <w:rPr>
          <w:highlight w:val="yellow"/>
        </w:rPr>
      </w:pPr>
      <w:r>
        <w:rPr>
          <w:noProof/>
        </w:rPr>
        <w:drawing>
          <wp:inline distT="0" distB="0" distL="0" distR="0" wp14:anchorId="05FE4AFA" wp14:editId="078F172A">
            <wp:extent cx="5286375" cy="7019925"/>
            <wp:effectExtent l="0" t="0" r="9525" b="9525"/>
            <wp:docPr id="29" name="Picture 29" descr="N:\NMMFA03\Figures\Consolidated Plan\NMMFA03_2000_Hispan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NMMFA03\Figures\Consolidated Plan\NMMFA03_2000_Hispanic.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5136" t="4461" r="5778" b="4213"/>
                    <a:stretch/>
                  </pic:blipFill>
                  <pic:spPr bwMode="auto">
                    <a:xfrm>
                      <a:off x="0" y="0"/>
                      <a:ext cx="5286375" cy="7019925"/>
                    </a:xfrm>
                    <a:prstGeom prst="rect">
                      <a:avLst/>
                    </a:prstGeom>
                    <a:noFill/>
                    <a:ln>
                      <a:noFill/>
                    </a:ln>
                    <a:extLst>
                      <a:ext uri="{53640926-AAD7-44D8-BBD7-CCE9431645EC}">
                        <a14:shadowObscured xmlns:a14="http://schemas.microsoft.com/office/drawing/2010/main"/>
                      </a:ext>
                    </a:extLst>
                  </pic:spPr>
                </pic:pic>
              </a:graphicData>
            </a:graphic>
          </wp:inline>
        </w:drawing>
      </w:r>
    </w:p>
    <w:p w:rsidR="00804992" w:rsidRPr="00955C8C" w:rsidRDefault="00804992" w:rsidP="008C1E36">
      <w:pPr>
        <w:keepNext/>
        <w:widowControl w:val="0"/>
        <w:jc w:val="center"/>
        <w:rPr>
          <w:highlight w:val="yellow"/>
        </w:rPr>
      </w:pPr>
    </w:p>
    <w:p w:rsidR="00F32ECD" w:rsidRDefault="00F32ECD" w:rsidP="00F32ECD">
      <w:pPr>
        <w:rPr>
          <w:highlight w:val="yellow"/>
        </w:rPr>
      </w:pPr>
    </w:p>
    <w:p w:rsidR="008E2483" w:rsidRPr="0005714D" w:rsidRDefault="00694C93" w:rsidP="008E2483">
      <w:pPr>
        <w:keepNext/>
        <w:jc w:val="center"/>
        <w:rPr>
          <w:rFonts w:ascii="Arial" w:hAnsi="Arial" w:cs="Arial"/>
          <w:b/>
          <w:sz w:val="23"/>
          <w:szCs w:val="23"/>
        </w:rPr>
      </w:pPr>
      <w:r>
        <w:rPr>
          <w:rFonts w:ascii="Arial" w:hAnsi="Arial" w:cs="Arial"/>
          <w:b/>
          <w:sz w:val="23"/>
          <w:szCs w:val="23"/>
        </w:rPr>
        <w:lastRenderedPageBreak/>
        <w:t>Map III.6</w:t>
      </w:r>
    </w:p>
    <w:p w:rsidR="008E2483" w:rsidRPr="0005714D" w:rsidRDefault="008E2483" w:rsidP="008E2483">
      <w:pPr>
        <w:keepNext/>
        <w:jc w:val="center"/>
        <w:rPr>
          <w:rFonts w:ascii="Arial" w:hAnsi="Arial" w:cs="Arial"/>
          <w:b/>
          <w:sz w:val="20"/>
          <w:szCs w:val="20"/>
        </w:rPr>
      </w:pPr>
      <w:r w:rsidRPr="0005714D">
        <w:rPr>
          <w:rFonts w:ascii="Arial" w:hAnsi="Arial" w:cs="Arial"/>
          <w:b/>
          <w:sz w:val="20"/>
          <w:szCs w:val="20"/>
        </w:rPr>
        <w:t>Percent Hispanic Population by Census Tract</w:t>
      </w:r>
    </w:p>
    <w:p w:rsidR="008E2483" w:rsidRPr="0005714D" w:rsidRDefault="008E2483" w:rsidP="008E2483">
      <w:pPr>
        <w:jc w:val="center"/>
        <w:rPr>
          <w:rFonts w:ascii="Arial" w:hAnsi="Arial" w:cs="Arial"/>
          <w:bCs/>
          <w:sz w:val="16"/>
          <w:szCs w:val="16"/>
        </w:rPr>
      </w:pPr>
      <w:r w:rsidRPr="0005714D">
        <w:rPr>
          <w:rFonts w:ascii="Arial" w:hAnsi="Arial" w:cs="Arial"/>
          <w:bCs/>
          <w:sz w:val="16"/>
          <w:szCs w:val="16"/>
        </w:rPr>
        <w:t>State of New Mexico</w:t>
      </w:r>
    </w:p>
    <w:p w:rsidR="009267A2" w:rsidRPr="009267A2" w:rsidRDefault="008E2483" w:rsidP="009267A2">
      <w:pPr>
        <w:keepNext/>
        <w:jc w:val="center"/>
        <w:rPr>
          <w:rFonts w:ascii="Arial" w:hAnsi="Arial" w:cs="Arial"/>
          <w:sz w:val="16"/>
          <w:szCs w:val="16"/>
        </w:rPr>
      </w:pPr>
      <w:r>
        <w:rPr>
          <w:rFonts w:ascii="Arial" w:hAnsi="Arial" w:cs="Arial"/>
          <w:sz w:val="16"/>
          <w:szCs w:val="16"/>
        </w:rPr>
        <w:t>201</w:t>
      </w:r>
      <w:r w:rsidRPr="0005714D">
        <w:rPr>
          <w:rFonts w:ascii="Arial" w:hAnsi="Arial" w:cs="Arial"/>
          <w:sz w:val="16"/>
          <w:szCs w:val="16"/>
        </w:rPr>
        <w:t>0 Census Data</w:t>
      </w:r>
    </w:p>
    <w:p w:rsidR="008E2483" w:rsidRPr="0005714D" w:rsidRDefault="009267A2" w:rsidP="008E2483">
      <w:pPr>
        <w:keepNext/>
        <w:jc w:val="center"/>
        <w:rPr>
          <w:rFonts w:ascii="Arial" w:hAnsi="Arial" w:cs="Arial"/>
          <w:sz w:val="16"/>
          <w:szCs w:val="16"/>
        </w:rPr>
      </w:pPr>
      <w:r>
        <w:rPr>
          <w:noProof/>
        </w:rPr>
        <w:drawing>
          <wp:inline distT="0" distB="0" distL="0" distR="0" wp14:anchorId="17785E88" wp14:editId="7FCF4AB0">
            <wp:extent cx="5286375" cy="7010400"/>
            <wp:effectExtent l="0" t="0" r="9525" b="0"/>
            <wp:docPr id="30" name="Picture 30" descr="N:\NMMFA03\Figures\Consolidated Plan\NMMFA03_2010_Hispan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NMMFA03\Figures\Consolidated Plan\NMMFA03_2010_Hispanic.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5136" t="4337" r="5778" b="4461"/>
                    <a:stretch/>
                  </pic:blipFill>
                  <pic:spPr bwMode="auto">
                    <a:xfrm>
                      <a:off x="0" y="0"/>
                      <a:ext cx="5286375" cy="7010400"/>
                    </a:xfrm>
                    <a:prstGeom prst="rect">
                      <a:avLst/>
                    </a:prstGeom>
                    <a:noFill/>
                    <a:ln>
                      <a:noFill/>
                    </a:ln>
                    <a:extLst>
                      <a:ext uri="{53640926-AAD7-44D8-BBD7-CCE9431645EC}">
                        <a14:shadowObscured xmlns:a14="http://schemas.microsoft.com/office/drawing/2010/main"/>
                      </a:ext>
                    </a:extLst>
                  </pic:spPr>
                </pic:pic>
              </a:graphicData>
            </a:graphic>
          </wp:inline>
        </w:drawing>
      </w:r>
    </w:p>
    <w:p w:rsidR="00E365BD" w:rsidRPr="00F32ECD" w:rsidRDefault="008E2483" w:rsidP="00F32ECD">
      <w:pPr>
        <w:jc w:val="center"/>
        <w:rPr>
          <w:rFonts w:ascii="CG Omega" w:hAnsi="CG Omega"/>
        </w:rPr>
      </w:pPr>
      <w:r>
        <w:rPr>
          <w:rFonts w:ascii="Arial" w:hAnsi="Arial" w:cs="Arial"/>
          <w:b/>
          <w:sz w:val="23"/>
          <w:szCs w:val="23"/>
        </w:rPr>
        <w:br w:type="page"/>
      </w:r>
      <w:r w:rsidR="00E365BD" w:rsidRPr="00F32ECD">
        <w:rPr>
          <w:rFonts w:ascii="Arial" w:hAnsi="Arial" w:cs="Arial"/>
          <w:b/>
          <w:sz w:val="23"/>
          <w:szCs w:val="23"/>
        </w:rPr>
        <w:lastRenderedPageBreak/>
        <w:t>Map III.</w:t>
      </w:r>
      <w:r w:rsidR="00694C93">
        <w:rPr>
          <w:rFonts w:ascii="Arial" w:hAnsi="Arial" w:cs="Arial"/>
          <w:b/>
          <w:sz w:val="23"/>
          <w:szCs w:val="23"/>
        </w:rPr>
        <w:t>7</w:t>
      </w:r>
    </w:p>
    <w:p w:rsidR="00E365BD" w:rsidRPr="00F32ECD" w:rsidRDefault="00E365BD" w:rsidP="00E365BD">
      <w:pPr>
        <w:keepNext/>
        <w:jc w:val="center"/>
        <w:rPr>
          <w:rFonts w:ascii="Arial" w:hAnsi="Arial" w:cs="Arial"/>
          <w:b/>
          <w:sz w:val="20"/>
          <w:szCs w:val="20"/>
        </w:rPr>
      </w:pPr>
      <w:r w:rsidRPr="00F32ECD">
        <w:rPr>
          <w:rFonts w:ascii="Arial" w:hAnsi="Arial" w:cs="Arial"/>
          <w:b/>
          <w:sz w:val="20"/>
          <w:szCs w:val="20"/>
        </w:rPr>
        <w:t xml:space="preserve">Percent </w:t>
      </w:r>
      <w:r w:rsidR="00C81670" w:rsidRPr="00F32ECD">
        <w:rPr>
          <w:rFonts w:ascii="Arial" w:hAnsi="Arial" w:cs="Arial"/>
          <w:b/>
          <w:sz w:val="20"/>
          <w:szCs w:val="20"/>
        </w:rPr>
        <w:t>American Indian</w:t>
      </w:r>
      <w:r w:rsidRPr="00F32ECD">
        <w:rPr>
          <w:rFonts w:ascii="Arial" w:hAnsi="Arial" w:cs="Arial"/>
          <w:b/>
          <w:sz w:val="20"/>
          <w:szCs w:val="20"/>
        </w:rPr>
        <w:t xml:space="preserve"> Population by Census Tract</w:t>
      </w:r>
    </w:p>
    <w:p w:rsidR="00F32ECD" w:rsidRDefault="00DA040B" w:rsidP="00F32ECD">
      <w:pPr>
        <w:jc w:val="center"/>
        <w:rPr>
          <w:rFonts w:ascii="Arial" w:hAnsi="Arial" w:cs="Arial"/>
          <w:bCs/>
          <w:sz w:val="16"/>
          <w:szCs w:val="16"/>
        </w:rPr>
      </w:pPr>
      <w:r w:rsidRPr="00F32ECD">
        <w:rPr>
          <w:rFonts w:ascii="Arial" w:hAnsi="Arial" w:cs="Arial"/>
          <w:bCs/>
          <w:sz w:val="16"/>
          <w:szCs w:val="16"/>
        </w:rPr>
        <w:t>State of New Mexico</w:t>
      </w:r>
    </w:p>
    <w:p w:rsidR="00F32ECD" w:rsidRDefault="00F32ECD" w:rsidP="00F32ECD">
      <w:pPr>
        <w:jc w:val="center"/>
        <w:rPr>
          <w:rFonts w:ascii="Arial" w:hAnsi="Arial" w:cs="Arial"/>
          <w:bCs/>
          <w:sz w:val="16"/>
          <w:szCs w:val="16"/>
        </w:rPr>
      </w:pPr>
      <w:r>
        <w:rPr>
          <w:rFonts w:ascii="Arial" w:hAnsi="Arial" w:cs="Arial"/>
          <w:bCs/>
          <w:sz w:val="16"/>
          <w:szCs w:val="16"/>
        </w:rPr>
        <w:t>2000 Census Data</w:t>
      </w:r>
    </w:p>
    <w:p w:rsidR="00F32ECD" w:rsidRPr="00F32ECD" w:rsidRDefault="008168AF" w:rsidP="00F32ECD">
      <w:pPr>
        <w:jc w:val="center"/>
        <w:rPr>
          <w:rFonts w:ascii="Arial" w:hAnsi="Arial" w:cs="Arial"/>
          <w:bCs/>
          <w:sz w:val="16"/>
          <w:szCs w:val="16"/>
        </w:rPr>
      </w:pPr>
      <w:r>
        <w:rPr>
          <w:noProof/>
        </w:rPr>
        <w:drawing>
          <wp:inline distT="0" distB="0" distL="0" distR="0" wp14:anchorId="4E71467C" wp14:editId="6AA9E952">
            <wp:extent cx="5286375" cy="7010400"/>
            <wp:effectExtent l="0" t="0" r="9525" b="0"/>
            <wp:docPr id="9" name="Picture 9" descr="NMMFA03_2000_American_Ind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MMFA03_2000_American_Indian"/>
                    <pic:cNvPicPr>
                      <a:picLocks noChangeAspect="1" noChangeArrowheads="1"/>
                    </pic:cNvPicPr>
                  </pic:nvPicPr>
                  <pic:blipFill>
                    <a:blip r:embed="rId30" cstate="print">
                      <a:extLst>
                        <a:ext uri="{28A0092B-C50C-407E-A947-70E740481C1C}">
                          <a14:useLocalDpi xmlns:a14="http://schemas.microsoft.com/office/drawing/2010/main" val="0"/>
                        </a:ext>
                      </a:extLst>
                    </a:blip>
                    <a:srcRect l="5080" t="4445" r="5923" b="4305"/>
                    <a:stretch>
                      <a:fillRect/>
                    </a:stretch>
                  </pic:blipFill>
                  <pic:spPr bwMode="auto">
                    <a:xfrm>
                      <a:off x="0" y="0"/>
                      <a:ext cx="5286375" cy="7010400"/>
                    </a:xfrm>
                    <a:prstGeom prst="rect">
                      <a:avLst/>
                    </a:prstGeom>
                    <a:noFill/>
                    <a:ln>
                      <a:noFill/>
                    </a:ln>
                  </pic:spPr>
                </pic:pic>
              </a:graphicData>
            </a:graphic>
          </wp:inline>
        </w:drawing>
      </w:r>
    </w:p>
    <w:p w:rsidR="008E2483" w:rsidRPr="00F32ECD" w:rsidRDefault="0047611B" w:rsidP="008E2483">
      <w:pPr>
        <w:jc w:val="center"/>
        <w:rPr>
          <w:rFonts w:ascii="CG Omega" w:hAnsi="CG Omega"/>
        </w:rPr>
      </w:pPr>
      <w:r w:rsidRPr="00955C8C">
        <w:rPr>
          <w:rFonts w:ascii="CG Omega" w:hAnsi="CG Omega"/>
          <w:b/>
          <w:smallCaps/>
          <w:sz w:val="26"/>
          <w:szCs w:val="26"/>
          <w:highlight w:val="yellow"/>
        </w:rPr>
        <w:br w:type="page"/>
      </w:r>
      <w:r w:rsidR="008E2483" w:rsidRPr="00F32ECD">
        <w:rPr>
          <w:rFonts w:ascii="Arial" w:hAnsi="Arial" w:cs="Arial"/>
          <w:b/>
          <w:sz w:val="23"/>
          <w:szCs w:val="23"/>
        </w:rPr>
        <w:lastRenderedPageBreak/>
        <w:t>Map III.</w:t>
      </w:r>
      <w:r w:rsidR="00694C93">
        <w:rPr>
          <w:rFonts w:ascii="Arial" w:hAnsi="Arial" w:cs="Arial"/>
          <w:b/>
          <w:sz w:val="23"/>
          <w:szCs w:val="23"/>
        </w:rPr>
        <w:t>8</w:t>
      </w:r>
    </w:p>
    <w:p w:rsidR="008E2483" w:rsidRPr="00F32ECD" w:rsidRDefault="008E2483" w:rsidP="008E2483">
      <w:pPr>
        <w:keepNext/>
        <w:jc w:val="center"/>
        <w:rPr>
          <w:rFonts w:ascii="Arial" w:hAnsi="Arial" w:cs="Arial"/>
          <w:b/>
          <w:sz w:val="20"/>
          <w:szCs w:val="20"/>
        </w:rPr>
      </w:pPr>
      <w:r w:rsidRPr="00F32ECD">
        <w:rPr>
          <w:rFonts w:ascii="Arial" w:hAnsi="Arial" w:cs="Arial"/>
          <w:b/>
          <w:sz w:val="20"/>
          <w:szCs w:val="20"/>
        </w:rPr>
        <w:t>Percent American Indian Population by Census Tract</w:t>
      </w:r>
    </w:p>
    <w:p w:rsidR="008E2483" w:rsidRDefault="008E2483" w:rsidP="008E2483">
      <w:pPr>
        <w:jc w:val="center"/>
        <w:rPr>
          <w:rFonts w:ascii="Arial" w:hAnsi="Arial" w:cs="Arial"/>
          <w:bCs/>
          <w:sz w:val="16"/>
          <w:szCs w:val="16"/>
        </w:rPr>
      </w:pPr>
      <w:r w:rsidRPr="00F32ECD">
        <w:rPr>
          <w:rFonts w:ascii="Arial" w:hAnsi="Arial" w:cs="Arial"/>
          <w:bCs/>
          <w:sz w:val="16"/>
          <w:szCs w:val="16"/>
        </w:rPr>
        <w:t>State of New Mexico</w:t>
      </w:r>
    </w:p>
    <w:p w:rsidR="008E2483" w:rsidRDefault="008E2483" w:rsidP="008E2483">
      <w:pPr>
        <w:jc w:val="center"/>
        <w:rPr>
          <w:rFonts w:ascii="Arial" w:hAnsi="Arial" w:cs="Arial"/>
          <w:bCs/>
          <w:sz w:val="16"/>
          <w:szCs w:val="16"/>
        </w:rPr>
      </w:pPr>
      <w:r>
        <w:rPr>
          <w:rFonts w:ascii="Arial" w:hAnsi="Arial" w:cs="Arial"/>
          <w:bCs/>
          <w:sz w:val="16"/>
          <w:szCs w:val="16"/>
        </w:rPr>
        <w:t>2010 Census Data</w:t>
      </w:r>
    </w:p>
    <w:p w:rsidR="008E2483" w:rsidRDefault="008168AF" w:rsidP="008E2483">
      <w:pPr>
        <w:jc w:val="center"/>
        <w:rPr>
          <w:rFonts w:ascii="Arial" w:hAnsi="Arial" w:cs="Arial"/>
          <w:bCs/>
          <w:sz w:val="16"/>
          <w:szCs w:val="16"/>
        </w:rPr>
      </w:pPr>
      <w:r>
        <w:rPr>
          <w:rFonts w:ascii="Arial" w:hAnsi="Arial" w:cs="Arial"/>
          <w:bCs/>
          <w:noProof/>
          <w:sz w:val="16"/>
          <w:szCs w:val="16"/>
        </w:rPr>
        <w:drawing>
          <wp:inline distT="0" distB="0" distL="0" distR="0" wp14:anchorId="1368ECAC" wp14:editId="3B4C3BF4">
            <wp:extent cx="5286375" cy="7029450"/>
            <wp:effectExtent l="0" t="0" r="9525" b="0"/>
            <wp:docPr id="10" name="Picture 10" descr="NMMFA03_2010_AmI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MMFA03_2010_AmInd"/>
                    <pic:cNvPicPr>
                      <a:picLocks noChangeAspect="1" noChangeArrowheads="1"/>
                    </pic:cNvPicPr>
                  </pic:nvPicPr>
                  <pic:blipFill>
                    <a:blip r:embed="rId31" cstate="print">
                      <a:extLst>
                        <a:ext uri="{28A0092B-C50C-407E-A947-70E740481C1C}">
                          <a14:useLocalDpi xmlns:a14="http://schemas.microsoft.com/office/drawing/2010/main" val="0"/>
                        </a:ext>
                      </a:extLst>
                    </a:blip>
                    <a:srcRect l="5080" t="4189" r="5923" b="4312"/>
                    <a:stretch>
                      <a:fillRect/>
                    </a:stretch>
                  </pic:blipFill>
                  <pic:spPr bwMode="auto">
                    <a:xfrm>
                      <a:off x="0" y="0"/>
                      <a:ext cx="5286375" cy="7029450"/>
                    </a:xfrm>
                    <a:prstGeom prst="rect">
                      <a:avLst/>
                    </a:prstGeom>
                    <a:noFill/>
                    <a:ln>
                      <a:noFill/>
                    </a:ln>
                  </pic:spPr>
                </pic:pic>
              </a:graphicData>
            </a:graphic>
          </wp:inline>
        </w:drawing>
      </w:r>
    </w:p>
    <w:p w:rsidR="008E2483" w:rsidRDefault="008E2483" w:rsidP="008E2483">
      <w:pPr>
        <w:jc w:val="center"/>
        <w:rPr>
          <w:rFonts w:ascii="Arial" w:hAnsi="Arial" w:cs="Arial"/>
          <w:bCs/>
          <w:sz w:val="16"/>
          <w:szCs w:val="16"/>
        </w:rPr>
      </w:pPr>
    </w:p>
    <w:p w:rsidR="0044083A" w:rsidRPr="007F3D63" w:rsidRDefault="008E2483" w:rsidP="0072780D">
      <w:pPr>
        <w:rPr>
          <w:rFonts w:ascii="CG Omega" w:hAnsi="CG Omega"/>
          <w:b/>
          <w:smallCaps/>
          <w:sz w:val="26"/>
          <w:szCs w:val="26"/>
        </w:rPr>
      </w:pPr>
      <w:r>
        <w:rPr>
          <w:rFonts w:ascii="CG Omega" w:hAnsi="CG Omega"/>
          <w:b/>
          <w:smallCaps/>
          <w:sz w:val="26"/>
          <w:szCs w:val="26"/>
          <w:highlight w:val="yellow"/>
        </w:rPr>
        <w:br w:type="page"/>
      </w:r>
      <w:r w:rsidR="001A022D" w:rsidRPr="007F3D63">
        <w:rPr>
          <w:rFonts w:ascii="CG Omega" w:hAnsi="CG Omega"/>
          <w:b/>
          <w:smallCaps/>
          <w:sz w:val="26"/>
          <w:szCs w:val="26"/>
        </w:rPr>
        <w:lastRenderedPageBreak/>
        <w:t>Population by Age</w:t>
      </w:r>
    </w:p>
    <w:p w:rsidR="0044083A" w:rsidRPr="00866A4D" w:rsidRDefault="0044083A" w:rsidP="00D8477B">
      <w:pPr>
        <w:jc w:val="both"/>
        <w:rPr>
          <w:rFonts w:ascii="CG Omega" w:hAnsi="CG Omega"/>
        </w:rPr>
      </w:pPr>
    </w:p>
    <w:p w:rsidR="00AF4B00" w:rsidRPr="008B1951" w:rsidRDefault="007F5F61" w:rsidP="00D8477B">
      <w:pPr>
        <w:jc w:val="both"/>
        <w:rPr>
          <w:rFonts w:ascii="CG Omega" w:hAnsi="CG Omega"/>
        </w:rPr>
      </w:pPr>
      <w:r w:rsidRPr="008B1951">
        <w:rPr>
          <w:rFonts w:ascii="CG Omega" w:hAnsi="CG Omega"/>
        </w:rPr>
        <w:t>The State of New Mexico experienced a shift in the population between 2000 and 2010 as growth in the number of older residents generally outpaced growth in t</w:t>
      </w:r>
      <w:r w:rsidR="0026533E">
        <w:rPr>
          <w:rFonts w:ascii="CG Omega" w:hAnsi="CG Omega"/>
        </w:rPr>
        <w:t>he number of younger residents, as s</w:t>
      </w:r>
      <w:r w:rsidRPr="008B1951">
        <w:rPr>
          <w:rFonts w:ascii="CG Omega" w:hAnsi="CG Omega"/>
        </w:rPr>
        <w:t>ee</w:t>
      </w:r>
      <w:r w:rsidR="0026533E">
        <w:rPr>
          <w:rFonts w:ascii="CG Omega" w:hAnsi="CG Omega"/>
        </w:rPr>
        <w:t>n in</w:t>
      </w:r>
      <w:r w:rsidRPr="008B1951">
        <w:rPr>
          <w:rFonts w:ascii="CG Omega" w:hAnsi="CG Omega"/>
        </w:rPr>
        <w:t xml:space="preserve"> </w:t>
      </w:r>
      <w:r w:rsidRPr="00866A4D">
        <w:rPr>
          <w:rFonts w:ascii="CG Omega" w:hAnsi="CG Omega"/>
          <w:b/>
        </w:rPr>
        <w:t>Table III.</w:t>
      </w:r>
      <w:r w:rsidR="005B00C5" w:rsidRPr="00866A4D">
        <w:rPr>
          <w:rFonts w:ascii="CG Omega" w:hAnsi="CG Omega"/>
          <w:b/>
        </w:rPr>
        <w:t>4</w:t>
      </w:r>
      <w:r w:rsidR="0026533E">
        <w:rPr>
          <w:rFonts w:ascii="CG Omega" w:hAnsi="CG Omega"/>
        </w:rPr>
        <w:t>, below</w:t>
      </w:r>
      <w:r w:rsidRPr="008B1951">
        <w:rPr>
          <w:rFonts w:ascii="CG Omega" w:hAnsi="CG Omega"/>
        </w:rPr>
        <w:t>. The fastest-growing age cohort during this time period was composed of residents between the ages of 55 and 64; this cohort grew by 61.8 percent between 2000 and 2010. Similarly, the cohort of persons aged 65 and older</w:t>
      </w:r>
      <w:r w:rsidR="008B1951" w:rsidRPr="008B1951">
        <w:rPr>
          <w:rFonts w:ascii="CG Omega" w:hAnsi="CG Omega"/>
        </w:rPr>
        <w:t xml:space="preserve"> grew by 28.3 percent over the decade and represented 13.2 percent of the overall population in 2010. </w:t>
      </w:r>
      <w:r w:rsidR="00D72C81">
        <w:rPr>
          <w:rFonts w:ascii="CG Omega" w:hAnsi="CG Omega"/>
        </w:rPr>
        <w:t>This aging population will increase demands for housing and services for the e</w:t>
      </w:r>
      <w:r w:rsidR="0026533E">
        <w:rPr>
          <w:rFonts w:ascii="CG Omega" w:hAnsi="CG Omega"/>
        </w:rPr>
        <w:t>l</w:t>
      </w:r>
      <w:r w:rsidR="00D72C81">
        <w:rPr>
          <w:rFonts w:ascii="CG Omega" w:hAnsi="CG Omega"/>
        </w:rPr>
        <w:t xml:space="preserve">derly. </w:t>
      </w:r>
      <w:r w:rsidR="008B1951" w:rsidRPr="008B1951">
        <w:rPr>
          <w:rFonts w:ascii="CG Omega" w:hAnsi="CG Omega"/>
        </w:rPr>
        <w:t>By contrast, the cohorts of residents aged less than 5 years, 5 to 19 years, and 35 to 54 years all grew at rates that were below average for the entire population. Accordingly, these groups accounted for smaller shares of the popul</w:t>
      </w:r>
      <w:r w:rsidR="00D020E7">
        <w:rPr>
          <w:rFonts w:ascii="CG Omega" w:hAnsi="CG Omega"/>
        </w:rPr>
        <w:t xml:space="preserve">ation at the end of the decade. </w:t>
      </w:r>
      <w:r w:rsidR="008B1951" w:rsidRPr="008B1951">
        <w:rPr>
          <w:rFonts w:ascii="CG Omega" w:hAnsi="CG Omega"/>
        </w:rPr>
        <w:t xml:space="preserve">The </w:t>
      </w:r>
      <w:r w:rsidR="00D020E7">
        <w:rPr>
          <w:rFonts w:ascii="CG Omega" w:hAnsi="CG Omega"/>
        </w:rPr>
        <w:t>largest age cohort in both Census counts</w:t>
      </w:r>
      <w:r w:rsidR="008B1951" w:rsidRPr="008B1951">
        <w:rPr>
          <w:rFonts w:ascii="CG Omega" w:hAnsi="CG Omega"/>
        </w:rPr>
        <w:t xml:space="preserve"> was composed of residents aged between 35 and 54 years of age.</w:t>
      </w:r>
    </w:p>
    <w:tbl>
      <w:tblPr>
        <w:tblW w:w="6768" w:type="dxa"/>
        <w:jc w:val="center"/>
        <w:tblLook w:val="04A0" w:firstRow="1" w:lastRow="0" w:firstColumn="1" w:lastColumn="0" w:noHBand="0" w:noVBand="1"/>
      </w:tblPr>
      <w:tblGrid>
        <w:gridCol w:w="1106"/>
        <w:gridCol w:w="1132"/>
        <w:gridCol w:w="1070"/>
        <w:gridCol w:w="1132"/>
        <w:gridCol w:w="1070"/>
        <w:gridCol w:w="1258"/>
      </w:tblGrid>
      <w:tr w:rsidR="00AF4B00" w:rsidRPr="00AF4B00" w:rsidTr="00AF4B00">
        <w:trPr>
          <w:trHeight w:val="216"/>
          <w:jc w:val="center"/>
        </w:trPr>
        <w:tc>
          <w:tcPr>
            <w:tcW w:w="6768" w:type="dxa"/>
            <w:gridSpan w:val="6"/>
            <w:tcBorders>
              <w:bottom w:val="single" w:sz="4" w:space="0" w:color="009900"/>
            </w:tcBorders>
            <w:shd w:val="clear" w:color="000000" w:fill="auto"/>
            <w:noWrap/>
            <w:vAlign w:val="center"/>
            <w:hideMark/>
          </w:tcPr>
          <w:p w:rsidR="00AF4B00" w:rsidRPr="00866A4D" w:rsidRDefault="00AF4B00" w:rsidP="00AF4B00">
            <w:pPr>
              <w:keepNext/>
              <w:jc w:val="center"/>
              <w:rPr>
                <w:rFonts w:ascii="Arial" w:eastAsia="Calibri" w:hAnsi="Arial"/>
                <w:b/>
                <w:bCs/>
                <w:color w:val="000000"/>
              </w:rPr>
            </w:pPr>
          </w:p>
          <w:p w:rsidR="00AF4B00" w:rsidRPr="00AF4B00" w:rsidRDefault="00AF4B00" w:rsidP="00AF4B00">
            <w:pPr>
              <w:keepNext/>
              <w:jc w:val="center"/>
              <w:rPr>
                <w:rFonts w:ascii="Arial" w:eastAsia="Calibri" w:hAnsi="Arial"/>
                <w:b/>
                <w:bCs/>
                <w:color w:val="000000"/>
                <w:sz w:val="22"/>
                <w:szCs w:val="18"/>
              </w:rPr>
            </w:pPr>
            <w:r w:rsidRPr="00AF4B00">
              <w:rPr>
                <w:rFonts w:ascii="Arial" w:eastAsia="Calibri" w:hAnsi="Arial"/>
                <w:b/>
                <w:bCs/>
                <w:color w:val="000000"/>
                <w:sz w:val="22"/>
                <w:szCs w:val="18"/>
              </w:rPr>
              <w:t xml:space="preserve">Table </w:t>
            </w:r>
            <w:r w:rsidR="005B00C5">
              <w:rPr>
                <w:rFonts w:ascii="Arial" w:eastAsia="Calibri" w:hAnsi="Arial"/>
                <w:b/>
                <w:bCs/>
                <w:color w:val="000000"/>
                <w:sz w:val="22"/>
                <w:szCs w:val="18"/>
              </w:rPr>
              <w:t>III.4</w:t>
            </w:r>
          </w:p>
          <w:p w:rsidR="00AF4B00" w:rsidRPr="00AF4B00" w:rsidRDefault="00AF4B00" w:rsidP="00AF4B00">
            <w:pPr>
              <w:keepNext/>
              <w:keepLines/>
              <w:suppressAutoHyphens/>
              <w:jc w:val="center"/>
              <w:rPr>
                <w:rFonts w:ascii="Arial" w:eastAsia="Calibri" w:hAnsi="Arial"/>
                <w:b/>
                <w:sz w:val="20"/>
                <w:szCs w:val="23"/>
              </w:rPr>
            </w:pPr>
            <w:r w:rsidRPr="00AF4B00">
              <w:rPr>
                <w:rFonts w:ascii="Arial" w:eastAsia="Calibri" w:hAnsi="Arial"/>
                <w:b/>
                <w:sz w:val="20"/>
                <w:szCs w:val="23"/>
              </w:rPr>
              <w:t>Population by Age</w:t>
            </w:r>
          </w:p>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State of New Mexico</w:t>
            </w:r>
          </w:p>
          <w:p w:rsidR="00AF4B00" w:rsidRPr="00AF4B00" w:rsidRDefault="00AF4B00" w:rsidP="00AF4B00">
            <w:pPr>
              <w:suppressAutoHyphens/>
              <w:jc w:val="center"/>
              <w:rPr>
                <w:rFonts w:ascii="Arial" w:eastAsia="Calibri" w:hAnsi="Arial"/>
                <w:b/>
                <w:bCs/>
                <w:sz w:val="16"/>
                <w:szCs w:val="23"/>
              </w:rPr>
            </w:pPr>
            <w:r w:rsidRPr="00AF4B00">
              <w:rPr>
                <w:rFonts w:ascii="Arial" w:eastAsia="Calibri" w:hAnsi="Arial"/>
                <w:sz w:val="16"/>
                <w:szCs w:val="23"/>
              </w:rPr>
              <w:t>2000 &amp; 2010 Census SF1 Data</w:t>
            </w:r>
          </w:p>
        </w:tc>
      </w:tr>
      <w:tr w:rsidR="00AF4B00" w:rsidRPr="00AF4B00" w:rsidTr="00AF4B00">
        <w:trPr>
          <w:trHeight w:val="216"/>
          <w:jc w:val="center"/>
        </w:trPr>
        <w:tc>
          <w:tcPr>
            <w:tcW w:w="1106" w:type="dxa"/>
            <w:vMerge w:val="restart"/>
            <w:tcBorders>
              <w:top w:val="single" w:sz="4" w:space="0" w:color="009900"/>
              <w:left w:val="single" w:sz="4" w:space="0" w:color="009900"/>
              <w:bottom w:val="single" w:sz="4" w:space="0" w:color="0099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b/>
                <w:sz w:val="16"/>
                <w:szCs w:val="23"/>
              </w:rPr>
            </w:pPr>
            <w:r w:rsidRPr="00AF4B00">
              <w:rPr>
                <w:rFonts w:ascii="Arial" w:eastAsia="Calibri" w:hAnsi="Arial"/>
                <w:b/>
                <w:sz w:val="16"/>
                <w:szCs w:val="23"/>
              </w:rPr>
              <w:t>Age</w:t>
            </w:r>
          </w:p>
        </w:tc>
        <w:tc>
          <w:tcPr>
            <w:tcW w:w="2202" w:type="dxa"/>
            <w:gridSpan w:val="2"/>
            <w:tcBorders>
              <w:top w:val="single" w:sz="4" w:space="0" w:color="009900"/>
              <w:left w:val="nil"/>
              <w:bottom w:val="dotted" w:sz="4" w:space="0" w:color="0099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b/>
                <w:sz w:val="16"/>
                <w:szCs w:val="23"/>
              </w:rPr>
            </w:pPr>
            <w:r w:rsidRPr="00AF4B00">
              <w:rPr>
                <w:rFonts w:ascii="Arial" w:eastAsia="Calibri" w:hAnsi="Arial"/>
                <w:b/>
                <w:sz w:val="16"/>
                <w:szCs w:val="23"/>
              </w:rPr>
              <w:t>2000 Census</w:t>
            </w:r>
          </w:p>
        </w:tc>
        <w:tc>
          <w:tcPr>
            <w:tcW w:w="2202" w:type="dxa"/>
            <w:gridSpan w:val="2"/>
            <w:tcBorders>
              <w:top w:val="single" w:sz="4" w:space="0" w:color="009900"/>
              <w:left w:val="nil"/>
              <w:bottom w:val="dotted" w:sz="4" w:space="0" w:color="0099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b/>
                <w:sz w:val="16"/>
                <w:szCs w:val="23"/>
              </w:rPr>
            </w:pPr>
            <w:r w:rsidRPr="00AF4B00">
              <w:rPr>
                <w:rFonts w:ascii="Arial" w:eastAsia="Calibri" w:hAnsi="Arial"/>
                <w:b/>
                <w:sz w:val="16"/>
                <w:szCs w:val="23"/>
              </w:rPr>
              <w:t xml:space="preserve">2010 Census </w:t>
            </w:r>
          </w:p>
        </w:tc>
        <w:tc>
          <w:tcPr>
            <w:tcW w:w="1258" w:type="dxa"/>
            <w:vMerge w:val="restart"/>
            <w:tcBorders>
              <w:top w:val="single" w:sz="4" w:space="0" w:color="009900"/>
              <w:left w:val="dotted" w:sz="4" w:space="0" w:color="009900"/>
              <w:bottom w:val="single" w:sz="4" w:space="0" w:color="009900"/>
              <w:right w:val="single" w:sz="4" w:space="0" w:color="009900"/>
            </w:tcBorders>
            <w:shd w:val="clear" w:color="000000" w:fill="FFFFE1"/>
            <w:vAlign w:val="center"/>
            <w:hideMark/>
          </w:tcPr>
          <w:p w:rsidR="00AF4B00" w:rsidRPr="00AF4B00" w:rsidRDefault="00AF4B00" w:rsidP="00AF4B00">
            <w:pPr>
              <w:suppressAutoHyphens/>
              <w:jc w:val="center"/>
              <w:rPr>
                <w:rFonts w:ascii="Arial" w:eastAsia="Calibri" w:hAnsi="Arial"/>
                <w:b/>
                <w:sz w:val="16"/>
                <w:szCs w:val="23"/>
              </w:rPr>
            </w:pPr>
            <w:r w:rsidRPr="00AF4B00">
              <w:rPr>
                <w:rFonts w:ascii="Arial" w:eastAsia="Calibri" w:hAnsi="Arial"/>
                <w:b/>
                <w:sz w:val="16"/>
                <w:szCs w:val="23"/>
              </w:rPr>
              <w:t>% Change 00–10</w:t>
            </w:r>
          </w:p>
        </w:tc>
      </w:tr>
      <w:tr w:rsidR="00AF4B00" w:rsidRPr="00AF4B00" w:rsidTr="00AF4B00">
        <w:trPr>
          <w:trHeight w:val="216"/>
          <w:jc w:val="center"/>
        </w:trPr>
        <w:tc>
          <w:tcPr>
            <w:tcW w:w="1106" w:type="dxa"/>
            <w:vMerge/>
            <w:tcBorders>
              <w:top w:val="nil"/>
              <w:left w:val="single" w:sz="4" w:space="0" w:color="009900"/>
              <w:bottom w:val="single" w:sz="4" w:space="0" w:color="009900"/>
              <w:right w:val="nil"/>
            </w:tcBorders>
            <w:vAlign w:val="center"/>
            <w:hideMark/>
          </w:tcPr>
          <w:p w:rsidR="00AF4B00" w:rsidRPr="00AF4B00" w:rsidRDefault="00AF4B00" w:rsidP="00AF4B00">
            <w:pPr>
              <w:suppressAutoHyphens/>
              <w:jc w:val="center"/>
              <w:rPr>
                <w:rFonts w:ascii="Arial" w:eastAsia="Calibri" w:hAnsi="Arial"/>
                <w:b/>
                <w:sz w:val="16"/>
                <w:szCs w:val="23"/>
              </w:rPr>
            </w:pPr>
          </w:p>
        </w:tc>
        <w:tc>
          <w:tcPr>
            <w:tcW w:w="1132" w:type="dxa"/>
            <w:tcBorders>
              <w:top w:val="nil"/>
              <w:left w:val="nil"/>
              <w:bottom w:val="single" w:sz="4" w:space="0" w:color="0099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b/>
                <w:sz w:val="16"/>
                <w:szCs w:val="23"/>
              </w:rPr>
            </w:pPr>
            <w:r w:rsidRPr="00AF4B00">
              <w:rPr>
                <w:rFonts w:ascii="Arial" w:eastAsia="Calibri" w:hAnsi="Arial"/>
                <w:b/>
                <w:sz w:val="16"/>
                <w:szCs w:val="23"/>
              </w:rPr>
              <w:t>Population</w:t>
            </w:r>
          </w:p>
        </w:tc>
        <w:tc>
          <w:tcPr>
            <w:tcW w:w="1070" w:type="dxa"/>
            <w:tcBorders>
              <w:top w:val="nil"/>
              <w:left w:val="nil"/>
              <w:bottom w:val="single" w:sz="4" w:space="0" w:color="0099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b/>
                <w:sz w:val="16"/>
                <w:szCs w:val="23"/>
              </w:rPr>
            </w:pPr>
            <w:r w:rsidRPr="00AF4B00">
              <w:rPr>
                <w:rFonts w:ascii="Arial" w:eastAsia="Calibri" w:hAnsi="Arial"/>
                <w:b/>
                <w:sz w:val="16"/>
                <w:szCs w:val="23"/>
              </w:rPr>
              <w:t>% of Total</w:t>
            </w:r>
          </w:p>
        </w:tc>
        <w:tc>
          <w:tcPr>
            <w:tcW w:w="1132" w:type="dxa"/>
            <w:tcBorders>
              <w:top w:val="nil"/>
              <w:left w:val="nil"/>
              <w:bottom w:val="single" w:sz="4" w:space="0" w:color="0099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b/>
                <w:sz w:val="16"/>
                <w:szCs w:val="23"/>
              </w:rPr>
            </w:pPr>
            <w:r w:rsidRPr="00AF4B00">
              <w:rPr>
                <w:rFonts w:ascii="Arial" w:eastAsia="Calibri" w:hAnsi="Arial"/>
                <w:b/>
                <w:sz w:val="16"/>
                <w:szCs w:val="23"/>
              </w:rPr>
              <w:t>Population</w:t>
            </w:r>
          </w:p>
        </w:tc>
        <w:tc>
          <w:tcPr>
            <w:tcW w:w="1070" w:type="dxa"/>
            <w:tcBorders>
              <w:top w:val="nil"/>
              <w:left w:val="nil"/>
              <w:bottom w:val="single" w:sz="4" w:space="0" w:color="0099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b/>
                <w:sz w:val="16"/>
                <w:szCs w:val="23"/>
              </w:rPr>
            </w:pPr>
            <w:r w:rsidRPr="00AF4B00">
              <w:rPr>
                <w:rFonts w:ascii="Arial" w:eastAsia="Calibri" w:hAnsi="Arial"/>
                <w:b/>
                <w:sz w:val="16"/>
                <w:szCs w:val="23"/>
              </w:rPr>
              <w:t>% of Total</w:t>
            </w:r>
          </w:p>
        </w:tc>
        <w:tc>
          <w:tcPr>
            <w:tcW w:w="1258" w:type="dxa"/>
            <w:vMerge/>
            <w:tcBorders>
              <w:top w:val="nil"/>
              <w:left w:val="dotted" w:sz="4" w:space="0" w:color="009900"/>
              <w:bottom w:val="single" w:sz="4" w:space="0" w:color="009900"/>
              <w:right w:val="single" w:sz="4" w:space="0" w:color="009900"/>
            </w:tcBorders>
            <w:vAlign w:val="center"/>
            <w:hideMark/>
          </w:tcPr>
          <w:p w:rsidR="00AF4B00" w:rsidRPr="00AF4B00" w:rsidRDefault="00AF4B00" w:rsidP="00AF4B00">
            <w:pPr>
              <w:spacing w:after="240"/>
              <w:jc w:val="both"/>
              <w:rPr>
                <w:rFonts w:ascii="Arial" w:eastAsia="Calibri" w:hAnsi="Arial" w:cs="Arial"/>
                <w:b/>
                <w:bCs/>
                <w:sz w:val="16"/>
                <w:szCs w:val="16"/>
              </w:rPr>
            </w:pPr>
          </w:p>
        </w:tc>
      </w:tr>
      <w:tr w:rsidR="00AF4B00" w:rsidRPr="00AF4B00" w:rsidTr="00AF4B00">
        <w:trPr>
          <w:trHeight w:val="216"/>
          <w:jc w:val="center"/>
        </w:trPr>
        <w:tc>
          <w:tcPr>
            <w:tcW w:w="1106" w:type="dxa"/>
            <w:tcBorders>
              <w:top w:val="nil"/>
              <w:left w:val="single" w:sz="4" w:space="0" w:color="009900"/>
              <w:bottom w:val="nil"/>
              <w:right w:val="nil"/>
            </w:tcBorders>
            <w:shd w:val="clear" w:color="000000" w:fill="FFFFE1"/>
            <w:noWrap/>
            <w:vAlign w:val="center"/>
            <w:hideMark/>
          </w:tcPr>
          <w:p w:rsidR="00AF4B00" w:rsidRPr="00AF4B00" w:rsidRDefault="00AF4B00" w:rsidP="00AF4B00">
            <w:pPr>
              <w:suppressAutoHyphens/>
              <w:rPr>
                <w:rFonts w:ascii="Arial" w:eastAsia="Calibri" w:hAnsi="Arial"/>
                <w:sz w:val="16"/>
                <w:szCs w:val="23"/>
              </w:rPr>
            </w:pPr>
            <w:r w:rsidRPr="00AF4B00">
              <w:rPr>
                <w:rFonts w:ascii="Arial" w:eastAsia="Calibri" w:hAnsi="Arial"/>
                <w:sz w:val="16"/>
                <w:szCs w:val="23"/>
              </w:rPr>
              <w:t>Under 5</w:t>
            </w:r>
          </w:p>
        </w:tc>
        <w:tc>
          <w:tcPr>
            <w:tcW w:w="1132"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noProof/>
                <w:sz w:val="16"/>
                <w:szCs w:val="23"/>
              </w:rPr>
              <w:t>130,628</w:t>
            </w:r>
          </w:p>
        </w:tc>
        <w:tc>
          <w:tcPr>
            <w:tcW w:w="1070"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noProof/>
                <w:sz w:val="16"/>
                <w:szCs w:val="23"/>
              </w:rPr>
              <w:t>7.2</w:t>
            </w:r>
            <w:r w:rsidRPr="00AF4B00">
              <w:rPr>
                <w:rFonts w:ascii="Arial" w:eastAsia="Calibri" w:hAnsi="Arial" w:cs="Arial"/>
                <w:sz w:val="16"/>
                <w:szCs w:val="16"/>
              </w:rPr>
              <w:t>%</w:t>
            </w:r>
          </w:p>
        </w:tc>
        <w:tc>
          <w:tcPr>
            <w:tcW w:w="1132"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cs="Arial"/>
                <w:noProof/>
                <w:sz w:val="16"/>
                <w:szCs w:val="16"/>
              </w:rPr>
              <w:t>144,981</w:t>
            </w:r>
          </w:p>
        </w:tc>
        <w:tc>
          <w:tcPr>
            <w:tcW w:w="1070"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cs="Arial"/>
                <w:noProof/>
                <w:sz w:val="16"/>
                <w:szCs w:val="16"/>
              </w:rPr>
              <w:t>7.0</w:t>
            </w:r>
            <w:r w:rsidRPr="00AF4B00">
              <w:rPr>
                <w:rFonts w:ascii="Arial" w:eastAsia="Calibri" w:hAnsi="Arial" w:cs="Arial"/>
                <w:sz w:val="16"/>
                <w:szCs w:val="16"/>
              </w:rPr>
              <w:t>%</w:t>
            </w:r>
          </w:p>
        </w:tc>
        <w:tc>
          <w:tcPr>
            <w:tcW w:w="1258" w:type="dxa"/>
            <w:tcBorders>
              <w:top w:val="nil"/>
              <w:left w:val="dotted" w:sz="4" w:space="0" w:color="009900"/>
              <w:bottom w:val="nil"/>
              <w:right w:val="single" w:sz="4" w:space="0" w:color="009900"/>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noProof/>
                <w:sz w:val="16"/>
                <w:szCs w:val="23"/>
              </w:rPr>
              <w:t>11.0</w:t>
            </w:r>
            <w:r w:rsidRPr="00AF4B00">
              <w:rPr>
                <w:rFonts w:ascii="Arial" w:eastAsia="Calibri" w:hAnsi="Arial" w:cs="Arial"/>
                <w:sz w:val="16"/>
                <w:szCs w:val="16"/>
              </w:rPr>
              <w:t>%</w:t>
            </w:r>
          </w:p>
        </w:tc>
      </w:tr>
      <w:tr w:rsidR="00AF4B00" w:rsidRPr="00AF4B00" w:rsidTr="00AF4B00">
        <w:trPr>
          <w:trHeight w:val="216"/>
          <w:jc w:val="center"/>
        </w:trPr>
        <w:tc>
          <w:tcPr>
            <w:tcW w:w="1106" w:type="dxa"/>
            <w:tcBorders>
              <w:top w:val="nil"/>
              <w:left w:val="single" w:sz="4" w:space="0" w:color="009900"/>
              <w:bottom w:val="nil"/>
              <w:right w:val="nil"/>
            </w:tcBorders>
            <w:shd w:val="clear" w:color="000000" w:fill="FFFFE1"/>
            <w:noWrap/>
            <w:vAlign w:val="center"/>
            <w:hideMark/>
          </w:tcPr>
          <w:p w:rsidR="00AF4B00" w:rsidRPr="00AF4B00" w:rsidRDefault="00AF4B00" w:rsidP="00AF4B00">
            <w:pPr>
              <w:suppressAutoHyphens/>
              <w:rPr>
                <w:rFonts w:ascii="Arial" w:eastAsia="Calibri" w:hAnsi="Arial"/>
                <w:sz w:val="16"/>
                <w:szCs w:val="23"/>
              </w:rPr>
            </w:pPr>
            <w:r w:rsidRPr="00AF4B00">
              <w:rPr>
                <w:rFonts w:ascii="Arial" w:eastAsia="Calibri" w:hAnsi="Arial"/>
                <w:sz w:val="16"/>
                <w:szCs w:val="23"/>
              </w:rPr>
              <w:t>5 to 19</w:t>
            </w:r>
          </w:p>
        </w:tc>
        <w:tc>
          <w:tcPr>
            <w:tcW w:w="1132"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noProof/>
                <w:sz w:val="16"/>
                <w:szCs w:val="23"/>
              </w:rPr>
              <w:t>434,231</w:t>
            </w:r>
          </w:p>
        </w:tc>
        <w:tc>
          <w:tcPr>
            <w:tcW w:w="1070"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noProof/>
                <w:sz w:val="16"/>
                <w:szCs w:val="23"/>
              </w:rPr>
              <w:t>23.9</w:t>
            </w:r>
            <w:r w:rsidRPr="00AF4B00">
              <w:rPr>
                <w:rFonts w:ascii="Arial" w:eastAsia="Calibri" w:hAnsi="Arial" w:cs="Arial"/>
                <w:sz w:val="16"/>
                <w:szCs w:val="16"/>
              </w:rPr>
              <w:t>%</w:t>
            </w:r>
          </w:p>
        </w:tc>
        <w:tc>
          <w:tcPr>
            <w:tcW w:w="1132"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cs="Arial"/>
                <w:noProof/>
                <w:sz w:val="16"/>
                <w:szCs w:val="16"/>
              </w:rPr>
              <w:t>434,860</w:t>
            </w:r>
          </w:p>
        </w:tc>
        <w:tc>
          <w:tcPr>
            <w:tcW w:w="1070"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cs="Arial"/>
                <w:noProof/>
                <w:sz w:val="16"/>
                <w:szCs w:val="16"/>
              </w:rPr>
              <w:t>21.1</w:t>
            </w:r>
            <w:r w:rsidRPr="00AF4B00">
              <w:rPr>
                <w:rFonts w:ascii="Arial" w:eastAsia="Calibri" w:hAnsi="Arial" w:cs="Arial"/>
                <w:sz w:val="16"/>
                <w:szCs w:val="16"/>
              </w:rPr>
              <w:t>%</w:t>
            </w:r>
          </w:p>
        </w:tc>
        <w:tc>
          <w:tcPr>
            <w:tcW w:w="1258" w:type="dxa"/>
            <w:tcBorders>
              <w:top w:val="nil"/>
              <w:left w:val="dotted" w:sz="4" w:space="0" w:color="009900"/>
              <w:bottom w:val="nil"/>
              <w:right w:val="single" w:sz="4" w:space="0" w:color="009900"/>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noProof/>
                <w:sz w:val="16"/>
                <w:szCs w:val="23"/>
              </w:rPr>
              <w:t>.1</w:t>
            </w:r>
            <w:r w:rsidRPr="00AF4B00">
              <w:rPr>
                <w:rFonts w:ascii="Arial" w:eastAsia="Calibri" w:hAnsi="Arial" w:cs="Arial"/>
                <w:sz w:val="16"/>
                <w:szCs w:val="16"/>
              </w:rPr>
              <w:t>%</w:t>
            </w:r>
          </w:p>
        </w:tc>
      </w:tr>
      <w:tr w:rsidR="00AF4B00" w:rsidRPr="00AF4B00" w:rsidTr="00AF4B00">
        <w:trPr>
          <w:trHeight w:val="216"/>
          <w:jc w:val="center"/>
        </w:trPr>
        <w:tc>
          <w:tcPr>
            <w:tcW w:w="1106" w:type="dxa"/>
            <w:tcBorders>
              <w:top w:val="nil"/>
              <w:left w:val="single" w:sz="4" w:space="0" w:color="009900"/>
              <w:bottom w:val="nil"/>
              <w:right w:val="nil"/>
            </w:tcBorders>
            <w:shd w:val="clear" w:color="000000" w:fill="FFFFE1"/>
            <w:noWrap/>
            <w:vAlign w:val="center"/>
            <w:hideMark/>
          </w:tcPr>
          <w:p w:rsidR="00AF4B00" w:rsidRPr="00AF4B00" w:rsidRDefault="00AF4B00" w:rsidP="00AF4B00">
            <w:pPr>
              <w:suppressAutoHyphens/>
              <w:rPr>
                <w:rFonts w:ascii="Arial" w:eastAsia="Calibri" w:hAnsi="Arial"/>
                <w:sz w:val="16"/>
                <w:szCs w:val="23"/>
              </w:rPr>
            </w:pPr>
            <w:r w:rsidRPr="00AF4B00">
              <w:rPr>
                <w:rFonts w:ascii="Arial" w:eastAsia="Calibri" w:hAnsi="Arial"/>
                <w:sz w:val="16"/>
                <w:szCs w:val="23"/>
              </w:rPr>
              <w:t>20 to 24</w:t>
            </w:r>
          </w:p>
        </w:tc>
        <w:tc>
          <w:tcPr>
            <w:tcW w:w="1132"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noProof/>
                <w:sz w:val="16"/>
                <w:szCs w:val="23"/>
              </w:rPr>
              <w:t>121,291</w:t>
            </w:r>
          </w:p>
        </w:tc>
        <w:tc>
          <w:tcPr>
            <w:tcW w:w="1070"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noProof/>
                <w:sz w:val="16"/>
                <w:szCs w:val="23"/>
              </w:rPr>
              <w:t>6.7</w:t>
            </w:r>
            <w:r w:rsidRPr="00AF4B00">
              <w:rPr>
                <w:rFonts w:ascii="Arial" w:eastAsia="Calibri" w:hAnsi="Arial" w:cs="Arial"/>
                <w:sz w:val="16"/>
                <w:szCs w:val="16"/>
              </w:rPr>
              <w:t>%</w:t>
            </w:r>
          </w:p>
        </w:tc>
        <w:tc>
          <w:tcPr>
            <w:tcW w:w="1132"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cs="Arial"/>
                <w:noProof/>
                <w:sz w:val="16"/>
                <w:szCs w:val="16"/>
              </w:rPr>
              <w:t>142,370</w:t>
            </w:r>
          </w:p>
        </w:tc>
        <w:tc>
          <w:tcPr>
            <w:tcW w:w="1070"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cs="Arial"/>
                <w:noProof/>
                <w:sz w:val="16"/>
                <w:szCs w:val="16"/>
              </w:rPr>
              <w:t>6.9</w:t>
            </w:r>
            <w:r w:rsidRPr="00AF4B00">
              <w:rPr>
                <w:rFonts w:ascii="Arial" w:eastAsia="Calibri" w:hAnsi="Arial" w:cs="Arial"/>
                <w:sz w:val="16"/>
                <w:szCs w:val="16"/>
              </w:rPr>
              <w:t>%</w:t>
            </w:r>
          </w:p>
        </w:tc>
        <w:tc>
          <w:tcPr>
            <w:tcW w:w="1258" w:type="dxa"/>
            <w:tcBorders>
              <w:top w:val="nil"/>
              <w:left w:val="dotted" w:sz="4" w:space="0" w:color="009900"/>
              <w:bottom w:val="nil"/>
              <w:right w:val="single" w:sz="4" w:space="0" w:color="009900"/>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noProof/>
                <w:sz w:val="16"/>
                <w:szCs w:val="23"/>
              </w:rPr>
              <w:t>17.4</w:t>
            </w:r>
            <w:r w:rsidRPr="00AF4B00">
              <w:rPr>
                <w:rFonts w:ascii="Arial" w:eastAsia="Calibri" w:hAnsi="Arial" w:cs="Arial"/>
                <w:sz w:val="16"/>
                <w:szCs w:val="16"/>
              </w:rPr>
              <w:t>%</w:t>
            </w:r>
          </w:p>
        </w:tc>
      </w:tr>
      <w:tr w:rsidR="00AF4B00" w:rsidRPr="00AF4B00" w:rsidTr="00AF4B00">
        <w:trPr>
          <w:trHeight w:val="216"/>
          <w:jc w:val="center"/>
        </w:trPr>
        <w:tc>
          <w:tcPr>
            <w:tcW w:w="1106" w:type="dxa"/>
            <w:tcBorders>
              <w:top w:val="nil"/>
              <w:left w:val="single" w:sz="4" w:space="0" w:color="009900"/>
              <w:bottom w:val="nil"/>
              <w:right w:val="nil"/>
            </w:tcBorders>
            <w:shd w:val="clear" w:color="000000" w:fill="FFFFE1"/>
            <w:noWrap/>
            <w:vAlign w:val="center"/>
            <w:hideMark/>
          </w:tcPr>
          <w:p w:rsidR="00AF4B00" w:rsidRPr="00AF4B00" w:rsidRDefault="00AF4B00" w:rsidP="00AF4B00">
            <w:pPr>
              <w:suppressAutoHyphens/>
              <w:rPr>
                <w:rFonts w:ascii="Arial" w:eastAsia="Calibri" w:hAnsi="Arial"/>
                <w:sz w:val="16"/>
                <w:szCs w:val="23"/>
              </w:rPr>
            </w:pPr>
            <w:r w:rsidRPr="00AF4B00">
              <w:rPr>
                <w:rFonts w:ascii="Arial" w:eastAsia="Calibri" w:hAnsi="Arial"/>
                <w:sz w:val="16"/>
                <w:szCs w:val="23"/>
              </w:rPr>
              <w:t>25 to 34</w:t>
            </w:r>
          </w:p>
        </w:tc>
        <w:tc>
          <w:tcPr>
            <w:tcW w:w="1132"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noProof/>
                <w:sz w:val="16"/>
                <w:szCs w:val="23"/>
              </w:rPr>
              <w:t>234,091</w:t>
            </w:r>
          </w:p>
        </w:tc>
        <w:tc>
          <w:tcPr>
            <w:tcW w:w="1070"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noProof/>
                <w:sz w:val="16"/>
                <w:szCs w:val="23"/>
              </w:rPr>
              <w:t>12.9</w:t>
            </w:r>
            <w:r w:rsidRPr="00AF4B00">
              <w:rPr>
                <w:rFonts w:ascii="Arial" w:eastAsia="Calibri" w:hAnsi="Arial" w:cs="Arial"/>
                <w:sz w:val="16"/>
                <w:szCs w:val="16"/>
              </w:rPr>
              <w:t>%</w:t>
            </w:r>
          </w:p>
        </w:tc>
        <w:tc>
          <w:tcPr>
            <w:tcW w:w="1132"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cs="Arial"/>
                <w:noProof/>
                <w:sz w:val="16"/>
                <w:szCs w:val="16"/>
              </w:rPr>
              <w:t>267,245</w:t>
            </w:r>
          </w:p>
        </w:tc>
        <w:tc>
          <w:tcPr>
            <w:tcW w:w="1070"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cs="Arial"/>
                <w:noProof/>
                <w:sz w:val="16"/>
                <w:szCs w:val="16"/>
              </w:rPr>
              <w:t>13.0</w:t>
            </w:r>
            <w:r w:rsidRPr="00AF4B00">
              <w:rPr>
                <w:rFonts w:ascii="Arial" w:eastAsia="Calibri" w:hAnsi="Arial" w:cs="Arial"/>
                <w:sz w:val="16"/>
                <w:szCs w:val="16"/>
              </w:rPr>
              <w:t>%</w:t>
            </w:r>
          </w:p>
        </w:tc>
        <w:tc>
          <w:tcPr>
            <w:tcW w:w="1258" w:type="dxa"/>
            <w:tcBorders>
              <w:top w:val="nil"/>
              <w:left w:val="dotted" w:sz="4" w:space="0" w:color="009900"/>
              <w:bottom w:val="nil"/>
              <w:right w:val="single" w:sz="4" w:space="0" w:color="009900"/>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noProof/>
                <w:sz w:val="16"/>
                <w:szCs w:val="23"/>
              </w:rPr>
              <w:t>14.2</w:t>
            </w:r>
            <w:r w:rsidRPr="00AF4B00">
              <w:rPr>
                <w:rFonts w:ascii="Arial" w:eastAsia="Calibri" w:hAnsi="Arial" w:cs="Arial"/>
                <w:sz w:val="16"/>
                <w:szCs w:val="16"/>
              </w:rPr>
              <w:t>%</w:t>
            </w:r>
          </w:p>
        </w:tc>
      </w:tr>
      <w:tr w:rsidR="00AF4B00" w:rsidRPr="00AF4B00" w:rsidTr="00AF4B00">
        <w:trPr>
          <w:trHeight w:val="216"/>
          <w:jc w:val="center"/>
        </w:trPr>
        <w:tc>
          <w:tcPr>
            <w:tcW w:w="1106" w:type="dxa"/>
            <w:tcBorders>
              <w:top w:val="nil"/>
              <w:left w:val="single" w:sz="4" w:space="0" w:color="009900"/>
              <w:bottom w:val="nil"/>
              <w:right w:val="nil"/>
            </w:tcBorders>
            <w:shd w:val="clear" w:color="000000" w:fill="FFFFE1"/>
            <w:noWrap/>
            <w:vAlign w:val="center"/>
            <w:hideMark/>
          </w:tcPr>
          <w:p w:rsidR="00AF4B00" w:rsidRPr="00AF4B00" w:rsidRDefault="00AF4B00" w:rsidP="00AF4B00">
            <w:pPr>
              <w:suppressAutoHyphens/>
              <w:rPr>
                <w:rFonts w:ascii="Arial" w:eastAsia="Calibri" w:hAnsi="Arial"/>
                <w:sz w:val="16"/>
                <w:szCs w:val="23"/>
              </w:rPr>
            </w:pPr>
            <w:r w:rsidRPr="00AF4B00">
              <w:rPr>
                <w:rFonts w:ascii="Arial" w:eastAsia="Calibri" w:hAnsi="Arial"/>
                <w:sz w:val="16"/>
                <w:szCs w:val="23"/>
              </w:rPr>
              <w:t>35 to 54</w:t>
            </w:r>
          </w:p>
        </w:tc>
        <w:tc>
          <w:tcPr>
            <w:tcW w:w="1132"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noProof/>
                <w:sz w:val="16"/>
                <w:szCs w:val="23"/>
              </w:rPr>
              <w:t>527,828</w:t>
            </w:r>
          </w:p>
        </w:tc>
        <w:tc>
          <w:tcPr>
            <w:tcW w:w="1070"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noProof/>
                <w:sz w:val="16"/>
                <w:szCs w:val="23"/>
              </w:rPr>
              <w:t>29.0</w:t>
            </w:r>
            <w:r w:rsidRPr="00AF4B00">
              <w:rPr>
                <w:rFonts w:ascii="Arial" w:eastAsia="Calibri" w:hAnsi="Arial" w:cs="Arial"/>
                <w:sz w:val="16"/>
                <w:szCs w:val="16"/>
              </w:rPr>
              <w:t>%</w:t>
            </w:r>
          </w:p>
        </w:tc>
        <w:tc>
          <w:tcPr>
            <w:tcW w:w="1132"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cs="Arial"/>
                <w:noProof/>
                <w:sz w:val="16"/>
                <w:szCs w:val="16"/>
              </w:rPr>
              <w:t>540,532</w:t>
            </w:r>
          </w:p>
        </w:tc>
        <w:tc>
          <w:tcPr>
            <w:tcW w:w="1070"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cs="Arial"/>
                <w:noProof/>
                <w:sz w:val="16"/>
                <w:szCs w:val="16"/>
              </w:rPr>
              <w:t>26.2</w:t>
            </w:r>
            <w:r w:rsidRPr="00AF4B00">
              <w:rPr>
                <w:rFonts w:ascii="Arial" w:eastAsia="Calibri" w:hAnsi="Arial" w:cs="Arial"/>
                <w:sz w:val="16"/>
                <w:szCs w:val="16"/>
              </w:rPr>
              <w:t>%</w:t>
            </w:r>
          </w:p>
        </w:tc>
        <w:tc>
          <w:tcPr>
            <w:tcW w:w="1258" w:type="dxa"/>
            <w:tcBorders>
              <w:top w:val="nil"/>
              <w:left w:val="dotted" w:sz="4" w:space="0" w:color="009900"/>
              <w:bottom w:val="nil"/>
              <w:right w:val="single" w:sz="4" w:space="0" w:color="009900"/>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noProof/>
                <w:sz w:val="16"/>
                <w:szCs w:val="23"/>
              </w:rPr>
              <w:t>2.4</w:t>
            </w:r>
            <w:r w:rsidRPr="00AF4B00">
              <w:rPr>
                <w:rFonts w:ascii="Arial" w:eastAsia="Calibri" w:hAnsi="Arial" w:cs="Arial"/>
                <w:sz w:val="16"/>
                <w:szCs w:val="16"/>
              </w:rPr>
              <w:t>%</w:t>
            </w:r>
          </w:p>
        </w:tc>
      </w:tr>
      <w:tr w:rsidR="00AF4B00" w:rsidRPr="00AF4B00" w:rsidTr="00AF4B00">
        <w:trPr>
          <w:trHeight w:val="216"/>
          <w:jc w:val="center"/>
        </w:trPr>
        <w:tc>
          <w:tcPr>
            <w:tcW w:w="1106" w:type="dxa"/>
            <w:tcBorders>
              <w:top w:val="nil"/>
              <w:left w:val="single" w:sz="4" w:space="0" w:color="009900"/>
              <w:bottom w:val="nil"/>
              <w:right w:val="nil"/>
            </w:tcBorders>
            <w:shd w:val="clear" w:color="000000" w:fill="FFFFE1"/>
            <w:noWrap/>
            <w:vAlign w:val="center"/>
            <w:hideMark/>
          </w:tcPr>
          <w:p w:rsidR="00AF4B00" w:rsidRPr="00AF4B00" w:rsidRDefault="00AF4B00" w:rsidP="00AF4B00">
            <w:pPr>
              <w:suppressAutoHyphens/>
              <w:rPr>
                <w:rFonts w:ascii="Arial" w:eastAsia="Calibri" w:hAnsi="Arial"/>
                <w:sz w:val="16"/>
                <w:szCs w:val="23"/>
              </w:rPr>
            </w:pPr>
            <w:r w:rsidRPr="00AF4B00">
              <w:rPr>
                <w:rFonts w:ascii="Arial" w:eastAsia="Calibri" w:hAnsi="Arial"/>
                <w:sz w:val="16"/>
                <w:szCs w:val="23"/>
              </w:rPr>
              <w:t>55 to 64</w:t>
            </w:r>
          </w:p>
        </w:tc>
        <w:tc>
          <w:tcPr>
            <w:tcW w:w="1132"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noProof/>
                <w:sz w:val="16"/>
                <w:szCs w:val="23"/>
              </w:rPr>
              <w:t>158,752</w:t>
            </w:r>
          </w:p>
        </w:tc>
        <w:tc>
          <w:tcPr>
            <w:tcW w:w="1070"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noProof/>
                <w:sz w:val="16"/>
                <w:szCs w:val="23"/>
              </w:rPr>
              <w:t>8.7</w:t>
            </w:r>
            <w:r w:rsidRPr="00AF4B00">
              <w:rPr>
                <w:rFonts w:ascii="Arial" w:eastAsia="Calibri" w:hAnsi="Arial" w:cs="Arial"/>
                <w:sz w:val="16"/>
                <w:szCs w:val="16"/>
              </w:rPr>
              <w:t>%</w:t>
            </w:r>
          </w:p>
        </w:tc>
        <w:tc>
          <w:tcPr>
            <w:tcW w:w="1132"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cs="Arial"/>
                <w:noProof/>
                <w:sz w:val="16"/>
                <w:szCs w:val="16"/>
              </w:rPr>
              <w:t>256,936</w:t>
            </w:r>
          </w:p>
        </w:tc>
        <w:tc>
          <w:tcPr>
            <w:tcW w:w="1070"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cs="Arial"/>
                <w:noProof/>
                <w:sz w:val="16"/>
                <w:szCs w:val="16"/>
              </w:rPr>
              <w:t>12.5</w:t>
            </w:r>
            <w:r w:rsidRPr="00AF4B00">
              <w:rPr>
                <w:rFonts w:ascii="Arial" w:eastAsia="Calibri" w:hAnsi="Arial" w:cs="Arial"/>
                <w:sz w:val="16"/>
                <w:szCs w:val="16"/>
              </w:rPr>
              <w:t>%</w:t>
            </w:r>
          </w:p>
        </w:tc>
        <w:tc>
          <w:tcPr>
            <w:tcW w:w="1258" w:type="dxa"/>
            <w:tcBorders>
              <w:top w:val="nil"/>
              <w:left w:val="dotted" w:sz="4" w:space="0" w:color="009900"/>
              <w:bottom w:val="nil"/>
              <w:right w:val="single" w:sz="4" w:space="0" w:color="009900"/>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noProof/>
                <w:sz w:val="16"/>
                <w:szCs w:val="23"/>
              </w:rPr>
              <w:t>61.8</w:t>
            </w:r>
            <w:r w:rsidRPr="00AF4B00">
              <w:rPr>
                <w:rFonts w:ascii="Arial" w:eastAsia="Calibri" w:hAnsi="Arial" w:cs="Arial"/>
                <w:sz w:val="16"/>
                <w:szCs w:val="16"/>
              </w:rPr>
              <w:t>%</w:t>
            </w:r>
          </w:p>
        </w:tc>
      </w:tr>
      <w:tr w:rsidR="00AF4B00" w:rsidRPr="00AF4B00" w:rsidTr="00AF4B00">
        <w:trPr>
          <w:trHeight w:val="216"/>
          <w:jc w:val="center"/>
        </w:trPr>
        <w:tc>
          <w:tcPr>
            <w:tcW w:w="1106" w:type="dxa"/>
            <w:tcBorders>
              <w:top w:val="nil"/>
              <w:left w:val="single" w:sz="4" w:space="0" w:color="009900"/>
              <w:bottom w:val="double" w:sz="6" w:space="0" w:color="009900"/>
              <w:right w:val="nil"/>
            </w:tcBorders>
            <w:shd w:val="clear" w:color="000000" w:fill="FFFFE1"/>
            <w:noWrap/>
            <w:vAlign w:val="center"/>
            <w:hideMark/>
          </w:tcPr>
          <w:p w:rsidR="00AF4B00" w:rsidRPr="00AF4B00" w:rsidRDefault="00AF4B00" w:rsidP="00AF4B00">
            <w:pPr>
              <w:suppressAutoHyphens/>
              <w:rPr>
                <w:rFonts w:ascii="Arial" w:eastAsia="Calibri" w:hAnsi="Arial"/>
                <w:sz w:val="16"/>
                <w:szCs w:val="23"/>
              </w:rPr>
            </w:pPr>
            <w:r w:rsidRPr="00AF4B00">
              <w:rPr>
                <w:rFonts w:ascii="Arial" w:eastAsia="Calibri" w:hAnsi="Arial"/>
                <w:sz w:val="16"/>
                <w:szCs w:val="23"/>
              </w:rPr>
              <w:t>65 or Older</w:t>
            </w:r>
          </w:p>
        </w:tc>
        <w:tc>
          <w:tcPr>
            <w:tcW w:w="1132" w:type="dxa"/>
            <w:tcBorders>
              <w:top w:val="nil"/>
              <w:left w:val="nil"/>
              <w:bottom w:val="double" w:sz="6" w:space="0" w:color="0099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noProof/>
                <w:sz w:val="16"/>
                <w:szCs w:val="23"/>
              </w:rPr>
              <w:t>212,225</w:t>
            </w:r>
          </w:p>
        </w:tc>
        <w:tc>
          <w:tcPr>
            <w:tcW w:w="1070" w:type="dxa"/>
            <w:tcBorders>
              <w:top w:val="nil"/>
              <w:left w:val="nil"/>
              <w:bottom w:val="double" w:sz="6" w:space="0" w:color="0099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noProof/>
                <w:sz w:val="16"/>
                <w:szCs w:val="23"/>
              </w:rPr>
              <w:t>11.7</w:t>
            </w:r>
            <w:r w:rsidRPr="00AF4B00">
              <w:rPr>
                <w:rFonts w:ascii="Arial" w:eastAsia="Calibri" w:hAnsi="Arial" w:cs="Arial"/>
                <w:sz w:val="16"/>
                <w:szCs w:val="16"/>
              </w:rPr>
              <w:t>%</w:t>
            </w:r>
          </w:p>
        </w:tc>
        <w:tc>
          <w:tcPr>
            <w:tcW w:w="1132" w:type="dxa"/>
            <w:tcBorders>
              <w:top w:val="nil"/>
              <w:left w:val="nil"/>
              <w:bottom w:val="double" w:sz="6" w:space="0" w:color="0099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cs="Arial"/>
                <w:noProof/>
                <w:sz w:val="16"/>
                <w:szCs w:val="16"/>
              </w:rPr>
              <w:t>272,255</w:t>
            </w:r>
          </w:p>
        </w:tc>
        <w:tc>
          <w:tcPr>
            <w:tcW w:w="1070" w:type="dxa"/>
            <w:tcBorders>
              <w:top w:val="nil"/>
              <w:left w:val="nil"/>
              <w:bottom w:val="double" w:sz="6" w:space="0" w:color="0099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cs="Arial"/>
                <w:noProof/>
                <w:sz w:val="16"/>
                <w:szCs w:val="16"/>
              </w:rPr>
              <w:t>13.2</w:t>
            </w:r>
            <w:r w:rsidRPr="00AF4B00">
              <w:rPr>
                <w:rFonts w:ascii="Arial" w:eastAsia="Calibri" w:hAnsi="Arial" w:cs="Arial"/>
                <w:sz w:val="16"/>
                <w:szCs w:val="16"/>
              </w:rPr>
              <w:t>% </w:t>
            </w:r>
          </w:p>
        </w:tc>
        <w:tc>
          <w:tcPr>
            <w:tcW w:w="1258" w:type="dxa"/>
            <w:tcBorders>
              <w:top w:val="nil"/>
              <w:left w:val="dotted" w:sz="4" w:space="0" w:color="009900"/>
              <w:bottom w:val="double" w:sz="6" w:space="0" w:color="009900"/>
              <w:right w:val="single" w:sz="4" w:space="0" w:color="009900"/>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noProof/>
                <w:sz w:val="16"/>
                <w:szCs w:val="23"/>
              </w:rPr>
              <w:t>28.3</w:t>
            </w:r>
            <w:r w:rsidRPr="00AF4B00">
              <w:rPr>
                <w:rFonts w:ascii="Arial" w:eastAsia="Calibri" w:hAnsi="Arial" w:cs="Arial"/>
                <w:sz w:val="16"/>
                <w:szCs w:val="16"/>
              </w:rPr>
              <w:t>%</w:t>
            </w:r>
          </w:p>
        </w:tc>
      </w:tr>
      <w:tr w:rsidR="00AF4B00" w:rsidRPr="00AF4B00" w:rsidTr="00AF4B00">
        <w:trPr>
          <w:trHeight w:val="216"/>
          <w:jc w:val="center"/>
        </w:trPr>
        <w:tc>
          <w:tcPr>
            <w:tcW w:w="1106" w:type="dxa"/>
            <w:tcBorders>
              <w:top w:val="double" w:sz="6" w:space="0" w:color="009900"/>
              <w:left w:val="single" w:sz="4" w:space="0" w:color="009900"/>
              <w:bottom w:val="single" w:sz="4" w:space="0" w:color="009900"/>
              <w:right w:val="nil"/>
            </w:tcBorders>
            <w:shd w:val="clear" w:color="000000" w:fill="FFFFE1"/>
            <w:noWrap/>
            <w:vAlign w:val="center"/>
            <w:hideMark/>
          </w:tcPr>
          <w:p w:rsidR="00AF4B00" w:rsidRPr="00AF4B00" w:rsidRDefault="00AF4B00" w:rsidP="00AF4B00">
            <w:pPr>
              <w:suppressAutoHyphens/>
              <w:rPr>
                <w:rFonts w:ascii="Arial" w:eastAsia="Calibri" w:hAnsi="Arial"/>
                <w:b/>
                <w:bCs/>
                <w:sz w:val="16"/>
                <w:szCs w:val="23"/>
              </w:rPr>
            </w:pPr>
            <w:r w:rsidRPr="00AF4B00">
              <w:rPr>
                <w:rFonts w:ascii="Arial" w:eastAsia="Calibri" w:hAnsi="Arial"/>
                <w:b/>
                <w:bCs/>
                <w:sz w:val="16"/>
                <w:szCs w:val="23"/>
              </w:rPr>
              <w:t>Total</w:t>
            </w:r>
          </w:p>
        </w:tc>
        <w:tc>
          <w:tcPr>
            <w:tcW w:w="1132" w:type="dxa"/>
            <w:tcBorders>
              <w:top w:val="double" w:sz="6" w:space="0" w:color="009900"/>
              <w:left w:val="nil"/>
              <w:bottom w:val="single" w:sz="4" w:space="0" w:color="0099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b/>
                <w:bCs/>
                <w:sz w:val="16"/>
                <w:szCs w:val="16"/>
              </w:rPr>
            </w:pPr>
            <w:r w:rsidRPr="00AF4B00">
              <w:rPr>
                <w:rFonts w:ascii="Arial" w:eastAsia="Calibri" w:hAnsi="Arial"/>
                <w:b/>
                <w:noProof/>
                <w:sz w:val="16"/>
                <w:szCs w:val="23"/>
              </w:rPr>
              <w:t>1,819,046</w:t>
            </w:r>
          </w:p>
        </w:tc>
        <w:tc>
          <w:tcPr>
            <w:tcW w:w="1070" w:type="dxa"/>
            <w:tcBorders>
              <w:top w:val="double" w:sz="6" w:space="0" w:color="009900"/>
              <w:left w:val="nil"/>
              <w:bottom w:val="single" w:sz="4" w:space="0" w:color="0099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b/>
                <w:sz w:val="16"/>
                <w:szCs w:val="23"/>
              </w:rPr>
            </w:pPr>
            <w:r w:rsidRPr="00AF4B00">
              <w:rPr>
                <w:rFonts w:ascii="Arial" w:eastAsia="Calibri" w:hAnsi="Arial"/>
                <w:b/>
                <w:sz w:val="16"/>
                <w:szCs w:val="23"/>
              </w:rPr>
              <w:t>100.0%</w:t>
            </w:r>
          </w:p>
        </w:tc>
        <w:tc>
          <w:tcPr>
            <w:tcW w:w="1132" w:type="dxa"/>
            <w:tcBorders>
              <w:top w:val="double" w:sz="6" w:space="0" w:color="009900"/>
              <w:left w:val="nil"/>
              <w:bottom w:val="single" w:sz="4" w:space="0" w:color="0099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b/>
                <w:bCs/>
                <w:sz w:val="16"/>
                <w:szCs w:val="16"/>
              </w:rPr>
            </w:pPr>
            <w:r w:rsidRPr="00AF4B00">
              <w:rPr>
                <w:rFonts w:ascii="Arial" w:eastAsia="Calibri" w:hAnsi="Arial" w:cs="Arial"/>
                <w:b/>
                <w:noProof/>
                <w:sz w:val="16"/>
                <w:szCs w:val="16"/>
              </w:rPr>
              <w:t>2,059,179</w:t>
            </w:r>
          </w:p>
        </w:tc>
        <w:tc>
          <w:tcPr>
            <w:tcW w:w="1070" w:type="dxa"/>
            <w:tcBorders>
              <w:top w:val="double" w:sz="6" w:space="0" w:color="009900"/>
              <w:left w:val="nil"/>
              <w:bottom w:val="single" w:sz="4" w:space="0" w:color="0099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b/>
                <w:sz w:val="16"/>
                <w:szCs w:val="23"/>
              </w:rPr>
            </w:pPr>
            <w:r w:rsidRPr="00AF4B00">
              <w:rPr>
                <w:rFonts w:ascii="Arial" w:eastAsia="Calibri" w:hAnsi="Arial"/>
                <w:b/>
                <w:sz w:val="16"/>
                <w:szCs w:val="23"/>
              </w:rPr>
              <w:t>100.0%</w:t>
            </w:r>
          </w:p>
        </w:tc>
        <w:tc>
          <w:tcPr>
            <w:tcW w:w="1258" w:type="dxa"/>
            <w:tcBorders>
              <w:top w:val="double" w:sz="6" w:space="0" w:color="009900"/>
              <w:left w:val="dotted" w:sz="4" w:space="0" w:color="009900"/>
              <w:bottom w:val="single" w:sz="4" w:space="0" w:color="009900"/>
              <w:right w:val="single" w:sz="4" w:space="0" w:color="009900"/>
            </w:tcBorders>
            <w:shd w:val="clear" w:color="000000" w:fill="FFFFE1"/>
            <w:noWrap/>
            <w:vAlign w:val="center"/>
            <w:hideMark/>
          </w:tcPr>
          <w:p w:rsidR="00AF4B00" w:rsidRPr="00AF4B00" w:rsidRDefault="00AF4B00" w:rsidP="00AF4B00">
            <w:pPr>
              <w:suppressAutoHyphens/>
              <w:jc w:val="center"/>
              <w:rPr>
                <w:rFonts w:ascii="Arial" w:eastAsia="Calibri" w:hAnsi="Arial" w:cs="Arial"/>
                <w:b/>
                <w:bCs/>
                <w:sz w:val="16"/>
                <w:szCs w:val="16"/>
              </w:rPr>
            </w:pPr>
            <w:r w:rsidRPr="00AF4B00">
              <w:rPr>
                <w:rFonts w:ascii="Arial" w:eastAsia="Calibri" w:hAnsi="Arial"/>
                <w:b/>
                <w:noProof/>
                <w:sz w:val="16"/>
                <w:szCs w:val="23"/>
              </w:rPr>
              <w:t>13.2</w:t>
            </w:r>
            <w:r w:rsidRPr="00AF4B00">
              <w:rPr>
                <w:rFonts w:ascii="Arial" w:eastAsia="Calibri" w:hAnsi="Arial" w:cs="Arial"/>
                <w:b/>
                <w:bCs/>
                <w:sz w:val="16"/>
                <w:szCs w:val="16"/>
              </w:rPr>
              <w:t>%</w:t>
            </w:r>
          </w:p>
        </w:tc>
      </w:tr>
    </w:tbl>
    <w:p w:rsidR="00906898" w:rsidRDefault="00906898" w:rsidP="00D8477B">
      <w:pPr>
        <w:jc w:val="both"/>
        <w:rPr>
          <w:rFonts w:ascii="CG Omega" w:hAnsi="CG Omega"/>
        </w:rPr>
      </w:pPr>
    </w:p>
    <w:p w:rsidR="00866A4D" w:rsidRPr="00866A4D" w:rsidRDefault="00866A4D" w:rsidP="00D8477B">
      <w:pPr>
        <w:jc w:val="both"/>
        <w:rPr>
          <w:rFonts w:ascii="CG Omega" w:hAnsi="CG Omega"/>
        </w:rPr>
      </w:pPr>
    </w:p>
    <w:p w:rsidR="00654663" w:rsidRDefault="00654663" w:rsidP="00654663">
      <w:pPr>
        <w:jc w:val="both"/>
        <w:rPr>
          <w:rFonts w:ascii="CG Omega" w:hAnsi="CG Omega"/>
        </w:rPr>
      </w:pPr>
      <w:r>
        <w:rPr>
          <w:rFonts w:ascii="CG Omega" w:hAnsi="CG Omega"/>
        </w:rPr>
        <w:t>Intercensal population estimates of yearly populations by age group bear out the shift toward an older New Mexican population, and reveal that this trend appears to have accelerated since the 2010 Census. The number of persons between the ages of 55 and 64 grew by over 9,500 people between 2010 and 2011, according to the intercensal estimate from the latter year</w:t>
      </w:r>
      <w:r w:rsidR="00EA4494">
        <w:rPr>
          <w:rFonts w:ascii="CG Omega" w:hAnsi="CG Omega"/>
        </w:rPr>
        <w:t xml:space="preserve">, as shown in </w:t>
      </w:r>
      <w:r w:rsidR="00EA4494" w:rsidRPr="00866A4D">
        <w:rPr>
          <w:rFonts w:ascii="CG Omega" w:hAnsi="CG Omega"/>
          <w:b/>
        </w:rPr>
        <w:t>Table III.5</w:t>
      </w:r>
      <w:r w:rsidR="00EA4494">
        <w:rPr>
          <w:rFonts w:ascii="CG Omega" w:hAnsi="CG Omega"/>
        </w:rPr>
        <w:t xml:space="preserve"> on the following page</w:t>
      </w:r>
      <w:r>
        <w:rPr>
          <w:rFonts w:ascii="CG Omega" w:hAnsi="CG Omega"/>
        </w:rPr>
        <w:t>. The population over the age of 64 grew by about the same amount during the same year. Between 2011 and 2012, population growth abated somewhat in the population aged 55 to 64, which grew by an estimated 837 persons. By contrast, growth in the population over the age of 65 appears to have continued accelerating; this age cohort grew by an estimated 13,000 persons during that year. During the entire period between 2000 and 2012, residents over the age of 55 increased in number by an estimated 191,248 persons, accounting for over 70 percent of the overall population growth of 266,521 persons.</w:t>
      </w:r>
    </w:p>
    <w:p w:rsidR="007B4298" w:rsidRDefault="007B4298" w:rsidP="00D8477B">
      <w:pPr>
        <w:jc w:val="both"/>
        <w:rPr>
          <w:rFonts w:ascii="CG Omega" w:hAnsi="CG Omega"/>
          <w:sz w:val="16"/>
          <w:szCs w:val="16"/>
          <w:highlight w:val="yellow"/>
        </w:rPr>
      </w:pPr>
    </w:p>
    <w:p w:rsidR="004608D1" w:rsidRDefault="004608D1" w:rsidP="00D8477B">
      <w:pPr>
        <w:jc w:val="both"/>
        <w:rPr>
          <w:rFonts w:ascii="CG Omega" w:hAnsi="CG Omega"/>
          <w:sz w:val="16"/>
          <w:szCs w:val="16"/>
          <w:highlight w:val="yellow"/>
        </w:rPr>
      </w:pPr>
    </w:p>
    <w:p w:rsidR="004608D1" w:rsidRDefault="004608D1" w:rsidP="00D8477B">
      <w:pPr>
        <w:jc w:val="both"/>
        <w:rPr>
          <w:rFonts w:ascii="CG Omega" w:hAnsi="CG Omega"/>
          <w:sz w:val="16"/>
          <w:szCs w:val="16"/>
          <w:highlight w:val="yellow"/>
        </w:rPr>
      </w:pPr>
    </w:p>
    <w:p w:rsidR="004608D1" w:rsidRDefault="004608D1" w:rsidP="00D8477B">
      <w:pPr>
        <w:jc w:val="both"/>
        <w:rPr>
          <w:rFonts w:ascii="CG Omega" w:hAnsi="CG Omega"/>
          <w:sz w:val="16"/>
          <w:szCs w:val="16"/>
          <w:highlight w:val="yellow"/>
        </w:rPr>
      </w:pPr>
    </w:p>
    <w:p w:rsidR="004608D1" w:rsidRDefault="004608D1" w:rsidP="00D8477B">
      <w:pPr>
        <w:jc w:val="both"/>
        <w:rPr>
          <w:rFonts w:ascii="CG Omega" w:hAnsi="CG Omega"/>
          <w:sz w:val="16"/>
          <w:szCs w:val="16"/>
          <w:highlight w:val="yellow"/>
        </w:rPr>
      </w:pPr>
    </w:p>
    <w:tbl>
      <w:tblPr>
        <w:tblW w:w="8720" w:type="dxa"/>
        <w:jc w:val="center"/>
        <w:tblLook w:val="04A0" w:firstRow="1" w:lastRow="0" w:firstColumn="1" w:lastColumn="0" w:noHBand="0" w:noVBand="1"/>
      </w:tblPr>
      <w:tblGrid>
        <w:gridCol w:w="1440"/>
        <w:gridCol w:w="1040"/>
        <w:gridCol w:w="1040"/>
        <w:gridCol w:w="1040"/>
        <w:gridCol w:w="1040"/>
        <w:gridCol w:w="1040"/>
        <w:gridCol w:w="1040"/>
        <w:gridCol w:w="1040"/>
      </w:tblGrid>
      <w:tr w:rsidR="00B73787" w:rsidRPr="00B73787" w:rsidTr="007565F2">
        <w:trPr>
          <w:trHeight w:val="900"/>
          <w:jc w:val="center"/>
        </w:trPr>
        <w:tc>
          <w:tcPr>
            <w:tcW w:w="8720" w:type="dxa"/>
            <w:gridSpan w:val="8"/>
            <w:tcBorders>
              <w:top w:val="nil"/>
              <w:left w:val="nil"/>
              <w:bottom w:val="single" w:sz="4" w:space="0" w:color="009900"/>
              <w:right w:val="nil"/>
            </w:tcBorders>
            <w:shd w:val="clear" w:color="auto" w:fill="auto"/>
            <w:noWrap/>
            <w:vAlign w:val="center"/>
            <w:hideMark/>
          </w:tcPr>
          <w:p w:rsidR="00B73787" w:rsidRPr="00B73787" w:rsidRDefault="005B00C5" w:rsidP="00B73787">
            <w:pPr>
              <w:jc w:val="center"/>
              <w:rPr>
                <w:rFonts w:ascii="Arial" w:hAnsi="Arial" w:cs="Arial"/>
                <w:b/>
                <w:bCs/>
                <w:sz w:val="23"/>
                <w:szCs w:val="23"/>
              </w:rPr>
            </w:pPr>
            <w:r w:rsidRPr="005B00C5">
              <w:rPr>
                <w:rFonts w:ascii="Arial" w:hAnsi="Arial" w:cs="Arial"/>
                <w:b/>
                <w:bCs/>
                <w:sz w:val="23"/>
                <w:szCs w:val="23"/>
              </w:rPr>
              <w:t>Table III.5</w:t>
            </w:r>
          </w:p>
          <w:p w:rsidR="00B73787" w:rsidRPr="00B73787" w:rsidRDefault="00B73787" w:rsidP="00B73787">
            <w:pPr>
              <w:jc w:val="center"/>
              <w:rPr>
                <w:rFonts w:ascii="Arial" w:hAnsi="Arial" w:cs="Arial"/>
                <w:b/>
                <w:bCs/>
                <w:sz w:val="20"/>
                <w:szCs w:val="20"/>
              </w:rPr>
            </w:pPr>
            <w:r w:rsidRPr="00B73787">
              <w:rPr>
                <w:rFonts w:ascii="Arial" w:hAnsi="Arial" w:cs="Arial"/>
                <w:b/>
                <w:bCs/>
                <w:sz w:val="20"/>
                <w:szCs w:val="20"/>
              </w:rPr>
              <w:t>Intercensal Population Estimates by Age</w:t>
            </w:r>
          </w:p>
          <w:p w:rsidR="00B73787" w:rsidRPr="00B73787" w:rsidRDefault="00B73787" w:rsidP="00B73787">
            <w:pPr>
              <w:jc w:val="center"/>
              <w:rPr>
                <w:rFonts w:ascii="Arial" w:hAnsi="Arial" w:cs="Arial"/>
                <w:bCs/>
                <w:sz w:val="16"/>
                <w:szCs w:val="16"/>
              </w:rPr>
            </w:pPr>
            <w:r w:rsidRPr="00B73787">
              <w:rPr>
                <w:rFonts w:ascii="Arial" w:hAnsi="Arial" w:cs="Arial"/>
                <w:bCs/>
                <w:sz w:val="16"/>
                <w:szCs w:val="16"/>
              </w:rPr>
              <w:t>State of New Mexico</w:t>
            </w:r>
          </w:p>
          <w:p w:rsidR="00B73787" w:rsidRPr="00B73787" w:rsidRDefault="00B73787" w:rsidP="00B73787">
            <w:pPr>
              <w:jc w:val="center"/>
              <w:rPr>
                <w:rFonts w:ascii="Arial" w:hAnsi="Arial" w:cs="Arial"/>
                <w:sz w:val="16"/>
                <w:szCs w:val="16"/>
              </w:rPr>
            </w:pPr>
            <w:r w:rsidRPr="00B73787">
              <w:rPr>
                <w:rFonts w:ascii="Arial" w:hAnsi="Arial" w:cs="Arial"/>
                <w:bCs/>
                <w:sz w:val="16"/>
                <w:szCs w:val="16"/>
              </w:rPr>
              <w:t>Intercensal Census Data, 2000 - 2012</w:t>
            </w:r>
          </w:p>
        </w:tc>
      </w:tr>
      <w:tr w:rsidR="00B73787" w:rsidRPr="00B73787" w:rsidTr="007565F2">
        <w:trPr>
          <w:trHeight w:val="450"/>
          <w:jc w:val="center"/>
        </w:trPr>
        <w:tc>
          <w:tcPr>
            <w:tcW w:w="1440" w:type="dxa"/>
            <w:tcBorders>
              <w:top w:val="single" w:sz="4" w:space="0" w:color="009900"/>
              <w:left w:val="single" w:sz="4" w:space="0" w:color="009900"/>
              <w:bottom w:val="single" w:sz="4" w:space="0" w:color="009900"/>
              <w:right w:val="nil"/>
            </w:tcBorders>
            <w:shd w:val="clear" w:color="000000" w:fill="FFFFE1"/>
            <w:noWrap/>
            <w:vAlign w:val="center"/>
            <w:hideMark/>
          </w:tcPr>
          <w:p w:rsidR="00B73787" w:rsidRPr="00B73787" w:rsidRDefault="00B73787" w:rsidP="00B73787">
            <w:pPr>
              <w:rPr>
                <w:rFonts w:ascii="Arial" w:hAnsi="Arial" w:cs="Arial"/>
                <w:b/>
                <w:bCs/>
                <w:color w:val="000000"/>
                <w:sz w:val="16"/>
                <w:szCs w:val="16"/>
              </w:rPr>
            </w:pPr>
            <w:r w:rsidRPr="00B73787">
              <w:rPr>
                <w:rFonts w:ascii="Arial" w:hAnsi="Arial" w:cs="Arial"/>
                <w:b/>
                <w:bCs/>
                <w:color w:val="000000"/>
                <w:sz w:val="16"/>
                <w:szCs w:val="16"/>
              </w:rPr>
              <w:t>Age</w:t>
            </w:r>
          </w:p>
        </w:tc>
        <w:tc>
          <w:tcPr>
            <w:tcW w:w="1040" w:type="dxa"/>
            <w:tcBorders>
              <w:top w:val="single" w:sz="4" w:space="0" w:color="009900"/>
              <w:left w:val="nil"/>
              <w:bottom w:val="single" w:sz="4" w:space="0" w:color="009900"/>
              <w:right w:val="nil"/>
            </w:tcBorders>
            <w:shd w:val="clear" w:color="000000" w:fill="FFFFE1"/>
            <w:vAlign w:val="center"/>
            <w:hideMark/>
          </w:tcPr>
          <w:p w:rsidR="00B73787" w:rsidRPr="00B73787" w:rsidRDefault="00B73787" w:rsidP="00B73787">
            <w:pPr>
              <w:jc w:val="center"/>
              <w:rPr>
                <w:rFonts w:ascii="Arial" w:hAnsi="Arial" w:cs="Arial"/>
                <w:b/>
                <w:bCs/>
                <w:color w:val="000000"/>
                <w:sz w:val="16"/>
                <w:szCs w:val="16"/>
              </w:rPr>
            </w:pPr>
            <w:r w:rsidRPr="00B73787">
              <w:rPr>
                <w:rFonts w:ascii="Arial" w:hAnsi="Arial" w:cs="Arial"/>
                <w:b/>
                <w:bCs/>
                <w:color w:val="000000"/>
                <w:sz w:val="16"/>
                <w:szCs w:val="16"/>
              </w:rPr>
              <w:t>Under 14 years</w:t>
            </w:r>
          </w:p>
        </w:tc>
        <w:tc>
          <w:tcPr>
            <w:tcW w:w="1040" w:type="dxa"/>
            <w:tcBorders>
              <w:top w:val="single" w:sz="4" w:space="0" w:color="009900"/>
              <w:left w:val="nil"/>
              <w:bottom w:val="single" w:sz="4" w:space="0" w:color="009900"/>
              <w:right w:val="nil"/>
            </w:tcBorders>
            <w:shd w:val="clear" w:color="000000" w:fill="FFFFE1"/>
            <w:vAlign w:val="center"/>
            <w:hideMark/>
          </w:tcPr>
          <w:p w:rsidR="00B73787" w:rsidRPr="00B73787" w:rsidRDefault="00B73787" w:rsidP="00B73787">
            <w:pPr>
              <w:jc w:val="center"/>
              <w:rPr>
                <w:rFonts w:ascii="Arial" w:hAnsi="Arial" w:cs="Arial"/>
                <w:b/>
                <w:bCs/>
                <w:color w:val="000000"/>
                <w:sz w:val="16"/>
                <w:szCs w:val="16"/>
              </w:rPr>
            </w:pPr>
            <w:r w:rsidRPr="00B73787">
              <w:rPr>
                <w:rFonts w:ascii="Arial" w:hAnsi="Arial" w:cs="Arial"/>
                <w:b/>
                <w:bCs/>
                <w:color w:val="000000"/>
                <w:sz w:val="16"/>
                <w:szCs w:val="16"/>
              </w:rPr>
              <w:t>15 to 24 years</w:t>
            </w:r>
          </w:p>
        </w:tc>
        <w:tc>
          <w:tcPr>
            <w:tcW w:w="1040" w:type="dxa"/>
            <w:tcBorders>
              <w:top w:val="single" w:sz="4" w:space="0" w:color="009900"/>
              <w:left w:val="nil"/>
              <w:bottom w:val="single" w:sz="4" w:space="0" w:color="009900"/>
              <w:right w:val="nil"/>
            </w:tcBorders>
            <w:shd w:val="clear" w:color="000000" w:fill="FFFFE1"/>
            <w:vAlign w:val="center"/>
            <w:hideMark/>
          </w:tcPr>
          <w:p w:rsidR="00B73787" w:rsidRPr="00B73787" w:rsidRDefault="00B73787" w:rsidP="00B73787">
            <w:pPr>
              <w:jc w:val="center"/>
              <w:rPr>
                <w:rFonts w:ascii="Arial" w:hAnsi="Arial" w:cs="Arial"/>
                <w:b/>
                <w:bCs/>
                <w:color w:val="000000"/>
                <w:sz w:val="16"/>
                <w:szCs w:val="16"/>
              </w:rPr>
            </w:pPr>
            <w:r w:rsidRPr="00B73787">
              <w:rPr>
                <w:rFonts w:ascii="Arial" w:hAnsi="Arial" w:cs="Arial"/>
                <w:b/>
                <w:bCs/>
                <w:color w:val="000000"/>
                <w:sz w:val="16"/>
                <w:szCs w:val="16"/>
              </w:rPr>
              <w:t>25 to 44 years</w:t>
            </w:r>
          </w:p>
        </w:tc>
        <w:tc>
          <w:tcPr>
            <w:tcW w:w="1040" w:type="dxa"/>
            <w:tcBorders>
              <w:top w:val="single" w:sz="4" w:space="0" w:color="009900"/>
              <w:left w:val="nil"/>
              <w:bottom w:val="single" w:sz="4" w:space="0" w:color="009900"/>
              <w:right w:val="nil"/>
            </w:tcBorders>
            <w:shd w:val="clear" w:color="000000" w:fill="FFFFE1"/>
            <w:vAlign w:val="center"/>
            <w:hideMark/>
          </w:tcPr>
          <w:p w:rsidR="00B73787" w:rsidRPr="00B73787" w:rsidRDefault="00B73787" w:rsidP="00B73787">
            <w:pPr>
              <w:jc w:val="center"/>
              <w:rPr>
                <w:rFonts w:ascii="Arial" w:hAnsi="Arial" w:cs="Arial"/>
                <w:b/>
                <w:bCs/>
                <w:color w:val="000000"/>
                <w:sz w:val="16"/>
                <w:szCs w:val="16"/>
              </w:rPr>
            </w:pPr>
            <w:r w:rsidRPr="00B73787">
              <w:rPr>
                <w:rFonts w:ascii="Arial" w:hAnsi="Arial" w:cs="Arial"/>
                <w:b/>
                <w:bCs/>
                <w:color w:val="000000"/>
                <w:sz w:val="16"/>
                <w:szCs w:val="16"/>
              </w:rPr>
              <w:t>45 to 54 years</w:t>
            </w:r>
          </w:p>
        </w:tc>
        <w:tc>
          <w:tcPr>
            <w:tcW w:w="1040" w:type="dxa"/>
            <w:tcBorders>
              <w:top w:val="single" w:sz="4" w:space="0" w:color="009900"/>
              <w:left w:val="nil"/>
              <w:bottom w:val="single" w:sz="4" w:space="0" w:color="009900"/>
              <w:right w:val="nil"/>
            </w:tcBorders>
            <w:shd w:val="clear" w:color="000000" w:fill="FFFFE1"/>
            <w:vAlign w:val="center"/>
            <w:hideMark/>
          </w:tcPr>
          <w:p w:rsidR="00B73787" w:rsidRPr="00B73787" w:rsidRDefault="00B73787" w:rsidP="00B73787">
            <w:pPr>
              <w:jc w:val="center"/>
              <w:rPr>
                <w:rFonts w:ascii="Arial" w:hAnsi="Arial" w:cs="Arial"/>
                <w:b/>
                <w:bCs/>
                <w:color w:val="000000"/>
                <w:sz w:val="16"/>
                <w:szCs w:val="16"/>
              </w:rPr>
            </w:pPr>
            <w:r w:rsidRPr="00B73787">
              <w:rPr>
                <w:rFonts w:ascii="Arial" w:hAnsi="Arial" w:cs="Arial"/>
                <w:b/>
                <w:bCs/>
                <w:color w:val="000000"/>
                <w:sz w:val="16"/>
                <w:szCs w:val="16"/>
              </w:rPr>
              <w:t>55 to 64 years</w:t>
            </w:r>
          </w:p>
        </w:tc>
        <w:tc>
          <w:tcPr>
            <w:tcW w:w="1040" w:type="dxa"/>
            <w:tcBorders>
              <w:top w:val="single" w:sz="4" w:space="0" w:color="009900"/>
              <w:left w:val="nil"/>
              <w:bottom w:val="single" w:sz="4" w:space="0" w:color="009900"/>
              <w:right w:val="nil"/>
            </w:tcBorders>
            <w:shd w:val="clear" w:color="000000" w:fill="FFFFE1"/>
            <w:vAlign w:val="center"/>
            <w:hideMark/>
          </w:tcPr>
          <w:p w:rsidR="00B73787" w:rsidRPr="00B73787" w:rsidRDefault="00B73787" w:rsidP="00B73787">
            <w:pPr>
              <w:jc w:val="center"/>
              <w:rPr>
                <w:rFonts w:ascii="Arial" w:hAnsi="Arial" w:cs="Arial"/>
                <w:b/>
                <w:bCs/>
                <w:color w:val="000000"/>
                <w:sz w:val="16"/>
                <w:szCs w:val="16"/>
              </w:rPr>
            </w:pPr>
            <w:r w:rsidRPr="00B73787">
              <w:rPr>
                <w:rFonts w:ascii="Arial" w:hAnsi="Arial" w:cs="Arial"/>
                <w:b/>
                <w:bCs/>
                <w:color w:val="000000"/>
                <w:sz w:val="16"/>
                <w:szCs w:val="16"/>
              </w:rPr>
              <w:t>65 &amp; over</w:t>
            </w:r>
          </w:p>
        </w:tc>
        <w:tc>
          <w:tcPr>
            <w:tcW w:w="1040" w:type="dxa"/>
            <w:tcBorders>
              <w:top w:val="single" w:sz="4" w:space="0" w:color="009900"/>
              <w:left w:val="nil"/>
              <w:bottom w:val="single" w:sz="4" w:space="0" w:color="009900"/>
              <w:right w:val="single" w:sz="4" w:space="0" w:color="009900"/>
            </w:tcBorders>
            <w:shd w:val="clear" w:color="000000" w:fill="FFFFE1"/>
            <w:vAlign w:val="center"/>
            <w:hideMark/>
          </w:tcPr>
          <w:p w:rsidR="00B73787" w:rsidRPr="00B73787" w:rsidRDefault="00B73787" w:rsidP="00B73787">
            <w:pPr>
              <w:jc w:val="center"/>
              <w:rPr>
                <w:rFonts w:ascii="Arial" w:hAnsi="Arial" w:cs="Arial"/>
                <w:b/>
                <w:bCs/>
                <w:color w:val="000000"/>
                <w:sz w:val="16"/>
                <w:szCs w:val="16"/>
              </w:rPr>
            </w:pPr>
            <w:r w:rsidRPr="00B73787">
              <w:rPr>
                <w:rFonts w:ascii="Arial" w:hAnsi="Arial" w:cs="Arial"/>
                <w:b/>
                <w:bCs/>
                <w:color w:val="000000"/>
                <w:sz w:val="16"/>
                <w:szCs w:val="16"/>
              </w:rPr>
              <w:t>Total</w:t>
            </w:r>
          </w:p>
        </w:tc>
      </w:tr>
      <w:tr w:rsidR="00B73787" w:rsidRPr="00B73787" w:rsidTr="007565F2">
        <w:trPr>
          <w:trHeight w:val="225"/>
          <w:jc w:val="center"/>
        </w:trPr>
        <w:tc>
          <w:tcPr>
            <w:tcW w:w="1440" w:type="dxa"/>
            <w:tcBorders>
              <w:top w:val="nil"/>
              <w:left w:val="single" w:sz="4" w:space="0" w:color="009900"/>
              <w:bottom w:val="nil"/>
              <w:right w:val="nil"/>
            </w:tcBorders>
            <w:shd w:val="clear" w:color="000000" w:fill="FFFFE1"/>
            <w:noWrap/>
            <w:vAlign w:val="center"/>
            <w:hideMark/>
          </w:tcPr>
          <w:p w:rsidR="00B73787" w:rsidRPr="00B73787" w:rsidRDefault="00B73787" w:rsidP="00B73787">
            <w:pPr>
              <w:rPr>
                <w:rFonts w:ascii="Arial" w:hAnsi="Arial" w:cs="Arial"/>
                <w:sz w:val="16"/>
                <w:szCs w:val="16"/>
              </w:rPr>
            </w:pPr>
            <w:r w:rsidRPr="00B73787">
              <w:rPr>
                <w:rFonts w:ascii="Arial" w:hAnsi="Arial" w:cs="Arial"/>
                <w:sz w:val="16"/>
                <w:szCs w:val="16"/>
              </w:rPr>
              <w:t>2000</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419,087</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267,041</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516,126</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245,808</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158,741</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212,214</w:t>
            </w:r>
          </w:p>
        </w:tc>
        <w:tc>
          <w:tcPr>
            <w:tcW w:w="1040" w:type="dxa"/>
            <w:tcBorders>
              <w:top w:val="nil"/>
              <w:left w:val="nil"/>
              <w:bottom w:val="nil"/>
              <w:right w:val="single" w:sz="4" w:space="0" w:color="009900"/>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1,819,017</w:t>
            </w:r>
          </w:p>
        </w:tc>
      </w:tr>
      <w:tr w:rsidR="00B73787" w:rsidRPr="00B73787" w:rsidTr="007565F2">
        <w:trPr>
          <w:trHeight w:val="225"/>
          <w:jc w:val="center"/>
        </w:trPr>
        <w:tc>
          <w:tcPr>
            <w:tcW w:w="1440" w:type="dxa"/>
            <w:tcBorders>
              <w:top w:val="nil"/>
              <w:left w:val="single" w:sz="4" w:space="0" w:color="009900"/>
              <w:bottom w:val="nil"/>
              <w:right w:val="nil"/>
            </w:tcBorders>
            <w:shd w:val="clear" w:color="000000" w:fill="FFFFE1"/>
            <w:noWrap/>
            <w:vAlign w:val="center"/>
            <w:hideMark/>
          </w:tcPr>
          <w:p w:rsidR="00B73787" w:rsidRPr="00B73787" w:rsidRDefault="00B73787" w:rsidP="00B73787">
            <w:pPr>
              <w:rPr>
                <w:rFonts w:ascii="Arial" w:hAnsi="Arial" w:cs="Arial"/>
                <w:sz w:val="16"/>
                <w:szCs w:val="16"/>
              </w:rPr>
            </w:pPr>
            <w:r w:rsidRPr="00B73787">
              <w:rPr>
                <w:rFonts w:ascii="Arial" w:hAnsi="Arial" w:cs="Arial"/>
                <w:sz w:val="16"/>
                <w:szCs w:val="16"/>
              </w:rPr>
              <w:t>2001</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413,827</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274,070</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506,151</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255,769</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164,474</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217,399</w:t>
            </w:r>
          </w:p>
        </w:tc>
        <w:tc>
          <w:tcPr>
            <w:tcW w:w="1040" w:type="dxa"/>
            <w:tcBorders>
              <w:top w:val="nil"/>
              <w:left w:val="nil"/>
              <w:bottom w:val="nil"/>
              <w:right w:val="single" w:sz="4" w:space="0" w:color="009900"/>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1,831,690</w:t>
            </w:r>
          </w:p>
        </w:tc>
      </w:tr>
      <w:tr w:rsidR="00B73787" w:rsidRPr="00B73787" w:rsidTr="007565F2">
        <w:trPr>
          <w:trHeight w:val="225"/>
          <w:jc w:val="center"/>
        </w:trPr>
        <w:tc>
          <w:tcPr>
            <w:tcW w:w="1440" w:type="dxa"/>
            <w:tcBorders>
              <w:top w:val="nil"/>
              <w:left w:val="single" w:sz="4" w:space="0" w:color="009900"/>
              <w:bottom w:val="nil"/>
              <w:right w:val="nil"/>
            </w:tcBorders>
            <w:shd w:val="clear" w:color="000000" w:fill="FFFFE1"/>
            <w:noWrap/>
            <w:vAlign w:val="center"/>
            <w:hideMark/>
          </w:tcPr>
          <w:p w:rsidR="00B73787" w:rsidRPr="00B73787" w:rsidRDefault="00B73787" w:rsidP="00B73787">
            <w:pPr>
              <w:rPr>
                <w:rFonts w:ascii="Arial" w:hAnsi="Arial" w:cs="Arial"/>
                <w:sz w:val="16"/>
                <w:szCs w:val="16"/>
              </w:rPr>
            </w:pPr>
            <w:r w:rsidRPr="00B73787">
              <w:rPr>
                <w:rFonts w:ascii="Arial" w:hAnsi="Arial" w:cs="Arial"/>
                <w:sz w:val="16"/>
                <w:szCs w:val="16"/>
              </w:rPr>
              <w:t>2002</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412,533</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281,362</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503,680</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260,715</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175,716</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221,303</w:t>
            </w:r>
          </w:p>
        </w:tc>
        <w:tc>
          <w:tcPr>
            <w:tcW w:w="1040" w:type="dxa"/>
            <w:tcBorders>
              <w:top w:val="nil"/>
              <w:left w:val="nil"/>
              <w:bottom w:val="nil"/>
              <w:right w:val="single" w:sz="4" w:space="0" w:color="009900"/>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1,855,309</w:t>
            </w:r>
          </w:p>
        </w:tc>
      </w:tr>
      <w:tr w:rsidR="00B73787" w:rsidRPr="00B73787" w:rsidTr="007565F2">
        <w:trPr>
          <w:trHeight w:val="225"/>
          <w:jc w:val="center"/>
        </w:trPr>
        <w:tc>
          <w:tcPr>
            <w:tcW w:w="1440" w:type="dxa"/>
            <w:tcBorders>
              <w:top w:val="nil"/>
              <w:left w:val="single" w:sz="4" w:space="0" w:color="009900"/>
              <w:bottom w:val="nil"/>
              <w:right w:val="nil"/>
            </w:tcBorders>
            <w:shd w:val="clear" w:color="000000" w:fill="FFFFE1"/>
            <w:noWrap/>
            <w:vAlign w:val="center"/>
            <w:hideMark/>
          </w:tcPr>
          <w:p w:rsidR="00B73787" w:rsidRPr="00B73787" w:rsidRDefault="00B73787" w:rsidP="00B73787">
            <w:pPr>
              <w:rPr>
                <w:rFonts w:ascii="Arial" w:hAnsi="Arial" w:cs="Arial"/>
                <w:sz w:val="16"/>
                <w:szCs w:val="16"/>
              </w:rPr>
            </w:pPr>
            <w:r w:rsidRPr="00B73787">
              <w:rPr>
                <w:rFonts w:ascii="Arial" w:hAnsi="Arial" w:cs="Arial"/>
                <w:sz w:val="16"/>
                <w:szCs w:val="16"/>
              </w:rPr>
              <w:t>2003</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410,885</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287,135</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501,832</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266,333</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185,465</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225,924</w:t>
            </w:r>
          </w:p>
        </w:tc>
        <w:tc>
          <w:tcPr>
            <w:tcW w:w="1040" w:type="dxa"/>
            <w:tcBorders>
              <w:top w:val="nil"/>
              <w:left w:val="nil"/>
              <w:bottom w:val="nil"/>
              <w:right w:val="single" w:sz="4" w:space="0" w:color="009900"/>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1,877,574</w:t>
            </w:r>
          </w:p>
        </w:tc>
      </w:tr>
      <w:tr w:rsidR="00B73787" w:rsidRPr="00B73787" w:rsidTr="007565F2">
        <w:trPr>
          <w:trHeight w:val="225"/>
          <w:jc w:val="center"/>
        </w:trPr>
        <w:tc>
          <w:tcPr>
            <w:tcW w:w="1440" w:type="dxa"/>
            <w:tcBorders>
              <w:top w:val="nil"/>
              <w:left w:val="single" w:sz="4" w:space="0" w:color="009900"/>
              <w:bottom w:val="nil"/>
              <w:right w:val="nil"/>
            </w:tcBorders>
            <w:shd w:val="clear" w:color="000000" w:fill="FFFFE1"/>
            <w:noWrap/>
            <w:vAlign w:val="center"/>
            <w:hideMark/>
          </w:tcPr>
          <w:p w:rsidR="00B73787" w:rsidRPr="00B73787" w:rsidRDefault="00B73787" w:rsidP="00B73787">
            <w:pPr>
              <w:rPr>
                <w:rFonts w:ascii="Arial" w:hAnsi="Arial" w:cs="Arial"/>
                <w:sz w:val="16"/>
                <w:szCs w:val="16"/>
              </w:rPr>
            </w:pPr>
            <w:r w:rsidRPr="00B73787">
              <w:rPr>
                <w:rFonts w:ascii="Arial" w:hAnsi="Arial" w:cs="Arial"/>
                <w:sz w:val="16"/>
                <w:szCs w:val="16"/>
              </w:rPr>
              <w:t>2004</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410,972</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292,106</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502,867</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271,484</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195,983</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230,396</w:t>
            </w:r>
          </w:p>
        </w:tc>
        <w:tc>
          <w:tcPr>
            <w:tcW w:w="1040" w:type="dxa"/>
            <w:tcBorders>
              <w:top w:val="nil"/>
              <w:left w:val="nil"/>
              <w:bottom w:val="nil"/>
              <w:right w:val="single" w:sz="4" w:space="0" w:color="009900"/>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1,903,808</w:t>
            </w:r>
          </w:p>
        </w:tc>
      </w:tr>
      <w:tr w:rsidR="00B73787" w:rsidRPr="00B73787" w:rsidTr="007565F2">
        <w:trPr>
          <w:trHeight w:val="225"/>
          <w:jc w:val="center"/>
        </w:trPr>
        <w:tc>
          <w:tcPr>
            <w:tcW w:w="1440" w:type="dxa"/>
            <w:tcBorders>
              <w:top w:val="nil"/>
              <w:left w:val="single" w:sz="4" w:space="0" w:color="009900"/>
              <w:bottom w:val="nil"/>
              <w:right w:val="nil"/>
            </w:tcBorders>
            <w:shd w:val="clear" w:color="000000" w:fill="FFFFE1"/>
            <w:noWrap/>
            <w:vAlign w:val="center"/>
            <w:hideMark/>
          </w:tcPr>
          <w:p w:rsidR="00B73787" w:rsidRPr="00B73787" w:rsidRDefault="00B73787" w:rsidP="00B73787">
            <w:pPr>
              <w:rPr>
                <w:rFonts w:ascii="Arial" w:hAnsi="Arial" w:cs="Arial"/>
                <w:sz w:val="16"/>
                <w:szCs w:val="16"/>
              </w:rPr>
            </w:pPr>
            <w:r w:rsidRPr="00B73787">
              <w:rPr>
                <w:rFonts w:ascii="Arial" w:hAnsi="Arial" w:cs="Arial"/>
                <w:sz w:val="16"/>
                <w:szCs w:val="16"/>
              </w:rPr>
              <w:t>2005</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411,659</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293,881</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505,077</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277,192</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207,446</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237,019</w:t>
            </w:r>
          </w:p>
        </w:tc>
        <w:tc>
          <w:tcPr>
            <w:tcW w:w="1040" w:type="dxa"/>
            <w:tcBorders>
              <w:top w:val="nil"/>
              <w:left w:val="nil"/>
              <w:bottom w:val="nil"/>
              <w:right w:val="single" w:sz="4" w:space="0" w:color="009900"/>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1,932,274</w:t>
            </w:r>
          </w:p>
        </w:tc>
      </w:tr>
      <w:tr w:rsidR="00B73787" w:rsidRPr="00B73787" w:rsidTr="007565F2">
        <w:trPr>
          <w:trHeight w:val="225"/>
          <w:jc w:val="center"/>
        </w:trPr>
        <w:tc>
          <w:tcPr>
            <w:tcW w:w="1440" w:type="dxa"/>
            <w:tcBorders>
              <w:top w:val="nil"/>
              <w:left w:val="single" w:sz="4" w:space="0" w:color="009900"/>
              <w:bottom w:val="nil"/>
              <w:right w:val="nil"/>
            </w:tcBorders>
            <w:shd w:val="clear" w:color="000000" w:fill="FFFFE1"/>
            <w:noWrap/>
            <w:vAlign w:val="center"/>
            <w:hideMark/>
          </w:tcPr>
          <w:p w:rsidR="00B73787" w:rsidRPr="00B73787" w:rsidRDefault="00B73787" w:rsidP="00B73787">
            <w:pPr>
              <w:rPr>
                <w:rFonts w:ascii="Arial" w:hAnsi="Arial" w:cs="Arial"/>
                <w:sz w:val="16"/>
                <w:szCs w:val="16"/>
              </w:rPr>
            </w:pPr>
            <w:r w:rsidRPr="00B73787">
              <w:rPr>
                <w:rFonts w:ascii="Arial" w:hAnsi="Arial" w:cs="Arial"/>
                <w:sz w:val="16"/>
                <w:szCs w:val="16"/>
              </w:rPr>
              <w:t>2006</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413,187</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293,965</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507,378</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283,687</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219,588</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244,332</w:t>
            </w:r>
          </w:p>
        </w:tc>
        <w:tc>
          <w:tcPr>
            <w:tcW w:w="1040" w:type="dxa"/>
            <w:tcBorders>
              <w:top w:val="nil"/>
              <w:left w:val="nil"/>
              <w:bottom w:val="nil"/>
              <w:right w:val="single" w:sz="4" w:space="0" w:color="009900"/>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1,962,137</w:t>
            </w:r>
          </w:p>
        </w:tc>
      </w:tr>
      <w:tr w:rsidR="00B73787" w:rsidRPr="00B73787" w:rsidTr="007565F2">
        <w:trPr>
          <w:trHeight w:val="225"/>
          <w:jc w:val="center"/>
        </w:trPr>
        <w:tc>
          <w:tcPr>
            <w:tcW w:w="1440" w:type="dxa"/>
            <w:tcBorders>
              <w:top w:val="nil"/>
              <w:left w:val="single" w:sz="4" w:space="0" w:color="009900"/>
              <w:bottom w:val="nil"/>
              <w:right w:val="nil"/>
            </w:tcBorders>
            <w:shd w:val="clear" w:color="000000" w:fill="FFFFE1"/>
            <w:noWrap/>
            <w:vAlign w:val="center"/>
            <w:hideMark/>
          </w:tcPr>
          <w:p w:rsidR="00B73787" w:rsidRPr="00B73787" w:rsidRDefault="00B73787" w:rsidP="00B73787">
            <w:pPr>
              <w:rPr>
                <w:rFonts w:ascii="Arial" w:hAnsi="Arial" w:cs="Arial"/>
                <w:sz w:val="16"/>
                <w:szCs w:val="16"/>
              </w:rPr>
            </w:pPr>
            <w:r w:rsidRPr="00B73787">
              <w:rPr>
                <w:rFonts w:ascii="Arial" w:hAnsi="Arial" w:cs="Arial"/>
                <w:sz w:val="16"/>
                <w:szCs w:val="16"/>
              </w:rPr>
              <w:t>2007</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416,988</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293,652</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509,824</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287,922</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230,911</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250,773</w:t>
            </w:r>
          </w:p>
        </w:tc>
        <w:tc>
          <w:tcPr>
            <w:tcW w:w="1040" w:type="dxa"/>
            <w:tcBorders>
              <w:top w:val="nil"/>
              <w:left w:val="nil"/>
              <w:bottom w:val="nil"/>
              <w:right w:val="single" w:sz="4" w:space="0" w:color="009900"/>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1,990,070</w:t>
            </w:r>
          </w:p>
        </w:tc>
      </w:tr>
      <w:tr w:rsidR="00B73787" w:rsidRPr="00B73787" w:rsidTr="007565F2">
        <w:trPr>
          <w:trHeight w:val="225"/>
          <w:jc w:val="center"/>
        </w:trPr>
        <w:tc>
          <w:tcPr>
            <w:tcW w:w="1440" w:type="dxa"/>
            <w:tcBorders>
              <w:top w:val="nil"/>
              <w:left w:val="single" w:sz="4" w:space="0" w:color="009900"/>
              <w:bottom w:val="nil"/>
              <w:right w:val="nil"/>
            </w:tcBorders>
            <w:shd w:val="clear" w:color="000000" w:fill="FFFFE1"/>
            <w:noWrap/>
            <w:vAlign w:val="center"/>
            <w:hideMark/>
          </w:tcPr>
          <w:p w:rsidR="00B73787" w:rsidRPr="00B73787" w:rsidRDefault="00B73787" w:rsidP="00B73787">
            <w:pPr>
              <w:rPr>
                <w:rFonts w:ascii="Arial" w:hAnsi="Arial" w:cs="Arial"/>
                <w:sz w:val="16"/>
                <w:szCs w:val="16"/>
              </w:rPr>
            </w:pPr>
            <w:r w:rsidRPr="00B73787">
              <w:rPr>
                <w:rFonts w:ascii="Arial" w:hAnsi="Arial" w:cs="Arial"/>
                <w:sz w:val="16"/>
                <w:szCs w:val="16"/>
              </w:rPr>
              <w:t>2008</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420,472</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292,471</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508,578</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290,837</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239,930</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258,374</w:t>
            </w:r>
          </w:p>
        </w:tc>
        <w:tc>
          <w:tcPr>
            <w:tcW w:w="1040" w:type="dxa"/>
            <w:tcBorders>
              <w:top w:val="nil"/>
              <w:left w:val="nil"/>
              <w:bottom w:val="nil"/>
              <w:right w:val="single" w:sz="4" w:space="0" w:color="009900"/>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2,010,662</w:t>
            </w:r>
          </w:p>
        </w:tc>
      </w:tr>
      <w:tr w:rsidR="00B73787" w:rsidRPr="00B73787" w:rsidTr="007565F2">
        <w:trPr>
          <w:trHeight w:val="225"/>
          <w:jc w:val="center"/>
        </w:trPr>
        <w:tc>
          <w:tcPr>
            <w:tcW w:w="1440" w:type="dxa"/>
            <w:tcBorders>
              <w:top w:val="nil"/>
              <w:left w:val="single" w:sz="4" w:space="0" w:color="009900"/>
              <w:bottom w:val="nil"/>
              <w:right w:val="nil"/>
            </w:tcBorders>
            <w:shd w:val="clear" w:color="000000" w:fill="FFFFE1"/>
            <w:noWrap/>
            <w:vAlign w:val="center"/>
            <w:hideMark/>
          </w:tcPr>
          <w:p w:rsidR="00B73787" w:rsidRPr="00B73787" w:rsidRDefault="00B73787" w:rsidP="00B73787">
            <w:pPr>
              <w:rPr>
                <w:rFonts w:ascii="Arial" w:hAnsi="Arial" w:cs="Arial"/>
                <w:sz w:val="16"/>
                <w:szCs w:val="16"/>
              </w:rPr>
            </w:pPr>
            <w:r w:rsidRPr="00B73787">
              <w:rPr>
                <w:rFonts w:ascii="Arial" w:hAnsi="Arial" w:cs="Arial"/>
                <w:sz w:val="16"/>
                <w:szCs w:val="16"/>
              </w:rPr>
              <w:t>2009</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426,099</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291,781</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511,617</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291,819</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249,269</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266,217</w:t>
            </w:r>
          </w:p>
        </w:tc>
        <w:tc>
          <w:tcPr>
            <w:tcW w:w="1040" w:type="dxa"/>
            <w:tcBorders>
              <w:top w:val="nil"/>
              <w:left w:val="nil"/>
              <w:bottom w:val="nil"/>
              <w:right w:val="single" w:sz="4" w:space="0" w:color="009900"/>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2,036,802</w:t>
            </w:r>
          </w:p>
        </w:tc>
      </w:tr>
      <w:tr w:rsidR="00B73787" w:rsidRPr="00B73787" w:rsidTr="007565F2">
        <w:trPr>
          <w:trHeight w:val="225"/>
          <w:jc w:val="center"/>
        </w:trPr>
        <w:tc>
          <w:tcPr>
            <w:tcW w:w="1440" w:type="dxa"/>
            <w:tcBorders>
              <w:top w:val="nil"/>
              <w:left w:val="single" w:sz="4" w:space="0" w:color="009900"/>
              <w:bottom w:val="nil"/>
              <w:right w:val="nil"/>
            </w:tcBorders>
            <w:shd w:val="clear" w:color="000000" w:fill="FFFFE1"/>
            <w:noWrap/>
            <w:vAlign w:val="center"/>
            <w:hideMark/>
          </w:tcPr>
          <w:p w:rsidR="00B73787" w:rsidRPr="00B73787" w:rsidRDefault="00B73787" w:rsidP="00B73787">
            <w:pPr>
              <w:rPr>
                <w:rFonts w:ascii="Arial" w:hAnsi="Arial" w:cs="Arial"/>
                <w:sz w:val="16"/>
                <w:szCs w:val="16"/>
              </w:rPr>
            </w:pPr>
            <w:r w:rsidRPr="00B73787">
              <w:rPr>
                <w:rFonts w:ascii="Arial" w:hAnsi="Arial" w:cs="Arial"/>
                <w:sz w:val="16"/>
                <w:szCs w:val="16"/>
              </w:rPr>
              <w:t>2010</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429,980</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292,231</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515,768</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292,009</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256,936</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272,255</w:t>
            </w:r>
          </w:p>
        </w:tc>
        <w:tc>
          <w:tcPr>
            <w:tcW w:w="1040" w:type="dxa"/>
            <w:tcBorders>
              <w:top w:val="nil"/>
              <w:left w:val="nil"/>
              <w:bottom w:val="nil"/>
              <w:right w:val="single" w:sz="4" w:space="0" w:color="009900"/>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2,059,179</w:t>
            </w:r>
          </w:p>
        </w:tc>
      </w:tr>
      <w:tr w:rsidR="00B73787" w:rsidRPr="00B73787" w:rsidTr="007565F2">
        <w:trPr>
          <w:trHeight w:val="225"/>
          <w:jc w:val="center"/>
        </w:trPr>
        <w:tc>
          <w:tcPr>
            <w:tcW w:w="1440" w:type="dxa"/>
            <w:tcBorders>
              <w:top w:val="nil"/>
              <w:left w:val="single" w:sz="4" w:space="0" w:color="009900"/>
              <w:bottom w:val="nil"/>
              <w:right w:val="nil"/>
            </w:tcBorders>
            <w:shd w:val="clear" w:color="000000" w:fill="FFFFE1"/>
            <w:noWrap/>
            <w:vAlign w:val="center"/>
            <w:hideMark/>
          </w:tcPr>
          <w:p w:rsidR="00B73787" w:rsidRPr="00B73787" w:rsidRDefault="00B73787" w:rsidP="00B73787">
            <w:pPr>
              <w:rPr>
                <w:rFonts w:ascii="Arial" w:hAnsi="Arial" w:cs="Arial"/>
                <w:sz w:val="16"/>
                <w:szCs w:val="16"/>
              </w:rPr>
            </w:pPr>
            <w:r w:rsidRPr="00B73787">
              <w:rPr>
                <w:rFonts w:ascii="Arial" w:hAnsi="Arial" w:cs="Arial"/>
                <w:sz w:val="16"/>
                <w:szCs w:val="16"/>
              </w:rPr>
              <w:t>2011</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430,896</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292,974</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519,946</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286,564</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266,533</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281,761</w:t>
            </w:r>
          </w:p>
        </w:tc>
        <w:tc>
          <w:tcPr>
            <w:tcW w:w="1040" w:type="dxa"/>
            <w:tcBorders>
              <w:top w:val="nil"/>
              <w:left w:val="nil"/>
              <w:bottom w:val="nil"/>
              <w:right w:val="single" w:sz="4" w:space="0" w:color="009900"/>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2,078,674</w:t>
            </w:r>
          </w:p>
        </w:tc>
      </w:tr>
      <w:tr w:rsidR="00B73787" w:rsidRPr="00B73787" w:rsidTr="007565F2">
        <w:trPr>
          <w:trHeight w:val="225"/>
          <w:jc w:val="center"/>
        </w:trPr>
        <w:tc>
          <w:tcPr>
            <w:tcW w:w="1440" w:type="dxa"/>
            <w:tcBorders>
              <w:top w:val="nil"/>
              <w:left w:val="single" w:sz="4" w:space="0" w:color="009900"/>
              <w:bottom w:val="nil"/>
              <w:right w:val="nil"/>
            </w:tcBorders>
            <w:shd w:val="clear" w:color="000000" w:fill="FFFFE1"/>
            <w:noWrap/>
            <w:vAlign w:val="center"/>
            <w:hideMark/>
          </w:tcPr>
          <w:p w:rsidR="00B73787" w:rsidRPr="00B73787" w:rsidRDefault="00B73787" w:rsidP="00B73787">
            <w:pPr>
              <w:rPr>
                <w:rFonts w:ascii="Arial" w:hAnsi="Arial" w:cs="Arial"/>
                <w:sz w:val="16"/>
                <w:szCs w:val="16"/>
              </w:rPr>
            </w:pPr>
            <w:r w:rsidRPr="00B73787">
              <w:rPr>
                <w:rFonts w:ascii="Arial" w:hAnsi="Arial" w:cs="Arial"/>
                <w:sz w:val="16"/>
                <w:szCs w:val="16"/>
              </w:rPr>
              <w:t>2012</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430,087</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291,580</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522,485</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279,183</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267,370</w:t>
            </w:r>
          </w:p>
        </w:tc>
        <w:tc>
          <w:tcPr>
            <w:tcW w:w="1040" w:type="dxa"/>
            <w:tcBorders>
              <w:top w:val="nil"/>
              <w:left w:val="nil"/>
              <w:bottom w:val="nil"/>
              <w:right w:val="nil"/>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294,833</w:t>
            </w:r>
          </w:p>
        </w:tc>
        <w:tc>
          <w:tcPr>
            <w:tcW w:w="1040" w:type="dxa"/>
            <w:tcBorders>
              <w:top w:val="nil"/>
              <w:left w:val="nil"/>
              <w:bottom w:val="nil"/>
              <w:right w:val="single" w:sz="4" w:space="0" w:color="009900"/>
            </w:tcBorders>
            <w:shd w:val="clear" w:color="000000" w:fill="FFFFE1"/>
            <w:noWrap/>
            <w:vAlign w:val="center"/>
            <w:hideMark/>
          </w:tcPr>
          <w:p w:rsidR="00B73787" w:rsidRPr="00B73787" w:rsidRDefault="00B73787" w:rsidP="00B73787">
            <w:pPr>
              <w:jc w:val="center"/>
              <w:rPr>
                <w:rFonts w:ascii="Arial" w:hAnsi="Arial" w:cs="Arial"/>
                <w:sz w:val="16"/>
                <w:szCs w:val="16"/>
              </w:rPr>
            </w:pPr>
            <w:r w:rsidRPr="00B73787">
              <w:rPr>
                <w:rFonts w:ascii="Arial" w:hAnsi="Arial" w:cs="Arial"/>
                <w:sz w:val="16"/>
                <w:szCs w:val="16"/>
              </w:rPr>
              <w:t>2,085,538</w:t>
            </w:r>
          </w:p>
        </w:tc>
      </w:tr>
      <w:tr w:rsidR="00B73787" w:rsidRPr="00B73787" w:rsidTr="007565F2">
        <w:trPr>
          <w:trHeight w:val="450"/>
          <w:jc w:val="center"/>
        </w:trPr>
        <w:tc>
          <w:tcPr>
            <w:tcW w:w="1440" w:type="dxa"/>
            <w:tcBorders>
              <w:top w:val="dotted" w:sz="4" w:space="0" w:color="009900"/>
              <w:left w:val="single" w:sz="4" w:space="0" w:color="009900"/>
              <w:bottom w:val="single" w:sz="4" w:space="0" w:color="009900"/>
              <w:right w:val="nil"/>
            </w:tcBorders>
            <w:shd w:val="clear" w:color="000000" w:fill="FFFFE1"/>
            <w:vAlign w:val="center"/>
            <w:hideMark/>
          </w:tcPr>
          <w:p w:rsidR="00B73787" w:rsidRPr="00B73787" w:rsidRDefault="00B73787" w:rsidP="00B73787">
            <w:pPr>
              <w:rPr>
                <w:rFonts w:ascii="Arial" w:hAnsi="Arial" w:cs="Arial"/>
                <w:b/>
                <w:bCs/>
                <w:sz w:val="16"/>
                <w:szCs w:val="16"/>
              </w:rPr>
            </w:pPr>
            <w:r w:rsidRPr="00B73787">
              <w:rPr>
                <w:rFonts w:ascii="Arial" w:hAnsi="Arial" w:cs="Arial"/>
                <w:b/>
                <w:bCs/>
                <w:sz w:val="16"/>
                <w:szCs w:val="16"/>
              </w:rPr>
              <w:t>Percent Change 00-12</w:t>
            </w:r>
          </w:p>
        </w:tc>
        <w:tc>
          <w:tcPr>
            <w:tcW w:w="1040" w:type="dxa"/>
            <w:tcBorders>
              <w:top w:val="dotted" w:sz="4" w:space="0" w:color="009900"/>
              <w:left w:val="nil"/>
              <w:bottom w:val="single" w:sz="4" w:space="0" w:color="009900"/>
              <w:right w:val="nil"/>
            </w:tcBorders>
            <w:shd w:val="clear" w:color="000000" w:fill="FFFFE1"/>
            <w:noWrap/>
            <w:vAlign w:val="center"/>
            <w:hideMark/>
          </w:tcPr>
          <w:p w:rsidR="00B73787" w:rsidRPr="00B73787" w:rsidRDefault="00B73787" w:rsidP="00B73787">
            <w:pPr>
              <w:jc w:val="center"/>
              <w:rPr>
                <w:rFonts w:ascii="Arial" w:hAnsi="Arial" w:cs="Arial"/>
                <w:b/>
                <w:bCs/>
                <w:sz w:val="16"/>
                <w:szCs w:val="16"/>
              </w:rPr>
            </w:pPr>
            <w:r w:rsidRPr="00B73787">
              <w:rPr>
                <w:rFonts w:ascii="Arial" w:hAnsi="Arial" w:cs="Arial"/>
                <w:b/>
                <w:bCs/>
                <w:sz w:val="16"/>
                <w:szCs w:val="16"/>
              </w:rPr>
              <w:t>2.6</w:t>
            </w:r>
          </w:p>
        </w:tc>
        <w:tc>
          <w:tcPr>
            <w:tcW w:w="1040" w:type="dxa"/>
            <w:tcBorders>
              <w:top w:val="dotted" w:sz="4" w:space="0" w:color="009900"/>
              <w:left w:val="nil"/>
              <w:bottom w:val="single" w:sz="4" w:space="0" w:color="009900"/>
              <w:right w:val="nil"/>
            </w:tcBorders>
            <w:shd w:val="clear" w:color="000000" w:fill="FFFFE1"/>
            <w:noWrap/>
            <w:vAlign w:val="center"/>
            <w:hideMark/>
          </w:tcPr>
          <w:p w:rsidR="00B73787" w:rsidRPr="00B73787" w:rsidRDefault="00B73787" w:rsidP="00B73787">
            <w:pPr>
              <w:jc w:val="center"/>
              <w:rPr>
                <w:rFonts w:ascii="Arial" w:hAnsi="Arial" w:cs="Arial"/>
                <w:b/>
                <w:bCs/>
                <w:sz w:val="16"/>
                <w:szCs w:val="16"/>
              </w:rPr>
            </w:pPr>
            <w:r w:rsidRPr="00B73787">
              <w:rPr>
                <w:rFonts w:ascii="Arial" w:hAnsi="Arial" w:cs="Arial"/>
                <w:b/>
                <w:bCs/>
                <w:sz w:val="16"/>
                <w:szCs w:val="16"/>
              </w:rPr>
              <w:t>9.2</w:t>
            </w:r>
          </w:p>
        </w:tc>
        <w:tc>
          <w:tcPr>
            <w:tcW w:w="1040" w:type="dxa"/>
            <w:tcBorders>
              <w:top w:val="dotted" w:sz="4" w:space="0" w:color="009900"/>
              <w:left w:val="nil"/>
              <w:bottom w:val="single" w:sz="4" w:space="0" w:color="009900"/>
              <w:right w:val="nil"/>
            </w:tcBorders>
            <w:shd w:val="clear" w:color="000000" w:fill="FFFFE1"/>
            <w:noWrap/>
            <w:vAlign w:val="center"/>
            <w:hideMark/>
          </w:tcPr>
          <w:p w:rsidR="00B73787" w:rsidRPr="00B73787" w:rsidRDefault="00B73787" w:rsidP="00B73787">
            <w:pPr>
              <w:jc w:val="center"/>
              <w:rPr>
                <w:rFonts w:ascii="Arial" w:hAnsi="Arial" w:cs="Arial"/>
                <w:b/>
                <w:bCs/>
                <w:sz w:val="16"/>
                <w:szCs w:val="16"/>
              </w:rPr>
            </w:pPr>
            <w:r w:rsidRPr="00B73787">
              <w:rPr>
                <w:rFonts w:ascii="Arial" w:hAnsi="Arial" w:cs="Arial"/>
                <w:b/>
                <w:bCs/>
                <w:sz w:val="16"/>
                <w:szCs w:val="16"/>
              </w:rPr>
              <w:t>1.2</w:t>
            </w:r>
          </w:p>
        </w:tc>
        <w:tc>
          <w:tcPr>
            <w:tcW w:w="1040" w:type="dxa"/>
            <w:tcBorders>
              <w:top w:val="dotted" w:sz="4" w:space="0" w:color="009900"/>
              <w:left w:val="nil"/>
              <w:bottom w:val="single" w:sz="4" w:space="0" w:color="009900"/>
              <w:right w:val="nil"/>
            </w:tcBorders>
            <w:shd w:val="clear" w:color="000000" w:fill="FFFFE1"/>
            <w:noWrap/>
            <w:vAlign w:val="center"/>
            <w:hideMark/>
          </w:tcPr>
          <w:p w:rsidR="00B73787" w:rsidRPr="00B73787" w:rsidRDefault="00B73787" w:rsidP="00B73787">
            <w:pPr>
              <w:jc w:val="center"/>
              <w:rPr>
                <w:rFonts w:ascii="Arial" w:hAnsi="Arial" w:cs="Arial"/>
                <w:b/>
                <w:bCs/>
                <w:sz w:val="16"/>
                <w:szCs w:val="16"/>
              </w:rPr>
            </w:pPr>
            <w:r w:rsidRPr="00B73787">
              <w:rPr>
                <w:rFonts w:ascii="Arial" w:hAnsi="Arial" w:cs="Arial"/>
                <w:b/>
                <w:bCs/>
                <w:sz w:val="16"/>
                <w:szCs w:val="16"/>
              </w:rPr>
              <w:t>13.6</w:t>
            </w:r>
          </w:p>
        </w:tc>
        <w:tc>
          <w:tcPr>
            <w:tcW w:w="1040" w:type="dxa"/>
            <w:tcBorders>
              <w:top w:val="dotted" w:sz="4" w:space="0" w:color="009900"/>
              <w:left w:val="nil"/>
              <w:bottom w:val="single" w:sz="4" w:space="0" w:color="009900"/>
              <w:right w:val="nil"/>
            </w:tcBorders>
            <w:shd w:val="clear" w:color="000000" w:fill="FFFFE1"/>
            <w:noWrap/>
            <w:vAlign w:val="center"/>
            <w:hideMark/>
          </w:tcPr>
          <w:p w:rsidR="00B73787" w:rsidRPr="00B73787" w:rsidRDefault="00B73787" w:rsidP="00B73787">
            <w:pPr>
              <w:jc w:val="center"/>
              <w:rPr>
                <w:rFonts w:ascii="Arial" w:hAnsi="Arial" w:cs="Arial"/>
                <w:b/>
                <w:bCs/>
                <w:sz w:val="16"/>
                <w:szCs w:val="16"/>
              </w:rPr>
            </w:pPr>
            <w:r w:rsidRPr="00B73787">
              <w:rPr>
                <w:rFonts w:ascii="Arial" w:hAnsi="Arial" w:cs="Arial"/>
                <w:b/>
                <w:bCs/>
                <w:sz w:val="16"/>
                <w:szCs w:val="16"/>
              </w:rPr>
              <w:t>68.4</w:t>
            </w:r>
          </w:p>
        </w:tc>
        <w:tc>
          <w:tcPr>
            <w:tcW w:w="1040" w:type="dxa"/>
            <w:tcBorders>
              <w:top w:val="dotted" w:sz="4" w:space="0" w:color="009900"/>
              <w:left w:val="nil"/>
              <w:bottom w:val="single" w:sz="4" w:space="0" w:color="009900"/>
              <w:right w:val="nil"/>
            </w:tcBorders>
            <w:shd w:val="clear" w:color="000000" w:fill="FFFFE1"/>
            <w:noWrap/>
            <w:vAlign w:val="center"/>
            <w:hideMark/>
          </w:tcPr>
          <w:p w:rsidR="00B73787" w:rsidRPr="00B73787" w:rsidRDefault="00B73787" w:rsidP="00B73787">
            <w:pPr>
              <w:jc w:val="center"/>
              <w:rPr>
                <w:rFonts w:ascii="Arial" w:hAnsi="Arial" w:cs="Arial"/>
                <w:b/>
                <w:bCs/>
                <w:sz w:val="16"/>
                <w:szCs w:val="16"/>
              </w:rPr>
            </w:pPr>
            <w:r w:rsidRPr="00B73787">
              <w:rPr>
                <w:rFonts w:ascii="Arial" w:hAnsi="Arial" w:cs="Arial"/>
                <w:b/>
                <w:bCs/>
                <w:sz w:val="16"/>
                <w:szCs w:val="16"/>
              </w:rPr>
              <w:t>38.9</w:t>
            </w:r>
          </w:p>
        </w:tc>
        <w:tc>
          <w:tcPr>
            <w:tcW w:w="1040" w:type="dxa"/>
            <w:tcBorders>
              <w:top w:val="dotted" w:sz="4" w:space="0" w:color="009900"/>
              <w:left w:val="nil"/>
              <w:bottom w:val="single" w:sz="4" w:space="0" w:color="009900"/>
              <w:right w:val="single" w:sz="4" w:space="0" w:color="009900"/>
            </w:tcBorders>
            <w:shd w:val="clear" w:color="000000" w:fill="FFFFE1"/>
            <w:noWrap/>
            <w:vAlign w:val="center"/>
            <w:hideMark/>
          </w:tcPr>
          <w:p w:rsidR="00B73787" w:rsidRPr="00B73787" w:rsidRDefault="00B73787" w:rsidP="00B73787">
            <w:pPr>
              <w:jc w:val="center"/>
              <w:rPr>
                <w:rFonts w:ascii="Arial" w:hAnsi="Arial" w:cs="Arial"/>
                <w:b/>
                <w:bCs/>
                <w:sz w:val="16"/>
                <w:szCs w:val="16"/>
              </w:rPr>
            </w:pPr>
            <w:r w:rsidRPr="00B73787">
              <w:rPr>
                <w:rFonts w:ascii="Arial" w:hAnsi="Arial" w:cs="Arial"/>
                <w:b/>
                <w:bCs/>
                <w:sz w:val="16"/>
                <w:szCs w:val="16"/>
              </w:rPr>
              <w:t>14.7</w:t>
            </w:r>
          </w:p>
        </w:tc>
      </w:tr>
    </w:tbl>
    <w:p w:rsidR="00DE47E0" w:rsidRPr="00955C8C" w:rsidRDefault="00DE47E0" w:rsidP="00152887">
      <w:pPr>
        <w:pStyle w:val="BodyText"/>
        <w:tabs>
          <w:tab w:val="num" w:pos="360"/>
        </w:tabs>
        <w:jc w:val="center"/>
        <w:rPr>
          <w:rFonts w:ascii="CG Omega" w:hAnsi="CG Omega"/>
          <w:sz w:val="20"/>
          <w:highlight w:val="yellow"/>
        </w:rPr>
      </w:pPr>
    </w:p>
    <w:p w:rsidR="00DE47E0" w:rsidRPr="00E237FF" w:rsidRDefault="00DE47E0" w:rsidP="00DE47E0">
      <w:pPr>
        <w:jc w:val="both"/>
        <w:rPr>
          <w:rFonts w:ascii="CG Omega" w:hAnsi="CG Omega" w:cs="CG Times"/>
          <w:b/>
          <w:sz w:val="22"/>
          <w:szCs w:val="22"/>
        </w:rPr>
      </w:pPr>
      <w:r w:rsidRPr="00E237FF">
        <w:rPr>
          <w:rFonts w:ascii="CG Omega" w:hAnsi="CG Omega" w:cs="CG Times"/>
          <w:b/>
          <w:sz w:val="22"/>
          <w:szCs w:val="22"/>
        </w:rPr>
        <w:t>The Elder</w:t>
      </w:r>
      <w:r w:rsidR="00816D6F" w:rsidRPr="00E237FF">
        <w:rPr>
          <w:rFonts w:ascii="CG Omega" w:hAnsi="CG Omega" w:cs="CG Times"/>
          <w:b/>
          <w:sz w:val="22"/>
          <w:szCs w:val="22"/>
        </w:rPr>
        <w:t>ly</w:t>
      </w:r>
      <w:r w:rsidRPr="00E237FF">
        <w:rPr>
          <w:rFonts w:ascii="CG Omega" w:hAnsi="CG Omega" w:cs="CG Times"/>
          <w:b/>
          <w:sz w:val="22"/>
          <w:szCs w:val="22"/>
        </w:rPr>
        <w:t xml:space="preserve"> </w:t>
      </w:r>
    </w:p>
    <w:p w:rsidR="00DE47E0" w:rsidRPr="004608D1" w:rsidRDefault="00DE47E0" w:rsidP="00DE47E0">
      <w:pPr>
        <w:jc w:val="both"/>
        <w:rPr>
          <w:rFonts w:ascii="CG Omega" w:hAnsi="CG Omega" w:cs="Arial"/>
          <w:sz w:val="16"/>
          <w:szCs w:val="16"/>
        </w:rPr>
      </w:pPr>
    </w:p>
    <w:p w:rsidR="00C82EE8" w:rsidRDefault="006850BD" w:rsidP="00DE47E0">
      <w:pPr>
        <w:jc w:val="both"/>
        <w:rPr>
          <w:rFonts w:ascii="CG Omega" w:hAnsi="CG Omega" w:cs="Arial"/>
          <w:highlight w:val="yellow"/>
        </w:rPr>
      </w:pPr>
      <w:r w:rsidRPr="00E237FF">
        <w:rPr>
          <w:rFonts w:ascii="CG Omega" w:hAnsi="CG Omega" w:cs="Arial"/>
        </w:rPr>
        <w:t xml:space="preserve">The elderly population is defined </w:t>
      </w:r>
      <w:r w:rsidR="009B602C" w:rsidRPr="00E237FF">
        <w:rPr>
          <w:rFonts w:ascii="CG Omega" w:hAnsi="CG Omega" w:cs="Arial"/>
        </w:rPr>
        <w:t>by the Census Bureau a</w:t>
      </w:r>
      <w:r w:rsidR="00E8571F" w:rsidRPr="00E237FF">
        <w:rPr>
          <w:rFonts w:ascii="CG Omega" w:hAnsi="CG Omega" w:cs="Arial"/>
        </w:rPr>
        <w:t>s comprising any person aged 65</w:t>
      </w:r>
      <w:r w:rsidRPr="00E237FF">
        <w:rPr>
          <w:rFonts w:ascii="CG Omega" w:hAnsi="CG Omega" w:cs="Arial"/>
        </w:rPr>
        <w:t xml:space="preserve"> or older.  </w:t>
      </w:r>
      <w:r w:rsidR="00605A06" w:rsidRPr="00E237FF">
        <w:rPr>
          <w:rFonts w:ascii="CG Omega" w:hAnsi="CG Omega" w:cs="Arial"/>
        </w:rPr>
        <w:t>As noted in the 2000 c</w:t>
      </w:r>
      <w:r w:rsidR="00DE47E0" w:rsidRPr="00E237FF">
        <w:rPr>
          <w:rFonts w:ascii="CG Omega" w:hAnsi="CG Omega" w:cs="Arial"/>
        </w:rPr>
        <w:t>ensus</w:t>
      </w:r>
      <w:r w:rsidR="00605A06" w:rsidRPr="00E237FF">
        <w:rPr>
          <w:rFonts w:ascii="CG Omega" w:hAnsi="CG Omega" w:cs="Arial"/>
        </w:rPr>
        <w:t xml:space="preserve"> data</w:t>
      </w:r>
      <w:r w:rsidR="00DE47E0" w:rsidRPr="00E237FF">
        <w:rPr>
          <w:rFonts w:ascii="CG Omega" w:hAnsi="CG Omega" w:cs="Arial"/>
        </w:rPr>
        <w:t xml:space="preserve">, </w:t>
      </w:r>
      <w:r w:rsidRPr="00E237FF">
        <w:rPr>
          <w:rFonts w:ascii="CG Omega" w:hAnsi="CG Omega" w:cs="Arial"/>
        </w:rPr>
        <w:t>212,225</w:t>
      </w:r>
      <w:r w:rsidR="00605A06" w:rsidRPr="00E237FF">
        <w:rPr>
          <w:rFonts w:ascii="CG Omega" w:hAnsi="CG Omega" w:cs="Arial"/>
        </w:rPr>
        <w:t xml:space="preserve"> persons</w:t>
      </w:r>
      <w:r w:rsidR="00DE47E0" w:rsidRPr="00E237FF">
        <w:rPr>
          <w:rFonts w:ascii="CG Omega" w:hAnsi="CG Omega" w:cs="Arial"/>
        </w:rPr>
        <w:t xml:space="preserve"> in </w:t>
      </w:r>
      <w:r w:rsidRPr="00E237FF">
        <w:rPr>
          <w:rFonts w:ascii="CG Omega" w:hAnsi="CG Omega" w:cs="Arial"/>
        </w:rPr>
        <w:t xml:space="preserve">New Mexico were considered </w:t>
      </w:r>
      <w:r w:rsidR="00E237FF" w:rsidRPr="00E237FF">
        <w:rPr>
          <w:rFonts w:ascii="CG Omega" w:hAnsi="CG Omega" w:cs="Arial"/>
        </w:rPr>
        <w:t>elderly; by 2012 there were 272,255 elderly persons in the state</w:t>
      </w:r>
      <w:r w:rsidR="00DE47E0" w:rsidRPr="00E237FF">
        <w:rPr>
          <w:rFonts w:ascii="CG Omega" w:hAnsi="CG Omega" w:cs="Arial"/>
        </w:rPr>
        <w:t>.</w:t>
      </w:r>
      <w:r w:rsidR="00AB3569" w:rsidRPr="00E237FF">
        <w:rPr>
          <w:rFonts w:ascii="CG Omega" w:hAnsi="CG Omega" w:cs="Arial"/>
        </w:rPr>
        <w:t xml:space="preserve"> </w:t>
      </w:r>
      <w:r w:rsidR="00E237FF" w:rsidRPr="00866A4D">
        <w:rPr>
          <w:rFonts w:ascii="CG Omega" w:hAnsi="CG Omega" w:cs="Arial"/>
          <w:b/>
        </w:rPr>
        <w:t>Table</w:t>
      </w:r>
      <w:r w:rsidR="00605A06" w:rsidRPr="00866A4D">
        <w:rPr>
          <w:rFonts w:ascii="CG Omega" w:hAnsi="CG Omega" w:cs="Arial"/>
          <w:b/>
        </w:rPr>
        <w:t xml:space="preserve"> </w:t>
      </w:r>
      <w:r w:rsidR="00E237FF" w:rsidRPr="00866A4D">
        <w:rPr>
          <w:rFonts w:ascii="CG Omega" w:hAnsi="CG Omega" w:cs="Arial"/>
          <w:b/>
        </w:rPr>
        <w:t>I</w:t>
      </w:r>
      <w:r w:rsidR="007F51C1" w:rsidRPr="00866A4D">
        <w:rPr>
          <w:rFonts w:ascii="CG Omega" w:hAnsi="CG Omega" w:cs="Arial"/>
          <w:b/>
        </w:rPr>
        <w:t>II.6</w:t>
      </w:r>
      <w:r w:rsidR="001E0F36" w:rsidRPr="00E237FF">
        <w:rPr>
          <w:rFonts w:ascii="CG Omega" w:hAnsi="CG Omega" w:cs="Arial"/>
        </w:rPr>
        <w:t xml:space="preserve">, </w:t>
      </w:r>
      <w:r w:rsidR="00E237FF" w:rsidRPr="00E237FF">
        <w:rPr>
          <w:rFonts w:ascii="CG Omega" w:hAnsi="CG Omega" w:cs="Arial"/>
        </w:rPr>
        <w:t>below</w:t>
      </w:r>
      <w:r w:rsidR="00AB3569" w:rsidRPr="00E237FF">
        <w:rPr>
          <w:rFonts w:ascii="CG Omega" w:hAnsi="CG Omega" w:cs="Arial"/>
        </w:rPr>
        <w:t>,</w:t>
      </w:r>
      <w:r w:rsidR="001E61ED" w:rsidRPr="00E237FF">
        <w:rPr>
          <w:rFonts w:ascii="CG Omega" w:hAnsi="CG Omega" w:cs="Arial"/>
        </w:rPr>
        <w:t xml:space="preserve"> segregates this age cohort into several smaller groups.  This </w:t>
      </w:r>
      <w:r w:rsidR="00E237FF">
        <w:rPr>
          <w:rFonts w:ascii="CG Omega" w:hAnsi="CG Omega" w:cs="Arial"/>
        </w:rPr>
        <w:t>table</w:t>
      </w:r>
      <w:r w:rsidR="00AB3569" w:rsidRPr="00E237FF">
        <w:rPr>
          <w:rFonts w:ascii="CG Omega" w:hAnsi="CG Omega" w:cs="Arial"/>
        </w:rPr>
        <w:t xml:space="preserve"> shows that</w:t>
      </w:r>
      <w:r w:rsidR="0072780D" w:rsidRPr="00E237FF">
        <w:rPr>
          <w:rFonts w:ascii="CG Omega" w:hAnsi="CG Omega" w:cs="Arial"/>
        </w:rPr>
        <w:t xml:space="preserve"> those aged 70 to 74</w:t>
      </w:r>
      <w:r w:rsidR="001E0F36" w:rsidRPr="00E237FF">
        <w:rPr>
          <w:rFonts w:ascii="CG Omega" w:hAnsi="CG Omega" w:cs="Arial"/>
        </w:rPr>
        <w:t xml:space="preserve"> co</w:t>
      </w:r>
      <w:r w:rsidR="00A40E11" w:rsidRPr="00E237FF">
        <w:rPr>
          <w:rFonts w:ascii="CG Omega" w:hAnsi="CG Omega" w:cs="Arial"/>
        </w:rPr>
        <w:t>mprised the largest age cohort</w:t>
      </w:r>
      <w:r w:rsidR="001E0F36" w:rsidRPr="00E237FF">
        <w:rPr>
          <w:rFonts w:ascii="CG Omega" w:hAnsi="CG Omega" w:cs="Arial"/>
        </w:rPr>
        <w:t xml:space="preserve"> </w:t>
      </w:r>
      <w:r w:rsidR="00B66570" w:rsidRPr="00E237FF">
        <w:rPr>
          <w:rFonts w:ascii="CG Omega" w:hAnsi="CG Omega" w:cs="Arial"/>
        </w:rPr>
        <w:t xml:space="preserve">of the elderly </w:t>
      </w:r>
      <w:r w:rsidR="00A40E11" w:rsidRPr="00E237FF">
        <w:rPr>
          <w:rFonts w:ascii="CG Omega" w:hAnsi="CG Omega" w:cs="Arial"/>
        </w:rPr>
        <w:t xml:space="preserve">population </w:t>
      </w:r>
      <w:r w:rsidRPr="00E237FF">
        <w:rPr>
          <w:rFonts w:ascii="CG Omega" w:hAnsi="CG Omega" w:cs="Arial"/>
        </w:rPr>
        <w:t>in New Mexico</w:t>
      </w:r>
      <w:r w:rsidR="0072780D" w:rsidRPr="00E237FF">
        <w:rPr>
          <w:rFonts w:ascii="CG Omega" w:hAnsi="CG Omega" w:cs="Arial"/>
        </w:rPr>
        <w:t xml:space="preserve"> at that time</w:t>
      </w:r>
      <w:r w:rsidRPr="00E237FF">
        <w:rPr>
          <w:rFonts w:ascii="CG Omega" w:hAnsi="CG Omega" w:cs="Arial"/>
        </w:rPr>
        <w:t xml:space="preserve"> at </w:t>
      </w:r>
      <w:r w:rsidR="00E237FF" w:rsidRPr="00E237FF">
        <w:rPr>
          <w:rFonts w:ascii="CG Omega" w:hAnsi="CG Omega" w:cs="Arial"/>
        </w:rPr>
        <w:t>65,904</w:t>
      </w:r>
      <w:r w:rsidR="00473A7B" w:rsidRPr="00E237FF">
        <w:rPr>
          <w:rFonts w:ascii="CG Omega" w:hAnsi="CG Omega" w:cs="Arial"/>
        </w:rPr>
        <w:t xml:space="preserve"> persons, followed by</w:t>
      </w:r>
      <w:r w:rsidR="001E61ED" w:rsidRPr="00E237FF">
        <w:rPr>
          <w:rFonts w:ascii="CG Omega" w:hAnsi="CG Omega" w:cs="Arial"/>
        </w:rPr>
        <w:t xml:space="preserve"> the age groups o</w:t>
      </w:r>
      <w:r w:rsidRPr="00E237FF">
        <w:rPr>
          <w:rFonts w:ascii="CG Omega" w:hAnsi="CG Omega" w:cs="Arial"/>
        </w:rPr>
        <w:t xml:space="preserve">f </w:t>
      </w:r>
      <w:r w:rsidR="004825BF">
        <w:rPr>
          <w:rFonts w:ascii="CG Omega" w:hAnsi="CG Omega" w:cs="Arial"/>
        </w:rPr>
        <w:t>75 to 7</w:t>
      </w:r>
      <w:r w:rsidR="00E237FF" w:rsidRPr="00E237FF">
        <w:rPr>
          <w:rFonts w:ascii="CG Omega" w:hAnsi="CG Omega" w:cs="Arial"/>
        </w:rPr>
        <w:t>9</w:t>
      </w:r>
      <w:r w:rsidRPr="00E237FF">
        <w:rPr>
          <w:rFonts w:ascii="CG Omega" w:hAnsi="CG Omega" w:cs="Arial"/>
        </w:rPr>
        <w:t xml:space="preserve"> with </w:t>
      </w:r>
      <w:r w:rsidR="004825BF">
        <w:rPr>
          <w:rFonts w:ascii="CG Omega" w:hAnsi="CG Omega" w:cs="Arial"/>
        </w:rPr>
        <w:t>50,230</w:t>
      </w:r>
      <w:r w:rsidR="00473A7B" w:rsidRPr="00E237FF">
        <w:rPr>
          <w:rFonts w:ascii="CG Omega" w:hAnsi="CG Omega" w:cs="Arial"/>
        </w:rPr>
        <w:t xml:space="preserve"> persons</w:t>
      </w:r>
      <w:r w:rsidR="00E237FF" w:rsidRPr="00E237FF">
        <w:rPr>
          <w:rFonts w:ascii="CG Omega" w:hAnsi="CG Omega" w:cs="Arial"/>
        </w:rPr>
        <w:t>.</w:t>
      </w:r>
      <w:r w:rsidR="00E237FF">
        <w:rPr>
          <w:rFonts w:ascii="CG Omega" w:hAnsi="CG Omega" w:cs="Arial"/>
        </w:rPr>
        <w:t xml:space="preserve"> Between 2000 and 2010, the most growth occurred in those aged 65 to 66, with a 45.9 percent increase, followed by those aged 85 or older with a 37.3 percent increase.</w:t>
      </w:r>
      <w:r w:rsidR="007F51C1">
        <w:rPr>
          <w:rFonts w:ascii="CG Omega" w:hAnsi="CG Omega" w:cs="Arial"/>
        </w:rPr>
        <w:t xml:space="preserve"> The elderly population, as a whole, </w:t>
      </w:r>
      <w:r w:rsidR="001675F8">
        <w:rPr>
          <w:rFonts w:ascii="CG Omega" w:hAnsi="CG Omega" w:cs="Arial"/>
        </w:rPr>
        <w:t xml:space="preserve">has seen the second most amount of growth </w:t>
      </w:r>
      <w:r w:rsidR="004825BF">
        <w:rPr>
          <w:rFonts w:ascii="CG Omega" w:hAnsi="CG Omega" w:cs="Arial"/>
        </w:rPr>
        <w:t xml:space="preserve">for all age groups </w:t>
      </w:r>
      <w:r w:rsidR="001675F8">
        <w:rPr>
          <w:rFonts w:ascii="CG Omega" w:hAnsi="CG Omega" w:cs="Arial"/>
        </w:rPr>
        <w:t>between 2000 and 2010.  The number</w:t>
      </w:r>
      <w:r w:rsidR="00425EFC">
        <w:rPr>
          <w:rFonts w:ascii="CG Omega" w:hAnsi="CG Omega" w:cs="Arial"/>
        </w:rPr>
        <w:t xml:space="preserve"> of persons over 65 grew by 28.3</w:t>
      </w:r>
      <w:r w:rsidR="001675F8">
        <w:rPr>
          <w:rFonts w:ascii="CG Omega" w:hAnsi="CG Omega" w:cs="Arial"/>
        </w:rPr>
        <w:t xml:space="preserve"> percent over that decade. The fastest growing </w:t>
      </w:r>
      <w:r w:rsidR="008D5A3B">
        <w:rPr>
          <w:rFonts w:ascii="CG Omega" w:hAnsi="CG Omega" w:cs="Arial"/>
        </w:rPr>
        <w:t>group during that timeframe was</w:t>
      </w:r>
      <w:r w:rsidR="001675F8">
        <w:rPr>
          <w:rFonts w:ascii="CG Omega" w:hAnsi="CG Omega" w:cs="Arial"/>
        </w:rPr>
        <w:t xml:space="preserve"> persons aged 58 to 64, indicating that the elderly population will continue to grow at an increasing rate in the future.</w:t>
      </w:r>
    </w:p>
    <w:p w:rsidR="00DE47E0" w:rsidRPr="001D6EBE" w:rsidRDefault="001E0F36" w:rsidP="00DE47E0">
      <w:pPr>
        <w:jc w:val="both"/>
        <w:rPr>
          <w:rFonts w:ascii="CG Omega" w:hAnsi="CG Omega" w:cs="Arial"/>
          <w:sz w:val="16"/>
          <w:szCs w:val="16"/>
          <w:highlight w:val="yellow"/>
        </w:rPr>
      </w:pPr>
      <w:r w:rsidRPr="00955C8C">
        <w:rPr>
          <w:rFonts w:ascii="CG Omega" w:hAnsi="CG Omega" w:cs="Arial"/>
          <w:highlight w:val="yellow"/>
        </w:rPr>
        <w:t xml:space="preserve">  </w:t>
      </w:r>
    </w:p>
    <w:tbl>
      <w:tblPr>
        <w:tblW w:w="6576" w:type="dxa"/>
        <w:jc w:val="center"/>
        <w:tblLook w:val="04A0" w:firstRow="1" w:lastRow="0" w:firstColumn="1" w:lastColumn="0" w:noHBand="0" w:noVBand="1"/>
      </w:tblPr>
      <w:tblGrid>
        <w:gridCol w:w="1091"/>
        <w:gridCol w:w="1103"/>
        <w:gridCol w:w="1080"/>
        <w:gridCol w:w="1168"/>
        <w:gridCol w:w="1059"/>
        <w:gridCol w:w="1075"/>
      </w:tblGrid>
      <w:tr w:rsidR="00E237FF" w:rsidRPr="00AF0F26" w:rsidTr="00815780">
        <w:trPr>
          <w:trHeight w:val="216"/>
          <w:jc w:val="center"/>
        </w:trPr>
        <w:tc>
          <w:tcPr>
            <w:tcW w:w="6576" w:type="dxa"/>
            <w:gridSpan w:val="6"/>
            <w:tcBorders>
              <w:bottom w:val="single" w:sz="4" w:space="0" w:color="009900"/>
            </w:tcBorders>
            <w:shd w:val="clear" w:color="000000" w:fill="auto"/>
            <w:noWrap/>
            <w:vAlign w:val="center"/>
            <w:hideMark/>
          </w:tcPr>
          <w:p w:rsidR="00E237FF" w:rsidRPr="00F53EB1" w:rsidRDefault="00E237FF" w:rsidP="00815780">
            <w:pPr>
              <w:pStyle w:val="ObjectSubtitle"/>
              <w:rPr>
                <w:sz w:val="22"/>
                <w:szCs w:val="22"/>
              </w:rPr>
            </w:pPr>
            <w:bookmarkStart w:id="37" w:name="_MON_1341299900"/>
            <w:bookmarkStart w:id="38" w:name="_MON_1341299848"/>
            <w:bookmarkEnd w:id="37"/>
            <w:bookmarkEnd w:id="38"/>
            <w:r w:rsidRPr="00F53EB1">
              <w:rPr>
                <w:sz w:val="22"/>
                <w:szCs w:val="22"/>
              </w:rPr>
              <w:t xml:space="preserve">Table </w:t>
            </w:r>
            <w:r>
              <w:rPr>
                <w:sz w:val="22"/>
                <w:szCs w:val="22"/>
              </w:rPr>
              <w:t>I</w:t>
            </w:r>
            <w:r w:rsidR="002B6E94">
              <w:rPr>
                <w:sz w:val="22"/>
                <w:szCs w:val="22"/>
              </w:rPr>
              <w:t>II.6</w:t>
            </w:r>
          </w:p>
          <w:p w:rsidR="00E237FF" w:rsidRPr="00AF0F26" w:rsidRDefault="00E237FF" w:rsidP="00815780">
            <w:pPr>
              <w:pStyle w:val="ObjectSubtitle"/>
            </w:pPr>
            <w:r w:rsidRPr="00AF0F26">
              <w:t>Elderly Population by Age</w:t>
            </w:r>
          </w:p>
          <w:p w:rsidR="00E237FF" w:rsidRPr="00751D0F" w:rsidRDefault="00E237FF" w:rsidP="00815780">
            <w:pPr>
              <w:pStyle w:val="ObjectAreaData"/>
            </w:pPr>
            <w:r w:rsidRPr="00550301">
              <w:rPr>
                <w:noProof/>
              </w:rPr>
              <w:t>State of New Mexico</w:t>
            </w:r>
          </w:p>
          <w:p w:rsidR="00E237FF" w:rsidRPr="00AF0F26" w:rsidRDefault="00E237FF" w:rsidP="00815780">
            <w:pPr>
              <w:pStyle w:val="ObjectAreaData"/>
              <w:rPr>
                <w:b/>
                <w:bCs/>
              </w:rPr>
            </w:pPr>
            <w:r>
              <w:t>2000 &amp; 2010 Census SF1 Data</w:t>
            </w:r>
          </w:p>
        </w:tc>
      </w:tr>
      <w:tr w:rsidR="00E237FF" w:rsidRPr="002E5098" w:rsidTr="00815780">
        <w:trPr>
          <w:trHeight w:val="216"/>
          <w:jc w:val="center"/>
        </w:trPr>
        <w:tc>
          <w:tcPr>
            <w:tcW w:w="1091" w:type="dxa"/>
            <w:vMerge w:val="restart"/>
            <w:tcBorders>
              <w:top w:val="single" w:sz="4" w:space="0" w:color="009900"/>
              <w:left w:val="single" w:sz="4" w:space="0" w:color="009900"/>
              <w:bottom w:val="single" w:sz="4" w:space="0" w:color="009900"/>
              <w:right w:val="nil"/>
            </w:tcBorders>
            <w:shd w:val="clear" w:color="000000" w:fill="FFFFE1"/>
            <w:noWrap/>
            <w:vAlign w:val="center"/>
            <w:hideMark/>
          </w:tcPr>
          <w:p w:rsidR="00E237FF" w:rsidRPr="002E5098" w:rsidRDefault="00E237FF" w:rsidP="00815780">
            <w:pPr>
              <w:jc w:val="center"/>
              <w:rPr>
                <w:rFonts w:ascii="Arial" w:hAnsi="Arial" w:cs="Arial"/>
                <w:b/>
                <w:bCs/>
                <w:sz w:val="16"/>
                <w:szCs w:val="16"/>
              </w:rPr>
            </w:pPr>
            <w:r w:rsidRPr="002E5098">
              <w:rPr>
                <w:rFonts w:ascii="Arial" w:hAnsi="Arial" w:cs="Arial"/>
                <w:b/>
                <w:bCs/>
                <w:sz w:val="16"/>
                <w:szCs w:val="16"/>
              </w:rPr>
              <w:t>Age</w:t>
            </w:r>
          </w:p>
        </w:tc>
        <w:tc>
          <w:tcPr>
            <w:tcW w:w="2183" w:type="dxa"/>
            <w:gridSpan w:val="2"/>
            <w:tcBorders>
              <w:top w:val="single" w:sz="4" w:space="0" w:color="009900"/>
              <w:left w:val="nil"/>
              <w:bottom w:val="dotted" w:sz="4" w:space="0" w:color="009900"/>
              <w:right w:val="nil"/>
            </w:tcBorders>
            <w:shd w:val="clear" w:color="000000" w:fill="FFFFE1"/>
            <w:noWrap/>
            <w:vAlign w:val="center"/>
            <w:hideMark/>
          </w:tcPr>
          <w:p w:rsidR="00E237FF" w:rsidRPr="002E5098" w:rsidRDefault="00E237FF" w:rsidP="00815780">
            <w:pPr>
              <w:pStyle w:val="ObjectAreaData"/>
              <w:rPr>
                <w:b/>
              </w:rPr>
            </w:pPr>
            <w:r w:rsidRPr="002E5098">
              <w:rPr>
                <w:b/>
              </w:rPr>
              <w:t>2000 Census</w:t>
            </w:r>
          </w:p>
        </w:tc>
        <w:tc>
          <w:tcPr>
            <w:tcW w:w="2227" w:type="dxa"/>
            <w:gridSpan w:val="2"/>
            <w:tcBorders>
              <w:top w:val="single" w:sz="4" w:space="0" w:color="009900"/>
              <w:left w:val="nil"/>
              <w:bottom w:val="dotted" w:sz="4" w:space="0" w:color="009900"/>
              <w:right w:val="nil"/>
            </w:tcBorders>
            <w:shd w:val="clear" w:color="000000" w:fill="FFFFE1"/>
            <w:noWrap/>
            <w:vAlign w:val="center"/>
            <w:hideMark/>
          </w:tcPr>
          <w:p w:rsidR="00E237FF" w:rsidRPr="002E5098" w:rsidRDefault="00E237FF" w:rsidP="00815780">
            <w:pPr>
              <w:pStyle w:val="ObjectAreaData"/>
              <w:rPr>
                <w:b/>
              </w:rPr>
            </w:pPr>
            <w:r w:rsidRPr="002E5098">
              <w:rPr>
                <w:b/>
              </w:rPr>
              <w:t>2010 Census</w:t>
            </w:r>
          </w:p>
        </w:tc>
        <w:tc>
          <w:tcPr>
            <w:tcW w:w="1075" w:type="dxa"/>
            <w:vMerge w:val="restart"/>
            <w:tcBorders>
              <w:top w:val="single" w:sz="4" w:space="0" w:color="009900"/>
              <w:left w:val="dotted" w:sz="4" w:space="0" w:color="009900"/>
              <w:bottom w:val="single" w:sz="4" w:space="0" w:color="009900"/>
              <w:right w:val="single" w:sz="4" w:space="0" w:color="009900"/>
            </w:tcBorders>
            <w:shd w:val="clear" w:color="000000" w:fill="FFFFE1"/>
            <w:vAlign w:val="center"/>
            <w:hideMark/>
          </w:tcPr>
          <w:p w:rsidR="00E237FF" w:rsidRPr="002E5098" w:rsidRDefault="00E237FF" w:rsidP="00815780">
            <w:pPr>
              <w:pStyle w:val="ObjectAreaData"/>
              <w:rPr>
                <w:b/>
              </w:rPr>
            </w:pPr>
            <w:r>
              <w:rPr>
                <w:b/>
              </w:rPr>
              <w:t>% Change 00–10</w:t>
            </w:r>
          </w:p>
        </w:tc>
      </w:tr>
      <w:tr w:rsidR="00E237FF" w:rsidRPr="002E5098" w:rsidTr="00815780">
        <w:trPr>
          <w:trHeight w:val="216"/>
          <w:jc w:val="center"/>
        </w:trPr>
        <w:tc>
          <w:tcPr>
            <w:tcW w:w="1091" w:type="dxa"/>
            <w:vMerge/>
            <w:tcBorders>
              <w:top w:val="nil"/>
              <w:left w:val="single" w:sz="4" w:space="0" w:color="009900"/>
              <w:bottom w:val="single" w:sz="4" w:space="0" w:color="009900"/>
              <w:right w:val="nil"/>
            </w:tcBorders>
            <w:vAlign w:val="center"/>
            <w:hideMark/>
          </w:tcPr>
          <w:p w:rsidR="00E237FF" w:rsidRPr="002E5098" w:rsidRDefault="00E237FF" w:rsidP="00815780">
            <w:pPr>
              <w:rPr>
                <w:rFonts w:ascii="Arial" w:hAnsi="Arial" w:cs="Arial"/>
                <w:b/>
                <w:bCs/>
                <w:sz w:val="16"/>
                <w:szCs w:val="16"/>
              </w:rPr>
            </w:pPr>
          </w:p>
        </w:tc>
        <w:tc>
          <w:tcPr>
            <w:tcW w:w="1103" w:type="dxa"/>
            <w:tcBorders>
              <w:top w:val="nil"/>
              <w:left w:val="nil"/>
              <w:bottom w:val="single" w:sz="4" w:space="0" w:color="009900"/>
              <w:right w:val="nil"/>
            </w:tcBorders>
            <w:shd w:val="clear" w:color="000000" w:fill="FFFFE1"/>
            <w:noWrap/>
            <w:vAlign w:val="center"/>
            <w:hideMark/>
          </w:tcPr>
          <w:p w:rsidR="00E237FF" w:rsidRPr="002E5098" w:rsidRDefault="00E237FF" w:rsidP="00815780">
            <w:pPr>
              <w:pStyle w:val="ObjectAreaData"/>
              <w:rPr>
                <w:b/>
              </w:rPr>
            </w:pPr>
            <w:r w:rsidRPr="002E5098">
              <w:rPr>
                <w:b/>
              </w:rPr>
              <w:t>Population</w:t>
            </w:r>
          </w:p>
        </w:tc>
        <w:tc>
          <w:tcPr>
            <w:tcW w:w="1080" w:type="dxa"/>
            <w:tcBorders>
              <w:top w:val="nil"/>
              <w:left w:val="nil"/>
              <w:bottom w:val="single" w:sz="4" w:space="0" w:color="009900"/>
              <w:right w:val="nil"/>
            </w:tcBorders>
            <w:shd w:val="clear" w:color="000000" w:fill="FFFFE1"/>
            <w:noWrap/>
            <w:vAlign w:val="center"/>
            <w:hideMark/>
          </w:tcPr>
          <w:p w:rsidR="00E237FF" w:rsidRPr="002E5098" w:rsidRDefault="00E237FF" w:rsidP="00815780">
            <w:pPr>
              <w:pStyle w:val="ObjectAreaData"/>
              <w:rPr>
                <w:b/>
              </w:rPr>
            </w:pPr>
            <w:r w:rsidRPr="002E5098">
              <w:rPr>
                <w:b/>
              </w:rPr>
              <w:t>% of Total</w:t>
            </w:r>
          </w:p>
        </w:tc>
        <w:tc>
          <w:tcPr>
            <w:tcW w:w="1168" w:type="dxa"/>
            <w:tcBorders>
              <w:top w:val="nil"/>
              <w:left w:val="nil"/>
              <w:bottom w:val="single" w:sz="4" w:space="0" w:color="009900"/>
              <w:right w:val="nil"/>
            </w:tcBorders>
            <w:shd w:val="clear" w:color="000000" w:fill="FFFFE1"/>
            <w:noWrap/>
            <w:vAlign w:val="center"/>
            <w:hideMark/>
          </w:tcPr>
          <w:p w:rsidR="00E237FF" w:rsidRPr="002E5098" w:rsidRDefault="00E237FF" w:rsidP="00815780">
            <w:pPr>
              <w:pStyle w:val="ObjectAreaData"/>
              <w:rPr>
                <w:b/>
              </w:rPr>
            </w:pPr>
            <w:r w:rsidRPr="002E5098">
              <w:rPr>
                <w:b/>
              </w:rPr>
              <w:t>Population</w:t>
            </w:r>
          </w:p>
        </w:tc>
        <w:tc>
          <w:tcPr>
            <w:tcW w:w="1059" w:type="dxa"/>
            <w:tcBorders>
              <w:top w:val="nil"/>
              <w:left w:val="nil"/>
              <w:bottom w:val="single" w:sz="4" w:space="0" w:color="009900"/>
              <w:right w:val="nil"/>
            </w:tcBorders>
            <w:shd w:val="clear" w:color="000000" w:fill="FFFFE1"/>
            <w:noWrap/>
            <w:vAlign w:val="center"/>
            <w:hideMark/>
          </w:tcPr>
          <w:p w:rsidR="00E237FF" w:rsidRPr="002E5098" w:rsidRDefault="00E237FF" w:rsidP="00815780">
            <w:pPr>
              <w:pStyle w:val="ObjectAreaData"/>
              <w:rPr>
                <w:b/>
              </w:rPr>
            </w:pPr>
            <w:r w:rsidRPr="002E5098">
              <w:rPr>
                <w:b/>
              </w:rPr>
              <w:t>% of Total</w:t>
            </w:r>
          </w:p>
        </w:tc>
        <w:tc>
          <w:tcPr>
            <w:tcW w:w="1075" w:type="dxa"/>
            <w:vMerge/>
            <w:tcBorders>
              <w:top w:val="nil"/>
              <w:left w:val="dotted" w:sz="4" w:space="0" w:color="009900"/>
              <w:bottom w:val="single" w:sz="4" w:space="0" w:color="009900"/>
              <w:right w:val="single" w:sz="4" w:space="0" w:color="009900"/>
            </w:tcBorders>
            <w:vAlign w:val="center"/>
            <w:hideMark/>
          </w:tcPr>
          <w:p w:rsidR="00E237FF" w:rsidRPr="002E5098" w:rsidRDefault="00E237FF" w:rsidP="00815780">
            <w:pPr>
              <w:pStyle w:val="ObjectAreaData"/>
              <w:rPr>
                <w:b/>
              </w:rPr>
            </w:pPr>
          </w:p>
        </w:tc>
      </w:tr>
      <w:tr w:rsidR="00E237FF" w:rsidRPr="00AF0F26" w:rsidTr="00815780">
        <w:trPr>
          <w:trHeight w:val="216"/>
          <w:jc w:val="center"/>
        </w:trPr>
        <w:tc>
          <w:tcPr>
            <w:tcW w:w="1091" w:type="dxa"/>
            <w:tcBorders>
              <w:top w:val="nil"/>
              <w:left w:val="single" w:sz="4" w:space="0" w:color="009900"/>
              <w:bottom w:val="nil"/>
              <w:right w:val="nil"/>
            </w:tcBorders>
            <w:shd w:val="clear" w:color="000000" w:fill="FFFFE1"/>
            <w:noWrap/>
            <w:vAlign w:val="center"/>
            <w:hideMark/>
          </w:tcPr>
          <w:p w:rsidR="00E237FF" w:rsidRPr="002E5098" w:rsidRDefault="00E237FF" w:rsidP="00815780">
            <w:pPr>
              <w:pStyle w:val="ObjectAreaData"/>
              <w:jc w:val="left"/>
            </w:pPr>
            <w:r w:rsidRPr="002E5098">
              <w:t>65 to 66</w:t>
            </w:r>
          </w:p>
        </w:tc>
        <w:tc>
          <w:tcPr>
            <w:tcW w:w="1103" w:type="dxa"/>
            <w:tcBorders>
              <w:top w:val="nil"/>
              <w:left w:val="nil"/>
              <w:bottom w:val="nil"/>
              <w:right w:val="nil"/>
            </w:tcBorders>
            <w:shd w:val="clear" w:color="000000" w:fill="FFFFE1"/>
            <w:noWrap/>
            <w:vAlign w:val="center"/>
            <w:hideMark/>
          </w:tcPr>
          <w:p w:rsidR="00E237FF" w:rsidRPr="00AF0F26" w:rsidRDefault="00E237FF" w:rsidP="00815780">
            <w:pPr>
              <w:pStyle w:val="ObjectAreaData"/>
            </w:pPr>
            <w:r w:rsidRPr="00550301">
              <w:rPr>
                <w:noProof/>
              </w:rPr>
              <w:t>25,984</w:t>
            </w:r>
          </w:p>
        </w:tc>
        <w:tc>
          <w:tcPr>
            <w:tcW w:w="1080" w:type="dxa"/>
            <w:tcBorders>
              <w:top w:val="nil"/>
              <w:left w:val="nil"/>
              <w:bottom w:val="nil"/>
              <w:right w:val="nil"/>
            </w:tcBorders>
            <w:shd w:val="clear" w:color="000000" w:fill="FFFFE1"/>
            <w:noWrap/>
            <w:vAlign w:val="center"/>
            <w:hideMark/>
          </w:tcPr>
          <w:p w:rsidR="00E237FF" w:rsidRPr="00AF0F26" w:rsidRDefault="00E237FF" w:rsidP="00815780">
            <w:pPr>
              <w:pStyle w:val="ObjectAreaData"/>
            </w:pPr>
            <w:r w:rsidRPr="00550301">
              <w:rPr>
                <w:noProof/>
              </w:rPr>
              <w:t>12.2</w:t>
            </w:r>
            <w:r w:rsidRPr="00AF0F26">
              <w:t>%</w:t>
            </w:r>
          </w:p>
        </w:tc>
        <w:tc>
          <w:tcPr>
            <w:tcW w:w="1168" w:type="dxa"/>
            <w:tcBorders>
              <w:top w:val="nil"/>
              <w:left w:val="nil"/>
              <w:bottom w:val="nil"/>
              <w:right w:val="nil"/>
            </w:tcBorders>
            <w:shd w:val="clear" w:color="000000" w:fill="FFFFE1"/>
            <w:noWrap/>
            <w:vAlign w:val="center"/>
            <w:hideMark/>
          </w:tcPr>
          <w:p w:rsidR="00E237FF" w:rsidRPr="00AF0F26" w:rsidRDefault="00E237FF" w:rsidP="00815780">
            <w:pPr>
              <w:pStyle w:val="ObjectAreaData"/>
            </w:pPr>
            <w:r w:rsidRPr="00550301">
              <w:rPr>
                <w:noProof/>
              </w:rPr>
              <w:t>37,921</w:t>
            </w:r>
          </w:p>
        </w:tc>
        <w:tc>
          <w:tcPr>
            <w:tcW w:w="1059" w:type="dxa"/>
            <w:tcBorders>
              <w:top w:val="nil"/>
              <w:left w:val="nil"/>
              <w:bottom w:val="nil"/>
              <w:right w:val="nil"/>
            </w:tcBorders>
            <w:shd w:val="clear" w:color="000000" w:fill="FFFFE1"/>
            <w:noWrap/>
            <w:vAlign w:val="center"/>
            <w:hideMark/>
          </w:tcPr>
          <w:p w:rsidR="00E237FF" w:rsidRPr="00AF0F26" w:rsidRDefault="00E237FF" w:rsidP="00815780">
            <w:pPr>
              <w:pStyle w:val="ObjectAreaData"/>
            </w:pPr>
            <w:r w:rsidRPr="00550301">
              <w:rPr>
                <w:noProof/>
              </w:rPr>
              <w:t>13.9</w:t>
            </w:r>
            <w:r w:rsidRPr="00AF0F26">
              <w:t>%</w:t>
            </w:r>
          </w:p>
        </w:tc>
        <w:tc>
          <w:tcPr>
            <w:tcW w:w="1075" w:type="dxa"/>
            <w:tcBorders>
              <w:top w:val="nil"/>
              <w:left w:val="dotted" w:sz="4" w:space="0" w:color="009900"/>
              <w:bottom w:val="nil"/>
              <w:right w:val="single" w:sz="4" w:space="0" w:color="009900"/>
            </w:tcBorders>
            <w:shd w:val="clear" w:color="000000" w:fill="FFFFE1"/>
            <w:noWrap/>
            <w:vAlign w:val="center"/>
            <w:hideMark/>
          </w:tcPr>
          <w:p w:rsidR="00E237FF" w:rsidRPr="00AF0F26" w:rsidRDefault="00E237FF" w:rsidP="00815780">
            <w:pPr>
              <w:pStyle w:val="ObjectAreaData"/>
            </w:pPr>
            <w:r w:rsidRPr="00550301">
              <w:rPr>
                <w:noProof/>
              </w:rPr>
              <w:t>45.9</w:t>
            </w:r>
            <w:r w:rsidRPr="00AF0F26">
              <w:t>%</w:t>
            </w:r>
          </w:p>
        </w:tc>
      </w:tr>
      <w:tr w:rsidR="00E237FF" w:rsidRPr="00AF0F26" w:rsidTr="00815780">
        <w:trPr>
          <w:trHeight w:val="216"/>
          <w:jc w:val="center"/>
        </w:trPr>
        <w:tc>
          <w:tcPr>
            <w:tcW w:w="1091" w:type="dxa"/>
            <w:tcBorders>
              <w:top w:val="nil"/>
              <w:left w:val="single" w:sz="4" w:space="0" w:color="009900"/>
              <w:bottom w:val="nil"/>
              <w:right w:val="nil"/>
            </w:tcBorders>
            <w:shd w:val="clear" w:color="000000" w:fill="FFFFE1"/>
            <w:noWrap/>
            <w:vAlign w:val="center"/>
            <w:hideMark/>
          </w:tcPr>
          <w:p w:rsidR="00E237FF" w:rsidRPr="002E5098" w:rsidRDefault="00E237FF" w:rsidP="00815780">
            <w:pPr>
              <w:pStyle w:val="ObjectAreaData"/>
              <w:jc w:val="left"/>
            </w:pPr>
            <w:r w:rsidRPr="002E5098">
              <w:lastRenderedPageBreak/>
              <w:t>67 to 69</w:t>
            </w:r>
          </w:p>
        </w:tc>
        <w:tc>
          <w:tcPr>
            <w:tcW w:w="1103" w:type="dxa"/>
            <w:tcBorders>
              <w:top w:val="nil"/>
              <w:left w:val="nil"/>
              <w:bottom w:val="nil"/>
              <w:right w:val="nil"/>
            </w:tcBorders>
            <w:shd w:val="clear" w:color="000000" w:fill="FFFFE1"/>
            <w:noWrap/>
            <w:vAlign w:val="center"/>
            <w:hideMark/>
          </w:tcPr>
          <w:p w:rsidR="00E237FF" w:rsidRPr="00AF0F26" w:rsidRDefault="00E237FF" w:rsidP="00815780">
            <w:pPr>
              <w:pStyle w:val="ObjectAreaData"/>
            </w:pPr>
            <w:r w:rsidRPr="00550301">
              <w:rPr>
                <w:noProof/>
              </w:rPr>
              <w:t>37,243</w:t>
            </w:r>
          </w:p>
        </w:tc>
        <w:tc>
          <w:tcPr>
            <w:tcW w:w="1080" w:type="dxa"/>
            <w:tcBorders>
              <w:top w:val="nil"/>
              <w:left w:val="nil"/>
              <w:bottom w:val="nil"/>
              <w:right w:val="nil"/>
            </w:tcBorders>
            <w:shd w:val="clear" w:color="000000" w:fill="FFFFE1"/>
            <w:noWrap/>
            <w:vAlign w:val="center"/>
            <w:hideMark/>
          </w:tcPr>
          <w:p w:rsidR="00E237FF" w:rsidRPr="00AF0F26" w:rsidRDefault="00E237FF" w:rsidP="00815780">
            <w:pPr>
              <w:pStyle w:val="ObjectAreaData"/>
            </w:pPr>
            <w:r w:rsidRPr="00550301">
              <w:rPr>
                <w:noProof/>
              </w:rPr>
              <w:t>17.5</w:t>
            </w:r>
            <w:r w:rsidRPr="00AF0F26">
              <w:t>%</w:t>
            </w:r>
          </w:p>
        </w:tc>
        <w:tc>
          <w:tcPr>
            <w:tcW w:w="1168" w:type="dxa"/>
            <w:tcBorders>
              <w:top w:val="nil"/>
              <w:left w:val="nil"/>
              <w:bottom w:val="nil"/>
              <w:right w:val="nil"/>
            </w:tcBorders>
            <w:shd w:val="clear" w:color="000000" w:fill="FFFFE1"/>
            <w:noWrap/>
            <w:vAlign w:val="center"/>
            <w:hideMark/>
          </w:tcPr>
          <w:p w:rsidR="00E237FF" w:rsidRPr="00AF0F26" w:rsidRDefault="00E237FF" w:rsidP="00815780">
            <w:pPr>
              <w:pStyle w:val="ObjectAreaData"/>
            </w:pPr>
            <w:r w:rsidRPr="00550301">
              <w:rPr>
                <w:noProof/>
              </w:rPr>
              <w:t>49,969</w:t>
            </w:r>
          </w:p>
        </w:tc>
        <w:tc>
          <w:tcPr>
            <w:tcW w:w="1059" w:type="dxa"/>
            <w:tcBorders>
              <w:top w:val="nil"/>
              <w:left w:val="nil"/>
              <w:bottom w:val="nil"/>
              <w:right w:val="nil"/>
            </w:tcBorders>
            <w:shd w:val="clear" w:color="000000" w:fill="FFFFE1"/>
            <w:noWrap/>
            <w:vAlign w:val="center"/>
            <w:hideMark/>
          </w:tcPr>
          <w:p w:rsidR="00E237FF" w:rsidRPr="00AF0F26" w:rsidRDefault="00E237FF" w:rsidP="00815780">
            <w:pPr>
              <w:pStyle w:val="ObjectAreaData"/>
            </w:pPr>
            <w:r w:rsidRPr="00550301">
              <w:rPr>
                <w:noProof/>
              </w:rPr>
              <w:t>18.4</w:t>
            </w:r>
            <w:r w:rsidRPr="00AF0F26">
              <w:t>%</w:t>
            </w:r>
          </w:p>
        </w:tc>
        <w:tc>
          <w:tcPr>
            <w:tcW w:w="1075" w:type="dxa"/>
            <w:tcBorders>
              <w:top w:val="nil"/>
              <w:left w:val="dotted" w:sz="4" w:space="0" w:color="009900"/>
              <w:bottom w:val="nil"/>
              <w:right w:val="single" w:sz="4" w:space="0" w:color="009900"/>
            </w:tcBorders>
            <w:shd w:val="clear" w:color="000000" w:fill="FFFFE1"/>
            <w:noWrap/>
            <w:vAlign w:val="center"/>
            <w:hideMark/>
          </w:tcPr>
          <w:p w:rsidR="00E237FF" w:rsidRPr="00AF0F26" w:rsidRDefault="00E237FF" w:rsidP="00815780">
            <w:pPr>
              <w:pStyle w:val="ObjectAreaData"/>
            </w:pPr>
            <w:r w:rsidRPr="00550301">
              <w:rPr>
                <w:noProof/>
              </w:rPr>
              <w:t>34.2</w:t>
            </w:r>
            <w:r w:rsidRPr="00AF0F26">
              <w:t>%</w:t>
            </w:r>
          </w:p>
        </w:tc>
      </w:tr>
      <w:tr w:rsidR="00E237FF" w:rsidRPr="00AF0F26" w:rsidTr="00815780">
        <w:trPr>
          <w:trHeight w:val="216"/>
          <w:jc w:val="center"/>
        </w:trPr>
        <w:tc>
          <w:tcPr>
            <w:tcW w:w="1091" w:type="dxa"/>
            <w:tcBorders>
              <w:top w:val="nil"/>
              <w:left w:val="single" w:sz="4" w:space="0" w:color="009900"/>
              <w:bottom w:val="nil"/>
              <w:right w:val="nil"/>
            </w:tcBorders>
            <w:shd w:val="clear" w:color="000000" w:fill="FFFFE1"/>
            <w:noWrap/>
            <w:vAlign w:val="center"/>
            <w:hideMark/>
          </w:tcPr>
          <w:p w:rsidR="00E237FF" w:rsidRPr="002E5098" w:rsidRDefault="00E237FF" w:rsidP="00815780">
            <w:pPr>
              <w:pStyle w:val="ObjectAreaData"/>
              <w:jc w:val="left"/>
            </w:pPr>
            <w:r w:rsidRPr="002E5098">
              <w:t>70 to 74</w:t>
            </w:r>
          </w:p>
        </w:tc>
        <w:tc>
          <w:tcPr>
            <w:tcW w:w="1103" w:type="dxa"/>
            <w:tcBorders>
              <w:top w:val="nil"/>
              <w:left w:val="nil"/>
              <w:bottom w:val="nil"/>
              <w:right w:val="nil"/>
            </w:tcBorders>
            <w:shd w:val="clear" w:color="000000" w:fill="FFFFE1"/>
            <w:noWrap/>
            <w:vAlign w:val="center"/>
            <w:hideMark/>
          </w:tcPr>
          <w:p w:rsidR="00E237FF" w:rsidRPr="00AF0F26" w:rsidRDefault="00E237FF" w:rsidP="00815780">
            <w:pPr>
              <w:pStyle w:val="ObjectAreaData"/>
            </w:pPr>
            <w:r w:rsidRPr="00550301">
              <w:rPr>
                <w:noProof/>
              </w:rPr>
              <w:t>54,518</w:t>
            </w:r>
          </w:p>
        </w:tc>
        <w:tc>
          <w:tcPr>
            <w:tcW w:w="1080" w:type="dxa"/>
            <w:tcBorders>
              <w:top w:val="nil"/>
              <w:left w:val="nil"/>
              <w:bottom w:val="nil"/>
              <w:right w:val="nil"/>
            </w:tcBorders>
            <w:shd w:val="clear" w:color="000000" w:fill="FFFFE1"/>
            <w:noWrap/>
            <w:vAlign w:val="center"/>
            <w:hideMark/>
          </w:tcPr>
          <w:p w:rsidR="00E237FF" w:rsidRPr="00AF0F26" w:rsidRDefault="00E237FF" w:rsidP="00815780">
            <w:pPr>
              <w:pStyle w:val="ObjectAreaData"/>
            </w:pPr>
            <w:r w:rsidRPr="00550301">
              <w:rPr>
                <w:noProof/>
              </w:rPr>
              <w:t>25.7</w:t>
            </w:r>
            <w:r w:rsidRPr="00AF0F26">
              <w:t>%</w:t>
            </w:r>
          </w:p>
        </w:tc>
        <w:tc>
          <w:tcPr>
            <w:tcW w:w="1168" w:type="dxa"/>
            <w:tcBorders>
              <w:top w:val="nil"/>
              <w:left w:val="nil"/>
              <w:bottom w:val="nil"/>
              <w:right w:val="nil"/>
            </w:tcBorders>
            <w:shd w:val="clear" w:color="000000" w:fill="FFFFE1"/>
            <w:noWrap/>
            <w:vAlign w:val="center"/>
            <w:hideMark/>
          </w:tcPr>
          <w:p w:rsidR="00E237FF" w:rsidRPr="00AF0F26" w:rsidRDefault="00E237FF" w:rsidP="00815780">
            <w:pPr>
              <w:pStyle w:val="ObjectAreaData"/>
            </w:pPr>
            <w:r w:rsidRPr="00550301">
              <w:rPr>
                <w:noProof/>
              </w:rPr>
              <w:t>65,904</w:t>
            </w:r>
          </w:p>
        </w:tc>
        <w:tc>
          <w:tcPr>
            <w:tcW w:w="1059" w:type="dxa"/>
            <w:tcBorders>
              <w:top w:val="nil"/>
              <w:left w:val="nil"/>
              <w:bottom w:val="nil"/>
              <w:right w:val="nil"/>
            </w:tcBorders>
            <w:shd w:val="clear" w:color="000000" w:fill="FFFFE1"/>
            <w:noWrap/>
            <w:vAlign w:val="center"/>
            <w:hideMark/>
          </w:tcPr>
          <w:p w:rsidR="00E237FF" w:rsidRPr="00AF0F26" w:rsidRDefault="00E237FF" w:rsidP="00815780">
            <w:pPr>
              <w:pStyle w:val="ObjectAreaData"/>
            </w:pPr>
            <w:r w:rsidRPr="00550301">
              <w:rPr>
                <w:noProof/>
              </w:rPr>
              <w:t>24.2</w:t>
            </w:r>
            <w:r w:rsidRPr="00AF0F26">
              <w:t>%</w:t>
            </w:r>
          </w:p>
        </w:tc>
        <w:tc>
          <w:tcPr>
            <w:tcW w:w="1075" w:type="dxa"/>
            <w:tcBorders>
              <w:top w:val="nil"/>
              <w:left w:val="dotted" w:sz="4" w:space="0" w:color="009900"/>
              <w:bottom w:val="nil"/>
              <w:right w:val="single" w:sz="4" w:space="0" w:color="009900"/>
            </w:tcBorders>
            <w:shd w:val="clear" w:color="000000" w:fill="FFFFE1"/>
            <w:noWrap/>
            <w:vAlign w:val="center"/>
            <w:hideMark/>
          </w:tcPr>
          <w:p w:rsidR="00E237FF" w:rsidRPr="00AF0F26" w:rsidRDefault="00E237FF" w:rsidP="00815780">
            <w:pPr>
              <w:pStyle w:val="ObjectAreaData"/>
            </w:pPr>
            <w:r w:rsidRPr="00550301">
              <w:rPr>
                <w:noProof/>
              </w:rPr>
              <w:t>20.9</w:t>
            </w:r>
            <w:r w:rsidRPr="00AF0F26">
              <w:t>%</w:t>
            </w:r>
          </w:p>
        </w:tc>
      </w:tr>
      <w:tr w:rsidR="00E237FF" w:rsidRPr="00AF0F26" w:rsidTr="00815780">
        <w:trPr>
          <w:trHeight w:val="216"/>
          <w:jc w:val="center"/>
        </w:trPr>
        <w:tc>
          <w:tcPr>
            <w:tcW w:w="1091" w:type="dxa"/>
            <w:tcBorders>
              <w:top w:val="nil"/>
              <w:left w:val="single" w:sz="4" w:space="0" w:color="009900"/>
              <w:bottom w:val="nil"/>
              <w:right w:val="nil"/>
            </w:tcBorders>
            <w:shd w:val="clear" w:color="000000" w:fill="FFFFE1"/>
            <w:noWrap/>
            <w:vAlign w:val="center"/>
            <w:hideMark/>
          </w:tcPr>
          <w:p w:rsidR="00E237FF" w:rsidRPr="002E5098" w:rsidRDefault="00E237FF" w:rsidP="00815780">
            <w:pPr>
              <w:pStyle w:val="ObjectAreaData"/>
              <w:jc w:val="left"/>
            </w:pPr>
            <w:r w:rsidRPr="002E5098">
              <w:t>75 to 79</w:t>
            </w:r>
          </w:p>
        </w:tc>
        <w:tc>
          <w:tcPr>
            <w:tcW w:w="1103" w:type="dxa"/>
            <w:tcBorders>
              <w:top w:val="nil"/>
              <w:left w:val="nil"/>
              <w:bottom w:val="nil"/>
              <w:right w:val="nil"/>
            </w:tcBorders>
            <w:shd w:val="clear" w:color="000000" w:fill="FFFFE1"/>
            <w:noWrap/>
            <w:vAlign w:val="center"/>
            <w:hideMark/>
          </w:tcPr>
          <w:p w:rsidR="00E237FF" w:rsidRPr="00AF0F26" w:rsidRDefault="00E237FF" w:rsidP="00815780">
            <w:pPr>
              <w:pStyle w:val="ObjectAreaData"/>
            </w:pPr>
            <w:r w:rsidRPr="00550301">
              <w:rPr>
                <w:noProof/>
              </w:rPr>
              <w:t>43,729</w:t>
            </w:r>
          </w:p>
        </w:tc>
        <w:tc>
          <w:tcPr>
            <w:tcW w:w="1080" w:type="dxa"/>
            <w:tcBorders>
              <w:top w:val="nil"/>
              <w:left w:val="nil"/>
              <w:bottom w:val="nil"/>
              <w:right w:val="nil"/>
            </w:tcBorders>
            <w:shd w:val="clear" w:color="000000" w:fill="FFFFE1"/>
            <w:noWrap/>
            <w:vAlign w:val="center"/>
            <w:hideMark/>
          </w:tcPr>
          <w:p w:rsidR="00E237FF" w:rsidRPr="00AF0F26" w:rsidRDefault="00E237FF" w:rsidP="00815780">
            <w:pPr>
              <w:pStyle w:val="ObjectAreaData"/>
            </w:pPr>
            <w:r w:rsidRPr="00550301">
              <w:rPr>
                <w:noProof/>
              </w:rPr>
              <w:t>20.6</w:t>
            </w:r>
            <w:r w:rsidRPr="00AF0F26">
              <w:t>%</w:t>
            </w:r>
          </w:p>
        </w:tc>
        <w:tc>
          <w:tcPr>
            <w:tcW w:w="1168" w:type="dxa"/>
            <w:tcBorders>
              <w:top w:val="nil"/>
              <w:left w:val="nil"/>
              <w:bottom w:val="nil"/>
              <w:right w:val="nil"/>
            </w:tcBorders>
            <w:shd w:val="clear" w:color="000000" w:fill="FFFFE1"/>
            <w:noWrap/>
            <w:vAlign w:val="center"/>
            <w:hideMark/>
          </w:tcPr>
          <w:p w:rsidR="00E237FF" w:rsidRPr="00AF0F26" w:rsidRDefault="00E237FF" w:rsidP="00815780">
            <w:pPr>
              <w:pStyle w:val="ObjectAreaData"/>
            </w:pPr>
            <w:r w:rsidRPr="00550301">
              <w:rPr>
                <w:noProof/>
              </w:rPr>
              <w:t>50,230</w:t>
            </w:r>
          </w:p>
        </w:tc>
        <w:tc>
          <w:tcPr>
            <w:tcW w:w="1059" w:type="dxa"/>
            <w:tcBorders>
              <w:top w:val="nil"/>
              <w:left w:val="nil"/>
              <w:bottom w:val="nil"/>
              <w:right w:val="nil"/>
            </w:tcBorders>
            <w:shd w:val="clear" w:color="000000" w:fill="FFFFE1"/>
            <w:noWrap/>
            <w:vAlign w:val="center"/>
            <w:hideMark/>
          </w:tcPr>
          <w:p w:rsidR="00E237FF" w:rsidRPr="00AF0F26" w:rsidRDefault="00E237FF" w:rsidP="00815780">
            <w:pPr>
              <w:pStyle w:val="ObjectAreaData"/>
            </w:pPr>
            <w:r w:rsidRPr="00550301">
              <w:rPr>
                <w:noProof/>
              </w:rPr>
              <w:t>18.4</w:t>
            </w:r>
            <w:r w:rsidRPr="00AF0F26">
              <w:t>%</w:t>
            </w:r>
          </w:p>
        </w:tc>
        <w:tc>
          <w:tcPr>
            <w:tcW w:w="1075" w:type="dxa"/>
            <w:tcBorders>
              <w:top w:val="nil"/>
              <w:left w:val="dotted" w:sz="4" w:space="0" w:color="009900"/>
              <w:bottom w:val="nil"/>
              <w:right w:val="single" w:sz="4" w:space="0" w:color="009900"/>
            </w:tcBorders>
            <w:shd w:val="clear" w:color="000000" w:fill="FFFFE1"/>
            <w:noWrap/>
            <w:vAlign w:val="center"/>
            <w:hideMark/>
          </w:tcPr>
          <w:p w:rsidR="00E237FF" w:rsidRPr="00AF0F26" w:rsidRDefault="00E237FF" w:rsidP="00815780">
            <w:pPr>
              <w:pStyle w:val="ObjectAreaData"/>
            </w:pPr>
            <w:r w:rsidRPr="00550301">
              <w:rPr>
                <w:noProof/>
              </w:rPr>
              <w:t>14.9</w:t>
            </w:r>
            <w:r w:rsidRPr="00AF0F26">
              <w:t>%</w:t>
            </w:r>
          </w:p>
        </w:tc>
      </w:tr>
      <w:tr w:rsidR="00E237FF" w:rsidRPr="00AF0F26" w:rsidTr="00815780">
        <w:trPr>
          <w:trHeight w:val="216"/>
          <w:jc w:val="center"/>
        </w:trPr>
        <w:tc>
          <w:tcPr>
            <w:tcW w:w="1091" w:type="dxa"/>
            <w:tcBorders>
              <w:top w:val="nil"/>
              <w:left w:val="single" w:sz="4" w:space="0" w:color="009900"/>
              <w:bottom w:val="nil"/>
              <w:right w:val="nil"/>
            </w:tcBorders>
            <w:shd w:val="clear" w:color="000000" w:fill="FFFFE1"/>
            <w:noWrap/>
            <w:vAlign w:val="center"/>
            <w:hideMark/>
          </w:tcPr>
          <w:p w:rsidR="00E237FF" w:rsidRPr="002E5098" w:rsidRDefault="00E237FF" w:rsidP="00815780">
            <w:pPr>
              <w:pStyle w:val="ObjectAreaData"/>
              <w:jc w:val="left"/>
            </w:pPr>
            <w:r w:rsidRPr="002E5098">
              <w:t>80 to 84</w:t>
            </w:r>
          </w:p>
        </w:tc>
        <w:tc>
          <w:tcPr>
            <w:tcW w:w="1103" w:type="dxa"/>
            <w:tcBorders>
              <w:top w:val="nil"/>
              <w:left w:val="nil"/>
              <w:bottom w:val="nil"/>
              <w:right w:val="nil"/>
            </w:tcBorders>
            <w:shd w:val="clear" w:color="000000" w:fill="FFFFE1"/>
            <w:noWrap/>
            <w:vAlign w:val="center"/>
            <w:hideMark/>
          </w:tcPr>
          <w:p w:rsidR="00E237FF" w:rsidRPr="00AF0F26" w:rsidRDefault="00E237FF" w:rsidP="00815780">
            <w:pPr>
              <w:pStyle w:val="ObjectAreaData"/>
            </w:pPr>
            <w:r w:rsidRPr="00550301">
              <w:rPr>
                <w:noProof/>
              </w:rPr>
              <w:t>27,445</w:t>
            </w:r>
          </w:p>
        </w:tc>
        <w:tc>
          <w:tcPr>
            <w:tcW w:w="1080" w:type="dxa"/>
            <w:tcBorders>
              <w:top w:val="nil"/>
              <w:left w:val="nil"/>
              <w:bottom w:val="nil"/>
              <w:right w:val="nil"/>
            </w:tcBorders>
            <w:shd w:val="clear" w:color="000000" w:fill="FFFFE1"/>
            <w:noWrap/>
            <w:vAlign w:val="center"/>
            <w:hideMark/>
          </w:tcPr>
          <w:p w:rsidR="00E237FF" w:rsidRPr="00AF0F26" w:rsidRDefault="00E237FF" w:rsidP="00815780">
            <w:pPr>
              <w:pStyle w:val="ObjectAreaData"/>
            </w:pPr>
            <w:r w:rsidRPr="00550301">
              <w:rPr>
                <w:noProof/>
              </w:rPr>
              <w:t>12.9</w:t>
            </w:r>
            <w:r w:rsidRPr="00AF0F26">
              <w:t>%</w:t>
            </w:r>
          </w:p>
        </w:tc>
        <w:tc>
          <w:tcPr>
            <w:tcW w:w="1168" w:type="dxa"/>
            <w:tcBorders>
              <w:top w:val="nil"/>
              <w:left w:val="nil"/>
              <w:bottom w:val="nil"/>
              <w:right w:val="nil"/>
            </w:tcBorders>
            <w:shd w:val="clear" w:color="000000" w:fill="FFFFE1"/>
            <w:noWrap/>
            <w:vAlign w:val="center"/>
            <w:hideMark/>
          </w:tcPr>
          <w:p w:rsidR="00E237FF" w:rsidRPr="00AF0F26" w:rsidRDefault="00E237FF" w:rsidP="00815780">
            <w:pPr>
              <w:pStyle w:val="ObjectAreaData"/>
            </w:pPr>
            <w:r w:rsidRPr="00550301">
              <w:rPr>
                <w:noProof/>
              </w:rPr>
              <w:t>36,238</w:t>
            </w:r>
          </w:p>
        </w:tc>
        <w:tc>
          <w:tcPr>
            <w:tcW w:w="1059" w:type="dxa"/>
            <w:tcBorders>
              <w:top w:val="nil"/>
              <w:left w:val="nil"/>
              <w:bottom w:val="nil"/>
              <w:right w:val="nil"/>
            </w:tcBorders>
            <w:shd w:val="clear" w:color="000000" w:fill="FFFFE1"/>
            <w:noWrap/>
            <w:vAlign w:val="center"/>
            <w:hideMark/>
          </w:tcPr>
          <w:p w:rsidR="00E237FF" w:rsidRPr="00AF0F26" w:rsidRDefault="00E237FF" w:rsidP="00815780">
            <w:pPr>
              <w:pStyle w:val="ObjectAreaData"/>
            </w:pPr>
            <w:r w:rsidRPr="00550301">
              <w:rPr>
                <w:noProof/>
              </w:rPr>
              <w:t>13.3</w:t>
            </w:r>
            <w:r w:rsidRPr="00AF0F26">
              <w:t>%</w:t>
            </w:r>
          </w:p>
        </w:tc>
        <w:tc>
          <w:tcPr>
            <w:tcW w:w="1075" w:type="dxa"/>
            <w:tcBorders>
              <w:top w:val="nil"/>
              <w:left w:val="dotted" w:sz="4" w:space="0" w:color="009900"/>
              <w:bottom w:val="nil"/>
              <w:right w:val="single" w:sz="4" w:space="0" w:color="009900"/>
            </w:tcBorders>
            <w:shd w:val="clear" w:color="000000" w:fill="FFFFE1"/>
            <w:noWrap/>
            <w:vAlign w:val="center"/>
            <w:hideMark/>
          </w:tcPr>
          <w:p w:rsidR="00E237FF" w:rsidRPr="00AF0F26" w:rsidRDefault="00E237FF" w:rsidP="00815780">
            <w:pPr>
              <w:pStyle w:val="ObjectAreaData"/>
            </w:pPr>
            <w:r w:rsidRPr="00550301">
              <w:rPr>
                <w:noProof/>
              </w:rPr>
              <w:t>32.0</w:t>
            </w:r>
            <w:r w:rsidRPr="00AF0F26">
              <w:t>%</w:t>
            </w:r>
          </w:p>
        </w:tc>
      </w:tr>
      <w:tr w:rsidR="00E237FF" w:rsidRPr="00AF0F26" w:rsidTr="00815780">
        <w:trPr>
          <w:trHeight w:val="216"/>
          <w:jc w:val="center"/>
        </w:trPr>
        <w:tc>
          <w:tcPr>
            <w:tcW w:w="1091" w:type="dxa"/>
            <w:tcBorders>
              <w:top w:val="nil"/>
              <w:left w:val="single" w:sz="4" w:space="0" w:color="009900"/>
              <w:bottom w:val="nil"/>
              <w:right w:val="nil"/>
            </w:tcBorders>
            <w:shd w:val="clear" w:color="000000" w:fill="FFFFE1"/>
            <w:noWrap/>
            <w:vAlign w:val="center"/>
            <w:hideMark/>
          </w:tcPr>
          <w:p w:rsidR="00E237FF" w:rsidRPr="002E5098" w:rsidRDefault="00E237FF" w:rsidP="00815780">
            <w:pPr>
              <w:pStyle w:val="ObjectAreaData"/>
              <w:jc w:val="left"/>
            </w:pPr>
            <w:r w:rsidRPr="002E5098">
              <w:t>85 or Older</w:t>
            </w:r>
          </w:p>
        </w:tc>
        <w:tc>
          <w:tcPr>
            <w:tcW w:w="1103" w:type="dxa"/>
            <w:tcBorders>
              <w:top w:val="nil"/>
              <w:left w:val="nil"/>
              <w:bottom w:val="double" w:sz="6" w:space="0" w:color="009900"/>
              <w:right w:val="nil"/>
            </w:tcBorders>
            <w:shd w:val="clear" w:color="000000" w:fill="FFFFE1"/>
            <w:noWrap/>
            <w:vAlign w:val="center"/>
            <w:hideMark/>
          </w:tcPr>
          <w:p w:rsidR="00E237FF" w:rsidRPr="00AF0F26" w:rsidRDefault="00E237FF" w:rsidP="00815780">
            <w:pPr>
              <w:pStyle w:val="ObjectAreaData"/>
            </w:pPr>
            <w:r w:rsidRPr="00550301">
              <w:rPr>
                <w:noProof/>
              </w:rPr>
              <w:t>23,306</w:t>
            </w:r>
          </w:p>
        </w:tc>
        <w:tc>
          <w:tcPr>
            <w:tcW w:w="1080" w:type="dxa"/>
            <w:tcBorders>
              <w:top w:val="nil"/>
              <w:left w:val="nil"/>
              <w:bottom w:val="double" w:sz="6" w:space="0" w:color="009900"/>
              <w:right w:val="nil"/>
            </w:tcBorders>
            <w:shd w:val="clear" w:color="000000" w:fill="FFFFE1"/>
            <w:noWrap/>
            <w:vAlign w:val="center"/>
            <w:hideMark/>
          </w:tcPr>
          <w:p w:rsidR="00E237FF" w:rsidRPr="00AF0F26" w:rsidRDefault="00E237FF" w:rsidP="00815780">
            <w:pPr>
              <w:pStyle w:val="ObjectAreaData"/>
            </w:pPr>
            <w:r w:rsidRPr="00550301">
              <w:rPr>
                <w:noProof/>
              </w:rPr>
              <w:t>11.0</w:t>
            </w:r>
            <w:r w:rsidRPr="00AF0F26">
              <w:t>%</w:t>
            </w:r>
          </w:p>
        </w:tc>
        <w:tc>
          <w:tcPr>
            <w:tcW w:w="1168" w:type="dxa"/>
            <w:tcBorders>
              <w:top w:val="nil"/>
              <w:left w:val="nil"/>
              <w:bottom w:val="double" w:sz="6" w:space="0" w:color="009900"/>
              <w:right w:val="nil"/>
            </w:tcBorders>
            <w:shd w:val="clear" w:color="000000" w:fill="FFFFE1"/>
            <w:noWrap/>
            <w:vAlign w:val="center"/>
            <w:hideMark/>
          </w:tcPr>
          <w:p w:rsidR="00E237FF" w:rsidRPr="00AF0F26" w:rsidRDefault="00E237FF" w:rsidP="00815780">
            <w:pPr>
              <w:pStyle w:val="ObjectAreaData"/>
            </w:pPr>
            <w:r w:rsidRPr="00550301">
              <w:rPr>
                <w:noProof/>
              </w:rPr>
              <w:t>31,993</w:t>
            </w:r>
          </w:p>
        </w:tc>
        <w:tc>
          <w:tcPr>
            <w:tcW w:w="1059" w:type="dxa"/>
            <w:tcBorders>
              <w:top w:val="nil"/>
              <w:left w:val="nil"/>
              <w:bottom w:val="double" w:sz="6" w:space="0" w:color="009900"/>
              <w:right w:val="nil"/>
            </w:tcBorders>
            <w:shd w:val="clear" w:color="000000" w:fill="FFFFE1"/>
            <w:noWrap/>
            <w:vAlign w:val="center"/>
            <w:hideMark/>
          </w:tcPr>
          <w:p w:rsidR="00E237FF" w:rsidRPr="00AF0F26" w:rsidRDefault="00E237FF" w:rsidP="00815780">
            <w:pPr>
              <w:pStyle w:val="ObjectAreaData"/>
            </w:pPr>
            <w:r w:rsidRPr="00550301">
              <w:rPr>
                <w:noProof/>
              </w:rPr>
              <w:t>11.8</w:t>
            </w:r>
            <w:r w:rsidRPr="00AF0F26">
              <w:t>%</w:t>
            </w:r>
          </w:p>
        </w:tc>
        <w:tc>
          <w:tcPr>
            <w:tcW w:w="1075" w:type="dxa"/>
            <w:tcBorders>
              <w:top w:val="nil"/>
              <w:left w:val="dotted" w:sz="4" w:space="0" w:color="009900"/>
              <w:bottom w:val="nil"/>
              <w:right w:val="single" w:sz="4" w:space="0" w:color="009900"/>
            </w:tcBorders>
            <w:shd w:val="clear" w:color="000000" w:fill="FFFFE1"/>
            <w:noWrap/>
            <w:vAlign w:val="center"/>
            <w:hideMark/>
          </w:tcPr>
          <w:p w:rsidR="00E237FF" w:rsidRPr="00AF0F26" w:rsidRDefault="00E237FF" w:rsidP="00815780">
            <w:pPr>
              <w:pStyle w:val="ObjectAreaData"/>
            </w:pPr>
            <w:r w:rsidRPr="00550301">
              <w:rPr>
                <w:noProof/>
              </w:rPr>
              <w:t>37.3</w:t>
            </w:r>
            <w:r w:rsidRPr="00AF0F26">
              <w:t>%</w:t>
            </w:r>
          </w:p>
        </w:tc>
      </w:tr>
      <w:tr w:rsidR="00E237FF" w:rsidRPr="002E5098" w:rsidTr="00815780">
        <w:trPr>
          <w:trHeight w:val="216"/>
          <w:jc w:val="center"/>
        </w:trPr>
        <w:tc>
          <w:tcPr>
            <w:tcW w:w="1091" w:type="dxa"/>
            <w:tcBorders>
              <w:top w:val="double" w:sz="6" w:space="0" w:color="009900"/>
              <w:left w:val="single" w:sz="4" w:space="0" w:color="009900"/>
              <w:bottom w:val="single" w:sz="4" w:space="0" w:color="009900"/>
              <w:right w:val="nil"/>
            </w:tcBorders>
            <w:shd w:val="clear" w:color="000000" w:fill="FFFFE1"/>
            <w:noWrap/>
            <w:vAlign w:val="center"/>
            <w:hideMark/>
          </w:tcPr>
          <w:p w:rsidR="00E237FF" w:rsidRPr="00DC30E3" w:rsidRDefault="00E237FF" w:rsidP="00815780">
            <w:pPr>
              <w:pStyle w:val="ObjectAreaData"/>
              <w:rPr>
                <w:b/>
              </w:rPr>
            </w:pPr>
            <w:r w:rsidRPr="00DC30E3">
              <w:rPr>
                <w:b/>
              </w:rPr>
              <w:t>Total</w:t>
            </w:r>
          </w:p>
        </w:tc>
        <w:tc>
          <w:tcPr>
            <w:tcW w:w="1103" w:type="dxa"/>
            <w:tcBorders>
              <w:top w:val="nil"/>
              <w:left w:val="nil"/>
              <w:bottom w:val="single" w:sz="4" w:space="0" w:color="009900"/>
              <w:right w:val="nil"/>
            </w:tcBorders>
            <w:shd w:val="clear" w:color="000000" w:fill="FFFFE1"/>
            <w:noWrap/>
            <w:vAlign w:val="center"/>
            <w:hideMark/>
          </w:tcPr>
          <w:p w:rsidR="00E237FF" w:rsidRPr="00DC30E3" w:rsidRDefault="00E237FF" w:rsidP="00815780">
            <w:pPr>
              <w:pStyle w:val="ObjectAreaData"/>
              <w:rPr>
                <w:b/>
              </w:rPr>
            </w:pPr>
            <w:r w:rsidRPr="00550301">
              <w:rPr>
                <w:b/>
                <w:noProof/>
              </w:rPr>
              <w:t>212,225</w:t>
            </w:r>
          </w:p>
        </w:tc>
        <w:tc>
          <w:tcPr>
            <w:tcW w:w="1080" w:type="dxa"/>
            <w:tcBorders>
              <w:top w:val="nil"/>
              <w:left w:val="nil"/>
              <w:bottom w:val="single" w:sz="4" w:space="0" w:color="009900"/>
              <w:right w:val="nil"/>
            </w:tcBorders>
            <w:shd w:val="clear" w:color="000000" w:fill="FFFFE1"/>
            <w:noWrap/>
            <w:vAlign w:val="center"/>
            <w:hideMark/>
          </w:tcPr>
          <w:p w:rsidR="00E237FF" w:rsidRPr="00DC30E3" w:rsidRDefault="00E237FF" w:rsidP="00815780">
            <w:pPr>
              <w:pStyle w:val="ObjectAreaData"/>
              <w:rPr>
                <w:b/>
              </w:rPr>
            </w:pPr>
            <w:r w:rsidRPr="00DC30E3">
              <w:rPr>
                <w:b/>
              </w:rPr>
              <w:t>100.0%</w:t>
            </w:r>
          </w:p>
        </w:tc>
        <w:tc>
          <w:tcPr>
            <w:tcW w:w="1168" w:type="dxa"/>
            <w:tcBorders>
              <w:top w:val="nil"/>
              <w:left w:val="nil"/>
              <w:bottom w:val="single" w:sz="4" w:space="0" w:color="009900"/>
              <w:right w:val="nil"/>
            </w:tcBorders>
            <w:shd w:val="clear" w:color="000000" w:fill="FFFFE1"/>
            <w:noWrap/>
            <w:vAlign w:val="center"/>
            <w:hideMark/>
          </w:tcPr>
          <w:p w:rsidR="00E237FF" w:rsidRPr="00DC30E3" w:rsidRDefault="00E237FF" w:rsidP="00815780">
            <w:pPr>
              <w:pStyle w:val="ObjectAreaData"/>
              <w:rPr>
                <w:b/>
              </w:rPr>
            </w:pPr>
            <w:r w:rsidRPr="00550301">
              <w:rPr>
                <w:b/>
                <w:noProof/>
              </w:rPr>
              <w:t>272,255</w:t>
            </w:r>
          </w:p>
        </w:tc>
        <w:tc>
          <w:tcPr>
            <w:tcW w:w="1059" w:type="dxa"/>
            <w:tcBorders>
              <w:top w:val="nil"/>
              <w:left w:val="nil"/>
              <w:bottom w:val="single" w:sz="4" w:space="0" w:color="009900"/>
              <w:right w:val="nil"/>
            </w:tcBorders>
            <w:shd w:val="clear" w:color="000000" w:fill="FFFFE1"/>
            <w:noWrap/>
            <w:vAlign w:val="center"/>
            <w:hideMark/>
          </w:tcPr>
          <w:p w:rsidR="00E237FF" w:rsidRPr="00DC30E3" w:rsidRDefault="00E237FF" w:rsidP="00815780">
            <w:pPr>
              <w:pStyle w:val="ObjectAreaData"/>
              <w:rPr>
                <w:b/>
              </w:rPr>
            </w:pPr>
            <w:r w:rsidRPr="00DC30E3">
              <w:rPr>
                <w:b/>
              </w:rPr>
              <w:t>100.0%</w:t>
            </w:r>
          </w:p>
        </w:tc>
        <w:tc>
          <w:tcPr>
            <w:tcW w:w="1075" w:type="dxa"/>
            <w:tcBorders>
              <w:top w:val="double" w:sz="6" w:space="0" w:color="009900"/>
              <w:left w:val="dotted" w:sz="4" w:space="0" w:color="009900"/>
              <w:bottom w:val="single" w:sz="4" w:space="0" w:color="009900"/>
              <w:right w:val="single" w:sz="4" w:space="0" w:color="009900"/>
            </w:tcBorders>
            <w:shd w:val="clear" w:color="000000" w:fill="FFFFE1"/>
            <w:noWrap/>
            <w:vAlign w:val="center"/>
            <w:hideMark/>
          </w:tcPr>
          <w:p w:rsidR="00E237FF" w:rsidRPr="00DC30E3" w:rsidRDefault="00E237FF" w:rsidP="00815780">
            <w:pPr>
              <w:pStyle w:val="ObjectAreaData"/>
              <w:rPr>
                <w:b/>
              </w:rPr>
            </w:pPr>
            <w:r w:rsidRPr="00550301">
              <w:rPr>
                <w:b/>
                <w:noProof/>
              </w:rPr>
              <w:t>28.3</w:t>
            </w:r>
            <w:r w:rsidRPr="00DC30E3">
              <w:rPr>
                <w:b/>
              </w:rPr>
              <w:t>%</w:t>
            </w:r>
          </w:p>
        </w:tc>
      </w:tr>
    </w:tbl>
    <w:p w:rsidR="006850BD" w:rsidRPr="00425EFC" w:rsidRDefault="006850BD" w:rsidP="00425EFC">
      <w:pPr>
        <w:rPr>
          <w:sz w:val="16"/>
          <w:szCs w:val="16"/>
          <w:highlight w:val="yellow"/>
        </w:rPr>
      </w:pPr>
    </w:p>
    <w:p w:rsidR="00DE47E0" w:rsidRPr="001675F8" w:rsidRDefault="00DE47E0" w:rsidP="00DE47E0">
      <w:pPr>
        <w:jc w:val="both"/>
        <w:rPr>
          <w:rFonts w:ascii="CG Omega" w:hAnsi="CG Omega" w:cs="CG Times"/>
          <w:b/>
          <w:sz w:val="22"/>
          <w:szCs w:val="22"/>
        </w:rPr>
      </w:pPr>
      <w:r w:rsidRPr="001675F8">
        <w:rPr>
          <w:rFonts w:ascii="CG Omega" w:hAnsi="CG Omega" w:cs="CG Times"/>
          <w:b/>
          <w:sz w:val="22"/>
          <w:szCs w:val="22"/>
        </w:rPr>
        <w:t>The Frail Elderly</w:t>
      </w:r>
    </w:p>
    <w:p w:rsidR="00DE47E0" w:rsidRPr="00866A4D" w:rsidRDefault="00DE47E0" w:rsidP="00DE47E0">
      <w:pPr>
        <w:jc w:val="both"/>
        <w:rPr>
          <w:rFonts w:ascii="CG Omega" w:hAnsi="CG Omega" w:cs="CG Times"/>
        </w:rPr>
      </w:pPr>
    </w:p>
    <w:p w:rsidR="0072780D" w:rsidRPr="00955C8C" w:rsidRDefault="0072780D" w:rsidP="0072780D">
      <w:pPr>
        <w:jc w:val="both"/>
        <w:rPr>
          <w:rFonts w:ascii="CG Omega" w:hAnsi="CG Omega"/>
          <w:b/>
          <w:bCs/>
          <w:smallCaps/>
          <w:spacing w:val="-2"/>
          <w:sz w:val="22"/>
          <w:szCs w:val="22"/>
          <w:highlight w:val="yellow"/>
        </w:rPr>
      </w:pPr>
      <w:r w:rsidRPr="001675F8">
        <w:rPr>
          <w:rFonts w:ascii="CG Omega" w:hAnsi="CG Omega" w:cs="CG Times"/>
          <w:spacing w:val="-2"/>
        </w:rPr>
        <w:t>The elderly population</w:t>
      </w:r>
      <w:r w:rsidR="00AB3569" w:rsidRPr="001675F8">
        <w:rPr>
          <w:rFonts w:ascii="CG Omega" w:hAnsi="CG Omega" w:cs="CG Times"/>
          <w:spacing w:val="-2"/>
        </w:rPr>
        <w:t xml:space="preserve"> </w:t>
      </w:r>
      <w:r w:rsidR="006850BD" w:rsidRPr="001675F8">
        <w:rPr>
          <w:rFonts w:ascii="CG Omega" w:hAnsi="CG Omega" w:cs="CG Times"/>
          <w:spacing w:val="-2"/>
        </w:rPr>
        <w:t xml:space="preserve">also </w:t>
      </w:r>
      <w:r w:rsidR="00AB3569" w:rsidRPr="001675F8">
        <w:rPr>
          <w:rFonts w:ascii="CG Omega" w:hAnsi="CG Omega" w:cs="CG Times"/>
          <w:spacing w:val="-2"/>
        </w:rPr>
        <w:t>includes those who are co</w:t>
      </w:r>
      <w:r w:rsidR="00484D9C" w:rsidRPr="001675F8">
        <w:rPr>
          <w:rFonts w:ascii="CG Omega" w:hAnsi="CG Omega" w:cs="CG Times"/>
          <w:spacing w:val="-2"/>
        </w:rPr>
        <w:t>nsidered to be frail elderly, defined as</w:t>
      </w:r>
      <w:r w:rsidR="00AB3569" w:rsidRPr="001675F8">
        <w:rPr>
          <w:rFonts w:ascii="CG Omega" w:hAnsi="CG Omega" w:cs="CG Times"/>
          <w:spacing w:val="-2"/>
        </w:rPr>
        <w:t xml:space="preserve"> </w:t>
      </w:r>
      <w:r w:rsidR="00A40E11" w:rsidRPr="001675F8">
        <w:rPr>
          <w:rFonts w:ascii="CG Omega" w:hAnsi="CG Omega" w:cs="CG Times"/>
          <w:spacing w:val="-2"/>
        </w:rPr>
        <w:t xml:space="preserve">elderly </w:t>
      </w:r>
      <w:r w:rsidR="00AB3569" w:rsidRPr="001675F8">
        <w:rPr>
          <w:rFonts w:ascii="CG Omega" w:hAnsi="CG Omega" w:cs="CG Times"/>
          <w:spacing w:val="-2"/>
        </w:rPr>
        <w:t>persons whose p</w:t>
      </w:r>
      <w:r w:rsidR="00DE47E0" w:rsidRPr="001675F8">
        <w:rPr>
          <w:rFonts w:ascii="CG Omega" w:hAnsi="CG Omega" w:cs="CG Times"/>
          <w:spacing w:val="-2"/>
        </w:rPr>
        <w:t>hysiological circumstances may limit functional capabilities</w:t>
      </w:r>
      <w:r w:rsidR="009714FA" w:rsidRPr="001675F8">
        <w:rPr>
          <w:rFonts w:ascii="CG Omega" w:hAnsi="CG Omega" w:cs="CG Times"/>
          <w:spacing w:val="-2"/>
        </w:rPr>
        <w:t>; this is often</w:t>
      </w:r>
      <w:r w:rsidR="00134B95" w:rsidRPr="001675F8">
        <w:rPr>
          <w:rFonts w:ascii="CG Omega" w:hAnsi="CG Omega"/>
          <w:spacing w:val="-2"/>
        </w:rPr>
        <w:t xml:space="preserve"> </w:t>
      </w:r>
      <w:r w:rsidR="009714FA" w:rsidRPr="001675F8">
        <w:rPr>
          <w:rFonts w:ascii="CG Omega" w:hAnsi="CG Omega"/>
          <w:spacing w:val="-2"/>
        </w:rPr>
        <w:t>quantified</w:t>
      </w:r>
      <w:r w:rsidR="00134B95" w:rsidRPr="001675F8">
        <w:rPr>
          <w:rFonts w:ascii="CG Omega" w:hAnsi="CG Omega"/>
          <w:spacing w:val="-2"/>
        </w:rPr>
        <w:t xml:space="preserve"> as those who are 85 years of age and older. </w:t>
      </w:r>
      <w:r w:rsidR="006850BD" w:rsidRPr="001675F8">
        <w:rPr>
          <w:rFonts w:ascii="CG Omega" w:hAnsi="CG Omega"/>
          <w:spacing w:val="-2"/>
        </w:rPr>
        <w:t xml:space="preserve"> Table </w:t>
      </w:r>
      <w:r w:rsidR="001675F8" w:rsidRPr="001675F8">
        <w:rPr>
          <w:rFonts w:ascii="CG Omega" w:hAnsi="CG Omega"/>
          <w:spacing w:val="-2"/>
        </w:rPr>
        <w:t>I</w:t>
      </w:r>
      <w:r w:rsidR="007F51C1">
        <w:rPr>
          <w:rFonts w:ascii="CG Omega" w:hAnsi="CG Omega"/>
          <w:spacing w:val="-2"/>
        </w:rPr>
        <w:t>II.6</w:t>
      </w:r>
      <w:r w:rsidR="006850BD" w:rsidRPr="001675F8">
        <w:rPr>
          <w:rFonts w:ascii="CG Omega" w:hAnsi="CG Omega"/>
          <w:spacing w:val="-2"/>
        </w:rPr>
        <w:t xml:space="preserve"> shows that there were </w:t>
      </w:r>
      <w:r w:rsidR="001675F8" w:rsidRPr="001675F8">
        <w:rPr>
          <w:rFonts w:ascii="CG Omega" w:hAnsi="CG Omega"/>
          <w:spacing w:val="-2"/>
        </w:rPr>
        <w:t xml:space="preserve">31,993 </w:t>
      </w:r>
      <w:r w:rsidR="000E0137" w:rsidRPr="001675F8">
        <w:rPr>
          <w:rFonts w:ascii="CG Omega" w:hAnsi="CG Omega"/>
          <w:spacing w:val="-2"/>
        </w:rPr>
        <w:t>persons</w:t>
      </w:r>
      <w:r w:rsidR="00E8571F" w:rsidRPr="001675F8">
        <w:rPr>
          <w:rFonts w:ascii="CG Omega" w:hAnsi="CG Omega"/>
          <w:spacing w:val="-2"/>
        </w:rPr>
        <w:t xml:space="preserve"> aged 85 or older</w:t>
      </w:r>
      <w:r w:rsidR="000E0137" w:rsidRPr="001675F8">
        <w:rPr>
          <w:rFonts w:ascii="CG Omega" w:hAnsi="CG Omega"/>
          <w:spacing w:val="-2"/>
        </w:rPr>
        <w:t xml:space="preserve"> in N</w:t>
      </w:r>
      <w:r w:rsidR="001675F8" w:rsidRPr="001675F8">
        <w:rPr>
          <w:rFonts w:ascii="CG Omega" w:hAnsi="CG Omega"/>
          <w:spacing w:val="-2"/>
        </w:rPr>
        <w:t>ew Mexico at the time of the 201</w:t>
      </w:r>
      <w:r w:rsidR="000E0137" w:rsidRPr="001675F8">
        <w:rPr>
          <w:rFonts w:ascii="CG Omega" w:hAnsi="CG Omega"/>
          <w:spacing w:val="-2"/>
        </w:rPr>
        <w:t xml:space="preserve">0 census. </w:t>
      </w:r>
      <w:r w:rsidR="001675F8" w:rsidRPr="001675F8">
        <w:rPr>
          <w:rFonts w:ascii="CG Omega" w:hAnsi="CG Omega"/>
          <w:spacing w:val="-2"/>
        </w:rPr>
        <w:t>This age group is also one of the fasted growing subgroup</w:t>
      </w:r>
      <w:r w:rsidR="00222B65">
        <w:rPr>
          <w:rFonts w:ascii="CG Omega" w:hAnsi="CG Omega"/>
          <w:spacing w:val="-2"/>
        </w:rPr>
        <w:t>s</w:t>
      </w:r>
      <w:r w:rsidR="001675F8" w:rsidRPr="001675F8">
        <w:rPr>
          <w:rFonts w:ascii="CG Omega" w:hAnsi="CG Omega"/>
          <w:spacing w:val="-2"/>
        </w:rPr>
        <w:t xml:space="preserve"> within the elderly population</w:t>
      </w:r>
      <w:r w:rsidR="00096CBC">
        <w:rPr>
          <w:rFonts w:ascii="CG Omega" w:hAnsi="CG Omega"/>
          <w:spacing w:val="-2"/>
        </w:rPr>
        <w:t xml:space="preserve"> and is more likely to need assistance with activities of daily living.</w:t>
      </w:r>
    </w:p>
    <w:p w:rsidR="000B1F0B" w:rsidRPr="004608D1" w:rsidRDefault="000B1F0B" w:rsidP="00F76545">
      <w:pPr>
        <w:pStyle w:val="PlainText"/>
        <w:jc w:val="both"/>
        <w:rPr>
          <w:rFonts w:ascii="CG Omega" w:hAnsi="CG Omega"/>
          <w:b/>
          <w:bCs/>
          <w:smallCaps/>
          <w:sz w:val="16"/>
          <w:szCs w:val="16"/>
        </w:rPr>
      </w:pPr>
    </w:p>
    <w:p w:rsidR="00F76545" w:rsidRPr="00F81477" w:rsidRDefault="00F76545" w:rsidP="00F76545">
      <w:pPr>
        <w:pStyle w:val="PlainText"/>
        <w:jc w:val="both"/>
        <w:rPr>
          <w:rFonts w:ascii="CG Omega" w:hAnsi="CG Omega"/>
          <w:b/>
          <w:bCs/>
          <w:smallCaps/>
          <w:sz w:val="26"/>
          <w:szCs w:val="26"/>
        </w:rPr>
      </w:pPr>
      <w:r w:rsidRPr="00F81477">
        <w:rPr>
          <w:rFonts w:ascii="CG Omega" w:hAnsi="CG Omega"/>
          <w:b/>
          <w:bCs/>
          <w:smallCaps/>
          <w:sz w:val="26"/>
          <w:szCs w:val="26"/>
        </w:rPr>
        <w:t>Persons with Disabilities</w:t>
      </w:r>
    </w:p>
    <w:p w:rsidR="00F76545" w:rsidRPr="004608D1" w:rsidRDefault="00F76545" w:rsidP="00F76545">
      <w:pPr>
        <w:jc w:val="both"/>
        <w:rPr>
          <w:rFonts w:ascii="CG Omega" w:hAnsi="CG Omega"/>
          <w:sz w:val="16"/>
          <w:szCs w:val="16"/>
          <w:highlight w:val="yellow"/>
        </w:rPr>
      </w:pPr>
    </w:p>
    <w:tbl>
      <w:tblPr>
        <w:tblpPr w:leftFromText="180" w:rightFromText="180" w:vertAnchor="text" w:horzAnchor="margin" w:tblpXSpec="right" w:tblpY="173"/>
        <w:tblOverlap w:val="never"/>
        <w:tblW w:w="3403" w:type="dxa"/>
        <w:tblLook w:val="04A0" w:firstRow="1" w:lastRow="0" w:firstColumn="1" w:lastColumn="0" w:noHBand="0" w:noVBand="1"/>
      </w:tblPr>
      <w:tblGrid>
        <w:gridCol w:w="1210"/>
        <w:gridCol w:w="1132"/>
        <w:gridCol w:w="1061"/>
      </w:tblGrid>
      <w:tr w:rsidR="00096CBC" w:rsidRPr="00AF4B00" w:rsidTr="00096CBC">
        <w:trPr>
          <w:trHeight w:val="216"/>
        </w:trPr>
        <w:tc>
          <w:tcPr>
            <w:tcW w:w="3403" w:type="dxa"/>
            <w:gridSpan w:val="3"/>
            <w:tcBorders>
              <w:bottom w:val="single" w:sz="8" w:space="0" w:color="009900"/>
            </w:tcBorders>
            <w:shd w:val="clear" w:color="000000" w:fill="FFFFFF"/>
            <w:noWrap/>
            <w:vAlign w:val="center"/>
            <w:hideMark/>
          </w:tcPr>
          <w:p w:rsidR="00096CBC" w:rsidRPr="00AF4B00" w:rsidRDefault="00096CBC" w:rsidP="00096CBC">
            <w:pPr>
              <w:keepNext/>
              <w:jc w:val="center"/>
              <w:rPr>
                <w:rFonts w:ascii="Arial" w:eastAsia="Calibri" w:hAnsi="Arial"/>
                <w:b/>
                <w:bCs/>
                <w:color w:val="000000"/>
                <w:sz w:val="22"/>
                <w:szCs w:val="18"/>
              </w:rPr>
            </w:pPr>
            <w:r w:rsidRPr="00AF4B00">
              <w:rPr>
                <w:rFonts w:ascii="Arial" w:eastAsia="Calibri" w:hAnsi="Arial"/>
                <w:b/>
                <w:bCs/>
                <w:color w:val="000000"/>
                <w:sz w:val="22"/>
                <w:szCs w:val="18"/>
              </w:rPr>
              <w:t>Table I</w:t>
            </w:r>
            <w:r>
              <w:rPr>
                <w:rFonts w:ascii="Arial" w:eastAsia="Calibri" w:hAnsi="Arial"/>
                <w:b/>
                <w:bCs/>
                <w:color w:val="000000"/>
                <w:sz w:val="22"/>
                <w:szCs w:val="18"/>
              </w:rPr>
              <w:t>II.7</w:t>
            </w:r>
          </w:p>
          <w:p w:rsidR="00096CBC" w:rsidRPr="00AF4B00" w:rsidRDefault="00096CBC" w:rsidP="00096CBC">
            <w:pPr>
              <w:jc w:val="center"/>
              <w:rPr>
                <w:rFonts w:ascii="Arial" w:hAnsi="Arial" w:cs="Arial"/>
                <w:b/>
                <w:bCs/>
                <w:color w:val="000000"/>
                <w:sz w:val="20"/>
                <w:szCs w:val="20"/>
              </w:rPr>
            </w:pPr>
            <w:r w:rsidRPr="00AF4B00">
              <w:rPr>
                <w:rFonts w:ascii="Arial" w:hAnsi="Arial" w:cs="Arial"/>
                <w:b/>
                <w:bCs/>
                <w:color w:val="000000"/>
                <w:sz w:val="20"/>
                <w:szCs w:val="20"/>
              </w:rPr>
              <w:t>Disability by Age</w:t>
            </w:r>
          </w:p>
          <w:p w:rsidR="00096CBC" w:rsidRPr="00AF4B00" w:rsidRDefault="00096CBC" w:rsidP="00096CBC">
            <w:pPr>
              <w:jc w:val="center"/>
              <w:rPr>
                <w:rFonts w:ascii="Arial" w:hAnsi="Arial" w:cs="Arial"/>
                <w:b/>
                <w:bCs/>
                <w:sz w:val="16"/>
                <w:szCs w:val="16"/>
              </w:rPr>
            </w:pPr>
            <w:r w:rsidRPr="00AF4B00">
              <w:rPr>
                <w:rFonts w:ascii="Arial" w:hAnsi="Arial" w:cs="Arial"/>
                <w:noProof/>
                <w:sz w:val="16"/>
                <w:szCs w:val="16"/>
              </w:rPr>
              <w:t>State of New Mexico</w:t>
            </w:r>
          </w:p>
          <w:p w:rsidR="00096CBC" w:rsidRPr="00AF4B00" w:rsidRDefault="00096CBC" w:rsidP="00096CBC">
            <w:pPr>
              <w:jc w:val="center"/>
              <w:rPr>
                <w:rFonts w:ascii="Arial" w:hAnsi="Arial" w:cs="Arial"/>
                <w:b/>
                <w:bCs/>
                <w:color w:val="000000"/>
                <w:sz w:val="22"/>
                <w:szCs w:val="22"/>
              </w:rPr>
            </w:pPr>
            <w:r w:rsidRPr="00AF4B00">
              <w:rPr>
                <w:rFonts w:ascii="Arial" w:hAnsi="Arial" w:cs="Arial"/>
                <w:color w:val="000000"/>
                <w:sz w:val="16"/>
                <w:szCs w:val="16"/>
              </w:rPr>
              <w:t>2000 Census SF3 Data</w:t>
            </w:r>
          </w:p>
        </w:tc>
      </w:tr>
      <w:tr w:rsidR="00096CBC" w:rsidRPr="00AF4B00" w:rsidTr="00096CBC">
        <w:trPr>
          <w:trHeight w:val="216"/>
        </w:trPr>
        <w:tc>
          <w:tcPr>
            <w:tcW w:w="1210" w:type="dxa"/>
            <w:vMerge w:val="restart"/>
            <w:tcBorders>
              <w:top w:val="single" w:sz="8" w:space="0" w:color="009900"/>
              <w:left w:val="single" w:sz="8" w:space="0" w:color="009900"/>
              <w:bottom w:val="single" w:sz="8" w:space="0" w:color="009900"/>
              <w:right w:val="nil"/>
            </w:tcBorders>
            <w:shd w:val="clear" w:color="000000" w:fill="FFFFE1"/>
            <w:noWrap/>
            <w:vAlign w:val="center"/>
            <w:hideMark/>
          </w:tcPr>
          <w:p w:rsidR="00096CBC" w:rsidRPr="00AF4B00" w:rsidRDefault="00096CBC" w:rsidP="00096CBC">
            <w:pPr>
              <w:rPr>
                <w:rFonts w:ascii="Arial" w:hAnsi="Arial" w:cs="Arial"/>
                <w:b/>
                <w:bCs/>
                <w:color w:val="000000"/>
                <w:sz w:val="16"/>
                <w:szCs w:val="16"/>
              </w:rPr>
            </w:pPr>
            <w:r w:rsidRPr="00AF4B00">
              <w:rPr>
                <w:rFonts w:ascii="Arial" w:hAnsi="Arial" w:cs="Arial"/>
                <w:b/>
                <w:bCs/>
                <w:color w:val="000000"/>
                <w:sz w:val="16"/>
                <w:szCs w:val="16"/>
              </w:rPr>
              <w:t>Age</w:t>
            </w:r>
          </w:p>
        </w:tc>
        <w:tc>
          <w:tcPr>
            <w:tcW w:w="2193" w:type="dxa"/>
            <w:gridSpan w:val="2"/>
            <w:tcBorders>
              <w:top w:val="single" w:sz="8" w:space="0" w:color="009900"/>
              <w:left w:val="dotted" w:sz="4" w:space="0" w:color="009900"/>
              <w:bottom w:val="dotted" w:sz="4" w:space="0" w:color="009900"/>
              <w:right w:val="single" w:sz="8" w:space="0" w:color="009900"/>
            </w:tcBorders>
            <w:shd w:val="clear" w:color="000000" w:fill="FFFFE1"/>
            <w:noWrap/>
            <w:vAlign w:val="center"/>
            <w:hideMark/>
          </w:tcPr>
          <w:p w:rsidR="00096CBC" w:rsidRPr="00AF4B00" w:rsidRDefault="00096CBC" w:rsidP="00096CBC">
            <w:pPr>
              <w:jc w:val="center"/>
              <w:rPr>
                <w:rFonts w:ascii="Arial" w:hAnsi="Arial" w:cs="Arial"/>
                <w:b/>
                <w:bCs/>
                <w:color w:val="000000"/>
                <w:sz w:val="16"/>
                <w:szCs w:val="16"/>
              </w:rPr>
            </w:pPr>
            <w:r w:rsidRPr="00AF4B00">
              <w:rPr>
                <w:rFonts w:ascii="Arial" w:hAnsi="Arial" w:cs="Arial"/>
                <w:b/>
                <w:bCs/>
                <w:color w:val="000000"/>
                <w:sz w:val="16"/>
                <w:szCs w:val="16"/>
              </w:rPr>
              <w:t>Total</w:t>
            </w:r>
          </w:p>
        </w:tc>
      </w:tr>
      <w:tr w:rsidR="00096CBC" w:rsidRPr="00AF4B00" w:rsidTr="00096CBC">
        <w:trPr>
          <w:trHeight w:val="216"/>
        </w:trPr>
        <w:tc>
          <w:tcPr>
            <w:tcW w:w="1210" w:type="dxa"/>
            <w:vMerge/>
            <w:tcBorders>
              <w:top w:val="nil"/>
              <w:left w:val="single" w:sz="8" w:space="0" w:color="009900"/>
              <w:bottom w:val="single" w:sz="8" w:space="0" w:color="009900"/>
              <w:right w:val="nil"/>
            </w:tcBorders>
            <w:vAlign w:val="center"/>
            <w:hideMark/>
          </w:tcPr>
          <w:p w:rsidR="00096CBC" w:rsidRPr="00AF4B00" w:rsidRDefault="00096CBC" w:rsidP="00096CBC">
            <w:pPr>
              <w:rPr>
                <w:rFonts w:ascii="Arial" w:hAnsi="Arial" w:cs="Arial"/>
                <w:b/>
                <w:bCs/>
                <w:color w:val="000000"/>
                <w:sz w:val="16"/>
                <w:szCs w:val="16"/>
              </w:rPr>
            </w:pPr>
          </w:p>
        </w:tc>
        <w:tc>
          <w:tcPr>
            <w:tcW w:w="1132" w:type="dxa"/>
            <w:tcBorders>
              <w:top w:val="nil"/>
              <w:left w:val="nil"/>
              <w:bottom w:val="single" w:sz="8" w:space="0" w:color="009900"/>
              <w:right w:val="nil"/>
            </w:tcBorders>
            <w:shd w:val="clear" w:color="000000" w:fill="FFFFE1"/>
            <w:vAlign w:val="center"/>
            <w:hideMark/>
          </w:tcPr>
          <w:p w:rsidR="00096CBC" w:rsidRPr="00AF4B00" w:rsidRDefault="00096CBC" w:rsidP="00096CBC">
            <w:pPr>
              <w:jc w:val="center"/>
              <w:rPr>
                <w:rFonts w:ascii="Arial" w:hAnsi="Arial" w:cs="Arial"/>
                <w:b/>
                <w:bCs/>
                <w:color w:val="000000"/>
                <w:sz w:val="16"/>
                <w:szCs w:val="16"/>
              </w:rPr>
            </w:pPr>
            <w:r w:rsidRPr="00AF4B00">
              <w:rPr>
                <w:rFonts w:ascii="Arial" w:hAnsi="Arial" w:cs="Arial"/>
                <w:b/>
                <w:bCs/>
                <w:color w:val="000000"/>
                <w:sz w:val="16"/>
                <w:szCs w:val="16"/>
              </w:rPr>
              <w:t xml:space="preserve">Disabled </w:t>
            </w:r>
          </w:p>
          <w:p w:rsidR="00096CBC" w:rsidRPr="00AF4B00" w:rsidRDefault="00096CBC" w:rsidP="00096CBC">
            <w:pPr>
              <w:jc w:val="center"/>
              <w:rPr>
                <w:rFonts w:ascii="Arial" w:hAnsi="Arial" w:cs="Arial"/>
                <w:b/>
                <w:bCs/>
                <w:color w:val="000000"/>
                <w:sz w:val="16"/>
                <w:szCs w:val="16"/>
              </w:rPr>
            </w:pPr>
            <w:r w:rsidRPr="00AF4B00">
              <w:rPr>
                <w:rFonts w:ascii="Arial" w:hAnsi="Arial" w:cs="Arial"/>
                <w:b/>
                <w:bCs/>
                <w:color w:val="000000"/>
                <w:sz w:val="16"/>
                <w:szCs w:val="16"/>
              </w:rPr>
              <w:t>Population</w:t>
            </w:r>
          </w:p>
        </w:tc>
        <w:tc>
          <w:tcPr>
            <w:tcW w:w="1061" w:type="dxa"/>
            <w:tcBorders>
              <w:top w:val="nil"/>
              <w:left w:val="nil"/>
              <w:bottom w:val="single" w:sz="8" w:space="0" w:color="009900"/>
              <w:right w:val="single" w:sz="8" w:space="0" w:color="009900"/>
            </w:tcBorders>
            <w:shd w:val="clear" w:color="000000" w:fill="FFFFE1"/>
            <w:vAlign w:val="center"/>
            <w:hideMark/>
          </w:tcPr>
          <w:p w:rsidR="00096CBC" w:rsidRPr="00AF4B00" w:rsidRDefault="00096CBC" w:rsidP="00096CBC">
            <w:pPr>
              <w:jc w:val="center"/>
              <w:rPr>
                <w:rFonts w:ascii="Arial" w:hAnsi="Arial" w:cs="Arial"/>
                <w:b/>
                <w:bCs/>
                <w:color w:val="000000"/>
                <w:sz w:val="16"/>
                <w:szCs w:val="16"/>
              </w:rPr>
            </w:pPr>
            <w:r w:rsidRPr="00AF4B00">
              <w:rPr>
                <w:rFonts w:ascii="Arial" w:hAnsi="Arial" w:cs="Arial"/>
                <w:b/>
                <w:bCs/>
                <w:color w:val="000000"/>
                <w:sz w:val="16"/>
                <w:szCs w:val="16"/>
              </w:rPr>
              <w:t xml:space="preserve">Disability </w:t>
            </w:r>
          </w:p>
          <w:p w:rsidR="00096CBC" w:rsidRPr="00AF4B00" w:rsidRDefault="00096CBC" w:rsidP="00096CBC">
            <w:pPr>
              <w:jc w:val="center"/>
              <w:rPr>
                <w:rFonts w:ascii="Arial" w:hAnsi="Arial" w:cs="Arial"/>
                <w:b/>
                <w:bCs/>
                <w:color w:val="000000"/>
                <w:sz w:val="16"/>
                <w:szCs w:val="16"/>
              </w:rPr>
            </w:pPr>
            <w:r w:rsidRPr="00AF4B00">
              <w:rPr>
                <w:rFonts w:ascii="Arial" w:hAnsi="Arial" w:cs="Arial"/>
                <w:b/>
                <w:bCs/>
                <w:color w:val="000000"/>
                <w:sz w:val="16"/>
                <w:szCs w:val="16"/>
              </w:rPr>
              <w:t>Rate</w:t>
            </w:r>
          </w:p>
        </w:tc>
      </w:tr>
      <w:tr w:rsidR="00096CBC" w:rsidRPr="00AF4B00" w:rsidTr="00096CBC">
        <w:trPr>
          <w:trHeight w:val="216"/>
        </w:trPr>
        <w:tc>
          <w:tcPr>
            <w:tcW w:w="1210" w:type="dxa"/>
            <w:tcBorders>
              <w:top w:val="single" w:sz="8" w:space="0" w:color="009900"/>
              <w:left w:val="single" w:sz="8" w:space="0" w:color="009900"/>
              <w:bottom w:val="nil"/>
              <w:right w:val="nil"/>
            </w:tcBorders>
            <w:shd w:val="clear" w:color="000000" w:fill="FFFFE1"/>
            <w:noWrap/>
            <w:vAlign w:val="center"/>
          </w:tcPr>
          <w:p w:rsidR="00096CBC" w:rsidRPr="00AF4B00" w:rsidRDefault="00096CBC" w:rsidP="00096CBC">
            <w:pPr>
              <w:rPr>
                <w:rFonts w:ascii="Arial" w:hAnsi="Arial" w:cs="Arial"/>
                <w:color w:val="000000"/>
                <w:sz w:val="16"/>
                <w:szCs w:val="16"/>
              </w:rPr>
            </w:pPr>
            <w:r w:rsidRPr="00AF4B00">
              <w:rPr>
                <w:rFonts w:ascii="Arial" w:hAnsi="Arial" w:cs="Arial"/>
                <w:color w:val="000000"/>
                <w:sz w:val="16"/>
                <w:szCs w:val="16"/>
              </w:rPr>
              <w:t>5 to 15</w:t>
            </w:r>
          </w:p>
        </w:tc>
        <w:tc>
          <w:tcPr>
            <w:tcW w:w="1132" w:type="dxa"/>
            <w:tcBorders>
              <w:top w:val="single" w:sz="8" w:space="0" w:color="009900"/>
              <w:left w:val="nil"/>
              <w:bottom w:val="nil"/>
              <w:right w:val="nil"/>
            </w:tcBorders>
            <w:shd w:val="clear" w:color="000000" w:fill="FFFFE1"/>
            <w:noWrap/>
            <w:vAlign w:val="center"/>
          </w:tcPr>
          <w:p w:rsidR="00096CBC" w:rsidRPr="00AF4B00" w:rsidRDefault="00096CBC" w:rsidP="00096CBC">
            <w:pPr>
              <w:jc w:val="center"/>
              <w:rPr>
                <w:rFonts w:ascii="Arial" w:hAnsi="Arial" w:cs="Arial"/>
                <w:color w:val="000000"/>
                <w:sz w:val="16"/>
                <w:szCs w:val="16"/>
              </w:rPr>
            </w:pPr>
            <w:r w:rsidRPr="00AF4B00">
              <w:rPr>
                <w:rFonts w:ascii="Arial" w:hAnsi="Arial" w:cs="Arial"/>
                <w:noProof/>
                <w:sz w:val="16"/>
                <w:szCs w:val="16"/>
              </w:rPr>
              <w:t>18,374</w:t>
            </w:r>
          </w:p>
        </w:tc>
        <w:tc>
          <w:tcPr>
            <w:tcW w:w="1061" w:type="dxa"/>
            <w:tcBorders>
              <w:top w:val="single" w:sz="8" w:space="0" w:color="009900"/>
              <w:left w:val="nil"/>
              <w:bottom w:val="nil"/>
              <w:right w:val="single" w:sz="8" w:space="0" w:color="009900"/>
            </w:tcBorders>
            <w:shd w:val="clear" w:color="000000" w:fill="FFFFE1"/>
            <w:noWrap/>
            <w:vAlign w:val="center"/>
          </w:tcPr>
          <w:p w:rsidR="00096CBC" w:rsidRPr="00AF4B00" w:rsidRDefault="00096CBC" w:rsidP="00096CBC">
            <w:pPr>
              <w:jc w:val="center"/>
              <w:rPr>
                <w:rFonts w:ascii="Arial" w:hAnsi="Arial" w:cs="Arial"/>
                <w:color w:val="000000"/>
                <w:sz w:val="16"/>
                <w:szCs w:val="16"/>
              </w:rPr>
            </w:pPr>
            <w:r w:rsidRPr="00AF4B00">
              <w:rPr>
                <w:rFonts w:ascii="Arial" w:hAnsi="Arial" w:cs="Arial"/>
                <w:noProof/>
                <w:sz w:val="16"/>
                <w:szCs w:val="16"/>
              </w:rPr>
              <w:t>5.7</w:t>
            </w:r>
            <w:r w:rsidRPr="00AF4B00">
              <w:rPr>
                <w:rFonts w:ascii="Arial" w:hAnsi="Arial" w:cs="Arial"/>
                <w:sz w:val="16"/>
                <w:szCs w:val="16"/>
              </w:rPr>
              <w:t>%</w:t>
            </w:r>
          </w:p>
        </w:tc>
      </w:tr>
      <w:tr w:rsidR="00096CBC" w:rsidRPr="00AF4B00" w:rsidTr="00096CBC">
        <w:trPr>
          <w:trHeight w:val="216"/>
        </w:trPr>
        <w:tc>
          <w:tcPr>
            <w:tcW w:w="1210" w:type="dxa"/>
            <w:tcBorders>
              <w:top w:val="nil"/>
              <w:left w:val="single" w:sz="8" w:space="0" w:color="009900"/>
              <w:bottom w:val="nil"/>
              <w:right w:val="nil"/>
            </w:tcBorders>
            <w:shd w:val="clear" w:color="000000" w:fill="FFFFE1"/>
            <w:noWrap/>
            <w:vAlign w:val="center"/>
          </w:tcPr>
          <w:p w:rsidR="00096CBC" w:rsidRPr="00AF4B00" w:rsidRDefault="00096CBC" w:rsidP="00096CBC">
            <w:pPr>
              <w:rPr>
                <w:rFonts w:ascii="Arial" w:hAnsi="Arial" w:cs="Arial"/>
                <w:color w:val="000000"/>
                <w:sz w:val="16"/>
                <w:szCs w:val="16"/>
              </w:rPr>
            </w:pPr>
            <w:r w:rsidRPr="00AF4B00">
              <w:rPr>
                <w:rFonts w:ascii="Arial" w:hAnsi="Arial" w:cs="Arial"/>
                <w:color w:val="000000"/>
                <w:sz w:val="16"/>
                <w:szCs w:val="16"/>
              </w:rPr>
              <w:t>16 to 64</w:t>
            </w:r>
          </w:p>
        </w:tc>
        <w:tc>
          <w:tcPr>
            <w:tcW w:w="1132" w:type="dxa"/>
            <w:tcBorders>
              <w:top w:val="nil"/>
              <w:left w:val="nil"/>
              <w:bottom w:val="nil"/>
              <w:right w:val="nil"/>
            </w:tcBorders>
            <w:shd w:val="clear" w:color="000000" w:fill="FFFFE1"/>
            <w:noWrap/>
            <w:vAlign w:val="center"/>
          </w:tcPr>
          <w:p w:rsidR="00096CBC" w:rsidRPr="00AF4B00" w:rsidRDefault="00096CBC" w:rsidP="00096CBC">
            <w:pPr>
              <w:jc w:val="center"/>
              <w:rPr>
                <w:rFonts w:ascii="Arial" w:hAnsi="Arial" w:cs="Arial"/>
                <w:color w:val="000000"/>
                <w:sz w:val="16"/>
                <w:szCs w:val="16"/>
              </w:rPr>
            </w:pPr>
            <w:r w:rsidRPr="00AF4B00">
              <w:rPr>
                <w:rFonts w:ascii="Arial" w:hAnsi="Arial" w:cs="Arial"/>
                <w:noProof/>
                <w:sz w:val="16"/>
                <w:szCs w:val="16"/>
              </w:rPr>
              <w:t>228,041</w:t>
            </w:r>
          </w:p>
        </w:tc>
        <w:tc>
          <w:tcPr>
            <w:tcW w:w="1061" w:type="dxa"/>
            <w:tcBorders>
              <w:top w:val="nil"/>
              <w:left w:val="nil"/>
              <w:bottom w:val="nil"/>
              <w:right w:val="single" w:sz="8" w:space="0" w:color="009900"/>
            </w:tcBorders>
            <w:shd w:val="clear" w:color="000000" w:fill="FFFFE1"/>
            <w:noWrap/>
            <w:vAlign w:val="center"/>
          </w:tcPr>
          <w:p w:rsidR="00096CBC" w:rsidRPr="00AF4B00" w:rsidRDefault="00096CBC" w:rsidP="00096CBC">
            <w:pPr>
              <w:jc w:val="center"/>
              <w:rPr>
                <w:rFonts w:ascii="Arial" w:hAnsi="Arial" w:cs="Arial"/>
                <w:color w:val="000000"/>
                <w:sz w:val="16"/>
                <w:szCs w:val="16"/>
              </w:rPr>
            </w:pPr>
            <w:r w:rsidRPr="00AF4B00">
              <w:rPr>
                <w:rFonts w:ascii="Arial" w:hAnsi="Arial" w:cs="Arial"/>
                <w:noProof/>
                <w:sz w:val="16"/>
                <w:szCs w:val="16"/>
              </w:rPr>
              <w:t>20.1</w:t>
            </w:r>
            <w:r w:rsidRPr="00AF4B00">
              <w:rPr>
                <w:rFonts w:ascii="Arial" w:hAnsi="Arial" w:cs="Arial"/>
                <w:sz w:val="16"/>
                <w:szCs w:val="16"/>
              </w:rPr>
              <w:t>%</w:t>
            </w:r>
          </w:p>
        </w:tc>
      </w:tr>
      <w:tr w:rsidR="00096CBC" w:rsidRPr="00AF4B00" w:rsidTr="00096CBC">
        <w:trPr>
          <w:trHeight w:val="216"/>
        </w:trPr>
        <w:tc>
          <w:tcPr>
            <w:tcW w:w="1210" w:type="dxa"/>
            <w:tcBorders>
              <w:top w:val="nil"/>
              <w:left w:val="single" w:sz="8" w:space="0" w:color="009900"/>
              <w:bottom w:val="nil"/>
              <w:right w:val="nil"/>
            </w:tcBorders>
            <w:shd w:val="clear" w:color="000000" w:fill="FFFFE1"/>
            <w:noWrap/>
            <w:vAlign w:val="center"/>
          </w:tcPr>
          <w:p w:rsidR="00096CBC" w:rsidRPr="00AF4B00" w:rsidRDefault="00096CBC" w:rsidP="00096CBC">
            <w:pPr>
              <w:rPr>
                <w:rFonts w:ascii="Arial" w:hAnsi="Arial" w:cs="Arial"/>
                <w:color w:val="000000"/>
                <w:sz w:val="16"/>
                <w:szCs w:val="16"/>
              </w:rPr>
            </w:pPr>
            <w:r w:rsidRPr="00AF4B00">
              <w:rPr>
                <w:rFonts w:ascii="Arial" w:hAnsi="Arial" w:cs="Arial"/>
                <w:color w:val="000000"/>
                <w:sz w:val="16"/>
                <w:szCs w:val="16"/>
              </w:rPr>
              <w:t>65 and older</w:t>
            </w:r>
          </w:p>
        </w:tc>
        <w:tc>
          <w:tcPr>
            <w:tcW w:w="1132" w:type="dxa"/>
            <w:tcBorders>
              <w:top w:val="nil"/>
              <w:left w:val="nil"/>
              <w:bottom w:val="nil"/>
              <w:right w:val="nil"/>
            </w:tcBorders>
            <w:shd w:val="clear" w:color="000000" w:fill="FFFFE1"/>
            <w:noWrap/>
            <w:vAlign w:val="center"/>
          </w:tcPr>
          <w:p w:rsidR="00096CBC" w:rsidRPr="00AF4B00" w:rsidRDefault="00096CBC" w:rsidP="00096CBC">
            <w:pPr>
              <w:jc w:val="center"/>
              <w:rPr>
                <w:rFonts w:ascii="Arial" w:hAnsi="Arial" w:cs="Arial"/>
                <w:color w:val="000000"/>
                <w:sz w:val="16"/>
                <w:szCs w:val="16"/>
              </w:rPr>
            </w:pPr>
            <w:r w:rsidRPr="00AF4B00">
              <w:rPr>
                <w:rFonts w:ascii="Arial" w:hAnsi="Arial" w:cs="Arial"/>
                <w:noProof/>
                <w:sz w:val="16"/>
                <w:szCs w:val="16"/>
              </w:rPr>
              <w:t>92,015</w:t>
            </w:r>
          </w:p>
        </w:tc>
        <w:tc>
          <w:tcPr>
            <w:tcW w:w="1061" w:type="dxa"/>
            <w:tcBorders>
              <w:top w:val="nil"/>
              <w:left w:val="nil"/>
              <w:bottom w:val="nil"/>
              <w:right w:val="single" w:sz="8" w:space="0" w:color="009900"/>
            </w:tcBorders>
            <w:shd w:val="clear" w:color="000000" w:fill="FFFFE1"/>
            <w:noWrap/>
            <w:vAlign w:val="center"/>
          </w:tcPr>
          <w:p w:rsidR="00096CBC" w:rsidRPr="00AF4B00" w:rsidRDefault="00096CBC" w:rsidP="00096CBC">
            <w:pPr>
              <w:jc w:val="center"/>
              <w:rPr>
                <w:rFonts w:ascii="Arial" w:hAnsi="Arial" w:cs="Arial"/>
                <w:color w:val="000000"/>
                <w:sz w:val="16"/>
                <w:szCs w:val="16"/>
              </w:rPr>
            </w:pPr>
            <w:r w:rsidRPr="00AF4B00">
              <w:rPr>
                <w:rFonts w:ascii="Arial" w:hAnsi="Arial" w:cs="Arial"/>
                <w:noProof/>
                <w:sz w:val="16"/>
                <w:szCs w:val="16"/>
              </w:rPr>
              <w:t>44.8</w:t>
            </w:r>
            <w:r w:rsidRPr="00AF4B00">
              <w:rPr>
                <w:rFonts w:ascii="Arial" w:hAnsi="Arial" w:cs="Arial"/>
                <w:sz w:val="16"/>
                <w:szCs w:val="16"/>
              </w:rPr>
              <w:t>%</w:t>
            </w:r>
          </w:p>
        </w:tc>
      </w:tr>
      <w:tr w:rsidR="00096CBC" w:rsidRPr="00AF4B00" w:rsidTr="00096CBC">
        <w:trPr>
          <w:trHeight w:val="216"/>
        </w:trPr>
        <w:tc>
          <w:tcPr>
            <w:tcW w:w="1210" w:type="dxa"/>
            <w:tcBorders>
              <w:top w:val="double" w:sz="6" w:space="0" w:color="009900"/>
              <w:left w:val="single" w:sz="8" w:space="0" w:color="009900"/>
              <w:bottom w:val="single" w:sz="8" w:space="0" w:color="009900"/>
              <w:right w:val="nil"/>
            </w:tcBorders>
            <w:shd w:val="clear" w:color="000000" w:fill="FFFFE1"/>
            <w:noWrap/>
            <w:vAlign w:val="center"/>
          </w:tcPr>
          <w:p w:rsidR="00096CBC" w:rsidRPr="00AF4B00" w:rsidRDefault="00096CBC" w:rsidP="00096CBC">
            <w:pPr>
              <w:rPr>
                <w:rFonts w:ascii="Arial" w:hAnsi="Arial" w:cs="Arial"/>
                <w:b/>
                <w:bCs/>
                <w:color w:val="000000"/>
                <w:sz w:val="16"/>
                <w:szCs w:val="16"/>
              </w:rPr>
            </w:pPr>
            <w:r w:rsidRPr="00AF4B00">
              <w:rPr>
                <w:rFonts w:ascii="Arial" w:hAnsi="Arial" w:cs="Arial"/>
                <w:b/>
                <w:bCs/>
                <w:color w:val="000000"/>
                <w:sz w:val="16"/>
                <w:szCs w:val="16"/>
              </w:rPr>
              <w:t>Total</w:t>
            </w:r>
          </w:p>
        </w:tc>
        <w:tc>
          <w:tcPr>
            <w:tcW w:w="1132" w:type="dxa"/>
            <w:tcBorders>
              <w:top w:val="double" w:sz="6" w:space="0" w:color="009900"/>
              <w:left w:val="nil"/>
              <w:bottom w:val="single" w:sz="8" w:space="0" w:color="009900"/>
              <w:right w:val="nil"/>
            </w:tcBorders>
            <w:shd w:val="clear" w:color="000000" w:fill="FFFFE1"/>
            <w:noWrap/>
            <w:vAlign w:val="center"/>
          </w:tcPr>
          <w:p w:rsidR="00096CBC" w:rsidRPr="00AF4B00" w:rsidRDefault="00096CBC" w:rsidP="00096CBC">
            <w:pPr>
              <w:jc w:val="center"/>
              <w:rPr>
                <w:rFonts w:ascii="Arial" w:hAnsi="Arial" w:cs="Arial"/>
                <w:b/>
                <w:bCs/>
                <w:color w:val="000000"/>
                <w:sz w:val="16"/>
                <w:szCs w:val="16"/>
              </w:rPr>
            </w:pPr>
            <w:r w:rsidRPr="00AF4B00">
              <w:rPr>
                <w:rFonts w:ascii="Arial" w:hAnsi="Arial" w:cs="Arial"/>
                <w:b/>
                <w:noProof/>
                <w:sz w:val="16"/>
                <w:szCs w:val="16"/>
              </w:rPr>
              <w:t>338,430</w:t>
            </w:r>
          </w:p>
        </w:tc>
        <w:tc>
          <w:tcPr>
            <w:tcW w:w="1061" w:type="dxa"/>
            <w:tcBorders>
              <w:top w:val="double" w:sz="6" w:space="0" w:color="009900"/>
              <w:left w:val="nil"/>
              <w:bottom w:val="single" w:sz="8" w:space="0" w:color="009900"/>
              <w:right w:val="single" w:sz="8" w:space="0" w:color="009900"/>
            </w:tcBorders>
            <w:shd w:val="clear" w:color="000000" w:fill="FFFFE1"/>
            <w:noWrap/>
            <w:vAlign w:val="center"/>
          </w:tcPr>
          <w:p w:rsidR="00096CBC" w:rsidRPr="00AF4B00" w:rsidRDefault="00096CBC" w:rsidP="00096CBC">
            <w:pPr>
              <w:jc w:val="center"/>
              <w:rPr>
                <w:rFonts w:ascii="Arial" w:hAnsi="Arial" w:cs="Arial"/>
                <w:b/>
                <w:bCs/>
                <w:color w:val="000000"/>
                <w:sz w:val="16"/>
                <w:szCs w:val="16"/>
              </w:rPr>
            </w:pPr>
            <w:r w:rsidRPr="00AF4B00">
              <w:rPr>
                <w:rFonts w:ascii="Arial" w:hAnsi="Arial" w:cs="Arial"/>
                <w:b/>
                <w:noProof/>
                <w:sz w:val="16"/>
                <w:szCs w:val="16"/>
              </w:rPr>
              <w:t>20.4</w:t>
            </w:r>
            <w:r w:rsidRPr="00AF4B00">
              <w:rPr>
                <w:rFonts w:ascii="Arial" w:hAnsi="Arial" w:cs="Arial"/>
                <w:b/>
                <w:sz w:val="16"/>
                <w:szCs w:val="16"/>
              </w:rPr>
              <w:t>%</w:t>
            </w:r>
          </w:p>
        </w:tc>
      </w:tr>
    </w:tbl>
    <w:p w:rsidR="00F76545" w:rsidRDefault="00F76545" w:rsidP="00F76545">
      <w:pPr>
        <w:pStyle w:val="BodyText"/>
        <w:tabs>
          <w:tab w:val="num" w:pos="360"/>
        </w:tabs>
        <w:rPr>
          <w:rFonts w:ascii="CG Omega" w:hAnsi="CG Omega"/>
        </w:rPr>
      </w:pPr>
      <w:r w:rsidRPr="0045463E">
        <w:rPr>
          <w:rFonts w:ascii="CG Omega" w:hAnsi="CG Omega"/>
        </w:rPr>
        <w:t xml:space="preserve">Disability is defined by the Census Bureau as a lasting physical, mental or emotional condition that makes it difficult for a person to do activities, to go outside the home alone or to work.  </w:t>
      </w:r>
      <w:r w:rsidRPr="001063B2">
        <w:rPr>
          <w:rFonts w:ascii="CG Omega" w:hAnsi="CG Omega"/>
        </w:rPr>
        <w:t>By this definition, 338,430 New Mexico residents were considered to be living with some form of disability in 2000. This figure was only slightly higher than the national average for that time of about 19.3 percent</w:t>
      </w:r>
      <w:r w:rsidRPr="001063B2">
        <w:rPr>
          <w:rStyle w:val="FootnoteReference"/>
          <w:rFonts w:ascii="CG Omega" w:hAnsi="CG Omega"/>
        </w:rPr>
        <w:footnoteReference w:id="5"/>
      </w:r>
      <w:r w:rsidR="007F51C1">
        <w:rPr>
          <w:rFonts w:ascii="CG Omega" w:hAnsi="CG Omega"/>
          <w:szCs w:val="24"/>
        </w:rPr>
        <w:t xml:space="preserve">. As seen in </w:t>
      </w:r>
      <w:r w:rsidR="007F51C1" w:rsidRPr="00866A4D">
        <w:rPr>
          <w:rFonts w:ascii="CG Omega" w:hAnsi="CG Omega"/>
          <w:b/>
          <w:szCs w:val="24"/>
        </w:rPr>
        <w:t>Table III.7</w:t>
      </w:r>
      <w:r w:rsidRPr="001063B2">
        <w:rPr>
          <w:rFonts w:ascii="CG Omega" w:hAnsi="CG Omega"/>
          <w:szCs w:val="24"/>
        </w:rPr>
        <w:t>, at right, t</w:t>
      </w:r>
      <w:r w:rsidRPr="001063B2">
        <w:rPr>
          <w:rFonts w:ascii="CG Omega" w:hAnsi="CG Omega"/>
        </w:rPr>
        <w:t>here were 18,374 persons aged 5 to 15 with disabilities, 228,041 persons between the age of 16 and 64 with a disability and 92,105 persons over the age of 65 with a disability at that time.</w:t>
      </w:r>
      <w:r w:rsidRPr="001063B2">
        <w:rPr>
          <w:rStyle w:val="FootnoteReference"/>
          <w:rFonts w:ascii="CG Omega" w:hAnsi="CG Omega"/>
          <w:szCs w:val="24"/>
        </w:rPr>
        <w:footnoteReference w:id="6"/>
      </w:r>
    </w:p>
    <w:p w:rsidR="00F76545" w:rsidRPr="00866A4D" w:rsidRDefault="00F76545" w:rsidP="00F76545">
      <w:pPr>
        <w:pStyle w:val="BodyText"/>
        <w:tabs>
          <w:tab w:val="num" w:pos="360"/>
        </w:tabs>
        <w:rPr>
          <w:rFonts w:ascii="CG Omega" w:hAnsi="CG Omega"/>
          <w:szCs w:val="24"/>
        </w:rPr>
      </w:pPr>
    </w:p>
    <w:p w:rsidR="00F76545" w:rsidRDefault="00F76545" w:rsidP="00F76545">
      <w:pPr>
        <w:pStyle w:val="BodyText"/>
        <w:tabs>
          <w:tab w:val="num" w:pos="360"/>
        </w:tabs>
        <w:rPr>
          <w:rFonts w:ascii="CG Omega" w:hAnsi="CG Omega"/>
        </w:rPr>
      </w:pPr>
      <w:r>
        <w:rPr>
          <w:rFonts w:ascii="CG Omega" w:hAnsi="CG Omega"/>
        </w:rPr>
        <w:t>By 2012, an estimated 13.7 percent of state residents were living with some form of disability</w:t>
      </w:r>
      <w:r w:rsidR="00EA4494">
        <w:rPr>
          <w:rFonts w:ascii="CG Omega" w:hAnsi="CG Omega"/>
        </w:rPr>
        <w:t xml:space="preserve">, as shown in </w:t>
      </w:r>
      <w:r w:rsidR="00EA4494" w:rsidRPr="00866A4D">
        <w:rPr>
          <w:rFonts w:ascii="CG Omega" w:hAnsi="CG Omega"/>
          <w:b/>
        </w:rPr>
        <w:t>Table III.8</w:t>
      </w:r>
      <w:r w:rsidR="00EA4494">
        <w:rPr>
          <w:rFonts w:ascii="CG Omega" w:hAnsi="CG Omega"/>
        </w:rPr>
        <w:t xml:space="preserve"> below</w:t>
      </w:r>
      <w:r>
        <w:rPr>
          <w:rFonts w:ascii="CG Omega" w:hAnsi="CG Omega"/>
        </w:rPr>
        <w:t xml:space="preserve">. Disability rates tended to be higher for male than for female residents, and higher for elderly residents than for younger residents. More than 56 percent of residents of either sex over the age of 75 were observed to be living with a disability in 2012, and disability rates fell progressively in lower age ranges. </w:t>
      </w:r>
    </w:p>
    <w:p w:rsidR="00F76545" w:rsidRDefault="00F76545" w:rsidP="00F76545">
      <w:pPr>
        <w:pStyle w:val="BodyText"/>
        <w:tabs>
          <w:tab w:val="num" w:pos="360"/>
        </w:tabs>
        <w:rPr>
          <w:rFonts w:ascii="CG Omega" w:hAnsi="CG Omega"/>
        </w:rPr>
      </w:pPr>
    </w:p>
    <w:p w:rsidR="004608D1" w:rsidRDefault="004608D1" w:rsidP="00F76545">
      <w:pPr>
        <w:pStyle w:val="BodyText"/>
        <w:tabs>
          <w:tab w:val="num" w:pos="360"/>
        </w:tabs>
        <w:rPr>
          <w:rFonts w:ascii="CG Omega" w:hAnsi="CG Omega"/>
        </w:rPr>
      </w:pPr>
    </w:p>
    <w:tbl>
      <w:tblPr>
        <w:tblW w:w="7418" w:type="dxa"/>
        <w:jc w:val="center"/>
        <w:tblLook w:val="04A0" w:firstRow="1" w:lastRow="0" w:firstColumn="1" w:lastColumn="0" w:noHBand="0" w:noVBand="1"/>
      </w:tblPr>
      <w:tblGrid>
        <w:gridCol w:w="1059"/>
        <w:gridCol w:w="1099"/>
        <w:gridCol w:w="990"/>
        <w:gridCol w:w="1120"/>
        <w:gridCol w:w="1040"/>
        <w:gridCol w:w="1120"/>
        <w:gridCol w:w="990"/>
      </w:tblGrid>
      <w:tr w:rsidR="00F76545" w:rsidRPr="00AF02E5" w:rsidTr="00F76545">
        <w:trPr>
          <w:trHeight w:val="216"/>
          <w:jc w:val="center"/>
        </w:trPr>
        <w:tc>
          <w:tcPr>
            <w:tcW w:w="7418" w:type="dxa"/>
            <w:gridSpan w:val="7"/>
            <w:tcBorders>
              <w:bottom w:val="single" w:sz="4" w:space="0" w:color="009900"/>
            </w:tcBorders>
            <w:shd w:val="clear" w:color="000000" w:fill="auto"/>
            <w:noWrap/>
            <w:vAlign w:val="center"/>
            <w:hideMark/>
          </w:tcPr>
          <w:p w:rsidR="00F76545" w:rsidRPr="00AF02E5" w:rsidRDefault="00F76545" w:rsidP="00F76545">
            <w:pPr>
              <w:keepNext/>
              <w:jc w:val="center"/>
              <w:rPr>
                <w:rFonts w:ascii="Arial" w:eastAsia="Calibri" w:hAnsi="Arial"/>
                <w:b/>
                <w:bCs/>
                <w:color w:val="000000"/>
                <w:sz w:val="22"/>
                <w:szCs w:val="18"/>
              </w:rPr>
            </w:pPr>
            <w:r w:rsidRPr="00AF02E5">
              <w:rPr>
                <w:rFonts w:ascii="Arial" w:eastAsia="Calibri" w:hAnsi="Arial"/>
                <w:b/>
                <w:bCs/>
                <w:color w:val="000000"/>
                <w:sz w:val="22"/>
                <w:szCs w:val="18"/>
              </w:rPr>
              <w:t xml:space="preserve">Table </w:t>
            </w:r>
            <w:r w:rsidR="002B6E94">
              <w:rPr>
                <w:rFonts w:ascii="Arial" w:eastAsia="Calibri" w:hAnsi="Arial"/>
                <w:b/>
                <w:bCs/>
                <w:color w:val="000000"/>
                <w:sz w:val="22"/>
                <w:szCs w:val="18"/>
              </w:rPr>
              <w:t>III.8</w:t>
            </w:r>
          </w:p>
          <w:p w:rsidR="00F76545" w:rsidRPr="00AF02E5" w:rsidRDefault="00F76545" w:rsidP="00F76545">
            <w:pPr>
              <w:keepNext/>
              <w:keepLines/>
              <w:suppressAutoHyphens/>
              <w:jc w:val="center"/>
              <w:rPr>
                <w:rFonts w:ascii="Arial" w:eastAsia="Calibri" w:hAnsi="Arial"/>
                <w:b/>
                <w:sz w:val="20"/>
                <w:szCs w:val="23"/>
              </w:rPr>
            </w:pPr>
            <w:r w:rsidRPr="00AF02E5">
              <w:rPr>
                <w:rFonts w:ascii="Arial" w:eastAsia="Calibri" w:hAnsi="Arial"/>
                <w:b/>
                <w:sz w:val="20"/>
                <w:szCs w:val="23"/>
              </w:rPr>
              <w:t>Disability by Age</w:t>
            </w:r>
          </w:p>
          <w:p w:rsidR="00F76545" w:rsidRPr="00AF02E5" w:rsidRDefault="00F76545" w:rsidP="00F76545">
            <w:pPr>
              <w:suppressAutoHyphens/>
              <w:jc w:val="center"/>
              <w:rPr>
                <w:rFonts w:ascii="Arial" w:eastAsia="Calibri" w:hAnsi="Arial"/>
                <w:sz w:val="16"/>
                <w:szCs w:val="23"/>
              </w:rPr>
            </w:pPr>
            <w:r w:rsidRPr="00AF02E5">
              <w:rPr>
                <w:rFonts w:ascii="Arial" w:eastAsia="Calibri" w:hAnsi="Arial"/>
                <w:noProof/>
                <w:sz w:val="16"/>
                <w:szCs w:val="23"/>
              </w:rPr>
              <w:t>State of New Mexico</w:t>
            </w:r>
          </w:p>
          <w:p w:rsidR="00F76545" w:rsidRPr="00AF02E5" w:rsidRDefault="00F76545" w:rsidP="00F76545">
            <w:pPr>
              <w:suppressAutoHyphens/>
              <w:jc w:val="center"/>
              <w:rPr>
                <w:rFonts w:ascii="Arial" w:eastAsia="Calibri" w:hAnsi="Arial"/>
                <w:b/>
                <w:bCs/>
                <w:sz w:val="16"/>
                <w:szCs w:val="23"/>
              </w:rPr>
            </w:pPr>
            <w:r w:rsidRPr="00AF02E5">
              <w:rPr>
                <w:rFonts w:ascii="Arial" w:eastAsia="Calibri" w:hAnsi="Arial"/>
                <w:sz w:val="16"/>
                <w:szCs w:val="23"/>
              </w:rPr>
              <w:t>2012 Five-Year ACS Data</w:t>
            </w:r>
          </w:p>
        </w:tc>
      </w:tr>
      <w:tr w:rsidR="00F76545" w:rsidRPr="00AF02E5" w:rsidTr="00F76545">
        <w:trPr>
          <w:trHeight w:val="216"/>
          <w:jc w:val="center"/>
        </w:trPr>
        <w:tc>
          <w:tcPr>
            <w:tcW w:w="1059" w:type="dxa"/>
            <w:vMerge w:val="restart"/>
            <w:tcBorders>
              <w:top w:val="single" w:sz="4" w:space="0" w:color="009900"/>
              <w:left w:val="single" w:sz="4" w:space="0" w:color="009900"/>
              <w:bottom w:val="single" w:sz="4" w:space="0" w:color="009900"/>
              <w:right w:val="nil"/>
            </w:tcBorders>
            <w:shd w:val="clear" w:color="000000" w:fill="FFFFE1"/>
            <w:noWrap/>
            <w:vAlign w:val="center"/>
            <w:hideMark/>
          </w:tcPr>
          <w:p w:rsidR="00F76545" w:rsidRPr="00AF02E5" w:rsidRDefault="00F76545" w:rsidP="00F76545">
            <w:pPr>
              <w:suppressAutoHyphens/>
              <w:rPr>
                <w:rFonts w:ascii="Arial" w:eastAsia="Calibri" w:hAnsi="Arial"/>
                <w:b/>
                <w:sz w:val="16"/>
                <w:szCs w:val="23"/>
              </w:rPr>
            </w:pPr>
            <w:r w:rsidRPr="00AF02E5">
              <w:rPr>
                <w:rFonts w:ascii="Arial" w:eastAsia="Calibri" w:hAnsi="Arial"/>
                <w:b/>
                <w:sz w:val="16"/>
                <w:szCs w:val="23"/>
              </w:rPr>
              <w:t>Age</w:t>
            </w:r>
          </w:p>
        </w:tc>
        <w:tc>
          <w:tcPr>
            <w:tcW w:w="2089" w:type="dxa"/>
            <w:gridSpan w:val="2"/>
            <w:tcBorders>
              <w:top w:val="single" w:sz="4" w:space="0" w:color="009900"/>
              <w:left w:val="nil"/>
              <w:bottom w:val="dotted" w:sz="4" w:space="0" w:color="009900"/>
              <w:right w:val="nil"/>
            </w:tcBorders>
            <w:shd w:val="clear" w:color="000000" w:fill="FFFFE1"/>
            <w:noWrap/>
            <w:vAlign w:val="center"/>
            <w:hideMark/>
          </w:tcPr>
          <w:p w:rsidR="00F76545" w:rsidRPr="00AF02E5" w:rsidRDefault="00F76545" w:rsidP="00F76545">
            <w:pPr>
              <w:suppressAutoHyphens/>
              <w:jc w:val="center"/>
              <w:rPr>
                <w:rFonts w:ascii="Arial" w:eastAsia="Calibri" w:hAnsi="Arial"/>
                <w:b/>
                <w:sz w:val="16"/>
                <w:szCs w:val="23"/>
              </w:rPr>
            </w:pPr>
            <w:r w:rsidRPr="00AF02E5">
              <w:rPr>
                <w:rFonts w:ascii="Arial" w:eastAsia="Calibri" w:hAnsi="Arial"/>
                <w:b/>
                <w:sz w:val="16"/>
                <w:szCs w:val="23"/>
              </w:rPr>
              <w:t>Male</w:t>
            </w:r>
          </w:p>
        </w:tc>
        <w:tc>
          <w:tcPr>
            <w:tcW w:w="2160" w:type="dxa"/>
            <w:gridSpan w:val="2"/>
            <w:tcBorders>
              <w:top w:val="single" w:sz="4" w:space="0" w:color="009900"/>
              <w:left w:val="dotted" w:sz="4" w:space="0" w:color="009900"/>
              <w:bottom w:val="dotted" w:sz="4" w:space="0" w:color="009900"/>
              <w:right w:val="dotted" w:sz="4" w:space="0" w:color="009900"/>
            </w:tcBorders>
            <w:shd w:val="clear" w:color="000000" w:fill="FFFFE1"/>
            <w:noWrap/>
            <w:vAlign w:val="center"/>
            <w:hideMark/>
          </w:tcPr>
          <w:p w:rsidR="00F76545" w:rsidRPr="00AF02E5" w:rsidRDefault="00F76545" w:rsidP="00F76545">
            <w:pPr>
              <w:suppressAutoHyphens/>
              <w:jc w:val="center"/>
              <w:rPr>
                <w:rFonts w:ascii="Arial" w:eastAsia="Calibri" w:hAnsi="Arial"/>
                <w:b/>
                <w:sz w:val="16"/>
                <w:szCs w:val="23"/>
              </w:rPr>
            </w:pPr>
            <w:r w:rsidRPr="00AF02E5">
              <w:rPr>
                <w:rFonts w:ascii="Arial" w:eastAsia="Calibri" w:hAnsi="Arial"/>
                <w:b/>
                <w:sz w:val="16"/>
                <w:szCs w:val="23"/>
              </w:rPr>
              <w:t>Female</w:t>
            </w:r>
          </w:p>
        </w:tc>
        <w:tc>
          <w:tcPr>
            <w:tcW w:w="2110" w:type="dxa"/>
            <w:gridSpan w:val="2"/>
            <w:tcBorders>
              <w:top w:val="single" w:sz="4" w:space="0" w:color="009900"/>
              <w:left w:val="nil"/>
              <w:bottom w:val="dotted" w:sz="4" w:space="0" w:color="009900"/>
              <w:right w:val="single" w:sz="4" w:space="0" w:color="009900"/>
            </w:tcBorders>
            <w:shd w:val="clear" w:color="000000" w:fill="FFFFE1"/>
            <w:noWrap/>
            <w:vAlign w:val="center"/>
            <w:hideMark/>
          </w:tcPr>
          <w:p w:rsidR="00F76545" w:rsidRPr="00AF02E5" w:rsidRDefault="00F76545" w:rsidP="00F76545">
            <w:pPr>
              <w:suppressAutoHyphens/>
              <w:jc w:val="center"/>
              <w:rPr>
                <w:rFonts w:ascii="Arial" w:eastAsia="Calibri" w:hAnsi="Arial"/>
                <w:b/>
                <w:sz w:val="16"/>
                <w:szCs w:val="23"/>
              </w:rPr>
            </w:pPr>
            <w:r w:rsidRPr="00AF02E5">
              <w:rPr>
                <w:rFonts w:ascii="Arial" w:eastAsia="Calibri" w:hAnsi="Arial"/>
                <w:b/>
                <w:sz w:val="16"/>
                <w:szCs w:val="23"/>
              </w:rPr>
              <w:t>Total</w:t>
            </w:r>
          </w:p>
        </w:tc>
      </w:tr>
      <w:tr w:rsidR="00F76545" w:rsidRPr="00AF02E5" w:rsidTr="00F76545">
        <w:trPr>
          <w:trHeight w:val="216"/>
          <w:jc w:val="center"/>
        </w:trPr>
        <w:tc>
          <w:tcPr>
            <w:tcW w:w="1059" w:type="dxa"/>
            <w:vMerge/>
            <w:tcBorders>
              <w:top w:val="single" w:sz="4" w:space="0" w:color="009900"/>
              <w:left w:val="single" w:sz="4" w:space="0" w:color="009900"/>
              <w:bottom w:val="single" w:sz="4" w:space="0" w:color="009900"/>
              <w:right w:val="nil"/>
            </w:tcBorders>
            <w:vAlign w:val="center"/>
            <w:hideMark/>
          </w:tcPr>
          <w:p w:rsidR="00F76545" w:rsidRPr="00AF02E5" w:rsidRDefault="00F76545" w:rsidP="00F76545">
            <w:pPr>
              <w:suppressAutoHyphens/>
              <w:rPr>
                <w:rFonts w:ascii="Arial" w:eastAsia="Calibri" w:hAnsi="Arial"/>
                <w:b/>
                <w:sz w:val="16"/>
                <w:szCs w:val="23"/>
              </w:rPr>
            </w:pPr>
          </w:p>
        </w:tc>
        <w:tc>
          <w:tcPr>
            <w:tcW w:w="1099" w:type="dxa"/>
            <w:tcBorders>
              <w:top w:val="nil"/>
              <w:left w:val="nil"/>
              <w:bottom w:val="single" w:sz="4" w:space="0" w:color="009900"/>
              <w:right w:val="nil"/>
            </w:tcBorders>
            <w:shd w:val="clear" w:color="000000" w:fill="FFFFE1"/>
            <w:vAlign w:val="center"/>
            <w:hideMark/>
          </w:tcPr>
          <w:p w:rsidR="00F76545" w:rsidRPr="00AF02E5" w:rsidRDefault="00F76545" w:rsidP="00F76545">
            <w:pPr>
              <w:suppressAutoHyphens/>
              <w:jc w:val="center"/>
              <w:rPr>
                <w:rFonts w:ascii="Arial" w:eastAsia="Calibri" w:hAnsi="Arial"/>
                <w:b/>
                <w:sz w:val="16"/>
                <w:szCs w:val="23"/>
              </w:rPr>
            </w:pPr>
            <w:r w:rsidRPr="00AF02E5">
              <w:rPr>
                <w:rFonts w:ascii="Arial" w:eastAsia="Calibri" w:hAnsi="Arial"/>
                <w:b/>
                <w:sz w:val="16"/>
                <w:szCs w:val="23"/>
              </w:rPr>
              <w:t xml:space="preserve">Disabled </w:t>
            </w:r>
          </w:p>
          <w:p w:rsidR="00F76545" w:rsidRPr="00AF02E5" w:rsidRDefault="00F76545" w:rsidP="00F76545">
            <w:pPr>
              <w:suppressAutoHyphens/>
              <w:jc w:val="center"/>
              <w:rPr>
                <w:rFonts w:ascii="Arial" w:eastAsia="Calibri" w:hAnsi="Arial"/>
                <w:b/>
                <w:sz w:val="16"/>
                <w:szCs w:val="23"/>
              </w:rPr>
            </w:pPr>
            <w:r w:rsidRPr="00AF02E5">
              <w:rPr>
                <w:rFonts w:ascii="Arial" w:eastAsia="Calibri" w:hAnsi="Arial"/>
                <w:b/>
                <w:sz w:val="16"/>
                <w:szCs w:val="23"/>
              </w:rPr>
              <w:t>Population</w:t>
            </w:r>
          </w:p>
        </w:tc>
        <w:tc>
          <w:tcPr>
            <w:tcW w:w="990" w:type="dxa"/>
            <w:tcBorders>
              <w:top w:val="nil"/>
              <w:left w:val="nil"/>
              <w:bottom w:val="single" w:sz="4" w:space="0" w:color="009900"/>
              <w:right w:val="nil"/>
            </w:tcBorders>
            <w:shd w:val="clear" w:color="000000" w:fill="FFFFE1"/>
            <w:vAlign w:val="center"/>
            <w:hideMark/>
          </w:tcPr>
          <w:p w:rsidR="00F76545" w:rsidRPr="00AF02E5" w:rsidRDefault="00F76545" w:rsidP="00F76545">
            <w:pPr>
              <w:suppressAutoHyphens/>
              <w:jc w:val="center"/>
              <w:rPr>
                <w:rFonts w:ascii="Arial" w:eastAsia="Calibri" w:hAnsi="Arial"/>
                <w:b/>
                <w:sz w:val="16"/>
                <w:szCs w:val="23"/>
              </w:rPr>
            </w:pPr>
            <w:r w:rsidRPr="00AF02E5">
              <w:rPr>
                <w:rFonts w:ascii="Arial" w:eastAsia="Calibri" w:hAnsi="Arial"/>
                <w:b/>
                <w:sz w:val="16"/>
                <w:szCs w:val="23"/>
              </w:rPr>
              <w:t xml:space="preserve">Disability </w:t>
            </w:r>
          </w:p>
          <w:p w:rsidR="00F76545" w:rsidRPr="00AF02E5" w:rsidRDefault="00F76545" w:rsidP="00F76545">
            <w:pPr>
              <w:suppressAutoHyphens/>
              <w:jc w:val="center"/>
              <w:rPr>
                <w:rFonts w:ascii="Arial" w:eastAsia="Calibri" w:hAnsi="Arial"/>
                <w:b/>
                <w:sz w:val="16"/>
                <w:szCs w:val="23"/>
              </w:rPr>
            </w:pPr>
            <w:r w:rsidRPr="00AF02E5">
              <w:rPr>
                <w:rFonts w:ascii="Arial" w:eastAsia="Calibri" w:hAnsi="Arial"/>
                <w:b/>
                <w:sz w:val="16"/>
                <w:szCs w:val="23"/>
              </w:rPr>
              <w:t>Rate</w:t>
            </w:r>
          </w:p>
        </w:tc>
        <w:tc>
          <w:tcPr>
            <w:tcW w:w="1120" w:type="dxa"/>
            <w:tcBorders>
              <w:top w:val="nil"/>
              <w:left w:val="dotted" w:sz="4" w:space="0" w:color="009900"/>
              <w:bottom w:val="single" w:sz="4" w:space="0" w:color="009900"/>
              <w:right w:val="nil"/>
            </w:tcBorders>
            <w:shd w:val="clear" w:color="000000" w:fill="FFFFE1"/>
            <w:vAlign w:val="center"/>
            <w:hideMark/>
          </w:tcPr>
          <w:p w:rsidR="00F76545" w:rsidRPr="00AF02E5" w:rsidRDefault="00F76545" w:rsidP="00F76545">
            <w:pPr>
              <w:suppressAutoHyphens/>
              <w:jc w:val="center"/>
              <w:rPr>
                <w:rFonts w:ascii="Arial" w:eastAsia="Calibri" w:hAnsi="Arial"/>
                <w:b/>
                <w:sz w:val="16"/>
                <w:szCs w:val="23"/>
              </w:rPr>
            </w:pPr>
            <w:r w:rsidRPr="00AF02E5">
              <w:rPr>
                <w:rFonts w:ascii="Arial" w:eastAsia="Calibri" w:hAnsi="Arial"/>
                <w:b/>
                <w:sz w:val="16"/>
                <w:szCs w:val="23"/>
              </w:rPr>
              <w:t xml:space="preserve">Disabled </w:t>
            </w:r>
          </w:p>
          <w:p w:rsidR="00F76545" w:rsidRPr="00AF02E5" w:rsidRDefault="00F76545" w:rsidP="00F76545">
            <w:pPr>
              <w:suppressAutoHyphens/>
              <w:jc w:val="center"/>
              <w:rPr>
                <w:rFonts w:ascii="Arial" w:eastAsia="Calibri" w:hAnsi="Arial"/>
                <w:b/>
                <w:sz w:val="16"/>
                <w:szCs w:val="23"/>
              </w:rPr>
            </w:pPr>
            <w:r w:rsidRPr="00AF02E5">
              <w:rPr>
                <w:rFonts w:ascii="Arial" w:eastAsia="Calibri" w:hAnsi="Arial"/>
                <w:b/>
                <w:sz w:val="16"/>
                <w:szCs w:val="23"/>
              </w:rPr>
              <w:t>Population</w:t>
            </w:r>
          </w:p>
        </w:tc>
        <w:tc>
          <w:tcPr>
            <w:tcW w:w="1040" w:type="dxa"/>
            <w:tcBorders>
              <w:top w:val="nil"/>
              <w:left w:val="nil"/>
              <w:bottom w:val="single" w:sz="4" w:space="0" w:color="009900"/>
              <w:right w:val="dotted" w:sz="4" w:space="0" w:color="009900"/>
            </w:tcBorders>
            <w:shd w:val="clear" w:color="000000" w:fill="FFFFE1"/>
            <w:vAlign w:val="center"/>
            <w:hideMark/>
          </w:tcPr>
          <w:p w:rsidR="00F76545" w:rsidRPr="00AF02E5" w:rsidRDefault="00F76545" w:rsidP="00F76545">
            <w:pPr>
              <w:suppressAutoHyphens/>
              <w:jc w:val="center"/>
              <w:rPr>
                <w:rFonts w:ascii="Arial" w:eastAsia="Calibri" w:hAnsi="Arial"/>
                <w:b/>
                <w:sz w:val="16"/>
                <w:szCs w:val="23"/>
              </w:rPr>
            </w:pPr>
            <w:r w:rsidRPr="00AF02E5">
              <w:rPr>
                <w:rFonts w:ascii="Arial" w:eastAsia="Calibri" w:hAnsi="Arial"/>
                <w:b/>
                <w:sz w:val="16"/>
                <w:szCs w:val="23"/>
              </w:rPr>
              <w:t xml:space="preserve">Disability </w:t>
            </w:r>
          </w:p>
          <w:p w:rsidR="00F76545" w:rsidRPr="00AF02E5" w:rsidRDefault="00F76545" w:rsidP="00F76545">
            <w:pPr>
              <w:suppressAutoHyphens/>
              <w:jc w:val="center"/>
              <w:rPr>
                <w:rFonts w:ascii="Arial" w:eastAsia="Calibri" w:hAnsi="Arial"/>
                <w:b/>
                <w:sz w:val="16"/>
                <w:szCs w:val="23"/>
              </w:rPr>
            </w:pPr>
            <w:r w:rsidRPr="00AF02E5">
              <w:rPr>
                <w:rFonts w:ascii="Arial" w:eastAsia="Calibri" w:hAnsi="Arial"/>
                <w:b/>
                <w:sz w:val="16"/>
                <w:szCs w:val="23"/>
              </w:rPr>
              <w:t>Rate</w:t>
            </w:r>
          </w:p>
        </w:tc>
        <w:tc>
          <w:tcPr>
            <w:tcW w:w="1120" w:type="dxa"/>
            <w:tcBorders>
              <w:top w:val="nil"/>
              <w:left w:val="nil"/>
              <w:bottom w:val="single" w:sz="4" w:space="0" w:color="009900"/>
              <w:right w:val="nil"/>
            </w:tcBorders>
            <w:shd w:val="clear" w:color="000000" w:fill="FFFFE1"/>
            <w:vAlign w:val="center"/>
            <w:hideMark/>
          </w:tcPr>
          <w:p w:rsidR="00F76545" w:rsidRPr="00AF02E5" w:rsidRDefault="00F76545" w:rsidP="00F76545">
            <w:pPr>
              <w:suppressAutoHyphens/>
              <w:jc w:val="center"/>
              <w:rPr>
                <w:rFonts w:ascii="Arial" w:eastAsia="Calibri" w:hAnsi="Arial"/>
                <w:b/>
                <w:sz w:val="16"/>
                <w:szCs w:val="23"/>
              </w:rPr>
            </w:pPr>
            <w:r w:rsidRPr="00AF02E5">
              <w:rPr>
                <w:rFonts w:ascii="Arial" w:eastAsia="Calibri" w:hAnsi="Arial"/>
                <w:b/>
                <w:sz w:val="16"/>
                <w:szCs w:val="23"/>
              </w:rPr>
              <w:t xml:space="preserve">Disabled </w:t>
            </w:r>
          </w:p>
          <w:p w:rsidR="00F76545" w:rsidRPr="00AF02E5" w:rsidRDefault="00F76545" w:rsidP="00F76545">
            <w:pPr>
              <w:suppressAutoHyphens/>
              <w:jc w:val="center"/>
              <w:rPr>
                <w:rFonts w:ascii="Arial" w:eastAsia="Calibri" w:hAnsi="Arial"/>
                <w:b/>
                <w:sz w:val="16"/>
                <w:szCs w:val="23"/>
              </w:rPr>
            </w:pPr>
            <w:r w:rsidRPr="00AF02E5">
              <w:rPr>
                <w:rFonts w:ascii="Arial" w:eastAsia="Calibri" w:hAnsi="Arial"/>
                <w:b/>
                <w:sz w:val="16"/>
                <w:szCs w:val="23"/>
              </w:rPr>
              <w:t>Population</w:t>
            </w:r>
          </w:p>
        </w:tc>
        <w:tc>
          <w:tcPr>
            <w:tcW w:w="990" w:type="dxa"/>
            <w:tcBorders>
              <w:top w:val="nil"/>
              <w:left w:val="nil"/>
              <w:bottom w:val="single" w:sz="4" w:space="0" w:color="009900"/>
              <w:right w:val="single" w:sz="4" w:space="0" w:color="009900"/>
            </w:tcBorders>
            <w:shd w:val="clear" w:color="000000" w:fill="FFFFE1"/>
            <w:vAlign w:val="center"/>
            <w:hideMark/>
          </w:tcPr>
          <w:p w:rsidR="00F76545" w:rsidRPr="00AF02E5" w:rsidRDefault="00F76545" w:rsidP="00F76545">
            <w:pPr>
              <w:suppressAutoHyphens/>
              <w:jc w:val="center"/>
              <w:rPr>
                <w:rFonts w:ascii="Arial" w:eastAsia="Calibri" w:hAnsi="Arial"/>
                <w:b/>
                <w:sz w:val="16"/>
                <w:szCs w:val="23"/>
              </w:rPr>
            </w:pPr>
            <w:r w:rsidRPr="00AF02E5">
              <w:rPr>
                <w:rFonts w:ascii="Arial" w:eastAsia="Calibri" w:hAnsi="Arial"/>
                <w:b/>
                <w:sz w:val="16"/>
                <w:szCs w:val="23"/>
              </w:rPr>
              <w:t xml:space="preserve">Disability </w:t>
            </w:r>
          </w:p>
          <w:p w:rsidR="00F76545" w:rsidRPr="00AF02E5" w:rsidRDefault="00F76545" w:rsidP="00F76545">
            <w:pPr>
              <w:suppressAutoHyphens/>
              <w:jc w:val="center"/>
              <w:rPr>
                <w:rFonts w:ascii="Arial" w:eastAsia="Calibri" w:hAnsi="Arial"/>
                <w:b/>
                <w:sz w:val="16"/>
                <w:szCs w:val="23"/>
              </w:rPr>
            </w:pPr>
            <w:r w:rsidRPr="00AF02E5">
              <w:rPr>
                <w:rFonts w:ascii="Arial" w:eastAsia="Calibri" w:hAnsi="Arial"/>
                <w:b/>
                <w:sz w:val="16"/>
                <w:szCs w:val="23"/>
              </w:rPr>
              <w:t>Rate</w:t>
            </w:r>
          </w:p>
        </w:tc>
      </w:tr>
      <w:tr w:rsidR="00F76545" w:rsidRPr="00AF02E5" w:rsidTr="00F76545">
        <w:trPr>
          <w:trHeight w:val="216"/>
          <w:jc w:val="center"/>
        </w:trPr>
        <w:tc>
          <w:tcPr>
            <w:tcW w:w="1059" w:type="dxa"/>
            <w:tcBorders>
              <w:top w:val="nil"/>
              <w:left w:val="single" w:sz="4" w:space="0" w:color="009900"/>
              <w:bottom w:val="nil"/>
              <w:right w:val="nil"/>
            </w:tcBorders>
            <w:shd w:val="clear" w:color="000000" w:fill="FFFFE1"/>
            <w:noWrap/>
            <w:vAlign w:val="center"/>
            <w:hideMark/>
          </w:tcPr>
          <w:p w:rsidR="00F76545" w:rsidRPr="00AF02E5" w:rsidRDefault="00F76545" w:rsidP="00F76545">
            <w:pPr>
              <w:suppressAutoHyphens/>
              <w:rPr>
                <w:rFonts w:ascii="Arial" w:eastAsia="Calibri" w:hAnsi="Arial"/>
                <w:sz w:val="16"/>
                <w:szCs w:val="23"/>
              </w:rPr>
            </w:pPr>
            <w:r w:rsidRPr="00AF02E5">
              <w:rPr>
                <w:rFonts w:ascii="Arial" w:eastAsia="Calibri" w:hAnsi="Arial"/>
                <w:sz w:val="16"/>
                <w:szCs w:val="23"/>
              </w:rPr>
              <w:t>Under 5</w:t>
            </w:r>
          </w:p>
        </w:tc>
        <w:tc>
          <w:tcPr>
            <w:tcW w:w="1099" w:type="dxa"/>
            <w:tcBorders>
              <w:top w:val="nil"/>
              <w:left w:val="nil"/>
              <w:bottom w:val="nil"/>
              <w:right w:val="nil"/>
            </w:tcBorders>
            <w:shd w:val="clear" w:color="000000" w:fill="FFFFE1"/>
            <w:noWrap/>
            <w:vAlign w:val="center"/>
            <w:hideMark/>
          </w:tcPr>
          <w:p w:rsidR="00F76545" w:rsidRPr="00AF02E5" w:rsidRDefault="00F76545" w:rsidP="00F76545">
            <w:pPr>
              <w:suppressAutoHyphens/>
              <w:jc w:val="center"/>
              <w:rPr>
                <w:rFonts w:ascii="Arial" w:eastAsia="Calibri" w:hAnsi="Arial"/>
                <w:sz w:val="16"/>
                <w:szCs w:val="23"/>
              </w:rPr>
            </w:pPr>
            <w:r w:rsidRPr="00AF02E5">
              <w:rPr>
                <w:rFonts w:ascii="Arial" w:eastAsia="Calibri" w:hAnsi="Arial"/>
                <w:noProof/>
                <w:sz w:val="16"/>
                <w:szCs w:val="23"/>
              </w:rPr>
              <w:t>772</w:t>
            </w:r>
          </w:p>
        </w:tc>
        <w:tc>
          <w:tcPr>
            <w:tcW w:w="990" w:type="dxa"/>
            <w:tcBorders>
              <w:top w:val="nil"/>
              <w:left w:val="nil"/>
              <w:bottom w:val="nil"/>
              <w:right w:val="nil"/>
            </w:tcBorders>
            <w:shd w:val="clear" w:color="000000" w:fill="FFFFE1"/>
            <w:noWrap/>
            <w:vAlign w:val="center"/>
            <w:hideMark/>
          </w:tcPr>
          <w:p w:rsidR="00F76545" w:rsidRPr="00AF02E5" w:rsidRDefault="00F76545" w:rsidP="00F76545">
            <w:pPr>
              <w:suppressAutoHyphens/>
              <w:jc w:val="center"/>
              <w:rPr>
                <w:rFonts w:ascii="Arial" w:eastAsia="Calibri" w:hAnsi="Arial"/>
                <w:sz w:val="16"/>
                <w:szCs w:val="23"/>
              </w:rPr>
            </w:pPr>
            <w:r w:rsidRPr="00AF02E5">
              <w:rPr>
                <w:rFonts w:ascii="Arial" w:eastAsia="Calibri" w:hAnsi="Arial"/>
                <w:noProof/>
                <w:sz w:val="16"/>
                <w:szCs w:val="23"/>
              </w:rPr>
              <w:t>1.0</w:t>
            </w:r>
            <w:r w:rsidRPr="00AF02E5">
              <w:rPr>
                <w:rFonts w:ascii="Arial" w:eastAsia="Calibri" w:hAnsi="Arial"/>
                <w:sz w:val="16"/>
                <w:szCs w:val="23"/>
              </w:rPr>
              <w:t>%</w:t>
            </w:r>
          </w:p>
        </w:tc>
        <w:tc>
          <w:tcPr>
            <w:tcW w:w="1120" w:type="dxa"/>
            <w:tcBorders>
              <w:top w:val="nil"/>
              <w:left w:val="dotted" w:sz="4" w:space="0" w:color="009900"/>
              <w:bottom w:val="nil"/>
              <w:right w:val="nil"/>
            </w:tcBorders>
            <w:shd w:val="clear" w:color="000000" w:fill="FFFFE1"/>
            <w:noWrap/>
            <w:vAlign w:val="center"/>
            <w:hideMark/>
          </w:tcPr>
          <w:p w:rsidR="00F76545" w:rsidRPr="00AF02E5" w:rsidRDefault="00F76545" w:rsidP="00F76545">
            <w:pPr>
              <w:suppressAutoHyphens/>
              <w:jc w:val="center"/>
              <w:rPr>
                <w:rFonts w:ascii="Arial" w:eastAsia="Calibri" w:hAnsi="Arial"/>
                <w:sz w:val="16"/>
                <w:szCs w:val="23"/>
              </w:rPr>
            </w:pPr>
            <w:r w:rsidRPr="00AF02E5">
              <w:rPr>
                <w:rFonts w:ascii="Arial" w:eastAsia="Calibri" w:hAnsi="Arial"/>
                <w:noProof/>
                <w:sz w:val="16"/>
                <w:szCs w:val="23"/>
              </w:rPr>
              <w:t>702</w:t>
            </w:r>
          </w:p>
        </w:tc>
        <w:tc>
          <w:tcPr>
            <w:tcW w:w="1040" w:type="dxa"/>
            <w:tcBorders>
              <w:top w:val="nil"/>
              <w:left w:val="nil"/>
              <w:bottom w:val="nil"/>
              <w:right w:val="dotted" w:sz="4" w:space="0" w:color="009900"/>
            </w:tcBorders>
            <w:shd w:val="clear" w:color="000000" w:fill="FFFFE1"/>
            <w:noWrap/>
            <w:vAlign w:val="center"/>
            <w:hideMark/>
          </w:tcPr>
          <w:p w:rsidR="00F76545" w:rsidRPr="00AF02E5" w:rsidRDefault="00F76545" w:rsidP="00F76545">
            <w:pPr>
              <w:suppressAutoHyphens/>
              <w:jc w:val="center"/>
              <w:rPr>
                <w:rFonts w:ascii="Arial" w:eastAsia="Calibri" w:hAnsi="Arial"/>
                <w:sz w:val="16"/>
                <w:szCs w:val="23"/>
              </w:rPr>
            </w:pPr>
            <w:r w:rsidRPr="00AF02E5">
              <w:rPr>
                <w:rFonts w:ascii="Arial" w:eastAsia="Calibri" w:hAnsi="Arial"/>
                <w:noProof/>
                <w:sz w:val="16"/>
                <w:szCs w:val="23"/>
              </w:rPr>
              <w:t>1.0</w:t>
            </w:r>
            <w:r w:rsidRPr="00AF02E5">
              <w:rPr>
                <w:rFonts w:ascii="Arial" w:eastAsia="Calibri" w:hAnsi="Arial"/>
                <w:sz w:val="16"/>
                <w:szCs w:val="23"/>
              </w:rPr>
              <w:t>%</w:t>
            </w:r>
          </w:p>
        </w:tc>
        <w:tc>
          <w:tcPr>
            <w:tcW w:w="1120" w:type="dxa"/>
            <w:tcBorders>
              <w:top w:val="nil"/>
              <w:left w:val="nil"/>
              <w:bottom w:val="nil"/>
              <w:right w:val="nil"/>
            </w:tcBorders>
            <w:shd w:val="clear" w:color="000000" w:fill="FFFFE1"/>
            <w:noWrap/>
            <w:vAlign w:val="center"/>
            <w:hideMark/>
          </w:tcPr>
          <w:p w:rsidR="00F76545" w:rsidRPr="00AF02E5" w:rsidRDefault="00F76545" w:rsidP="00F76545">
            <w:pPr>
              <w:suppressAutoHyphens/>
              <w:jc w:val="center"/>
              <w:rPr>
                <w:rFonts w:ascii="Arial" w:eastAsia="Calibri" w:hAnsi="Arial"/>
                <w:sz w:val="16"/>
                <w:szCs w:val="23"/>
              </w:rPr>
            </w:pPr>
            <w:r w:rsidRPr="00AF02E5">
              <w:rPr>
                <w:rFonts w:ascii="Arial" w:eastAsia="Calibri" w:hAnsi="Arial"/>
                <w:noProof/>
                <w:sz w:val="16"/>
                <w:szCs w:val="23"/>
              </w:rPr>
              <w:t>1,474</w:t>
            </w:r>
          </w:p>
        </w:tc>
        <w:tc>
          <w:tcPr>
            <w:tcW w:w="990" w:type="dxa"/>
            <w:tcBorders>
              <w:top w:val="nil"/>
              <w:left w:val="nil"/>
              <w:bottom w:val="nil"/>
              <w:right w:val="single" w:sz="4" w:space="0" w:color="009900"/>
            </w:tcBorders>
            <w:shd w:val="clear" w:color="000000" w:fill="FFFFE1"/>
            <w:noWrap/>
            <w:vAlign w:val="center"/>
            <w:hideMark/>
          </w:tcPr>
          <w:p w:rsidR="00F76545" w:rsidRPr="00AF02E5" w:rsidRDefault="00F76545" w:rsidP="00F76545">
            <w:pPr>
              <w:suppressAutoHyphens/>
              <w:jc w:val="center"/>
              <w:rPr>
                <w:rFonts w:ascii="Arial" w:eastAsia="Calibri" w:hAnsi="Arial"/>
                <w:sz w:val="16"/>
                <w:szCs w:val="23"/>
              </w:rPr>
            </w:pPr>
            <w:r w:rsidRPr="00AF02E5">
              <w:rPr>
                <w:rFonts w:ascii="Arial" w:eastAsia="Calibri" w:hAnsi="Arial"/>
                <w:noProof/>
                <w:sz w:val="16"/>
                <w:szCs w:val="23"/>
              </w:rPr>
              <w:t>1.0</w:t>
            </w:r>
            <w:r w:rsidRPr="00AF02E5">
              <w:rPr>
                <w:rFonts w:ascii="Arial" w:eastAsia="Calibri" w:hAnsi="Arial"/>
                <w:sz w:val="16"/>
                <w:szCs w:val="23"/>
              </w:rPr>
              <w:t>%</w:t>
            </w:r>
          </w:p>
        </w:tc>
      </w:tr>
      <w:tr w:rsidR="00F76545" w:rsidRPr="00AF02E5" w:rsidTr="00F76545">
        <w:trPr>
          <w:trHeight w:val="216"/>
          <w:jc w:val="center"/>
        </w:trPr>
        <w:tc>
          <w:tcPr>
            <w:tcW w:w="1059" w:type="dxa"/>
            <w:tcBorders>
              <w:top w:val="nil"/>
              <w:left w:val="single" w:sz="4" w:space="0" w:color="009900"/>
              <w:bottom w:val="nil"/>
              <w:right w:val="nil"/>
            </w:tcBorders>
            <w:shd w:val="clear" w:color="000000" w:fill="FFFFE1"/>
            <w:noWrap/>
            <w:vAlign w:val="center"/>
            <w:hideMark/>
          </w:tcPr>
          <w:p w:rsidR="00F76545" w:rsidRPr="00AF02E5" w:rsidRDefault="00F76545" w:rsidP="00F76545">
            <w:pPr>
              <w:suppressAutoHyphens/>
              <w:rPr>
                <w:rFonts w:ascii="Arial" w:eastAsia="Calibri" w:hAnsi="Arial"/>
                <w:sz w:val="16"/>
                <w:szCs w:val="23"/>
              </w:rPr>
            </w:pPr>
            <w:r w:rsidRPr="00AF02E5">
              <w:rPr>
                <w:rFonts w:ascii="Arial" w:eastAsia="Calibri" w:hAnsi="Arial"/>
                <w:sz w:val="16"/>
                <w:szCs w:val="23"/>
              </w:rPr>
              <w:t>5 to 17</w:t>
            </w:r>
          </w:p>
        </w:tc>
        <w:tc>
          <w:tcPr>
            <w:tcW w:w="1099" w:type="dxa"/>
            <w:tcBorders>
              <w:top w:val="nil"/>
              <w:left w:val="nil"/>
              <w:bottom w:val="nil"/>
              <w:right w:val="nil"/>
            </w:tcBorders>
            <w:shd w:val="clear" w:color="000000" w:fill="FFFFE1"/>
            <w:noWrap/>
            <w:vAlign w:val="center"/>
            <w:hideMark/>
          </w:tcPr>
          <w:p w:rsidR="00F76545" w:rsidRPr="00AF02E5" w:rsidRDefault="00F76545" w:rsidP="00F76545">
            <w:pPr>
              <w:suppressAutoHyphens/>
              <w:jc w:val="center"/>
              <w:rPr>
                <w:rFonts w:ascii="Arial" w:eastAsia="Calibri" w:hAnsi="Arial"/>
                <w:sz w:val="16"/>
                <w:szCs w:val="23"/>
              </w:rPr>
            </w:pPr>
            <w:r w:rsidRPr="00AF02E5">
              <w:rPr>
                <w:rFonts w:ascii="Arial" w:eastAsia="Calibri" w:hAnsi="Arial"/>
                <w:noProof/>
                <w:sz w:val="16"/>
                <w:szCs w:val="23"/>
              </w:rPr>
              <w:t>10,406</w:t>
            </w:r>
          </w:p>
        </w:tc>
        <w:tc>
          <w:tcPr>
            <w:tcW w:w="990" w:type="dxa"/>
            <w:tcBorders>
              <w:top w:val="nil"/>
              <w:left w:val="nil"/>
              <w:bottom w:val="nil"/>
              <w:right w:val="nil"/>
            </w:tcBorders>
            <w:shd w:val="clear" w:color="000000" w:fill="FFFFE1"/>
            <w:noWrap/>
            <w:vAlign w:val="center"/>
            <w:hideMark/>
          </w:tcPr>
          <w:p w:rsidR="00F76545" w:rsidRPr="00AF02E5" w:rsidRDefault="00F76545" w:rsidP="00F76545">
            <w:pPr>
              <w:suppressAutoHyphens/>
              <w:jc w:val="center"/>
              <w:rPr>
                <w:rFonts w:ascii="Arial" w:eastAsia="Calibri" w:hAnsi="Arial"/>
                <w:sz w:val="16"/>
                <w:szCs w:val="23"/>
              </w:rPr>
            </w:pPr>
            <w:r w:rsidRPr="00AF02E5">
              <w:rPr>
                <w:rFonts w:ascii="Arial" w:eastAsia="Calibri" w:hAnsi="Arial"/>
                <w:noProof/>
                <w:sz w:val="16"/>
                <w:szCs w:val="23"/>
              </w:rPr>
              <w:t>5.5</w:t>
            </w:r>
            <w:r w:rsidRPr="00AF02E5">
              <w:rPr>
                <w:rFonts w:ascii="Arial" w:eastAsia="Calibri" w:hAnsi="Arial"/>
                <w:sz w:val="16"/>
                <w:szCs w:val="23"/>
              </w:rPr>
              <w:t>%</w:t>
            </w:r>
          </w:p>
        </w:tc>
        <w:tc>
          <w:tcPr>
            <w:tcW w:w="1120" w:type="dxa"/>
            <w:tcBorders>
              <w:top w:val="nil"/>
              <w:left w:val="dotted" w:sz="4" w:space="0" w:color="009900"/>
              <w:bottom w:val="nil"/>
              <w:right w:val="nil"/>
            </w:tcBorders>
            <w:shd w:val="clear" w:color="000000" w:fill="FFFFE1"/>
            <w:noWrap/>
            <w:vAlign w:val="center"/>
            <w:hideMark/>
          </w:tcPr>
          <w:p w:rsidR="00F76545" w:rsidRPr="00AF02E5" w:rsidRDefault="00F76545" w:rsidP="00F76545">
            <w:pPr>
              <w:suppressAutoHyphens/>
              <w:jc w:val="center"/>
              <w:rPr>
                <w:rFonts w:ascii="Arial" w:eastAsia="Calibri" w:hAnsi="Arial"/>
                <w:sz w:val="16"/>
                <w:szCs w:val="23"/>
              </w:rPr>
            </w:pPr>
            <w:r w:rsidRPr="00AF02E5">
              <w:rPr>
                <w:rFonts w:ascii="Arial" w:eastAsia="Calibri" w:hAnsi="Arial"/>
                <w:noProof/>
                <w:sz w:val="16"/>
                <w:szCs w:val="23"/>
              </w:rPr>
              <w:t>6,594</w:t>
            </w:r>
          </w:p>
        </w:tc>
        <w:tc>
          <w:tcPr>
            <w:tcW w:w="1040" w:type="dxa"/>
            <w:tcBorders>
              <w:top w:val="nil"/>
              <w:left w:val="nil"/>
              <w:bottom w:val="nil"/>
              <w:right w:val="dotted" w:sz="4" w:space="0" w:color="009900"/>
            </w:tcBorders>
            <w:shd w:val="clear" w:color="000000" w:fill="FFFFE1"/>
            <w:noWrap/>
            <w:vAlign w:val="center"/>
            <w:hideMark/>
          </w:tcPr>
          <w:p w:rsidR="00F76545" w:rsidRPr="00AF02E5" w:rsidRDefault="00F76545" w:rsidP="00F76545">
            <w:pPr>
              <w:suppressAutoHyphens/>
              <w:jc w:val="center"/>
              <w:rPr>
                <w:rFonts w:ascii="Arial" w:eastAsia="Calibri" w:hAnsi="Arial"/>
                <w:sz w:val="16"/>
                <w:szCs w:val="23"/>
              </w:rPr>
            </w:pPr>
            <w:r w:rsidRPr="00AF02E5">
              <w:rPr>
                <w:rFonts w:ascii="Arial" w:eastAsia="Calibri" w:hAnsi="Arial"/>
                <w:noProof/>
                <w:sz w:val="16"/>
                <w:szCs w:val="23"/>
              </w:rPr>
              <w:t>3.6</w:t>
            </w:r>
            <w:r w:rsidRPr="00AF02E5">
              <w:rPr>
                <w:rFonts w:ascii="Arial" w:eastAsia="Calibri" w:hAnsi="Arial"/>
                <w:sz w:val="16"/>
                <w:szCs w:val="23"/>
              </w:rPr>
              <w:t>%</w:t>
            </w:r>
          </w:p>
        </w:tc>
        <w:tc>
          <w:tcPr>
            <w:tcW w:w="1120" w:type="dxa"/>
            <w:tcBorders>
              <w:top w:val="nil"/>
              <w:left w:val="nil"/>
              <w:bottom w:val="nil"/>
              <w:right w:val="nil"/>
            </w:tcBorders>
            <w:shd w:val="clear" w:color="000000" w:fill="FFFFE1"/>
            <w:noWrap/>
            <w:vAlign w:val="center"/>
            <w:hideMark/>
          </w:tcPr>
          <w:p w:rsidR="00F76545" w:rsidRPr="00AF02E5" w:rsidRDefault="00F76545" w:rsidP="00F76545">
            <w:pPr>
              <w:suppressAutoHyphens/>
              <w:jc w:val="center"/>
              <w:rPr>
                <w:rFonts w:ascii="Arial" w:eastAsia="Calibri" w:hAnsi="Arial"/>
                <w:sz w:val="16"/>
                <w:szCs w:val="23"/>
              </w:rPr>
            </w:pPr>
            <w:r w:rsidRPr="00AF02E5">
              <w:rPr>
                <w:rFonts w:ascii="Arial" w:eastAsia="Calibri" w:hAnsi="Arial"/>
                <w:noProof/>
                <w:sz w:val="16"/>
                <w:szCs w:val="23"/>
              </w:rPr>
              <w:t>17,000</w:t>
            </w:r>
          </w:p>
        </w:tc>
        <w:tc>
          <w:tcPr>
            <w:tcW w:w="990" w:type="dxa"/>
            <w:tcBorders>
              <w:top w:val="nil"/>
              <w:left w:val="nil"/>
              <w:bottom w:val="nil"/>
              <w:right w:val="single" w:sz="4" w:space="0" w:color="009900"/>
            </w:tcBorders>
            <w:shd w:val="clear" w:color="000000" w:fill="FFFFE1"/>
            <w:noWrap/>
            <w:vAlign w:val="center"/>
            <w:hideMark/>
          </w:tcPr>
          <w:p w:rsidR="00F76545" w:rsidRPr="00AF02E5" w:rsidRDefault="00F76545" w:rsidP="00F76545">
            <w:pPr>
              <w:suppressAutoHyphens/>
              <w:jc w:val="center"/>
              <w:rPr>
                <w:rFonts w:ascii="Arial" w:eastAsia="Calibri" w:hAnsi="Arial"/>
                <w:sz w:val="16"/>
                <w:szCs w:val="23"/>
              </w:rPr>
            </w:pPr>
            <w:r w:rsidRPr="00AF02E5">
              <w:rPr>
                <w:rFonts w:ascii="Arial" w:eastAsia="Calibri" w:hAnsi="Arial"/>
                <w:noProof/>
                <w:sz w:val="16"/>
                <w:szCs w:val="23"/>
              </w:rPr>
              <w:t>4.6</w:t>
            </w:r>
            <w:r w:rsidRPr="00AF02E5">
              <w:rPr>
                <w:rFonts w:ascii="Arial" w:eastAsia="Calibri" w:hAnsi="Arial"/>
                <w:sz w:val="16"/>
                <w:szCs w:val="23"/>
              </w:rPr>
              <w:t>%</w:t>
            </w:r>
          </w:p>
        </w:tc>
      </w:tr>
      <w:tr w:rsidR="00F76545" w:rsidRPr="00AF02E5" w:rsidTr="00F76545">
        <w:trPr>
          <w:trHeight w:val="216"/>
          <w:jc w:val="center"/>
        </w:trPr>
        <w:tc>
          <w:tcPr>
            <w:tcW w:w="1059" w:type="dxa"/>
            <w:tcBorders>
              <w:top w:val="nil"/>
              <w:left w:val="single" w:sz="4" w:space="0" w:color="009900"/>
              <w:bottom w:val="nil"/>
              <w:right w:val="nil"/>
            </w:tcBorders>
            <w:shd w:val="clear" w:color="000000" w:fill="FFFFE1"/>
            <w:noWrap/>
            <w:vAlign w:val="center"/>
            <w:hideMark/>
          </w:tcPr>
          <w:p w:rsidR="00F76545" w:rsidRPr="00AF02E5" w:rsidRDefault="00F76545" w:rsidP="00F76545">
            <w:pPr>
              <w:suppressAutoHyphens/>
              <w:rPr>
                <w:rFonts w:ascii="Arial" w:eastAsia="Calibri" w:hAnsi="Arial"/>
                <w:sz w:val="16"/>
                <w:szCs w:val="23"/>
              </w:rPr>
            </w:pPr>
            <w:r w:rsidRPr="00AF02E5">
              <w:rPr>
                <w:rFonts w:ascii="Arial" w:eastAsia="Calibri" w:hAnsi="Arial"/>
                <w:sz w:val="16"/>
                <w:szCs w:val="23"/>
              </w:rPr>
              <w:t>18 to 34</w:t>
            </w:r>
          </w:p>
        </w:tc>
        <w:tc>
          <w:tcPr>
            <w:tcW w:w="1099" w:type="dxa"/>
            <w:tcBorders>
              <w:top w:val="nil"/>
              <w:left w:val="nil"/>
              <w:bottom w:val="nil"/>
              <w:right w:val="nil"/>
            </w:tcBorders>
            <w:shd w:val="clear" w:color="000000" w:fill="FFFFE1"/>
            <w:noWrap/>
            <w:vAlign w:val="center"/>
            <w:hideMark/>
          </w:tcPr>
          <w:p w:rsidR="00F76545" w:rsidRPr="00AF02E5" w:rsidRDefault="00F76545" w:rsidP="00F76545">
            <w:pPr>
              <w:suppressAutoHyphens/>
              <w:jc w:val="center"/>
              <w:rPr>
                <w:rFonts w:ascii="Arial" w:eastAsia="Calibri" w:hAnsi="Arial"/>
                <w:sz w:val="16"/>
                <w:szCs w:val="23"/>
              </w:rPr>
            </w:pPr>
            <w:r w:rsidRPr="00AF02E5">
              <w:rPr>
                <w:rFonts w:ascii="Arial" w:eastAsia="Calibri" w:hAnsi="Arial"/>
                <w:noProof/>
                <w:sz w:val="16"/>
                <w:szCs w:val="23"/>
              </w:rPr>
              <w:t>15,983</w:t>
            </w:r>
          </w:p>
        </w:tc>
        <w:tc>
          <w:tcPr>
            <w:tcW w:w="990" w:type="dxa"/>
            <w:tcBorders>
              <w:top w:val="nil"/>
              <w:left w:val="nil"/>
              <w:bottom w:val="nil"/>
              <w:right w:val="nil"/>
            </w:tcBorders>
            <w:shd w:val="clear" w:color="000000" w:fill="FFFFE1"/>
            <w:noWrap/>
            <w:vAlign w:val="center"/>
            <w:hideMark/>
          </w:tcPr>
          <w:p w:rsidR="00F76545" w:rsidRPr="00AF02E5" w:rsidRDefault="00F76545" w:rsidP="00F76545">
            <w:pPr>
              <w:suppressAutoHyphens/>
              <w:jc w:val="center"/>
              <w:rPr>
                <w:rFonts w:ascii="Arial" w:eastAsia="Calibri" w:hAnsi="Arial"/>
                <w:sz w:val="16"/>
                <w:szCs w:val="23"/>
              </w:rPr>
            </w:pPr>
            <w:r w:rsidRPr="00AF02E5">
              <w:rPr>
                <w:rFonts w:ascii="Arial" w:eastAsia="Calibri" w:hAnsi="Arial"/>
                <w:noProof/>
                <w:sz w:val="16"/>
                <w:szCs w:val="23"/>
              </w:rPr>
              <w:t>7.0</w:t>
            </w:r>
            <w:r w:rsidRPr="00AF02E5">
              <w:rPr>
                <w:rFonts w:ascii="Arial" w:eastAsia="Calibri" w:hAnsi="Arial"/>
                <w:sz w:val="16"/>
                <w:szCs w:val="23"/>
              </w:rPr>
              <w:t>%</w:t>
            </w:r>
          </w:p>
        </w:tc>
        <w:tc>
          <w:tcPr>
            <w:tcW w:w="1120" w:type="dxa"/>
            <w:tcBorders>
              <w:top w:val="nil"/>
              <w:left w:val="dotted" w:sz="4" w:space="0" w:color="009900"/>
              <w:bottom w:val="nil"/>
              <w:right w:val="nil"/>
            </w:tcBorders>
            <w:shd w:val="clear" w:color="000000" w:fill="FFFFE1"/>
            <w:noWrap/>
            <w:vAlign w:val="center"/>
            <w:hideMark/>
          </w:tcPr>
          <w:p w:rsidR="00F76545" w:rsidRPr="00AF02E5" w:rsidRDefault="00F76545" w:rsidP="00F76545">
            <w:pPr>
              <w:suppressAutoHyphens/>
              <w:jc w:val="center"/>
              <w:rPr>
                <w:rFonts w:ascii="Arial" w:eastAsia="Calibri" w:hAnsi="Arial"/>
                <w:sz w:val="16"/>
                <w:szCs w:val="23"/>
              </w:rPr>
            </w:pPr>
            <w:r w:rsidRPr="00AF02E5">
              <w:rPr>
                <w:rFonts w:ascii="Arial" w:eastAsia="Calibri" w:hAnsi="Arial"/>
                <w:noProof/>
                <w:sz w:val="16"/>
                <w:szCs w:val="23"/>
              </w:rPr>
              <w:t>13,024</w:t>
            </w:r>
          </w:p>
        </w:tc>
        <w:tc>
          <w:tcPr>
            <w:tcW w:w="1040" w:type="dxa"/>
            <w:tcBorders>
              <w:top w:val="nil"/>
              <w:left w:val="nil"/>
              <w:bottom w:val="nil"/>
              <w:right w:val="dotted" w:sz="4" w:space="0" w:color="009900"/>
            </w:tcBorders>
            <w:shd w:val="clear" w:color="000000" w:fill="FFFFE1"/>
            <w:noWrap/>
            <w:vAlign w:val="center"/>
            <w:hideMark/>
          </w:tcPr>
          <w:p w:rsidR="00F76545" w:rsidRPr="00AF02E5" w:rsidRDefault="00F76545" w:rsidP="00F76545">
            <w:pPr>
              <w:suppressAutoHyphens/>
              <w:jc w:val="center"/>
              <w:rPr>
                <w:rFonts w:ascii="Arial" w:eastAsia="Calibri" w:hAnsi="Arial"/>
                <w:sz w:val="16"/>
                <w:szCs w:val="23"/>
              </w:rPr>
            </w:pPr>
            <w:r w:rsidRPr="00AF02E5">
              <w:rPr>
                <w:rFonts w:ascii="Arial" w:eastAsia="Calibri" w:hAnsi="Arial"/>
                <w:noProof/>
                <w:sz w:val="16"/>
                <w:szCs w:val="23"/>
              </w:rPr>
              <w:t>5.7</w:t>
            </w:r>
            <w:r w:rsidRPr="00AF02E5">
              <w:rPr>
                <w:rFonts w:ascii="Arial" w:eastAsia="Calibri" w:hAnsi="Arial"/>
                <w:sz w:val="16"/>
                <w:szCs w:val="23"/>
              </w:rPr>
              <w:t>%</w:t>
            </w:r>
          </w:p>
        </w:tc>
        <w:tc>
          <w:tcPr>
            <w:tcW w:w="1120" w:type="dxa"/>
            <w:tcBorders>
              <w:top w:val="nil"/>
              <w:left w:val="nil"/>
              <w:bottom w:val="nil"/>
              <w:right w:val="nil"/>
            </w:tcBorders>
            <w:shd w:val="clear" w:color="000000" w:fill="FFFFE1"/>
            <w:noWrap/>
            <w:vAlign w:val="center"/>
            <w:hideMark/>
          </w:tcPr>
          <w:p w:rsidR="00F76545" w:rsidRPr="00AF02E5" w:rsidRDefault="00F76545" w:rsidP="00F76545">
            <w:pPr>
              <w:suppressAutoHyphens/>
              <w:jc w:val="center"/>
              <w:rPr>
                <w:rFonts w:ascii="Arial" w:eastAsia="Calibri" w:hAnsi="Arial"/>
                <w:sz w:val="16"/>
                <w:szCs w:val="23"/>
              </w:rPr>
            </w:pPr>
            <w:r w:rsidRPr="00AF02E5">
              <w:rPr>
                <w:rFonts w:ascii="Arial" w:eastAsia="Calibri" w:hAnsi="Arial"/>
                <w:noProof/>
                <w:sz w:val="16"/>
                <w:szCs w:val="23"/>
              </w:rPr>
              <w:t>29,007</w:t>
            </w:r>
          </w:p>
        </w:tc>
        <w:tc>
          <w:tcPr>
            <w:tcW w:w="990" w:type="dxa"/>
            <w:tcBorders>
              <w:top w:val="nil"/>
              <w:left w:val="nil"/>
              <w:bottom w:val="nil"/>
              <w:right w:val="single" w:sz="4" w:space="0" w:color="009900"/>
            </w:tcBorders>
            <w:shd w:val="clear" w:color="000000" w:fill="FFFFE1"/>
            <w:noWrap/>
            <w:vAlign w:val="center"/>
            <w:hideMark/>
          </w:tcPr>
          <w:p w:rsidR="00F76545" w:rsidRPr="00AF02E5" w:rsidRDefault="00F76545" w:rsidP="00F76545">
            <w:pPr>
              <w:suppressAutoHyphens/>
              <w:jc w:val="center"/>
              <w:rPr>
                <w:rFonts w:ascii="Arial" w:eastAsia="Calibri" w:hAnsi="Arial"/>
                <w:sz w:val="16"/>
                <w:szCs w:val="23"/>
              </w:rPr>
            </w:pPr>
            <w:r w:rsidRPr="00AF02E5">
              <w:rPr>
                <w:rFonts w:ascii="Arial" w:eastAsia="Calibri" w:hAnsi="Arial"/>
                <w:noProof/>
                <w:sz w:val="16"/>
                <w:szCs w:val="23"/>
              </w:rPr>
              <w:t>6.3</w:t>
            </w:r>
            <w:r w:rsidRPr="00AF02E5">
              <w:rPr>
                <w:rFonts w:ascii="Arial" w:eastAsia="Calibri" w:hAnsi="Arial"/>
                <w:sz w:val="16"/>
                <w:szCs w:val="23"/>
              </w:rPr>
              <w:t>%</w:t>
            </w:r>
          </w:p>
        </w:tc>
      </w:tr>
      <w:tr w:rsidR="00F76545" w:rsidRPr="00AF02E5" w:rsidTr="00F76545">
        <w:trPr>
          <w:trHeight w:val="216"/>
          <w:jc w:val="center"/>
        </w:trPr>
        <w:tc>
          <w:tcPr>
            <w:tcW w:w="1059" w:type="dxa"/>
            <w:tcBorders>
              <w:top w:val="nil"/>
              <w:left w:val="single" w:sz="4" w:space="0" w:color="009900"/>
              <w:bottom w:val="nil"/>
              <w:right w:val="nil"/>
            </w:tcBorders>
            <w:shd w:val="clear" w:color="000000" w:fill="FFFFE1"/>
            <w:noWrap/>
            <w:vAlign w:val="center"/>
            <w:hideMark/>
          </w:tcPr>
          <w:p w:rsidR="00F76545" w:rsidRPr="00AF02E5" w:rsidRDefault="00F76545" w:rsidP="00F76545">
            <w:pPr>
              <w:suppressAutoHyphens/>
              <w:rPr>
                <w:rFonts w:ascii="Arial" w:eastAsia="Calibri" w:hAnsi="Arial"/>
                <w:sz w:val="16"/>
                <w:szCs w:val="23"/>
              </w:rPr>
            </w:pPr>
            <w:r w:rsidRPr="00AF02E5">
              <w:rPr>
                <w:rFonts w:ascii="Arial" w:eastAsia="Calibri" w:hAnsi="Arial"/>
                <w:sz w:val="16"/>
                <w:szCs w:val="23"/>
              </w:rPr>
              <w:t>35 to 64</w:t>
            </w:r>
          </w:p>
        </w:tc>
        <w:tc>
          <w:tcPr>
            <w:tcW w:w="1099" w:type="dxa"/>
            <w:tcBorders>
              <w:top w:val="nil"/>
              <w:left w:val="nil"/>
              <w:bottom w:val="nil"/>
              <w:right w:val="nil"/>
            </w:tcBorders>
            <w:shd w:val="clear" w:color="000000" w:fill="FFFFE1"/>
            <w:noWrap/>
            <w:vAlign w:val="center"/>
            <w:hideMark/>
          </w:tcPr>
          <w:p w:rsidR="00F76545" w:rsidRPr="00AF02E5" w:rsidRDefault="00F76545" w:rsidP="00F76545">
            <w:pPr>
              <w:suppressAutoHyphens/>
              <w:jc w:val="center"/>
              <w:rPr>
                <w:rFonts w:ascii="Arial" w:eastAsia="Calibri" w:hAnsi="Arial"/>
                <w:sz w:val="16"/>
                <w:szCs w:val="23"/>
              </w:rPr>
            </w:pPr>
            <w:r w:rsidRPr="00AF02E5">
              <w:rPr>
                <w:rFonts w:ascii="Arial" w:eastAsia="Calibri" w:hAnsi="Arial"/>
                <w:noProof/>
                <w:sz w:val="16"/>
                <w:szCs w:val="23"/>
              </w:rPr>
              <w:t>61,493</w:t>
            </w:r>
          </w:p>
        </w:tc>
        <w:tc>
          <w:tcPr>
            <w:tcW w:w="990" w:type="dxa"/>
            <w:tcBorders>
              <w:top w:val="nil"/>
              <w:left w:val="nil"/>
              <w:bottom w:val="nil"/>
              <w:right w:val="nil"/>
            </w:tcBorders>
            <w:shd w:val="clear" w:color="000000" w:fill="FFFFE1"/>
            <w:noWrap/>
            <w:vAlign w:val="center"/>
            <w:hideMark/>
          </w:tcPr>
          <w:p w:rsidR="00F76545" w:rsidRPr="00AF02E5" w:rsidRDefault="00F76545" w:rsidP="00F76545">
            <w:pPr>
              <w:suppressAutoHyphens/>
              <w:jc w:val="center"/>
              <w:rPr>
                <w:rFonts w:ascii="Arial" w:eastAsia="Calibri" w:hAnsi="Arial"/>
                <w:sz w:val="16"/>
                <w:szCs w:val="23"/>
              </w:rPr>
            </w:pPr>
            <w:r w:rsidRPr="00AF02E5">
              <w:rPr>
                <w:rFonts w:ascii="Arial" w:eastAsia="Calibri" w:hAnsi="Arial"/>
                <w:noProof/>
                <w:sz w:val="16"/>
                <w:szCs w:val="23"/>
              </w:rPr>
              <w:t>16.3</w:t>
            </w:r>
            <w:r w:rsidRPr="00AF02E5">
              <w:rPr>
                <w:rFonts w:ascii="Arial" w:eastAsia="Calibri" w:hAnsi="Arial"/>
                <w:sz w:val="16"/>
                <w:szCs w:val="23"/>
              </w:rPr>
              <w:t>%</w:t>
            </w:r>
          </w:p>
        </w:tc>
        <w:tc>
          <w:tcPr>
            <w:tcW w:w="1120" w:type="dxa"/>
            <w:tcBorders>
              <w:top w:val="nil"/>
              <w:left w:val="dotted" w:sz="4" w:space="0" w:color="009900"/>
              <w:bottom w:val="nil"/>
              <w:right w:val="nil"/>
            </w:tcBorders>
            <w:shd w:val="clear" w:color="000000" w:fill="FFFFE1"/>
            <w:noWrap/>
            <w:vAlign w:val="center"/>
            <w:hideMark/>
          </w:tcPr>
          <w:p w:rsidR="00F76545" w:rsidRPr="00AF02E5" w:rsidRDefault="00F76545" w:rsidP="00F76545">
            <w:pPr>
              <w:suppressAutoHyphens/>
              <w:jc w:val="center"/>
              <w:rPr>
                <w:rFonts w:ascii="Arial" w:eastAsia="Calibri" w:hAnsi="Arial"/>
                <w:sz w:val="16"/>
                <w:szCs w:val="23"/>
              </w:rPr>
            </w:pPr>
            <w:r w:rsidRPr="00AF02E5">
              <w:rPr>
                <w:rFonts w:ascii="Arial" w:eastAsia="Calibri" w:hAnsi="Arial"/>
                <w:noProof/>
                <w:sz w:val="16"/>
                <w:szCs w:val="23"/>
              </w:rPr>
              <w:t>57,220</w:t>
            </w:r>
          </w:p>
        </w:tc>
        <w:tc>
          <w:tcPr>
            <w:tcW w:w="1040" w:type="dxa"/>
            <w:tcBorders>
              <w:top w:val="nil"/>
              <w:left w:val="nil"/>
              <w:bottom w:val="nil"/>
              <w:right w:val="dotted" w:sz="4" w:space="0" w:color="009900"/>
            </w:tcBorders>
            <w:shd w:val="clear" w:color="000000" w:fill="FFFFE1"/>
            <w:noWrap/>
            <w:vAlign w:val="center"/>
            <w:hideMark/>
          </w:tcPr>
          <w:p w:rsidR="00F76545" w:rsidRPr="00AF02E5" w:rsidRDefault="00F76545" w:rsidP="00F76545">
            <w:pPr>
              <w:suppressAutoHyphens/>
              <w:jc w:val="center"/>
              <w:rPr>
                <w:rFonts w:ascii="Arial" w:eastAsia="Calibri" w:hAnsi="Arial"/>
                <w:sz w:val="16"/>
                <w:szCs w:val="23"/>
              </w:rPr>
            </w:pPr>
            <w:r w:rsidRPr="00AF02E5">
              <w:rPr>
                <w:rFonts w:ascii="Arial" w:eastAsia="Calibri" w:hAnsi="Arial"/>
                <w:noProof/>
                <w:sz w:val="16"/>
                <w:szCs w:val="23"/>
              </w:rPr>
              <w:t>14.2</w:t>
            </w:r>
            <w:r w:rsidRPr="00AF02E5">
              <w:rPr>
                <w:rFonts w:ascii="Arial" w:eastAsia="Calibri" w:hAnsi="Arial"/>
                <w:sz w:val="16"/>
                <w:szCs w:val="23"/>
              </w:rPr>
              <w:t>%</w:t>
            </w:r>
          </w:p>
        </w:tc>
        <w:tc>
          <w:tcPr>
            <w:tcW w:w="1120" w:type="dxa"/>
            <w:tcBorders>
              <w:top w:val="nil"/>
              <w:left w:val="nil"/>
              <w:bottom w:val="nil"/>
              <w:right w:val="nil"/>
            </w:tcBorders>
            <w:shd w:val="clear" w:color="000000" w:fill="FFFFE1"/>
            <w:noWrap/>
            <w:vAlign w:val="center"/>
            <w:hideMark/>
          </w:tcPr>
          <w:p w:rsidR="00F76545" w:rsidRPr="00AF02E5" w:rsidRDefault="00F76545" w:rsidP="00F76545">
            <w:pPr>
              <w:suppressAutoHyphens/>
              <w:jc w:val="center"/>
              <w:rPr>
                <w:rFonts w:ascii="Arial" w:eastAsia="Calibri" w:hAnsi="Arial"/>
                <w:sz w:val="16"/>
                <w:szCs w:val="23"/>
              </w:rPr>
            </w:pPr>
            <w:r w:rsidRPr="00AF02E5">
              <w:rPr>
                <w:rFonts w:ascii="Arial" w:eastAsia="Calibri" w:hAnsi="Arial"/>
                <w:noProof/>
                <w:sz w:val="16"/>
                <w:szCs w:val="23"/>
              </w:rPr>
              <w:t>118,713</w:t>
            </w:r>
          </w:p>
        </w:tc>
        <w:tc>
          <w:tcPr>
            <w:tcW w:w="990" w:type="dxa"/>
            <w:tcBorders>
              <w:top w:val="nil"/>
              <w:left w:val="nil"/>
              <w:bottom w:val="nil"/>
              <w:right w:val="single" w:sz="4" w:space="0" w:color="009900"/>
            </w:tcBorders>
            <w:shd w:val="clear" w:color="000000" w:fill="FFFFE1"/>
            <w:noWrap/>
            <w:vAlign w:val="center"/>
            <w:hideMark/>
          </w:tcPr>
          <w:p w:rsidR="00F76545" w:rsidRPr="00AF02E5" w:rsidRDefault="00F76545" w:rsidP="00F76545">
            <w:pPr>
              <w:suppressAutoHyphens/>
              <w:jc w:val="center"/>
              <w:rPr>
                <w:rFonts w:ascii="Arial" w:eastAsia="Calibri" w:hAnsi="Arial"/>
                <w:sz w:val="16"/>
                <w:szCs w:val="23"/>
              </w:rPr>
            </w:pPr>
            <w:r w:rsidRPr="00AF02E5">
              <w:rPr>
                <w:rFonts w:ascii="Arial" w:eastAsia="Calibri" w:hAnsi="Arial"/>
                <w:noProof/>
                <w:sz w:val="16"/>
                <w:szCs w:val="23"/>
              </w:rPr>
              <w:t>15.2</w:t>
            </w:r>
            <w:r w:rsidRPr="00AF02E5">
              <w:rPr>
                <w:rFonts w:ascii="Arial" w:eastAsia="Calibri" w:hAnsi="Arial"/>
                <w:sz w:val="16"/>
                <w:szCs w:val="23"/>
              </w:rPr>
              <w:t>%</w:t>
            </w:r>
          </w:p>
        </w:tc>
      </w:tr>
      <w:tr w:rsidR="00F76545" w:rsidRPr="00AF02E5" w:rsidTr="00F76545">
        <w:trPr>
          <w:trHeight w:val="216"/>
          <w:jc w:val="center"/>
        </w:trPr>
        <w:tc>
          <w:tcPr>
            <w:tcW w:w="1059" w:type="dxa"/>
            <w:tcBorders>
              <w:top w:val="nil"/>
              <w:left w:val="single" w:sz="4" w:space="0" w:color="009900"/>
              <w:bottom w:val="nil"/>
              <w:right w:val="nil"/>
            </w:tcBorders>
            <w:shd w:val="clear" w:color="000000" w:fill="FFFFE1"/>
            <w:noWrap/>
            <w:vAlign w:val="center"/>
            <w:hideMark/>
          </w:tcPr>
          <w:p w:rsidR="00F76545" w:rsidRPr="00AF02E5" w:rsidRDefault="00F76545" w:rsidP="00F76545">
            <w:pPr>
              <w:suppressAutoHyphens/>
              <w:rPr>
                <w:rFonts w:ascii="Arial" w:eastAsia="Calibri" w:hAnsi="Arial"/>
                <w:sz w:val="16"/>
                <w:szCs w:val="23"/>
              </w:rPr>
            </w:pPr>
            <w:r w:rsidRPr="00AF02E5">
              <w:rPr>
                <w:rFonts w:ascii="Arial" w:eastAsia="Calibri" w:hAnsi="Arial"/>
                <w:sz w:val="16"/>
                <w:szCs w:val="23"/>
              </w:rPr>
              <w:t>65 to 74</w:t>
            </w:r>
          </w:p>
        </w:tc>
        <w:tc>
          <w:tcPr>
            <w:tcW w:w="1099" w:type="dxa"/>
            <w:tcBorders>
              <w:top w:val="nil"/>
              <w:left w:val="nil"/>
              <w:bottom w:val="nil"/>
              <w:right w:val="nil"/>
            </w:tcBorders>
            <w:shd w:val="clear" w:color="000000" w:fill="FFFFE1"/>
            <w:noWrap/>
            <w:vAlign w:val="center"/>
            <w:hideMark/>
          </w:tcPr>
          <w:p w:rsidR="00F76545" w:rsidRPr="00AF02E5" w:rsidRDefault="00F76545" w:rsidP="00F76545">
            <w:pPr>
              <w:suppressAutoHyphens/>
              <w:jc w:val="center"/>
              <w:rPr>
                <w:rFonts w:ascii="Arial" w:eastAsia="Calibri" w:hAnsi="Arial"/>
                <w:sz w:val="16"/>
                <w:szCs w:val="23"/>
              </w:rPr>
            </w:pPr>
            <w:r w:rsidRPr="00AF02E5">
              <w:rPr>
                <w:rFonts w:ascii="Arial" w:eastAsia="Calibri" w:hAnsi="Arial"/>
                <w:noProof/>
                <w:sz w:val="16"/>
                <w:szCs w:val="23"/>
              </w:rPr>
              <w:t>22,908</w:t>
            </w:r>
          </w:p>
        </w:tc>
        <w:tc>
          <w:tcPr>
            <w:tcW w:w="990" w:type="dxa"/>
            <w:tcBorders>
              <w:top w:val="nil"/>
              <w:left w:val="nil"/>
              <w:bottom w:val="nil"/>
              <w:right w:val="nil"/>
            </w:tcBorders>
            <w:shd w:val="clear" w:color="000000" w:fill="FFFFE1"/>
            <w:noWrap/>
            <w:vAlign w:val="center"/>
            <w:hideMark/>
          </w:tcPr>
          <w:p w:rsidR="00F76545" w:rsidRPr="00AF02E5" w:rsidRDefault="00F76545" w:rsidP="00F76545">
            <w:pPr>
              <w:suppressAutoHyphens/>
              <w:jc w:val="center"/>
              <w:rPr>
                <w:rFonts w:ascii="Arial" w:eastAsia="Calibri" w:hAnsi="Arial"/>
                <w:sz w:val="16"/>
                <w:szCs w:val="23"/>
              </w:rPr>
            </w:pPr>
            <w:r w:rsidRPr="00AF02E5">
              <w:rPr>
                <w:rFonts w:ascii="Arial" w:eastAsia="Calibri" w:hAnsi="Arial"/>
                <w:noProof/>
                <w:sz w:val="16"/>
                <w:szCs w:val="23"/>
              </w:rPr>
              <w:t>31.2</w:t>
            </w:r>
            <w:r w:rsidRPr="00AF02E5">
              <w:rPr>
                <w:rFonts w:ascii="Arial" w:eastAsia="Calibri" w:hAnsi="Arial"/>
                <w:sz w:val="16"/>
                <w:szCs w:val="23"/>
              </w:rPr>
              <w:t>%</w:t>
            </w:r>
          </w:p>
        </w:tc>
        <w:tc>
          <w:tcPr>
            <w:tcW w:w="1120" w:type="dxa"/>
            <w:tcBorders>
              <w:top w:val="nil"/>
              <w:left w:val="dotted" w:sz="4" w:space="0" w:color="009900"/>
              <w:bottom w:val="nil"/>
              <w:right w:val="nil"/>
            </w:tcBorders>
            <w:shd w:val="clear" w:color="000000" w:fill="FFFFE1"/>
            <w:noWrap/>
            <w:vAlign w:val="center"/>
            <w:hideMark/>
          </w:tcPr>
          <w:p w:rsidR="00F76545" w:rsidRPr="00AF02E5" w:rsidRDefault="00F76545" w:rsidP="00F76545">
            <w:pPr>
              <w:suppressAutoHyphens/>
              <w:jc w:val="center"/>
              <w:rPr>
                <w:rFonts w:ascii="Arial" w:eastAsia="Calibri" w:hAnsi="Arial"/>
                <w:sz w:val="16"/>
                <w:szCs w:val="23"/>
              </w:rPr>
            </w:pPr>
            <w:r w:rsidRPr="00AF02E5">
              <w:rPr>
                <w:rFonts w:ascii="Arial" w:eastAsia="Calibri" w:hAnsi="Arial"/>
                <w:noProof/>
                <w:sz w:val="16"/>
                <w:szCs w:val="23"/>
              </w:rPr>
              <w:t>23,031</w:t>
            </w:r>
          </w:p>
        </w:tc>
        <w:tc>
          <w:tcPr>
            <w:tcW w:w="1040" w:type="dxa"/>
            <w:tcBorders>
              <w:top w:val="nil"/>
              <w:left w:val="nil"/>
              <w:bottom w:val="nil"/>
              <w:right w:val="dotted" w:sz="4" w:space="0" w:color="009900"/>
            </w:tcBorders>
            <w:shd w:val="clear" w:color="000000" w:fill="FFFFE1"/>
            <w:noWrap/>
            <w:vAlign w:val="center"/>
            <w:hideMark/>
          </w:tcPr>
          <w:p w:rsidR="00F76545" w:rsidRPr="00AF02E5" w:rsidRDefault="00F76545" w:rsidP="00F76545">
            <w:pPr>
              <w:suppressAutoHyphens/>
              <w:jc w:val="center"/>
              <w:rPr>
                <w:rFonts w:ascii="Arial" w:eastAsia="Calibri" w:hAnsi="Arial"/>
                <w:sz w:val="16"/>
                <w:szCs w:val="23"/>
              </w:rPr>
            </w:pPr>
            <w:r w:rsidRPr="00AF02E5">
              <w:rPr>
                <w:rFonts w:ascii="Arial" w:eastAsia="Calibri" w:hAnsi="Arial"/>
                <w:noProof/>
                <w:sz w:val="16"/>
                <w:szCs w:val="23"/>
              </w:rPr>
              <w:t>28.2</w:t>
            </w:r>
            <w:r w:rsidRPr="00AF02E5">
              <w:rPr>
                <w:rFonts w:ascii="Arial" w:eastAsia="Calibri" w:hAnsi="Arial"/>
                <w:sz w:val="16"/>
                <w:szCs w:val="23"/>
              </w:rPr>
              <w:t>%</w:t>
            </w:r>
          </w:p>
        </w:tc>
        <w:tc>
          <w:tcPr>
            <w:tcW w:w="1120" w:type="dxa"/>
            <w:tcBorders>
              <w:top w:val="nil"/>
              <w:left w:val="nil"/>
              <w:bottom w:val="nil"/>
              <w:right w:val="nil"/>
            </w:tcBorders>
            <w:shd w:val="clear" w:color="000000" w:fill="FFFFE1"/>
            <w:noWrap/>
            <w:vAlign w:val="center"/>
            <w:hideMark/>
          </w:tcPr>
          <w:p w:rsidR="00F76545" w:rsidRPr="00AF02E5" w:rsidRDefault="00F76545" w:rsidP="00F76545">
            <w:pPr>
              <w:suppressAutoHyphens/>
              <w:jc w:val="center"/>
              <w:rPr>
                <w:rFonts w:ascii="Arial" w:eastAsia="Calibri" w:hAnsi="Arial"/>
                <w:sz w:val="16"/>
                <w:szCs w:val="23"/>
              </w:rPr>
            </w:pPr>
            <w:r w:rsidRPr="00AF02E5">
              <w:rPr>
                <w:rFonts w:ascii="Arial" w:eastAsia="Calibri" w:hAnsi="Arial"/>
                <w:noProof/>
                <w:sz w:val="16"/>
                <w:szCs w:val="23"/>
              </w:rPr>
              <w:t>45,939</w:t>
            </w:r>
          </w:p>
        </w:tc>
        <w:tc>
          <w:tcPr>
            <w:tcW w:w="990" w:type="dxa"/>
            <w:tcBorders>
              <w:top w:val="nil"/>
              <w:left w:val="nil"/>
              <w:bottom w:val="nil"/>
              <w:right w:val="single" w:sz="4" w:space="0" w:color="009900"/>
            </w:tcBorders>
            <w:shd w:val="clear" w:color="000000" w:fill="FFFFE1"/>
            <w:noWrap/>
            <w:vAlign w:val="center"/>
            <w:hideMark/>
          </w:tcPr>
          <w:p w:rsidR="00F76545" w:rsidRPr="00AF02E5" w:rsidRDefault="00F76545" w:rsidP="00F76545">
            <w:pPr>
              <w:suppressAutoHyphens/>
              <w:jc w:val="center"/>
              <w:rPr>
                <w:rFonts w:ascii="Arial" w:eastAsia="Calibri" w:hAnsi="Arial"/>
                <w:sz w:val="16"/>
                <w:szCs w:val="23"/>
              </w:rPr>
            </w:pPr>
            <w:r w:rsidRPr="00AF02E5">
              <w:rPr>
                <w:rFonts w:ascii="Arial" w:eastAsia="Calibri" w:hAnsi="Arial"/>
                <w:noProof/>
                <w:sz w:val="16"/>
                <w:szCs w:val="23"/>
              </w:rPr>
              <w:t>29.6</w:t>
            </w:r>
            <w:r w:rsidRPr="00AF02E5">
              <w:rPr>
                <w:rFonts w:ascii="Arial" w:eastAsia="Calibri" w:hAnsi="Arial"/>
                <w:sz w:val="16"/>
                <w:szCs w:val="23"/>
              </w:rPr>
              <w:t>%</w:t>
            </w:r>
          </w:p>
        </w:tc>
      </w:tr>
      <w:tr w:rsidR="00F76545" w:rsidRPr="00AF02E5" w:rsidTr="00F76545">
        <w:trPr>
          <w:trHeight w:val="216"/>
          <w:jc w:val="center"/>
        </w:trPr>
        <w:tc>
          <w:tcPr>
            <w:tcW w:w="1059" w:type="dxa"/>
            <w:tcBorders>
              <w:top w:val="nil"/>
              <w:left w:val="single" w:sz="4" w:space="0" w:color="009900"/>
              <w:bottom w:val="nil"/>
              <w:right w:val="nil"/>
            </w:tcBorders>
            <w:shd w:val="clear" w:color="000000" w:fill="FFFFE1"/>
            <w:noWrap/>
            <w:vAlign w:val="center"/>
            <w:hideMark/>
          </w:tcPr>
          <w:p w:rsidR="00F76545" w:rsidRPr="00AF02E5" w:rsidRDefault="00F76545" w:rsidP="00F76545">
            <w:pPr>
              <w:suppressAutoHyphens/>
              <w:rPr>
                <w:rFonts w:ascii="Arial" w:eastAsia="Calibri" w:hAnsi="Arial"/>
                <w:sz w:val="16"/>
                <w:szCs w:val="23"/>
              </w:rPr>
            </w:pPr>
            <w:r w:rsidRPr="00AF02E5">
              <w:rPr>
                <w:rFonts w:ascii="Arial" w:eastAsia="Calibri" w:hAnsi="Arial"/>
                <w:sz w:val="16"/>
                <w:szCs w:val="23"/>
              </w:rPr>
              <w:t>75 or Older</w:t>
            </w:r>
          </w:p>
        </w:tc>
        <w:tc>
          <w:tcPr>
            <w:tcW w:w="1099" w:type="dxa"/>
            <w:tcBorders>
              <w:top w:val="nil"/>
              <w:left w:val="nil"/>
              <w:bottom w:val="nil"/>
              <w:right w:val="nil"/>
            </w:tcBorders>
            <w:shd w:val="clear" w:color="000000" w:fill="FFFFE1"/>
            <w:noWrap/>
            <w:vAlign w:val="center"/>
            <w:hideMark/>
          </w:tcPr>
          <w:p w:rsidR="00F76545" w:rsidRPr="00AF02E5" w:rsidRDefault="00F76545" w:rsidP="00F76545">
            <w:pPr>
              <w:suppressAutoHyphens/>
              <w:jc w:val="center"/>
              <w:rPr>
                <w:rFonts w:ascii="Arial" w:eastAsia="Calibri" w:hAnsi="Arial"/>
                <w:sz w:val="16"/>
                <w:szCs w:val="23"/>
              </w:rPr>
            </w:pPr>
            <w:r w:rsidRPr="00AF02E5">
              <w:rPr>
                <w:rFonts w:ascii="Arial" w:eastAsia="Calibri" w:hAnsi="Arial"/>
                <w:noProof/>
                <w:sz w:val="16"/>
                <w:szCs w:val="23"/>
              </w:rPr>
              <w:t>27,576</w:t>
            </w:r>
          </w:p>
        </w:tc>
        <w:tc>
          <w:tcPr>
            <w:tcW w:w="990" w:type="dxa"/>
            <w:tcBorders>
              <w:top w:val="nil"/>
              <w:left w:val="nil"/>
              <w:bottom w:val="nil"/>
              <w:right w:val="nil"/>
            </w:tcBorders>
            <w:shd w:val="clear" w:color="000000" w:fill="FFFFE1"/>
            <w:noWrap/>
            <w:vAlign w:val="center"/>
            <w:hideMark/>
          </w:tcPr>
          <w:p w:rsidR="00F76545" w:rsidRPr="00AF02E5" w:rsidRDefault="00F76545" w:rsidP="00F76545">
            <w:pPr>
              <w:suppressAutoHyphens/>
              <w:jc w:val="center"/>
              <w:rPr>
                <w:rFonts w:ascii="Arial" w:eastAsia="Calibri" w:hAnsi="Arial"/>
                <w:sz w:val="16"/>
                <w:szCs w:val="23"/>
              </w:rPr>
            </w:pPr>
            <w:r w:rsidRPr="00AF02E5">
              <w:rPr>
                <w:rFonts w:ascii="Arial" w:eastAsia="Calibri" w:hAnsi="Arial"/>
                <w:noProof/>
                <w:sz w:val="16"/>
                <w:szCs w:val="23"/>
              </w:rPr>
              <w:t>56.3</w:t>
            </w:r>
            <w:r w:rsidRPr="00AF02E5">
              <w:rPr>
                <w:rFonts w:ascii="Arial" w:eastAsia="Calibri" w:hAnsi="Arial"/>
                <w:sz w:val="16"/>
                <w:szCs w:val="23"/>
              </w:rPr>
              <w:t>%</w:t>
            </w:r>
          </w:p>
        </w:tc>
        <w:tc>
          <w:tcPr>
            <w:tcW w:w="1120" w:type="dxa"/>
            <w:tcBorders>
              <w:top w:val="nil"/>
              <w:left w:val="dotted" w:sz="4" w:space="0" w:color="009900"/>
              <w:bottom w:val="nil"/>
              <w:right w:val="nil"/>
            </w:tcBorders>
            <w:shd w:val="clear" w:color="000000" w:fill="FFFFE1"/>
            <w:noWrap/>
            <w:vAlign w:val="center"/>
            <w:hideMark/>
          </w:tcPr>
          <w:p w:rsidR="00F76545" w:rsidRPr="00AF02E5" w:rsidRDefault="00F76545" w:rsidP="00F76545">
            <w:pPr>
              <w:suppressAutoHyphens/>
              <w:jc w:val="center"/>
              <w:rPr>
                <w:rFonts w:ascii="Arial" w:eastAsia="Calibri" w:hAnsi="Arial"/>
                <w:sz w:val="16"/>
                <w:szCs w:val="23"/>
              </w:rPr>
            </w:pPr>
            <w:r w:rsidRPr="00AF02E5">
              <w:rPr>
                <w:rFonts w:ascii="Arial" w:eastAsia="Calibri" w:hAnsi="Arial"/>
                <w:noProof/>
                <w:sz w:val="16"/>
                <w:szCs w:val="23"/>
              </w:rPr>
              <w:t>37,636</w:t>
            </w:r>
          </w:p>
        </w:tc>
        <w:tc>
          <w:tcPr>
            <w:tcW w:w="1040" w:type="dxa"/>
            <w:tcBorders>
              <w:top w:val="nil"/>
              <w:left w:val="nil"/>
              <w:bottom w:val="nil"/>
              <w:right w:val="dotted" w:sz="4" w:space="0" w:color="009900"/>
            </w:tcBorders>
            <w:shd w:val="clear" w:color="000000" w:fill="FFFFE1"/>
            <w:noWrap/>
            <w:vAlign w:val="center"/>
            <w:hideMark/>
          </w:tcPr>
          <w:p w:rsidR="00F76545" w:rsidRPr="00AF02E5" w:rsidRDefault="00F76545" w:rsidP="00F76545">
            <w:pPr>
              <w:suppressAutoHyphens/>
              <w:jc w:val="center"/>
              <w:rPr>
                <w:rFonts w:ascii="Arial" w:eastAsia="Calibri" w:hAnsi="Arial"/>
                <w:sz w:val="16"/>
                <w:szCs w:val="23"/>
              </w:rPr>
            </w:pPr>
            <w:r w:rsidRPr="00AF02E5">
              <w:rPr>
                <w:rFonts w:ascii="Arial" w:eastAsia="Calibri" w:hAnsi="Arial"/>
                <w:noProof/>
                <w:sz w:val="16"/>
                <w:szCs w:val="23"/>
              </w:rPr>
              <w:t>56.9</w:t>
            </w:r>
            <w:r w:rsidRPr="00AF02E5">
              <w:rPr>
                <w:rFonts w:ascii="Arial" w:eastAsia="Calibri" w:hAnsi="Arial"/>
                <w:sz w:val="16"/>
                <w:szCs w:val="23"/>
              </w:rPr>
              <w:t>%</w:t>
            </w:r>
          </w:p>
        </w:tc>
        <w:tc>
          <w:tcPr>
            <w:tcW w:w="1120" w:type="dxa"/>
            <w:tcBorders>
              <w:top w:val="nil"/>
              <w:left w:val="nil"/>
              <w:bottom w:val="nil"/>
              <w:right w:val="nil"/>
            </w:tcBorders>
            <w:shd w:val="clear" w:color="000000" w:fill="FFFFE1"/>
            <w:noWrap/>
            <w:vAlign w:val="center"/>
            <w:hideMark/>
          </w:tcPr>
          <w:p w:rsidR="00F76545" w:rsidRPr="00AF02E5" w:rsidRDefault="00F76545" w:rsidP="00F76545">
            <w:pPr>
              <w:suppressAutoHyphens/>
              <w:jc w:val="center"/>
              <w:rPr>
                <w:rFonts w:ascii="Arial" w:eastAsia="Calibri" w:hAnsi="Arial"/>
                <w:sz w:val="16"/>
                <w:szCs w:val="23"/>
              </w:rPr>
            </w:pPr>
            <w:r w:rsidRPr="00AF02E5">
              <w:rPr>
                <w:rFonts w:ascii="Arial" w:eastAsia="Calibri" w:hAnsi="Arial"/>
                <w:noProof/>
                <w:sz w:val="16"/>
                <w:szCs w:val="23"/>
              </w:rPr>
              <w:t>65,212</w:t>
            </w:r>
          </w:p>
        </w:tc>
        <w:tc>
          <w:tcPr>
            <w:tcW w:w="990" w:type="dxa"/>
            <w:tcBorders>
              <w:top w:val="nil"/>
              <w:left w:val="nil"/>
              <w:bottom w:val="nil"/>
              <w:right w:val="single" w:sz="4" w:space="0" w:color="009900"/>
            </w:tcBorders>
            <w:shd w:val="clear" w:color="000000" w:fill="FFFFE1"/>
            <w:noWrap/>
            <w:vAlign w:val="center"/>
            <w:hideMark/>
          </w:tcPr>
          <w:p w:rsidR="00F76545" w:rsidRPr="00AF02E5" w:rsidRDefault="00F76545" w:rsidP="00F76545">
            <w:pPr>
              <w:suppressAutoHyphens/>
              <w:jc w:val="center"/>
              <w:rPr>
                <w:rFonts w:ascii="Arial" w:eastAsia="Calibri" w:hAnsi="Arial"/>
                <w:sz w:val="16"/>
                <w:szCs w:val="23"/>
              </w:rPr>
            </w:pPr>
            <w:r w:rsidRPr="00AF02E5">
              <w:rPr>
                <w:rFonts w:ascii="Arial" w:eastAsia="Calibri" w:hAnsi="Arial"/>
                <w:noProof/>
                <w:sz w:val="16"/>
                <w:szCs w:val="23"/>
              </w:rPr>
              <w:t>56.7</w:t>
            </w:r>
            <w:r w:rsidRPr="00AF02E5">
              <w:rPr>
                <w:rFonts w:ascii="Arial" w:eastAsia="Calibri" w:hAnsi="Arial"/>
                <w:sz w:val="16"/>
                <w:szCs w:val="23"/>
              </w:rPr>
              <w:t>%</w:t>
            </w:r>
          </w:p>
        </w:tc>
      </w:tr>
      <w:tr w:rsidR="00F76545" w:rsidRPr="00AF02E5" w:rsidTr="00F76545">
        <w:trPr>
          <w:trHeight w:val="216"/>
          <w:jc w:val="center"/>
        </w:trPr>
        <w:tc>
          <w:tcPr>
            <w:tcW w:w="1059" w:type="dxa"/>
            <w:tcBorders>
              <w:top w:val="double" w:sz="6" w:space="0" w:color="009900"/>
              <w:left w:val="single" w:sz="4" w:space="0" w:color="009900"/>
              <w:bottom w:val="single" w:sz="4" w:space="0" w:color="009900"/>
              <w:right w:val="nil"/>
            </w:tcBorders>
            <w:shd w:val="clear" w:color="000000" w:fill="FFFFE1"/>
            <w:noWrap/>
            <w:vAlign w:val="center"/>
            <w:hideMark/>
          </w:tcPr>
          <w:p w:rsidR="00F76545" w:rsidRPr="00AF02E5" w:rsidRDefault="00F76545" w:rsidP="00F76545">
            <w:pPr>
              <w:suppressAutoHyphens/>
              <w:rPr>
                <w:rFonts w:ascii="Arial" w:eastAsia="Calibri" w:hAnsi="Arial"/>
                <w:b/>
                <w:sz w:val="16"/>
                <w:szCs w:val="23"/>
              </w:rPr>
            </w:pPr>
            <w:r w:rsidRPr="00AF02E5">
              <w:rPr>
                <w:rFonts w:ascii="Arial" w:eastAsia="Calibri" w:hAnsi="Arial"/>
                <w:b/>
                <w:sz w:val="16"/>
                <w:szCs w:val="23"/>
              </w:rPr>
              <w:t>Total</w:t>
            </w:r>
          </w:p>
        </w:tc>
        <w:tc>
          <w:tcPr>
            <w:tcW w:w="1099" w:type="dxa"/>
            <w:tcBorders>
              <w:top w:val="double" w:sz="6" w:space="0" w:color="009900"/>
              <w:left w:val="nil"/>
              <w:bottom w:val="single" w:sz="4" w:space="0" w:color="009900"/>
              <w:right w:val="nil"/>
            </w:tcBorders>
            <w:shd w:val="clear" w:color="000000" w:fill="FFFFE1"/>
            <w:noWrap/>
            <w:vAlign w:val="center"/>
            <w:hideMark/>
          </w:tcPr>
          <w:p w:rsidR="00F76545" w:rsidRPr="00AF02E5" w:rsidRDefault="00F76545" w:rsidP="00F76545">
            <w:pPr>
              <w:suppressAutoHyphens/>
              <w:jc w:val="center"/>
              <w:rPr>
                <w:rFonts w:ascii="Arial" w:eastAsia="Calibri" w:hAnsi="Arial"/>
                <w:b/>
                <w:bCs/>
                <w:sz w:val="16"/>
                <w:szCs w:val="23"/>
              </w:rPr>
            </w:pPr>
            <w:r w:rsidRPr="00AF02E5">
              <w:rPr>
                <w:rFonts w:ascii="Arial" w:eastAsia="Calibri" w:hAnsi="Arial"/>
                <w:b/>
                <w:noProof/>
                <w:sz w:val="16"/>
                <w:szCs w:val="23"/>
              </w:rPr>
              <w:t>139,138</w:t>
            </w:r>
          </w:p>
        </w:tc>
        <w:tc>
          <w:tcPr>
            <w:tcW w:w="990" w:type="dxa"/>
            <w:tcBorders>
              <w:top w:val="double" w:sz="6" w:space="0" w:color="009900"/>
              <w:left w:val="nil"/>
              <w:bottom w:val="single" w:sz="4" w:space="0" w:color="009900"/>
              <w:right w:val="nil"/>
            </w:tcBorders>
            <w:shd w:val="clear" w:color="000000" w:fill="FFFFE1"/>
            <w:noWrap/>
            <w:vAlign w:val="center"/>
            <w:hideMark/>
          </w:tcPr>
          <w:p w:rsidR="00F76545" w:rsidRPr="00AF02E5" w:rsidRDefault="00F76545" w:rsidP="00F76545">
            <w:pPr>
              <w:suppressAutoHyphens/>
              <w:jc w:val="center"/>
              <w:rPr>
                <w:rFonts w:ascii="Arial" w:eastAsia="Calibri" w:hAnsi="Arial"/>
                <w:b/>
                <w:bCs/>
                <w:sz w:val="16"/>
                <w:szCs w:val="23"/>
              </w:rPr>
            </w:pPr>
            <w:r w:rsidRPr="00AF02E5">
              <w:rPr>
                <w:rFonts w:ascii="Arial" w:eastAsia="Calibri" w:hAnsi="Arial"/>
                <w:b/>
                <w:noProof/>
                <w:sz w:val="16"/>
                <w:szCs w:val="23"/>
              </w:rPr>
              <w:t>14.1</w:t>
            </w:r>
            <w:r w:rsidRPr="00AF02E5">
              <w:rPr>
                <w:rFonts w:ascii="Arial" w:eastAsia="Calibri" w:hAnsi="Arial"/>
                <w:b/>
                <w:sz w:val="16"/>
                <w:szCs w:val="23"/>
              </w:rPr>
              <w:t>%</w:t>
            </w:r>
          </w:p>
        </w:tc>
        <w:tc>
          <w:tcPr>
            <w:tcW w:w="1120" w:type="dxa"/>
            <w:tcBorders>
              <w:top w:val="double" w:sz="6" w:space="0" w:color="009900"/>
              <w:left w:val="dotted" w:sz="4" w:space="0" w:color="009900"/>
              <w:bottom w:val="single" w:sz="4" w:space="0" w:color="009900"/>
              <w:right w:val="nil"/>
            </w:tcBorders>
            <w:shd w:val="clear" w:color="000000" w:fill="FFFFE1"/>
            <w:noWrap/>
            <w:vAlign w:val="center"/>
            <w:hideMark/>
          </w:tcPr>
          <w:p w:rsidR="00F76545" w:rsidRPr="00AF02E5" w:rsidRDefault="00F76545" w:rsidP="00F76545">
            <w:pPr>
              <w:suppressAutoHyphens/>
              <w:jc w:val="center"/>
              <w:rPr>
                <w:rFonts w:ascii="Arial" w:eastAsia="Calibri" w:hAnsi="Arial"/>
                <w:b/>
                <w:bCs/>
                <w:sz w:val="16"/>
                <w:szCs w:val="23"/>
              </w:rPr>
            </w:pPr>
            <w:r w:rsidRPr="00AF02E5">
              <w:rPr>
                <w:rFonts w:ascii="Arial" w:eastAsia="Calibri" w:hAnsi="Arial"/>
                <w:b/>
                <w:noProof/>
                <w:sz w:val="16"/>
                <w:szCs w:val="23"/>
              </w:rPr>
              <w:t>138,207</w:t>
            </w:r>
          </w:p>
        </w:tc>
        <w:tc>
          <w:tcPr>
            <w:tcW w:w="1040" w:type="dxa"/>
            <w:tcBorders>
              <w:top w:val="double" w:sz="6" w:space="0" w:color="009900"/>
              <w:left w:val="nil"/>
              <w:bottom w:val="single" w:sz="4" w:space="0" w:color="009900"/>
              <w:right w:val="dotted" w:sz="4" w:space="0" w:color="009900"/>
            </w:tcBorders>
            <w:shd w:val="clear" w:color="000000" w:fill="FFFFE1"/>
            <w:noWrap/>
            <w:vAlign w:val="center"/>
            <w:hideMark/>
          </w:tcPr>
          <w:p w:rsidR="00F76545" w:rsidRPr="00AF02E5" w:rsidRDefault="00F76545" w:rsidP="00F76545">
            <w:pPr>
              <w:suppressAutoHyphens/>
              <w:jc w:val="center"/>
              <w:rPr>
                <w:rFonts w:ascii="Arial" w:eastAsia="Calibri" w:hAnsi="Arial"/>
                <w:b/>
                <w:bCs/>
                <w:sz w:val="16"/>
                <w:szCs w:val="23"/>
              </w:rPr>
            </w:pPr>
            <w:r w:rsidRPr="00AF02E5">
              <w:rPr>
                <w:rFonts w:ascii="Arial" w:eastAsia="Calibri" w:hAnsi="Arial"/>
                <w:b/>
                <w:noProof/>
                <w:sz w:val="16"/>
                <w:szCs w:val="23"/>
              </w:rPr>
              <w:t>13.4</w:t>
            </w:r>
            <w:r w:rsidRPr="00AF02E5">
              <w:rPr>
                <w:rFonts w:ascii="Arial" w:eastAsia="Calibri" w:hAnsi="Arial"/>
                <w:b/>
                <w:sz w:val="16"/>
                <w:szCs w:val="23"/>
              </w:rPr>
              <w:t>%</w:t>
            </w:r>
          </w:p>
        </w:tc>
        <w:tc>
          <w:tcPr>
            <w:tcW w:w="1120" w:type="dxa"/>
            <w:tcBorders>
              <w:top w:val="double" w:sz="6" w:space="0" w:color="009900"/>
              <w:left w:val="nil"/>
              <w:bottom w:val="single" w:sz="4" w:space="0" w:color="009900"/>
              <w:right w:val="nil"/>
            </w:tcBorders>
            <w:shd w:val="clear" w:color="000000" w:fill="FFFFE1"/>
            <w:noWrap/>
            <w:vAlign w:val="center"/>
            <w:hideMark/>
          </w:tcPr>
          <w:p w:rsidR="00F76545" w:rsidRPr="00AF02E5" w:rsidRDefault="00F76545" w:rsidP="00F76545">
            <w:pPr>
              <w:suppressAutoHyphens/>
              <w:jc w:val="center"/>
              <w:rPr>
                <w:rFonts w:ascii="Arial" w:eastAsia="Calibri" w:hAnsi="Arial"/>
                <w:b/>
                <w:bCs/>
                <w:sz w:val="16"/>
                <w:szCs w:val="23"/>
              </w:rPr>
            </w:pPr>
            <w:r w:rsidRPr="00AF02E5">
              <w:rPr>
                <w:rFonts w:ascii="Arial" w:eastAsia="Calibri" w:hAnsi="Arial"/>
                <w:b/>
                <w:noProof/>
                <w:sz w:val="16"/>
                <w:szCs w:val="23"/>
              </w:rPr>
              <w:t>277,345</w:t>
            </w:r>
          </w:p>
        </w:tc>
        <w:tc>
          <w:tcPr>
            <w:tcW w:w="990" w:type="dxa"/>
            <w:tcBorders>
              <w:top w:val="double" w:sz="6" w:space="0" w:color="009900"/>
              <w:left w:val="nil"/>
              <w:bottom w:val="single" w:sz="4" w:space="0" w:color="009900"/>
              <w:right w:val="single" w:sz="4" w:space="0" w:color="009900"/>
            </w:tcBorders>
            <w:shd w:val="clear" w:color="000000" w:fill="FFFFE1"/>
            <w:noWrap/>
            <w:vAlign w:val="center"/>
            <w:hideMark/>
          </w:tcPr>
          <w:p w:rsidR="00F76545" w:rsidRPr="00AF02E5" w:rsidRDefault="00F76545" w:rsidP="00F76545">
            <w:pPr>
              <w:suppressAutoHyphens/>
              <w:jc w:val="center"/>
              <w:rPr>
                <w:rFonts w:ascii="Arial" w:eastAsia="Calibri" w:hAnsi="Arial"/>
                <w:b/>
                <w:bCs/>
                <w:sz w:val="16"/>
                <w:szCs w:val="23"/>
              </w:rPr>
            </w:pPr>
            <w:r w:rsidRPr="00AF02E5">
              <w:rPr>
                <w:rFonts w:ascii="Arial" w:eastAsia="Calibri" w:hAnsi="Arial"/>
                <w:b/>
                <w:noProof/>
                <w:sz w:val="16"/>
                <w:szCs w:val="23"/>
              </w:rPr>
              <w:t>13.7</w:t>
            </w:r>
            <w:r w:rsidRPr="00AF02E5">
              <w:rPr>
                <w:rFonts w:ascii="Arial" w:eastAsia="Calibri" w:hAnsi="Arial"/>
                <w:b/>
                <w:sz w:val="16"/>
                <w:szCs w:val="23"/>
              </w:rPr>
              <w:t>%</w:t>
            </w:r>
          </w:p>
        </w:tc>
      </w:tr>
    </w:tbl>
    <w:p w:rsidR="00866A4D" w:rsidRDefault="00866A4D" w:rsidP="008E2483">
      <w:pPr>
        <w:jc w:val="both"/>
        <w:rPr>
          <w:rFonts w:ascii="CG Omega" w:hAnsi="CG Omega"/>
          <w:color w:val="000000"/>
        </w:rPr>
      </w:pPr>
    </w:p>
    <w:p w:rsidR="008E2483" w:rsidRPr="00955C8C" w:rsidRDefault="008E2483" w:rsidP="008E2483">
      <w:pPr>
        <w:jc w:val="both"/>
        <w:rPr>
          <w:rFonts w:ascii="CG Omega" w:hAnsi="CG Omega"/>
          <w:color w:val="000000"/>
          <w:highlight w:val="yellow"/>
        </w:rPr>
      </w:pPr>
      <w:r w:rsidRPr="00C95598">
        <w:rPr>
          <w:rFonts w:ascii="CG Omega" w:hAnsi="CG Omega"/>
          <w:color w:val="000000"/>
        </w:rPr>
        <w:t>However, there were several census tracts within the state that tended to have higher concentrations</w:t>
      </w:r>
      <w:r w:rsidR="00C95598" w:rsidRPr="00C95598">
        <w:rPr>
          <w:rFonts w:ascii="CG Omega" w:hAnsi="CG Omega"/>
          <w:color w:val="000000"/>
        </w:rPr>
        <w:t xml:space="preserve"> of persons with disabilities</w:t>
      </w:r>
      <w:r w:rsidR="00C95598" w:rsidRPr="00C95598">
        <w:rPr>
          <w:rFonts w:ascii="CG Omega" w:hAnsi="CG Omega"/>
        </w:rPr>
        <w:t>; these were largely concentrate</w:t>
      </w:r>
      <w:r w:rsidR="00EA4494">
        <w:rPr>
          <w:rFonts w:ascii="CG Omega" w:hAnsi="CG Omega"/>
        </w:rPr>
        <w:t xml:space="preserve">d in the northwest of the state, as shown in </w:t>
      </w:r>
      <w:r w:rsidR="00EA4494" w:rsidRPr="00974E80">
        <w:rPr>
          <w:rFonts w:ascii="CG Omega" w:hAnsi="CG Omega"/>
          <w:b/>
        </w:rPr>
        <w:t>Map III.9</w:t>
      </w:r>
      <w:r w:rsidR="00EA4494">
        <w:rPr>
          <w:rFonts w:ascii="CG Omega" w:hAnsi="CG Omega"/>
        </w:rPr>
        <w:t xml:space="preserve"> on the following page.</w:t>
      </w:r>
      <w:r w:rsidR="00C95598" w:rsidRPr="00C95598">
        <w:rPr>
          <w:rFonts w:ascii="CG Omega" w:hAnsi="CG Omega"/>
        </w:rPr>
        <w:t xml:space="preserve"> In such areas between 31.2 and 54.1 percent of the population was living with some form of disability. In a large Census tract to the south of Albuquerque, more than half of the population was living with a disability. The highest proportion of residents with disabilities was observed in a large tract in the north of </w:t>
      </w:r>
      <w:r w:rsidR="0056528E" w:rsidRPr="0056528E">
        <w:rPr>
          <w:rFonts w:ascii="CG Omega" w:hAnsi="CG Omega"/>
        </w:rPr>
        <w:t>Sandoval</w:t>
      </w:r>
      <w:r w:rsidR="00C95598" w:rsidRPr="0056528E">
        <w:rPr>
          <w:rFonts w:ascii="CG Omega" w:hAnsi="CG Omega"/>
        </w:rPr>
        <w:t xml:space="preserve"> County.</w:t>
      </w:r>
      <w:r w:rsidR="00C95598" w:rsidRPr="00C95598">
        <w:rPr>
          <w:rFonts w:ascii="CG Omega" w:hAnsi="CG Omega"/>
        </w:rPr>
        <w:t xml:space="preserve"> However, the fact that 100 percent of the residents of that tract were observed to be living with a disability urges caution in interpreting these results: such “round” numbers are often based on a small number of individuals. Indeed, that tract contained fewer than 15 residents in 2000.</w:t>
      </w:r>
    </w:p>
    <w:p w:rsidR="008E2483" w:rsidRDefault="008E2483" w:rsidP="00A96824">
      <w:pPr>
        <w:widowControl w:val="0"/>
        <w:jc w:val="center"/>
        <w:rPr>
          <w:rFonts w:ascii="Arial" w:hAnsi="Arial" w:cs="Arial"/>
          <w:b/>
          <w:sz w:val="23"/>
          <w:szCs w:val="23"/>
          <w:highlight w:val="yellow"/>
        </w:rPr>
      </w:pPr>
    </w:p>
    <w:p w:rsidR="008E2483" w:rsidRDefault="008E2483" w:rsidP="00A96824">
      <w:pPr>
        <w:widowControl w:val="0"/>
        <w:jc w:val="center"/>
        <w:rPr>
          <w:rFonts w:ascii="Arial" w:hAnsi="Arial" w:cs="Arial"/>
          <w:b/>
          <w:sz w:val="23"/>
          <w:szCs w:val="23"/>
          <w:highlight w:val="yellow"/>
        </w:rPr>
      </w:pPr>
    </w:p>
    <w:p w:rsidR="001E5A07" w:rsidRDefault="001E5A07" w:rsidP="00A96824">
      <w:pPr>
        <w:widowControl w:val="0"/>
        <w:jc w:val="center"/>
        <w:rPr>
          <w:rFonts w:ascii="Arial" w:hAnsi="Arial" w:cs="Arial"/>
          <w:b/>
          <w:sz w:val="23"/>
          <w:szCs w:val="23"/>
          <w:highlight w:val="yellow"/>
        </w:rPr>
      </w:pPr>
      <w:r>
        <w:rPr>
          <w:rFonts w:ascii="Arial" w:hAnsi="Arial" w:cs="Arial"/>
          <w:b/>
          <w:sz w:val="23"/>
          <w:szCs w:val="23"/>
          <w:highlight w:val="yellow"/>
        </w:rPr>
        <w:br w:type="page"/>
      </w:r>
    </w:p>
    <w:p w:rsidR="00A96824" w:rsidRPr="001E5A07" w:rsidRDefault="001E5A07" w:rsidP="00A96824">
      <w:pPr>
        <w:widowControl w:val="0"/>
        <w:jc w:val="center"/>
        <w:rPr>
          <w:rFonts w:ascii="Arial" w:hAnsi="Arial" w:cs="Arial"/>
          <w:b/>
          <w:sz w:val="23"/>
          <w:szCs w:val="23"/>
        </w:rPr>
      </w:pPr>
      <w:r>
        <w:rPr>
          <w:rFonts w:ascii="Arial" w:hAnsi="Arial" w:cs="Arial"/>
          <w:b/>
          <w:sz w:val="23"/>
          <w:szCs w:val="23"/>
        </w:rPr>
        <w:lastRenderedPageBreak/>
        <w:t>Map III.9</w:t>
      </w:r>
    </w:p>
    <w:p w:rsidR="00A96824" w:rsidRPr="001E5A07" w:rsidRDefault="00A96824" w:rsidP="00A96824">
      <w:pPr>
        <w:widowControl w:val="0"/>
        <w:jc w:val="center"/>
        <w:rPr>
          <w:rFonts w:ascii="Arial" w:hAnsi="Arial" w:cs="Arial"/>
          <w:b/>
          <w:sz w:val="20"/>
          <w:szCs w:val="20"/>
        </w:rPr>
      </w:pPr>
      <w:r w:rsidRPr="001E5A07">
        <w:rPr>
          <w:rFonts w:ascii="Arial" w:hAnsi="Arial" w:cs="Arial"/>
          <w:b/>
          <w:sz w:val="20"/>
          <w:szCs w:val="20"/>
        </w:rPr>
        <w:t>Disability Rate by Census Tract</w:t>
      </w:r>
    </w:p>
    <w:p w:rsidR="00290BE9" w:rsidRPr="001E5A07" w:rsidRDefault="00C57ABA" w:rsidP="00290BE9">
      <w:pPr>
        <w:jc w:val="center"/>
        <w:rPr>
          <w:rFonts w:ascii="Arial" w:hAnsi="Arial" w:cs="Arial"/>
          <w:bCs/>
          <w:sz w:val="16"/>
          <w:szCs w:val="16"/>
        </w:rPr>
      </w:pPr>
      <w:r w:rsidRPr="001E5A07">
        <w:rPr>
          <w:rFonts w:ascii="Arial" w:hAnsi="Arial" w:cs="Arial"/>
          <w:bCs/>
          <w:sz w:val="16"/>
          <w:szCs w:val="16"/>
        </w:rPr>
        <w:t>State of New Mexico</w:t>
      </w:r>
    </w:p>
    <w:p w:rsidR="00A96824" w:rsidRPr="001E5A07" w:rsidRDefault="00A96824" w:rsidP="00A96824">
      <w:pPr>
        <w:widowControl w:val="0"/>
        <w:jc w:val="center"/>
      </w:pPr>
      <w:r w:rsidRPr="001E5A07">
        <w:rPr>
          <w:rFonts w:ascii="Arial" w:hAnsi="Arial" w:cs="Arial"/>
          <w:sz w:val="16"/>
          <w:szCs w:val="16"/>
        </w:rPr>
        <w:t xml:space="preserve"> 2000 Census</w:t>
      </w:r>
      <w:r w:rsidR="007B4D9D" w:rsidRPr="001E5A07">
        <w:rPr>
          <w:rFonts w:ascii="Arial" w:hAnsi="Arial" w:cs="Arial"/>
          <w:sz w:val="16"/>
          <w:szCs w:val="16"/>
        </w:rPr>
        <w:t xml:space="preserve"> Data</w:t>
      </w:r>
    </w:p>
    <w:p w:rsidR="00A96824" w:rsidRPr="00955C8C" w:rsidRDefault="001E5A07" w:rsidP="00A96824">
      <w:pPr>
        <w:jc w:val="center"/>
        <w:rPr>
          <w:rFonts w:ascii="CG Omega" w:hAnsi="CG Omega"/>
          <w:color w:val="000000"/>
          <w:highlight w:val="yellow"/>
        </w:rPr>
      </w:pPr>
      <w:r>
        <w:rPr>
          <w:noProof/>
        </w:rPr>
        <w:drawing>
          <wp:inline distT="0" distB="0" distL="0" distR="0" wp14:anchorId="76A4E5B1" wp14:editId="2F0CA047">
            <wp:extent cx="5257800" cy="6991350"/>
            <wp:effectExtent l="0" t="0" r="0" b="0"/>
            <wp:docPr id="13" name="Picture 13" descr="N:\NMMFA03\Figures\Consolidated Plan\NMMFA03_2000_Disabil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NMMFA03\Figures\Consolidated Plan\NMMFA03_2000_Disability.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5457" t="4585" r="5939" b="4460"/>
                    <a:stretch/>
                  </pic:blipFill>
                  <pic:spPr bwMode="auto">
                    <a:xfrm>
                      <a:off x="0" y="0"/>
                      <a:ext cx="5257800" cy="6991350"/>
                    </a:xfrm>
                    <a:prstGeom prst="rect">
                      <a:avLst/>
                    </a:prstGeom>
                    <a:noFill/>
                    <a:ln>
                      <a:noFill/>
                    </a:ln>
                    <a:extLst>
                      <a:ext uri="{53640926-AAD7-44D8-BBD7-CCE9431645EC}">
                        <a14:shadowObscured xmlns:a14="http://schemas.microsoft.com/office/drawing/2010/main"/>
                      </a:ext>
                    </a:extLst>
                  </pic:spPr>
                </pic:pic>
              </a:graphicData>
            </a:graphic>
          </wp:inline>
        </w:drawing>
      </w:r>
    </w:p>
    <w:p w:rsidR="00F76545" w:rsidRPr="00F81477" w:rsidRDefault="008E2483" w:rsidP="00F76545">
      <w:pPr>
        <w:pStyle w:val="PlainText"/>
        <w:jc w:val="both"/>
        <w:rPr>
          <w:rFonts w:ascii="CG Omega" w:hAnsi="CG Omega"/>
          <w:b/>
          <w:bCs/>
          <w:smallCaps/>
          <w:sz w:val="26"/>
          <w:szCs w:val="26"/>
          <w:highlight w:val="yellow"/>
        </w:rPr>
      </w:pPr>
      <w:r>
        <w:rPr>
          <w:rFonts w:ascii="CG Omega" w:hAnsi="CG Omega"/>
          <w:b/>
          <w:bCs/>
          <w:smallCaps/>
          <w:sz w:val="26"/>
          <w:szCs w:val="26"/>
          <w:highlight w:val="yellow"/>
        </w:rPr>
        <w:br w:type="page"/>
      </w:r>
      <w:r w:rsidR="00F76545" w:rsidRPr="00F81477">
        <w:rPr>
          <w:rFonts w:ascii="CG Omega" w:hAnsi="CG Omega"/>
          <w:b/>
          <w:bCs/>
          <w:smallCaps/>
          <w:sz w:val="26"/>
          <w:szCs w:val="26"/>
        </w:rPr>
        <w:lastRenderedPageBreak/>
        <w:t>Group Quarters Population</w:t>
      </w:r>
    </w:p>
    <w:p w:rsidR="00F76545" w:rsidRPr="004608D1" w:rsidRDefault="00F76545" w:rsidP="00F76545">
      <w:pPr>
        <w:pStyle w:val="BodyText"/>
        <w:tabs>
          <w:tab w:val="num" w:pos="360"/>
        </w:tabs>
        <w:rPr>
          <w:rFonts w:ascii="CG Omega" w:hAnsi="CG Omega"/>
          <w:sz w:val="16"/>
          <w:szCs w:val="16"/>
          <w:highlight w:val="yellow"/>
        </w:rPr>
      </w:pPr>
    </w:p>
    <w:p w:rsidR="00F76545" w:rsidRPr="00153878" w:rsidRDefault="00F76545" w:rsidP="00F76545">
      <w:pPr>
        <w:pStyle w:val="xl36"/>
        <w:spacing w:before="0" w:beforeAutospacing="0" w:after="0" w:afterAutospacing="0"/>
        <w:jc w:val="both"/>
        <w:rPr>
          <w:rFonts w:ascii="CG Omega" w:hAnsi="CG Omega" w:cs="Times New Roman"/>
          <w:sz w:val="24"/>
          <w:szCs w:val="24"/>
        </w:rPr>
      </w:pPr>
      <w:bookmarkStart w:id="39" w:name="group_quarters_population"/>
      <w:r w:rsidRPr="00153878">
        <w:rPr>
          <w:rFonts w:ascii="CG Omega" w:hAnsi="CG Omega" w:cs="Times New Roman"/>
          <w:sz w:val="24"/>
          <w:szCs w:val="24"/>
        </w:rPr>
        <w:t>The Census Bureau defines group quarters as “places where people live or stay in a group living arrangement, which are owned or managed by an entity or organization providing housing and/or services for the residents</w:t>
      </w:r>
      <w:r w:rsidRPr="00153878">
        <w:rPr>
          <w:rStyle w:val="FootnoteReference"/>
          <w:rFonts w:ascii="CG Omega" w:hAnsi="CG Omega" w:cs="Times New Roman"/>
          <w:sz w:val="24"/>
          <w:szCs w:val="24"/>
        </w:rPr>
        <w:footnoteReference w:id="7"/>
      </w:r>
      <w:r w:rsidRPr="00153878">
        <w:rPr>
          <w:rFonts w:ascii="CG Omega" w:hAnsi="CG Omega" w:cs="Times New Roman"/>
          <w:sz w:val="24"/>
          <w:szCs w:val="24"/>
        </w:rPr>
        <w:t>.”</w:t>
      </w:r>
      <w:r>
        <w:rPr>
          <w:rFonts w:ascii="CG Omega" w:hAnsi="CG Omega" w:cs="Times New Roman"/>
          <w:sz w:val="24"/>
          <w:szCs w:val="24"/>
        </w:rPr>
        <w:t xml:space="preserve"> The group quarters population is further divided into two overall categories:</w:t>
      </w:r>
    </w:p>
    <w:p w:rsidR="00F76545" w:rsidRPr="00866A4D" w:rsidRDefault="00F76545" w:rsidP="00F76545">
      <w:pPr>
        <w:pStyle w:val="xl36"/>
        <w:spacing w:before="0" w:beforeAutospacing="0" w:after="0" w:afterAutospacing="0"/>
        <w:jc w:val="both"/>
        <w:rPr>
          <w:rFonts w:ascii="CG Omega" w:hAnsi="CG Omega" w:cs="Times New Roman"/>
          <w:sz w:val="24"/>
          <w:szCs w:val="24"/>
          <w:highlight w:val="yellow"/>
        </w:rPr>
      </w:pPr>
    </w:p>
    <w:p w:rsidR="00F76545" w:rsidRDefault="00F76545" w:rsidP="0049477B">
      <w:pPr>
        <w:pStyle w:val="xl36"/>
        <w:numPr>
          <w:ilvl w:val="0"/>
          <w:numId w:val="12"/>
        </w:numPr>
        <w:spacing w:before="0" w:beforeAutospacing="0" w:after="0" w:afterAutospacing="0"/>
        <w:jc w:val="both"/>
        <w:rPr>
          <w:rFonts w:ascii="CG Omega" w:hAnsi="CG Omega" w:cs="Times New Roman"/>
          <w:sz w:val="24"/>
          <w:szCs w:val="24"/>
        </w:rPr>
      </w:pPr>
      <w:r w:rsidRPr="00153878">
        <w:rPr>
          <w:rFonts w:ascii="CG Omega" w:hAnsi="CG Omega" w:cs="Times New Roman"/>
          <w:b/>
          <w:sz w:val="24"/>
          <w:szCs w:val="24"/>
        </w:rPr>
        <w:t>The institutionalized population</w:t>
      </w:r>
      <w:r>
        <w:rPr>
          <w:rFonts w:ascii="CG Omega" w:hAnsi="CG Omega" w:cs="Times New Roman"/>
          <w:sz w:val="24"/>
          <w:szCs w:val="24"/>
        </w:rPr>
        <w:t xml:space="preserve"> </w:t>
      </w:r>
      <w:r w:rsidRPr="0020665B">
        <w:rPr>
          <w:rFonts w:ascii="CG Omega" w:hAnsi="CG Omega" w:cs="Times New Roman"/>
          <w:sz w:val="24"/>
          <w:szCs w:val="24"/>
        </w:rPr>
        <w:t>includes persons under formally authorized supervised care or custody, such as those living in correctional institutions, nursing homes, juvenile institutions, halfway houses, mental or psychiatric hospitals, and wards.</w:t>
      </w:r>
    </w:p>
    <w:p w:rsidR="00AF4B00" w:rsidRDefault="00F76545" w:rsidP="0049477B">
      <w:pPr>
        <w:pStyle w:val="xl36"/>
        <w:numPr>
          <w:ilvl w:val="0"/>
          <w:numId w:val="12"/>
        </w:numPr>
        <w:spacing w:before="0" w:beforeAutospacing="0" w:after="0" w:afterAutospacing="0"/>
        <w:jc w:val="both"/>
        <w:rPr>
          <w:rFonts w:ascii="CG Omega" w:hAnsi="CG Omega" w:cs="Times New Roman"/>
          <w:sz w:val="24"/>
          <w:szCs w:val="24"/>
        </w:rPr>
      </w:pPr>
      <w:r w:rsidRPr="00F76545">
        <w:rPr>
          <w:rFonts w:ascii="CG Omega" w:hAnsi="CG Omega" w:cs="Times New Roman"/>
          <w:b/>
          <w:sz w:val="24"/>
          <w:szCs w:val="24"/>
        </w:rPr>
        <w:t>The non-institutionalized population</w:t>
      </w:r>
      <w:r w:rsidRPr="00F76545">
        <w:rPr>
          <w:rFonts w:ascii="CG Omega" w:hAnsi="CG Omega" w:cs="Times New Roman"/>
          <w:sz w:val="24"/>
          <w:szCs w:val="24"/>
        </w:rPr>
        <w:t xml:space="preserve"> includes persons who live in group quarters other than institutions, such as college dormitories, military quarters or group homes. </w:t>
      </w:r>
      <w:bookmarkEnd w:id="39"/>
      <w:r w:rsidRPr="00F76545">
        <w:rPr>
          <w:rFonts w:ascii="CG Omega" w:hAnsi="CG Omega" w:cs="Times New Roman"/>
          <w:sz w:val="24"/>
          <w:szCs w:val="24"/>
        </w:rPr>
        <w:t xml:space="preserve"> These latter settings include community-based homes that provide care and supportive services, such as those with alcohol and drug addictions.  This particular category also includes emergency and transitional shelters for the homeless</w:t>
      </w:r>
      <w:r>
        <w:rPr>
          <w:rFonts w:ascii="CG Omega" w:hAnsi="CG Omega" w:cs="Times New Roman"/>
          <w:sz w:val="24"/>
          <w:szCs w:val="24"/>
        </w:rPr>
        <w:t>.</w:t>
      </w:r>
      <w:r w:rsidR="003461B0">
        <w:rPr>
          <w:rStyle w:val="FootnoteReference"/>
          <w:rFonts w:ascii="CG Omega" w:hAnsi="CG Omega" w:cs="Times New Roman"/>
          <w:sz w:val="24"/>
          <w:szCs w:val="24"/>
        </w:rPr>
        <w:footnoteReference w:id="8"/>
      </w:r>
    </w:p>
    <w:p w:rsidR="00004566" w:rsidRPr="00866A4D" w:rsidRDefault="00004566" w:rsidP="00F76545">
      <w:pPr>
        <w:pStyle w:val="xl36"/>
        <w:spacing w:before="0" w:beforeAutospacing="0" w:after="0" w:afterAutospacing="0"/>
        <w:jc w:val="both"/>
        <w:rPr>
          <w:rFonts w:ascii="CG Omega" w:hAnsi="CG Omega" w:cs="Times New Roman"/>
          <w:sz w:val="24"/>
          <w:szCs w:val="24"/>
        </w:rPr>
      </w:pPr>
    </w:p>
    <w:p w:rsidR="00F76545" w:rsidRDefault="003461B0" w:rsidP="00F76545">
      <w:pPr>
        <w:pStyle w:val="xl36"/>
        <w:spacing w:before="0" w:beforeAutospacing="0" w:after="0" w:afterAutospacing="0"/>
        <w:jc w:val="both"/>
        <w:rPr>
          <w:rFonts w:ascii="CG Omega" w:hAnsi="CG Omega" w:cs="Times New Roman"/>
          <w:sz w:val="24"/>
          <w:szCs w:val="24"/>
          <w:highlight w:val="yellow"/>
        </w:rPr>
      </w:pPr>
      <w:r>
        <w:rPr>
          <w:rFonts w:ascii="CG Omega" w:hAnsi="CG Omega" w:cs="Times New Roman"/>
          <w:sz w:val="24"/>
          <w:szCs w:val="24"/>
        </w:rPr>
        <w:t>The number of residents living in group quarters in New Mexico rose from 36,607 in 2000 to 42,629 in 2010. Much of this growth was driven by the rising number of New Mexicans interned in correctional facilities over the decade. By contrast, the share of New Mexicans living in non-institutional settings fell over the d</w:t>
      </w:r>
      <w:r w:rsidR="00222B65">
        <w:rPr>
          <w:rFonts w:ascii="CG Omega" w:hAnsi="CG Omega" w:cs="Times New Roman"/>
          <w:sz w:val="24"/>
          <w:szCs w:val="24"/>
        </w:rPr>
        <w:t>ecade, due to</w:t>
      </w:r>
      <w:r>
        <w:rPr>
          <w:rFonts w:ascii="CG Omega" w:hAnsi="CG Omega" w:cs="Times New Roman"/>
          <w:sz w:val="24"/>
          <w:szCs w:val="24"/>
        </w:rPr>
        <w:t xml:space="preserve"> reductions in the number of residents living in military quarters and “other noninstitutionalized”</w:t>
      </w:r>
      <w:r w:rsidR="00425EFC">
        <w:rPr>
          <w:rFonts w:ascii="CG Omega" w:hAnsi="CG Omega" w:cs="Times New Roman"/>
          <w:sz w:val="24"/>
          <w:szCs w:val="24"/>
        </w:rPr>
        <w:t xml:space="preserve"> settings, as s</w:t>
      </w:r>
      <w:r w:rsidR="002B6E94" w:rsidRPr="00B52F42">
        <w:rPr>
          <w:rFonts w:ascii="CG Omega" w:hAnsi="CG Omega" w:cs="Times New Roman"/>
          <w:sz w:val="24"/>
          <w:szCs w:val="24"/>
        </w:rPr>
        <w:t>ee</w:t>
      </w:r>
      <w:r w:rsidR="00425EFC">
        <w:rPr>
          <w:rFonts w:ascii="CG Omega" w:hAnsi="CG Omega" w:cs="Times New Roman"/>
          <w:sz w:val="24"/>
          <w:szCs w:val="24"/>
        </w:rPr>
        <w:t>n in</w:t>
      </w:r>
      <w:r w:rsidR="002B6E94" w:rsidRPr="00B52F42">
        <w:rPr>
          <w:rFonts w:ascii="CG Omega" w:hAnsi="CG Omega" w:cs="Times New Roman"/>
          <w:sz w:val="24"/>
          <w:szCs w:val="24"/>
        </w:rPr>
        <w:t xml:space="preserve"> </w:t>
      </w:r>
      <w:r w:rsidR="002B6E94" w:rsidRPr="00866A4D">
        <w:rPr>
          <w:rFonts w:ascii="CG Omega" w:hAnsi="CG Omega" w:cs="Times New Roman"/>
          <w:b/>
          <w:sz w:val="24"/>
          <w:szCs w:val="24"/>
        </w:rPr>
        <w:t>Table III.9</w:t>
      </w:r>
      <w:r w:rsidR="00425EFC">
        <w:rPr>
          <w:rFonts w:ascii="CG Omega" w:hAnsi="CG Omega" w:cs="Times New Roman"/>
          <w:sz w:val="24"/>
          <w:szCs w:val="24"/>
        </w:rPr>
        <w:t>,</w:t>
      </w:r>
      <w:r w:rsidR="00DA2EA8" w:rsidRPr="00B52F42">
        <w:rPr>
          <w:rFonts w:ascii="CG Omega" w:hAnsi="CG Omega" w:cs="Times New Roman"/>
          <w:sz w:val="24"/>
          <w:szCs w:val="24"/>
        </w:rPr>
        <w:t xml:space="preserve"> below</w:t>
      </w:r>
      <w:r w:rsidR="00DA2EA8">
        <w:rPr>
          <w:rFonts w:ascii="CG Omega" w:hAnsi="CG Omega" w:cs="Times New Roman"/>
          <w:sz w:val="24"/>
          <w:szCs w:val="24"/>
        </w:rPr>
        <w:t>.</w:t>
      </w:r>
    </w:p>
    <w:p w:rsidR="00743FC9" w:rsidRPr="00866A4D" w:rsidRDefault="00743FC9" w:rsidP="00F76545">
      <w:pPr>
        <w:pStyle w:val="xl36"/>
        <w:spacing w:before="0" w:beforeAutospacing="0" w:after="0" w:afterAutospacing="0"/>
        <w:jc w:val="both"/>
        <w:rPr>
          <w:rFonts w:ascii="CG Omega" w:hAnsi="CG Omega" w:cs="Times New Roman"/>
          <w:sz w:val="24"/>
          <w:szCs w:val="24"/>
          <w:highlight w:val="yellow"/>
        </w:rPr>
      </w:pPr>
    </w:p>
    <w:tbl>
      <w:tblPr>
        <w:tblW w:w="7129" w:type="dxa"/>
        <w:jc w:val="center"/>
        <w:tblLook w:val="04A0" w:firstRow="1" w:lastRow="0" w:firstColumn="1" w:lastColumn="0" w:noHBand="0" w:noVBand="1"/>
      </w:tblPr>
      <w:tblGrid>
        <w:gridCol w:w="1953"/>
        <w:gridCol w:w="1080"/>
        <w:gridCol w:w="990"/>
        <w:gridCol w:w="1080"/>
        <w:gridCol w:w="990"/>
        <w:gridCol w:w="1036"/>
      </w:tblGrid>
      <w:tr w:rsidR="00AF4B00" w:rsidRPr="00AF4B00" w:rsidTr="00AF4B00">
        <w:trPr>
          <w:trHeight w:val="216"/>
          <w:jc w:val="center"/>
        </w:trPr>
        <w:tc>
          <w:tcPr>
            <w:tcW w:w="7129" w:type="dxa"/>
            <w:gridSpan w:val="6"/>
            <w:tcBorders>
              <w:bottom w:val="single" w:sz="4" w:space="0" w:color="009900"/>
            </w:tcBorders>
            <w:shd w:val="clear" w:color="000000" w:fill="auto"/>
            <w:noWrap/>
            <w:vAlign w:val="center"/>
            <w:hideMark/>
          </w:tcPr>
          <w:p w:rsidR="00AF4B00" w:rsidRPr="00AF4B00" w:rsidRDefault="00AF4B00" w:rsidP="00AF4B00">
            <w:pPr>
              <w:keepNext/>
              <w:jc w:val="center"/>
              <w:rPr>
                <w:rFonts w:ascii="Arial" w:eastAsia="Calibri" w:hAnsi="Arial"/>
                <w:b/>
                <w:bCs/>
                <w:color w:val="000000"/>
                <w:sz w:val="22"/>
                <w:szCs w:val="18"/>
              </w:rPr>
            </w:pPr>
            <w:r w:rsidRPr="00AF4B00">
              <w:rPr>
                <w:rFonts w:ascii="Arial" w:eastAsia="Calibri" w:hAnsi="Arial"/>
                <w:b/>
                <w:bCs/>
                <w:color w:val="000000"/>
                <w:sz w:val="22"/>
                <w:szCs w:val="18"/>
              </w:rPr>
              <w:t xml:space="preserve">Table </w:t>
            </w:r>
            <w:r w:rsidR="002B6E94">
              <w:rPr>
                <w:rFonts w:ascii="Arial" w:eastAsia="Calibri" w:hAnsi="Arial"/>
                <w:b/>
                <w:bCs/>
                <w:color w:val="000000"/>
                <w:sz w:val="22"/>
                <w:szCs w:val="18"/>
              </w:rPr>
              <w:t>III.9</w:t>
            </w:r>
          </w:p>
          <w:p w:rsidR="00AF4B00" w:rsidRPr="00AF4B00" w:rsidRDefault="00AF4B00" w:rsidP="00AF4B00">
            <w:pPr>
              <w:keepNext/>
              <w:keepLines/>
              <w:suppressAutoHyphens/>
              <w:jc w:val="center"/>
              <w:rPr>
                <w:rFonts w:ascii="Arial" w:eastAsia="Calibri" w:hAnsi="Arial"/>
                <w:b/>
                <w:sz w:val="20"/>
                <w:szCs w:val="23"/>
              </w:rPr>
            </w:pPr>
            <w:r w:rsidRPr="00AF4B00">
              <w:rPr>
                <w:rFonts w:ascii="Arial" w:eastAsia="Calibri" w:hAnsi="Arial"/>
                <w:b/>
                <w:sz w:val="20"/>
                <w:szCs w:val="23"/>
              </w:rPr>
              <w:t>Group Quarters Population</w:t>
            </w:r>
          </w:p>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State of New Mexico</w:t>
            </w:r>
          </w:p>
          <w:p w:rsidR="00AF4B00" w:rsidRPr="00AF4B00" w:rsidRDefault="00AF4B00" w:rsidP="00AF4B00">
            <w:pPr>
              <w:suppressAutoHyphens/>
              <w:jc w:val="center"/>
              <w:rPr>
                <w:rFonts w:ascii="Arial" w:eastAsia="Calibri" w:hAnsi="Arial"/>
                <w:b/>
                <w:bCs/>
                <w:sz w:val="16"/>
                <w:szCs w:val="23"/>
              </w:rPr>
            </w:pPr>
            <w:r w:rsidRPr="00AF4B00">
              <w:rPr>
                <w:rFonts w:ascii="Arial" w:eastAsia="Calibri" w:hAnsi="Arial"/>
                <w:sz w:val="16"/>
                <w:szCs w:val="23"/>
              </w:rPr>
              <w:t>2000 &amp; 2010 Census SF1 Data</w:t>
            </w:r>
          </w:p>
        </w:tc>
      </w:tr>
      <w:tr w:rsidR="00AF4B00" w:rsidRPr="00AF4B00" w:rsidTr="00AF4B00">
        <w:trPr>
          <w:trHeight w:val="216"/>
          <w:jc w:val="center"/>
        </w:trPr>
        <w:tc>
          <w:tcPr>
            <w:tcW w:w="1953" w:type="dxa"/>
            <w:vMerge w:val="restart"/>
            <w:tcBorders>
              <w:top w:val="single" w:sz="4" w:space="0" w:color="009900"/>
              <w:left w:val="single" w:sz="4" w:space="0" w:color="008000"/>
              <w:right w:val="nil"/>
            </w:tcBorders>
            <w:shd w:val="clear" w:color="000000" w:fill="FFFFE1"/>
            <w:noWrap/>
            <w:vAlign w:val="center"/>
            <w:hideMark/>
          </w:tcPr>
          <w:p w:rsidR="00AF4B00" w:rsidRPr="00AF4B00" w:rsidRDefault="00AF4B00" w:rsidP="00AF4B00">
            <w:pPr>
              <w:suppressAutoHyphens/>
              <w:rPr>
                <w:rFonts w:ascii="Arial" w:eastAsia="Calibri" w:hAnsi="Arial"/>
                <w:b/>
                <w:sz w:val="16"/>
                <w:szCs w:val="23"/>
              </w:rPr>
            </w:pPr>
            <w:r w:rsidRPr="00AF4B00">
              <w:rPr>
                <w:rFonts w:ascii="Arial" w:eastAsia="Calibri" w:hAnsi="Arial"/>
                <w:b/>
                <w:sz w:val="16"/>
                <w:szCs w:val="23"/>
              </w:rPr>
              <w:t>Group Quarters Type</w:t>
            </w:r>
          </w:p>
        </w:tc>
        <w:tc>
          <w:tcPr>
            <w:tcW w:w="2070" w:type="dxa"/>
            <w:gridSpan w:val="2"/>
            <w:tcBorders>
              <w:top w:val="single" w:sz="4" w:space="0" w:color="009900"/>
              <w:left w:val="nil"/>
              <w:bottom w:val="dotted" w:sz="4" w:space="0" w:color="0080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b/>
                <w:sz w:val="16"/>
                <w:szCs w:val="23"/>
              </w:rPr>
            </w:pPr>
            <w:r w:rsidRPr="00AF4B00">
              <w:rPr>
                <w:rFonts w:ascii="Arial" w:eastAsia="Calibri" w:hAnsi="Arial"/>
                <w:b/>
                <w:sz w:val="16"/>
                <w:szCs w:val="23"/>
              </w:rPr>
              <w:t>2000 Census</w:t>
            </w:r>
          </w:p>
        </w:tc>
        <w:tc>
          <w:tcPr>
            <w:tcW w:w="2070" w:type="dxa"/>
            <w:gridSpan w:val="2"/>
            <w:tcBorders>
              <w:top w:val="single" w:sz="4" w:space="0" w:color="009900"/>
              <w:left w:val="nil"/>
              <w:bottom w:val="dotted" w:sz="4" w:space="0" w:color="008000"/>
              <w:right w:val="dotted" w:sz="4" w:space="0" w:color="008000"/>
            </w:tcBorders>
            <w:shd w:val="clear" w:color="000000" w:fill="FFFFE1"/>
            <w:noWrap/>
            <w:vAlign w:val="center"/>
            <w:hideMark/>
          </w:tcPr>
          <w:p w:rsidR="00AF4B00" w:rsidRPr="00AF4B00" w:rsidRDefault="00AF4B00" w:rsidP="00AF4B00">
            <w:pPr>
              <w:suppressAutoHyphens/>
              <w:jc w:val="center"/>
              <w:rPr>
                <w:rFonts w:ascii="Arial" w:eastAsia="Calibri" w:hAnsi="Arial"/>
                <w:b/>
                <w:sz w:val="16"/>
                <w:szCs w:val="23"/>
              </w:rPr>
            </w:pPr>
            <w:r w:rsidRPr="00AF4B00">
              <w:rPr>
                <w:rFonts w:ascii="Arial" w:eastAsia="Calibri" w:hAnsi="Arial"/>
                <w:b/>
                <w:sz w:val="16"/>
                <w:szCs w:val="23"/>
              </w:rPr>
              <w:t>2010 Census</w:t>
            </w:r>
          </w:p>
        </w:tc>
        <w:tc>
          <w:tcPr>
            <w:tcW w:w="1036" w:type="dxa"/>
            <w:vMerge w:val="restart"/>
            <w:tcBorders>
              <w:top w:val="single" w:sz="4" w:space="0" w:color="009900"/>
              <w:left w:val="dotted" w:sz="4" w:space="0" w:color="008000"/>
              <w:bottom w:val="single" w:sz="8" w:space="0" w:color="008000"/>
              <w:right w:val="single" w:sz="4" w:space="0" w:color="008000"/>
            </w:tcBorders>
            <w:shd w:val="clear" w:color="000000" w:fill="FFFFE1"/>
            <w:vAlign w:val="center"/>
            <w:hideMark/>
          </w:tcPr>
          <w:p w:rsidR="00AF4B00" w:rsidRPr="00AF4B00" w:rsidRDefault="00AF4B00" w:rsidP="00AF4B00">
            <w:pPr>
              <w:suppressAutoHyphens/>
              <w:jc w:val="center"/>
              <w:rPr>
                <w:rFonts w:ascii="Arial" w:eastAsia="Calibri" w:hAnsi="Arial"/>
                <w:b/>
                <w:sz w:val="16"/>
                <w:szCs w:val="23"/>
              </w:rPr>
            </w:pPr>
            <w:r w:rsidRPr="00AF4B00">
              <w:rPr>
                <w:rFonts w:ascii="Arial" w:eastAsia="Calibri" w:hAnsi="Arial"/>
                <w:b/>
                <w:sz w:val="16"/>
                <w:szCs w:val="23"/>
              </w:rPr>
              <w:t>% Change 00–10</w:t>
            </w:r>
          </w:p>
        </w:tc>
      </w:tr>
      <w:tr w:rsidR="00AF4B00" w:rsidRPr="00AF4B00" w:rsidTr="00AF4B00">
        <w:trPr>
          <w:trHeight w:val="216"/>
          <w:jc w:val="center"/>
        </w:trPr>
        <w:tc>
          <w:tcPr>
            <w:tcW w:w="1953" w:type="dxa"/>
            <w:vMerge/>
            <w:tcBorders>
              <w:left w:val="single" w:sz="4" w:space="0" w:color="008000"/>
              <w:bottom w:val="single" w:sz="4" w:space="0" w:color="008000"/>
              <w:right w:val="nil"/>
            </w:tcBorders>
            <w:shd w:val="clear" w:color="000000" w:fill="FFFFE1"/>
            <w:noWrap/>
            <w:vAlign w:val="center"/>
            <w:hideMark/>
          </w:tcPr>
          <w:p w:rsidR="00AF4B00" w:rsidRPr="00AF4B00" w:rsidRDefault="00AF4B00" w:rsidP="00AF4B00">
            <w:pPr>
              <w:suppressAutoHyphens/>
              <w:rPr>
                <w:rFonts w:ascii="Arial" w:eastAsia="Calibri" w:hAnsi="Arial"/>
                <w:b/>
                <w:sz w:val="16"/>
                <w:szCs w:val="23"/>
              </w:rPr>
            </w:pPr>
          </w:p>
        </w:tc>
        <w:tc>
          <w:tcPr>
            <w:tcW w:w="1080" w:type="dxa"/>
            <w:tcBorders>
              <w:top w:val="nil"/>
              <w:left w:val="nil"/>
              <w:bottom w:val="single" w:sz="4" w:space="0" w:color="0080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b/>
                <w:sz w:val="16"/>
                <w:szCs w:val="23"/>
              </w:rPr>
            </w:pPr>
            <w:r w:rsidRPr="00AF4B00">
              <w:rPr>
                <w:rFonts w:ascii="Arial" w:eastAsia="Calibri" w:hAnsi="Arial"/>
                <w:b/>
                <w:sz w:val="16"/>
                <w:szCs w:val="23"/>
              </w:rPr>
              <w:t>Population</w:t>
            </w:r>
          </w:p>
        </w:tc>
        <w:tc>
          <w:tcPr>
            <w:tcW w:w="990" w:type="dxa"/>
            <w:tcBorders>
              <w:top w:val="nil"/>
              <w:left w:val="nil"/>
              <w:bottom w:val="single" w:sz="4" w:space="0" w:color="0080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b/>
                <w:sz w:val="16"/>
                <w:szCs w:val="23"/>
              </w:rPr>
            </w:pPr>
            <w:r w:rsidRPr="00AF4B00">
              <w:rPr>
                <w:rFonts w:ascii="Arial" w:eastAsia="Calibri" w:hAnsi="Arial"/>
                <w:b/>
                <w:sz w:val="16"/>
                <w:szCs w:val="23"/>
              </w:rPr>
              <w:t>% of Total</w:t>
            </w:r>
          </w:p>
        </w:tc>
        <w:tc>
          <w:tcPr>
            <w:tcW w:w="1080" w:type="dxa"/>
            <w:tcBorders>
              <w:top w:val="nil"/>
              <w:left w:val="nil"/>
              <w:bottom w:val="single" w:sz="4" w:space="0" w:color="0080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b/>
                <w:sz w:val="16"/>
                <w:szCs w:val="23"/>
              </w:rPr>
            </w:pPr>
            <w:r w:rsidRPr="00AF4B00">
              <w:rPr>
                <w:rFonts w:ascii="Arial" w:eastAsia="Calibri" w:hAnsi="Arial"/>
                <w:b/>
                <w:sz w:val="16"/>
                <w:szCs w:val="23"/>
              </w:rPr>
              <w:t>Population</w:t>
            </w:r>
          </w:p>
        </w:tc>
        <w:tc>
          <w:tcPr>
            <w:tcW w:w="990" w:type="dxa"/>
            <w:tcBorders>
              <w:top w:val="nil"/>
              <w:left w:val="nil"/>
              <w:bottom w:val="single" w:sz="4" w:space="0" w:color="008000"/>
              <w:right w:val="dotted" w:sz="4" w:space="0" w:color="008000"/>
            </w:tcBorders>
            <w:shd w:val="clear" w:color="000000" w:fill="FFFFE1"/>
            <w:noWrap/>
            <w:vAlign w:val="center"/>
            <w:hideMark/>
          </w:tcPr>
          <w:p w:rsidR="00AF4B00" w:rsidRPr="00AF4B00" w:rsidRDefault="00AF4B00" w:rsidP="00AF4B00">
            <w:pPr>
              <w:suppressAutoHyphens/>
              <w:jc w:val="center"/>
              <w:rPr>
                <w:rFonts w:ascii="Arial" w:eastAsia="Calibri" w:hAnsi="Arial"/>
                <w:b/>
                <w:sz w:val="16"/>
                <w:szCs w:val="23"/>
              </w:rPr>
            </w:pPr>
            <w:r w:rsidRPr="00AF4B00">
              <w:rPr>
                <w:rFonts w:ascii="Arial" w:eastAsia="Calibri" w:hAnsi="Arial"/>
                <w:b/>
                <w:sz w:val="16"/>
                <w:szCs w:val="23"/>
              </w:rPr>
              <w:t>% of Total</w:t>
            </w:r>
          </w:p>
        </w:tc>
        <w:tc>
          <w:tcPr>
            <w:tcW w:w="1036" w:type="dxa"/>
            <w:vMerge/>
            <w:tcBorders>
              <w:top w:val="nil"/>
              <w:left w:val="dotted" w:sz="4" w:space="0" w:color="008000"/>
              <w:bottom w:val="single" w:sz="4" w:space="0" w:color="008000"/>
              <w:right w:val="single" w:sz="4" w:space="0" w:color="008000"/>
            </w:tcBorders>
            <w:vAlign w:val="center"/>
            <w:hideMark/>
          </w:tcPr>
          <w:p w:rsidR="00AF4B00" w:rsidRPr="00AF4B00" w:rsidRDefault="00AF4B00" w:rsidP="00AF4B00">
            <w:pPr>
              <w:suppressAutoHyphens/>
              <w:jc w:val="center"/>
              <w:rPr>
                <w:rFonts w:ascii="Arial" w:eastAsia="Calibri" w:hAnsi="Arial"/>
                <w:b/>
                <w:sz w:val="16"/>
                <w:szCs w:val="23"/>
              </w:rPr>
            </w:pPr>
          </w:p>
        </w:tc>
      </w:tr>
      <w:tr w:rsidR="00AF4B00" w:rsidRPr="00AF4B00" w:rsidTr="00AF4B00">
        <w:trPr>
          <w:trHeight w:val="216"/>
          <w:jc w:val="center"/>
        </w:trPr>
        <w:tc>
          <w:tcPr>
            <w:tcW w:w="7129" w:type="dxa"/>
            <w:gridSpan w:val="6"/>
            <w:tcBorders>
              <w:top w:val="single" w:sz="4" w:space="0" w:color="008000"/>
              <w:left w:val="single" w:sz="4" w:space="0" w:color="008000"/>
              <w:bottom w:val="dotted" w:sz="4" w:space="0" w:color="008000"/>
              <w:right w:val="single" w:sz="4" w:space="0" w:color="008000"/>
            </w:tcBorders>
            <w:shd w:val="clear" w:color="000000" w:fill="FFFFE1"/>
            <w:noWrap/>
            <w:vAlign w:val="center"/>
            <w:hideMark/>
          </w:tcPr>
          <w:p w:rsidR="00AF4B00" w:rsidRPr="00AF4B00" w:rsidRDefault="00AF4B00" w:rsidP="00AF4B00">
            <w:pPr>
              <w:suppressAutoHyphens/>
              <w:jc w:val="center"/>
              <w:rPr>
                <w:rFonts w:ascii="Arial" w:eastAsia="Calibri" w:hAnsi="Arial"/>
                <w:b/>
                <w:sz w:val="16"/>
                <w:szCs w:val="23"/>
              </w:rPr>
            </w:pPr>
            <w:r w:rsidRPr="00AF4B00">
              <w:rPr>
                <w:rFonts w:ascii="Arial" w:eastAsia="Calibri" w:hAnsi="Arial"/>
                <w:b/>
                <w:sz w:val="16"/>
                <w:szCs w:val="23"/>
              </w:rPr>
              <w:t>Institutionalized</w:t>
            </w:r>
          </w:p>
        </w:tc>
      </w:tr>
      <w:tr w:rsidR="00AF4B00" w:rsidRPr="00AF4B00" w:rsidTr="00AF4B00">
        <w:trPr>
          <w:trHeight w:val="216"/>
          <w:jc w:val="center"/>
        </w:trPr>
        <w:tc>
          <w:tcPr>
            <w:tcW w:w="1953" w:type="dxa"/>
            <w:tcBorders>
              <w:top w:val="nil"/>
              <w:left w:val="single" w:sz="4" w:space="0" w:color="008000"/>
              <w:bottom w:val="nil"/>
              <w:right w:val="nil"/>
            </w:tcBorders>
            <w:shd w:val="clear" w:color="000000" w:fill="FFFFE1"/>
            <w:noWrap/>
            <w:vAlign w:val="center"/>
            <w:hideMark/>
          </w:tcPr>
          <w:p w:rsidR="00AF4B00" w:rsidRPr="00AF4B00" w:rsidRDefault="00AF4B00" w:rsidP="00AF4B00">
            <w:pPr>
              <w:suppressAutoHyphens/>
              <w:rPr>
                <w:rFonts w:ascii="Arial" w:eastAsia="Calibri" w:hAnsi="Arial"/>
                <w:sz w:val="16"/>
                <w:szCs w:val="23"/>
              </w:rPr>
            </w:pPr>
            <w:r w:rsidRPr="00AF4B00">
              <w:rPr>
                <w:rFonts w:ascii="Arial" w:eastAsia="Calibri" w:hAnsi="Arial"/>
                <w:sz w:val="16"/>
                <w:szCs w:val="23"/>
              </w:rPr>
              <w:t>Correctional Institutions</w:t>
            </w:r>
          </w:p>
        </w:tc>
        <w:tc>
          <w:tcPr>
            <w:tcW w:w="1080"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10,940</w:t>
            </w:r>
          </w:p>
        </w:tc>
        <w:tc>
          <w:tcPr>
            <w:tcW w:w="990"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57.0</w:t>
            </w:r>
            <w:r w:rsidRPr="00AF4B00">
              <w:rPr>
                <w:rFonts w:ascii="Arial" w:eastAsia="Calibri" w:hAnsi="Arial"/>
                <w:sz w:val="16"/>
                <w:szCs w:val="23"/>
              </w:rPr>
              <w:t>%</w:t>
            </w:r>
          </w:p>
        </w:tc>
        <w:tc>
          <w:tcPr>
            <w:tcW w:w="1080"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17,907</w:t>
            </w:r>
          </w:p>
        </w:tc>
        <w:tc>
          <w:tcPr>
            <w:tcW w:w="990" w:type="dxa"/>
            <w:tcBorders>
              <w:top w:val="nil"/>
              <w:left w:val="nil"/>
              <w:bottom w:val="nil"/>
              <w:right w:val="dotted" w:sz="4" w:space="0" w:color="008000"/>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70.9</w:t>
            </w:r>
            <w:r w:rsidRPr="00AF4B00">
              <w:rPr>
                <w:rFonts w:ascii="Arial" w:eastAsia="Calibri" w:hAnsi="Arial"/>
                <w:sz w:val="16"/>
                <w:szCs w:val="23"/>
              </w:rPr>
              <w:t>%</w:t>
            </w:r>
          </w:p>
        </w:tc>
        <w:tc>
          <w:tcPr>
            <w:tcW w:w="1036" w:type="dxa"/>
            <w:tcBorders>
              <w:top w:val="nil"/>
              <w:left w:val="dotted" w:sz="4" w:space="0" w:color="008000"/>
              <w:bottom w:val="nil"/>
              <w:right w:val="single" w:sz="4" w:space="0" w:color="008000"/>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63.7</w:t>
            </w:r>
            <w:r w:rsidRPr="00AF4B00">
              <w:rPr>
                <w:rFonts w:ascii="Arial" w:eastAsia="Calibri" w:hAnsi="Arial"/>
                <w:sz w:val="16"/>
                <w:szCs w:val="23"/>
              </w:rPr>
              <w:t>%</w:t>
            </w:r>
          </w:p>
        </w:tc>
      </w:tr>
      <w:tr w:rsidR="00AF4B00" w:rsidRPr="00AF4B00" w:rsidTr="00AF4B00">
        <w:trPr>
          <w:trHeight w:val="216"/>
          <w:jc w:val="center"/>
        </w:trPr>
        <w:tc>
          <w:tcPr>
            <w:tcW w:w="1953" w:type="dxa"/>
            <w:tcBorders>
              <w:top w:val="nil"/>
              <w:left w:val="single" w:sz="4" w:space="0" w:color="008000"/>
              <w:bottom w:val="nil"/>
              <w:right w:val="nil"/>
            </w:tcBorders>
            <w:shd w:val="clear" w:color="000000" w:fill="FFFFE1"/>
            <w:noWrap/>
            <w:vAlign w:val="center"/>
            <w:hideMark/>
          </w:tcPr>
          <w:p w:rsidR="00AF4B00" w:rsidRPr="00AF4B00" w:rsidRDefault="00AF4B00" w:rsidP="00AF4B00">
            <w:pPr>
              <w:suppressAutoHyphens/>
              <w:rPr>
                <w:rFonts w:ascii="Arial" w:eastAsia="Calibri" w:hAnsi="Arial"/>
                <w:sz w:val="16"/>
                <w:szCs w:val="23"/>
              </w:rPr>
            </w:pPr>
            <w:r w:rsidRPr="00AF4B00">
              <w:rPr>
                <w:rFonts w:ascii="Arial" w:eastAsia="Calibri" w:hAnsi="Arial"/>
                <w:sz w:val="16"/>
                <w:szCs w:val="23"/>
              </w:rPr>
              <w:t>Juvenile Facilities</w:t>
            </w:r>
          </w:p>
        </w:tc>
        <w:tc>
          <w:tcPr>
            <w:tcW w:w="1080"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sz w:val="16"/>
                <w:szCs w:val="23"/>
              </w:rPr>
              <w:t>.</w:t>
            </w:r>
          </w:p>
        </w:tc>
        <w:tc>
          <w:tcPr>
            <w:tcW w:w="990"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sz w:val="16"/>
                <w:szCs w:val="23"/>
              </w:rPr>
              <w:t>.</w:t>
            </w:r>
          </w:p>
        </w:tc>
        <w:tc>
          <w:tcPr>
            <w:tcW w:w="1080"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1,078</w:t>
            </w:r>
          </w:p>
        </w:tc>
        <w:tc>
          <w:tcPr>
            <w:tcW w:w="990" w:type="dxa"/>
            <w:tcBorders>
              <w:top w:val="nil"/>
              <w:left w:val="nil"/>
              <w:bottom w:val="nil"/>
              <w:right w:val="dotted" w:sz="4" w:space="0" w:color="008000"/>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4.3</w:t>
            </w:r>
            <w:r w:rsidRPr="00AF4B00">
              <w:rPr>
                <w:rFonts w:ascii="Arial" w:eastAsia="Calibri" w:hAnsi="Arial"/>
                <w:sz w:val="16"/>
                <w:szCs w:val="23"/>
              </w:rPr>
              <w:t>%</w:t>
            </w:r>
          </w:p>
        </w:tc>
        <w:tc>
          <w:tcPr>
            <w:tcW w:w="1036" w:type="dxa"/>
            <w:tcBorders>
              <w:top w:val="nil"/>
              <w:left w:val="dotted" w:sz="4" w:space="0" w:color="008000"/>
              <w:bottom w:val="nil"/>
              <w:right w:val="single" w:sz="4" w:space="0" w:color="008000"/>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sz w:val="16"/>
                <w:szCs w:val="23"/>
              </w:rPr>
              <w:t>.</w:t>
            </w:r>
          </w:p>
        </w:tc>
      </w:tr>
      <w:tr w:rsidR="00AF4B00" w:rsidRPr="00AF4B00" w:rsidTr="00AF4B00">
        <w:trPr>
          <w:trHeight w:val="216"/>
          <w:jc w:val="center"/>
        </w:trPr>
        <w:tc>
          <w:tcPr>
            <w:tcW w:w="1953" w:type="dxa"/>
            <w:tcBorders>
              <w:top w:val="nil"/>
              <w:left w:val="single" w:sz="4" w:space="0" w:color="008000"/>
              <w:bottom w:val="nil"/>
              <w:right w:val="nil"/>
            </w:tcBorders>
            <w:shd w:val="clear" w:color="000000" w:fill="FFFFE1"/>
            <w:noWrap/>
            <w:vAlign w:val="center"/>
            <w:hideMark/>
          </w:tcPr>
          <w:p w:rsidR="00AF4B00" w:rsidRPr="00AF4B00" w:rsidRDefault="00AF4B00" w:rsidP="00AF4B00">
            <w:pPr>
              <w:suppressAutoHyphens/>
              <w:rPr>
                <w:rFonts w:ascii="Arial" w:eastAsia="Calibri" w:hAnsi="Arial"/>
                <w:sz w:val="16"/>
                <w:szCs w:val="23"/>
              </w:rPr>
            </w:pPr>
            <w:r w:rsidRPr="00AF4B00">
              <w:rPr>
                <w:rFonts w:ascii="Arial" w:eastAsia="Calibri" w:hAnsi="Arial"/>
                <w:sz w:val="16"/>
                <w:szCs w:val="23"/>
              </w:rPr>
              <w:t>Nursing Homes</w:t>
            </w:r>
          </w:p>
        </w:tc>
        <w:tc>
          <w:tcPr>
            <w:tcW w:w="1080"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6,810</w:t>
            </w:r>
          </w:p>
        </w:tc>
        <w:tc>
          <w:tcPr>
            <w:tcW w:w="990"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35.5</w:t>
            </w:r>
            <w:r w:rsidRPr="00AF4B00">
              <w:rPr>
                <w:rFonts w:ascii="Arial" w:eastAsia="Calibri" w:hAnsi="Arial"/>
                <w:sz w:val="16"/>
                <w:szCs w:val="23"/>
              </w:rPr>
              <w:t>%</w:t>
            </w:r>
          </w:p>
        </w:tc>
        <w:tc>
          <w:tcPr>
            <w:tcW w:w="1080"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5,567</w:t>
            </w:r>
          </w:p>
        </w:tc>
        <w:tc>
          <w:tcPr>
            <w:tcW w:w="990" w:type="dxa"/>
            <w:tcBorders>
              <w:top w:val="nil"/>
              <w:left w:val="nil"/>
              <w:bottom w:val="nil"/>
              <w:right w:val="dotted" w:sz="4" w:space="0" w:color="008000"/>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22.0</w:t>
            </w:r>
            <w:r w:rsidRPr="00AF4B00">
              <w:rPr>
                <w:rFonts w:ascii="Arial" w:eastAsia="Calibri" w:hAnsi="Arial"/>
                <w:sz w:val="16"/>
                <w:szCs w:val="23"/>
              </w:rPr>
              <w:t>%</w:t>
            </w:r>
          </w:p>
        </w:tc>
        <w:tc>
          <w:tcPr>
            <w:tcW w:w="1036" w:type="dxa"/>
            <w:tcBorders>
              <w:top w:val="nil"/>
              <w:left w:val="dotted" w:sz="4" w:space="0" w:color="008000"/>
              <w:bottom w:val="nil"/>
              <w:right w:val="single" w:sz="4" w:space="0" w:color="008000"/>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-18.3</w:t>
            </w:r>
            <w:r w:rsidRPr="00AF4B00">
              <w:rPr>
                <w:rFonts w:ascii="Arial" w:eastAsia="Calibri" w:hAnsi="Arial"/>
                <w:sz w:val="16"/>
                <w:szCs w:val="23"/>
              </w:rPr>
              <w:t>%</w:t>
            </w:r>
          </w:p>
        </w:tc>
      </w:tr>
      <w:tr w:rsidR="00AF4B00" w:rsidRPr="00AF4B00" w:rsidTr="00AF4B00">
        <w:trPr>
          <w:trHeight w:val="216"/>
          <w:jc w:val="center"/>
        </w:trPr>
        <w:tc>
          <w:tcPr>
            <w:tcW w:w="1953" w:type="dxa"/>
            <w:tcBorders>
              <w:top w:val="nil"/>
              <w:left w:val="single" w:sz="4" w:space="0" w:color="008000"/>
              <w:bottom w:val="double" w:sz="4" w:space="0" w:color="008000"/>
              <w:right w:val="nil"/>
            </w:tcBorders>
            <w:shd w:val="clear" w:color="000000" w:fill="FFFFE1"/>
            <w:noWrap/>
            <w:vAlign w:val="center"/>
            <w:hideMark/>
          </w:tcPr>
          <w:p w:rsidR="00AF4B00" w:rsidRPr="00AF4B00" w:rsidRDefault="00AF4B00" w:rsidP="00AF4B00">
            <w:pPr>
              <w:suppressAutoHyphens/>
              <w:rPr>
                <w:rFonts w:ascii="Arial" w:eastAsia="Calibri" w:hAnsi="Arial"/>
                <w:sz w:val="16"/>
                <w:szCs w:val="23"/>
              </w:rPr>
            </w:pPr>
            <w:r w:rsidRPr="00AF4B00">
              <w:rPr>
                <w:rFonts w:ascii="Arial" w:eastAsia="Calibri" w:hAnsi="Arial"/>
                <w:sz w:val="16"/>
                <w:szCs w:val="23"/>
              </w:rPr>
              <w:t>Other Institutions</w:t>
            </w:r>
          </w:p>
        </w:tc>
        <w:tc>
          <w:tcPr>
            <w:tcW w:w="1080" w:type="dxa"/>
            <w:tcBorders>
              <w:top w:val="nil"/>
              <w:left w:val="nil"/>
              <w:bottom w:val="double" w:sz="4" w:space="0" w:color="0080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1,428</w:t>
            </w:r>
          </w:p>
        </w:tc>
        <w:tc>
          <w:tcPr>
            <w:tcW w:w="990" w:type="dxa"/>
            <w:tcBorders>
              <w:top w:val="nil"/>
              <w:left w:val="nil"/>
              <w:bottom w:val="double" w:sz="4" w:space="0" w:color="0080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7.4</w:t>
            </w:r>
            <w:r w:rsidRPr="00AF4B00">
              <w:rPr>
                <w:rFonts w:ascii="Arial" w:eastAsia="Calibri" w:hAnsi="Arial"/>
                <w:sz w:val="16"/>
                <w:szCs w:val="23"/>
              </w:rPr>
              <w:t>%</w:t>
            </w:r>
          </w:p>
        </w:tc>
        <w:tc>
          <w:tcPr>
            <w:tcW w:w="1080" w:type="dxa"/>
            <w:tcBorders>
              <w:top w:val="nil"/>
              <w:left w:val="nil"/>
              <w:bottom w:val="double" w:sz="4" w:space="0" w:color="0080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714</w:t>
            </w:r>
          </w:p>
        </w:tc>
        <w:tc>
          <w:tcPr>
            <w:tcW w:w="990" w:type="dxa"/>
            <w:tcBorders>
              <w:top w:val="nil"/>
              <w:left w:val="nil"/>
              <w:bottom w:val="double" w:sz="4" w:space="0" w:color="008000"/>
              <w:right w:val="dotted" w:sz="4" w:space="0" w:color="008000"/>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2.8</w:t>
            </w:r>
            <w:r w:rsidRPr="00AF4B00">
              <w:rPr>
                <w:rFonts w:ascii="Arial" w:eastAsia="Calibri" w:hAnsi="Arial"/>
                <w:sz w:val="16"/>
                <w:szCs w:val="23"/>
              </w:rPr>
              <w:t>%</w:t>
            </w:r>
          </w:p>
        </w:tc>
        <w:tc>
          <w:tcPr>
            <w:tcW w:w="1036" w:type="dxa"/>
            <w:tcBorders>
              <w:top w:val="nil"/>
              <w:left w:val="dotted" w:sz="4" w:space="0" w:color="008000"/>
              <w:bottom w:val="double" w:sz="4" w:space="0" w:color="008000"/>
              <w:right w:val="single" w:sz="4" w:space="0" w:color="008000"/>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-50.0</w:t>
            </w:r>
            <w:r w:rsidRPr="00AF4B00">
              <w:rPr>
                <w:rFonts w:ascii="Arial" w:eastAsia="Calibri" w:hAnsi="Arial"/>
                <w:sz w:val="16"/>
                <w:szCs w:val="23"/>
              </w:rPr>
              <w:t>%</w:t>
            </w:r>
          </w:p>
        </w:tc>
      </w:tr>
      <w:tr w:rsidR="00AF4B00" w:rsidRPr="00AF4B00" w:rsidTr="00AF4B00">
        <w:trPr>
          <w:trHeight w:val="216"/>
          <w:jc w:val="center"/>
        </w:trPr>
        <w:tc>
          <w:tcPr>
            <w:tcW w:w="1953" w:type="dxa"/>
            <w:tcBorders>
              <w:top w:val="double" w:sz="4" w:space="0" w:color="008000"/>
              <w:left w:val="single" w:sz="4" w:space="0" w:color="008000"/>
              <w:bottom w:val="single" w:sz="4" w:space="0" w:color="008000"/>
              <w:right w:val="nil"/>
            </w:tcBorders>
            <w:shd w:val="clear" w:color="000000" w:fill="FFFFE1"/>
            <w:noWrap/>
            <w:vAlign w:val="center"/>
            <w:hideMark/>
          </w:tcPr>
          <w:p w:rsidR="00AF4B00" w:rsidRPr="00AF4B00" w:rsidRDefault="00AF4B00" w:rsidP="00AF4B00">
            <w:pPr>
              <w:suppressAutoHyphens/>
              <w:rPr>
                <w:rFonts w:ascii="Arial" w:eastAsia="Calibri" w:hAnsi="Arial"/>
                <w:sz w:val="16"/>
                <w:szCs w:val="23"/>
              </w:rPr>
            </w:pPr>
            <w:r w:rsidRPr="00AF4B00">
              <w:rPr>
                <w:rFonts w:ascii="Arial" w:eastAsia="Calibri" w:hAnsi="Arial"/>
                <w:sz w:val="16"/>
                <w:szCs w:val="23"/>
              </w:rPr>
              <w:t>Total</w:t>
            </w:r>
          </w:p>
        </w:tc>
        <w:tc>
          <w:tcPr>
            <w:tcW w:w="1080" w:type="dxa"/>
            <w:tcBorders>
              <w:top w:val="double" w:sz="4" w:space="0" w:color="008000"/>
              <w:left w:val="nil"/>
              <w:bottom w:val="single" w:sz="4" w:space="0" w:color="0080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b/>
                <w:bCs/>
                <w:sz w:val="16"/>
                <w:szCs w:val="23"/>
              </w:rPr>
            </w:pPr>
            <w:r w:rsidRPr="00AF4B00">
              <w:rPr>
                <w:rFonts w:ascii="Arial" w:eastAsia="Calibri" w:hAnsi="Arial"/>
                <w:noProof/>
                <w:sz w:val="16"/>
                <w:szCs w:val="23"/>
              </w:rPr>
              <w:t>19,178</w:t>
            </w:r>
          </w:p>
        </w:tc>
        <w:tc>
          <w:tcPr>
            <w:tcW w:w="990" w:type="dxa"/>
            <w:tcBorders>
              <w:top w:val="double" w:sz="4" w:space="0" w:color="008000"/>
              <w:left w:val="nil"/>
              <w:bottom w:val="single" w:sz="4" w:space="0" w:color="0080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sz w:val="16"/>
                <w:szCs w:val="23"/>
              </w:rPr>
              <w:t>100.0%</w:t>
            </w:r>
          </w:p>
        </w:tc>
        <w:tc>
          <w:tcPr>
            <w:tcW w:w="1080" w:type="dxa"/>
            <w:tcBorders>
              <w:top w:val="double" w:sz="4" w:space="0" w:color="008000"/>
              <w:left w:val="nil"/>
              <w:bottom w:val="single" w:sz="4" w:space="0" w:color="0080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b/>
                <w:bCs/>
                <w:sz w:val="16"/>
                <w:szCs w:val="23"/>
              </w:rPr>
            </w:pPr>
            <w:r w:rsidRPr="00AF4B00">
              <w:rPr>
                <w:rFonts w:ascii="Arial" w:eastAsia="Calibri" w:hAnsi="Arial"/>
                <w:b/>
                <w:bCs/>
                <w:noProof/>
                <w:sz w:val="16"/>
                <w:szCs w:val="23"/>
              </w:rPr>
              <w:t>25,266</w:t>
            </w:r>
          </w:p>
        </w:tc>
        <w:tc>
          <w:tcPr>
            <w:tcW w:w="990" w:type="dxa"/>
            <w:tcBorders>
              <w:top w:val="double" w:sz="4" w:space="0" w:color="008000"/>
              <w:left w:val="nil"/>
              <w:bottom w:val="single" w:sz="4" w:space="0" w:color="008000"/>
              <w:right w:val="dotted" w:sz="4" w:space="0" w:color="008000"/>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sz w:val="16"/>
                <w:szCs w:val="23"/>
              </w:rPr>
              <w:t>100.0%</w:t>
            </w:r>
          </w:p>
        </w:tc>
        <w:tc>
          <w:tcPr>
            <w:tcW w:w="1036" w:type="dxa"/>
            <w:tcBorders>
              <w:top w:val="double" w:sz="4" w:space="0" w:color="008000"/>
              <w:left w:val="dotted" w:sz="4" w:space="0" w:color="008000"/>
              <w:bottom w:val="single" w:sz="4" w:space="0" w:color="008000"/>
              <w:right w:val="single" w:sz="4" w:space="0" w:color="008000"/>
            </w:tcBorders>
            <w:shd w:val="clear" w:color="000000" w:fill="FFFFE1"/>
            <w:noWrap/>
            <w:vAlign w:val="center"/>
            <w:hideMark/>
          </w:tcPr>
          <w:p w:rsidR="00AF4B00" w:rsidRPr="00AF4B00" w:rsidRDefault="00AF4B00" w:rsidP="00AF4B00">
            <w:pPr>
              <w:suppressAutoHyphens/>
              <w:jc w:val="center"/>
              <w:rPr>
                <w:rFonts w:ascii="Arial" w:eastAsia="Calibri" w:hAnsi="Arial"/>
                <w:b/>
                <w:bCs/>
                <w:sz w:val="16"/>
                <w:szCs w:val="23"/>
              </w:rPr>
            </w:pPr>
            <w:r w:rsidRPr="00AF4B00">
              <w:rPr>
                <w:rFonts w:ascii="Arial" w:eastAsia="Calibri" w:hAnsi="Arial"/>
                <w:noProof/>
                <w:sz w:val="16"/>
                <w:szCs w:val="23"/>
              </w:rPr>
              <w:t>31.7</w:t>
            </w:r>
            <w:r w:rsidRPr="00AF4B00">
              <w:rPr>
                <w:rFonts w:ascii="Arial" w:eastAsia="Calibri" w:hAnsi="Arial"/>
                <w:b/>
                <w:bCs/>
                <w:sz w:val="16"/>
                <w:szCs w:val="23"/>
              </w:rPr>
              <w:t>%</w:t>
            </w:r>
          </w:p>
        </w:tc>
      </w:tr>
      <w:tr w:rsidR="00AF4B00" w:rsidRPr="00AF4B00" w:rsidTr="00AF4B00">
        <w:trPr>
          <w:trHeight w:val="216"/>
          <w:jc w:val="center"/>
        </w:trPr>
        <w:tc>
          <w:tcPr>
            <w:tcW w:w="7129" w:type="dxa"/>
            <w:gridSpan w:val="6"/>
            <w:tcBorders>
              <w:top w:val="single" w:sz="4" w:space="0" w:color="008000"/>
              <w:left w:val="single" w:sz="4" w:space="0" w:color="008000"/>
              <w:bottom w:val="dotted" w:sz="4" w:space="0" w:color="008000"/>
              <w:right w:val="single" w:sz="4" w:space="0" w:color="008000"/>
            </w:tcBorders>
            <w:shd w:val="clear" w:color="000000" w:fill="FFFFE1"/>
            <w:noWrap/>
            <w:vAlign w:val="center"/>
            <w:hideMark/>
          </w:tcPr>
          <w:p w:rsidR="00AF4B00" w:rsidRPr="00AF4B00" w:rsidRDefault="00AF4B00" w:rsidP="00AF4B00">
            <w:pPr>
              <w:suppressAutoHyphens/>
              <w:jc w:val="center"/>
              <w:rPr>
                <w:rFonts w:ascii="Arial" w:eastAsia="Calibri" w:hAnsi="Arial"/>
                <w:b/>
                <w:sz w:val="16"/>
                <w:szCs w:val="23"/>
              </w:rPr>
            </w:pPr>
            <w:r w:rsidRPr="00AF4B00">
              <w:rPr>
                <w:rFonts w:ascii="Arial" w:eastAsia="Calibri" w:hAnsi="Arial"/>
                <w:b/>
                <w:sz w:val="16"/>
                <w:szCs w:val="23"/>
              </w:rPr>
              <w:t>Noninstitutionalized</w:t>
            </w:r>
          </w:p>
        </w:tc>
      </w:tr>
      <w:tr w:rsidR="00AF4B00" w:rsidRPr="00AF4B00" w:rsidTr="00AF4B00">
        <w:trPr>
          <w:trHeight w:val="216"/>
          <w:jc w:val="center"/>
        </w:trPr>
        <w:tc>
          <w:tcPr>
            <w:tcW w:w="1953" w:type="dxa"/>
            <w:tcBorders>
              <w:top w:val="nil"/>
              <w:left w:val="single" w:sz="4" w:space="0" w:color="008000"/>
              <w:bottom w:val="nil"/>
              <w:right w:val="nil"/>
            </w:tcBorders>
            <w:shd w:val="clear" w:color="000000" w:fill="FFFFE1"/>
            <w:noWrap/>
            <w:vAlign w:val="center"/>
            <w:hideMark/>
          </w:tcPr>
          <w:p w:rsidR="00AF4B00" w:rsidRPr="00AF4B00" w:rsidRDefault="00AF4B00" w:rsidP="00AF4B00">
            <w:pPr>
              <w:suppressAutoHyphens/>
              <w:rPr>
                <w:rFonts w:ascii="Arial" w:eastAsia="Calibri" w:hAnsi="Arial"/>
                <w:sz w:val="16"/>
                <w:szCs w:val="23"/>
              </w:rPr>
            </w:pPr>
            <w:r w:rsidRPr="00AF4B00">
              <w:rPr>
                <w:rFonts w:ascii="Arial" w:eastAsia="Calibri" w:hAnsi="Arial"/>
                <w:sz w:val="16"/>
                <w:szCs w:val="23"/>
              </w:rPr>
              <w:t>College Dormitories</w:t>
            </w:r>
          </w:p>
        </w:tc>
        <w:tc>
          <w:tcPr>
            <w:tcW w:w="1080"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7,921</w:t>
            </w:r>
          </w:p>
        </w:tc>
        <w:tc>
          <w:tcPr>
            <w:tcW w:w="990"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46.2</w:t>
            </w:r>
            <w:r w:rsidRPr="00AF4B00">
              <w:rPr>
                <w:rFonts w:ascii="Arial" w:eastAsia="Calibri" w:hAnsi="Arial"/>
                <w:sz w:val="16"/>
                <w:szCs w:val="23"/>
              </w:rPr>
              <w:t>%</w:t>
            </w:r>
          </w:p>
        </w:tc>
        <w:tc>
          <w:tcPr>
            <w:tcW w:w="1080"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8,478</w:t>
            </w:r>
          </w:p>
        </w:tc>
        <w:tc>
          <w:tcPr>
            <w:tcW w:w="990" w:type="dxa"/>
            <w:tcBorders>
              <w:top w:val="nil"/>
              <w:left w:val="nil"/>
              <w:bottom w:val="nil"/>
              <w:right w:val="dotted" w:sz="4" w:space="0" w:color="008000"/>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48.8</w:t>
            </w:r>
            <w:r w:rsidRPr="00AF4B00">
              <w:rPr>
                <w:rFonts w:ascii="Arial" w:eastAsia="Calibri" w:hAnsi="Arial"/>
                <w:sz w:val="16"/>
                <w:szCs w:val="23"/>
              </w:rPr>
              <w:t>%</w:t>
            </w:r>
          </w:p>
        </w:tc>
        <w:tc>
          <w:tcPr>
            <w:tcW w:w="1036" w:type="dxa"/>
            <w:tcBorders>
              <w:top w:val="nil"/>
              <w:left w:val="dotted" w:sz="4" w:space="0" w:color="008000"/>
              <w:bottom w:val="nil"/>
              <w:right w:val="single" w:sz="4" w:space="0" w:color="008000"/>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7.0</w:t>
            </w:r>
            <w:r w:rsidRPr="00AF4B00">
              <w:rPr>
                <w:rFonts w:ascii="Arial" w:eastAsia="Calibri" w:hAnsi="Arial"/>
                <w:sz w:val="16"/>
                <w:szCs w:val="23"/>
              </w:rPr>
              <w:t>%</w:t>
            </w:r>
          </w:p>
        </w:tc>
      </w:tr>
      <w:tr w:rsidR="00AF4B00" w:rsidRPr="00AF4B00" w:rsidTr="00AF4B00">
        <w:trPr>
          <w:trHeight w:val="216"/>
          <w:jc w:val="center"/>
        </w:trPr>
        <w:tc>
          <w:tcPr>
            <w:tcW w:w="1953" w:type="dxa"/>
            <w:tcBorders>
              <w:top w:val="nil"/>
              <w:left w:val="single" w:sz="4" w:space="0" w:color="008000"/>
              <w:bottom w:val="nil"/>
              <w:right w:val="nil"/>
            </w:tcBorders>
            <w:shd w:val="clear" w:color="000000" w:fill="FFFFE1"/>
            <w:noWrap/>
            <w:vAlign w:val="center"/>
            <w:hideMark/>
          </w:tcPr>
          <w:p w:rsidR="00AF4B00" w:rsidRPr="00AF4B00" w:rsidRDefault="00AF4B00" w:rsidP="00AF4B00">
            <w:pPr>
              <w:suppressAutoHyphens/>
              <w:rPr>
                <w:rFonts w:ascii="Arial" w:eastAsia="Calibri" w:hAnsi="Arial"/>
                <w:sz w:val="16"/>
                <w:szCs w:val="23"/>
              </w:rPr>
            </w:pPr>
            <w:r w:rsidRPr="00AF4B00">
              <w:rPr>
                <w:rFonts w:ascii="Arial" w:eastAsia="Calibri" w:hAnsi="Arial"/>
                <w:sz w:val="16"/>
                <w:szCs w:val="23"/>
              </w:rPr>
              <w:t>Military Quarters</w:t>
            </w:r>
          </w:p>
        </w:tc>
        <w:tc>
          <w:tcPr>
            <w:tcW w:w="1080"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1,827</w:t>
            </w:r>
          </w:p>
        </w:tc>
        <w:tc>
          <w:tcPr>
            <w:tcW w:w="990"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10.7</w:t>
            </w:r>
            <w:r w:rsidRPr="00AF4B00">
              <w:rPr>
                <w:rFonts w:ascii="Arial" w:eastAsia="Calibri" w:hAnsi="Arial"/>
                <w:sz w:val="16"/>
                <w:szCs w:val="23"/>
              </w:rPr>
              <w:t>%</w:t>
            </w:r>
          </w:p>
        </w:tc>
        <w:tc>
          <w:tcPr>
            <w:tcW w:w="1080"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1,789</w:t>
            </w:r>
          </w:p>
        </w:tc>
        <w:tc>
          <w:tcPr>
            <w:tcW w:w="990" w:type="dxa"/>
            <w:tcBorders>
              <w:top w:val="nil"/>
              <w:left w:val="nil"/>
              <w:bottom w:val="nil"/>
              <w:right w:val="dotted" w:sz="4" w:space="0" w:color="008000"/>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10.3</w:t>
            </w:r>
            <w:r w:rsidRPr="00AF4B00">
              <w:rPr>
                <w:rFonts w:ascii="Arial" w:eastAsia="Calibri" w:hAnsi="Arial"/>
                <w:sz w:val="16"/>
                <w:szCs w:val="23"/>
              </w:rPr>
              <w:t>%</w:t>
            </w:r>
          </w:p>
        </w:tc>
        <w:tc>
          <w:tcPr>
            <w:tcW w:w="1036" w:type="dxa"/>
            <w:tcBorders>
              <w:top w:val="nil"/>
              <w:left w:val="dotted" w:sz="4" w:space="0" w:color="008000"/>
              <w:bottom w:val="nil"/>
              <w:right w:val="single" w:sz="4" w:space="0" w:color="008000"/>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-2.1</w:t>
            </w:r>
            <w:r w:rsidRPr="00AF4B00">
              <w:rPr>
                <w:rFonts w:ascii="Arial" w:eastAsia="Calibri" w:hAnsi="Arial"/>
                <w:sz w:val="16"/>
                <w:szCs w:val="23"/>
              </w:rPr>
              <w:t>%</w:t>
            </w:r>
          </w:p>
        </w:tc>
      </w:tr>
      <w:tr w:rsidR="00AF4B00" w:rsidRPr="00AF4B00" w:rsidTr="00AF4B00">
        <w:trPr>
          <w:trHeight w:val="216"/>
          <w:jc w:val="center"/>
        </w:trPr>
        <w:tc>
          <w:tcPr>
            <w:tcW w:w="1953" w:type="dxa"/>
            <w:tcBorders>
              <w:top w:val="nil"/>
              <w:left w:val="single" w:sz="4" w:space="0" w:color="008000"/>
              <w:bottom w:val="double" w:sz="4" w:space="0" w:color="008000"/>
              <w:right w:val="nil"/>
            </w:tcBorders>
            <w:shd w:val="clear" w:color="000000" w:fill="FFFFE1"/>
            <w:noWrap/>
            <w:vAlign w:val="center"/>
            <w:hideMark/>
          </w:tcPr>
          <w:p w:rsidR="00AF4B00" w:rsidRPr="00AF4B00" w:rsidRDefault="00AF4B00" w:rsidP="00AF4B00">
            <w:pPr>
              <w:suppressAutoHyphens/>
              <w:rPr>
                <w:rFonts w:ascii="Arial" w:eastAsia="Calibri" w:hAnsi="Arial"/>
                <w:sz w:val="16"/>
                <w:szCs w:val="23"/>
              </w:rPr>
            </w:pPr>
            <w:r w:rsidRPr="00AF4B00">
              <w:rPr>
                <w:rFonts w:ascii="Arial" w:eastAsia="Calibri" w:hAnsi="Arial"/>
                <w:sz w:val="16"/>
                <w:szCs w:val="23"/>
              </w:rPr>
              <w:t>Other Noninstitutional</w:t>
            </w:r>
          </w:p>
        </w:tc>
        <w:tc>
          <w:tcPr>
            <w:tcW w:w="1080" w:type="dxa"/>
            <w:tcBorders>
              <w:top w:val="nil"/>
              <w:left w:val="nil"/>
              <w:bottom w:val="double" w:sz="4" w:space="0" w:color="0080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7,381</w:t>
            </w:r>
          </w:p>
        </w:tc>
        <w:tc>
          <w:tcPr>
            <w:tcW w:w="990" w:type="dxa"/>
            <w:tcBorders>
              <w:top w:val="nil"/>
              <w:left w:val="nil"/>
              <w:bottom w:val="double" w:sz="4" w:space="0" w:color="0080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43.1</w:t>
            </w:r>
            <w:r w:rsidRPr="00AF4B00">
              <w:rPr>
                <w:rFonts w:ascii="Arial" w:eastAsia="Calibri" w:hAnsi="Arial"/>
                <w:sz w:val="16"/>
                <w:szCs w:val="23"/>
              </w:rPr>
              <w:t>%</w:t>
            </w:r>
          </w:p>
        </w:tc>
        <w:tc>
          <w:tcPr>
            <w:tcW w:w="1080" w:type="dxa"/>
            <w:tcBorders>
              <w:top w:val="nil"/>
              <w:left w:val="nil"/>
              <w:bottom w:val="double" w:sz="4" w:space="0" w:color="0080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7,096</w:t>
            </w:r>
          </w:p>
        </w:tc>
        <w:tc>
          <w:tcPr>
            <w:tcW w:w="990" w:type="dxa"/>
            <w:tcBorders>
              <w:top w:val="nil"/>
              <w:left w:val="nil"/>
              <w:bottom w:val="double" w:sz="4" w:space="0" w:color="008000"/>
              <w:right w:val="dotted" w:sz="4" w:space="0" w:color="008000"/>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40.9</w:t>
            </w:r>
            <w:r w:rsidRPr="00AF4B00">
              <w:rPr>
                <w:rFonts w:ascii="Arial" w:eastAsia="Calibri" w:hAnsi="Arial"/>
                <w:sz w:val="16"/>
                <w:szCs w:val="23"/>
              </w:rPr>
              <w:t>%</w:t>
            </w:r>
          </w:p>
        </w:tc>
        <w:tc>
          <w:tcPr>
            <w:tcW w:w="1036" w:type="dxa"/>
            <w:tcBorders>
              <w:top w:val="nil"/>
              <w:left w:val="dotted" w:sz="4" w:space="0" w:color="008000"/>
              <w:bottom w:val="double" w:sz="4" w:space="0" w:color="008000"/>
              <w:right w:val="single" w:sz="4" w:space="0" w:color="008000"/>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-3.9</w:t>
            </w:r>
            <w:r w:rsidRPr="00AF4B00">
              <w:rPr>
                <w:rFonts w:ascii="Arial" w:eastAsia="Calibri" w:hAnsi="Arial"/>
                <w:sz w:val="16"/>
                <w:szCs w:val="23"/>
              </w:rPr>
              <w:t>%</w:t>
            </w:r>
          </w:p>
        </w:tc>
      </w:tr>
      <w:tr w:rsidR="00AF4B00" w:rsidRPr="00AF4B00" w:rsidTr="00AF4B00">
        <w:trPr>
          <w:trHeight w:val="216"/>
          <w:jc w:val="center"/>
        </w:trPr>
        <w:tc>
          <w:tcPr>
            <w:tcW w:w="1953" w:type="dxa"/>
            <w:tcBorders>
              <w:top w:val="double" w:sz="4" w:space="0" w:color="008000"/>
              <w:left w:val="single" w:sz="4" w:space="0" w:color="008000"/>
              <w:bottom w:val="dashed" w:sz="4" w:space="0" w:color="008000"/>
              <w:right w:val="nil"/>
            </w:tcBorders>
            <w:shd w:val="clear" w:color="000000" w:fill="FFFFE1"/>
            <w:noWrap/>
            <w:vAlign w:val="center"/>
            <w:hideMark/>
          </w:tcPr>
          <w:p w:rsidR="00AF4B00" w:rsidRPr="00AF4B00" w:rsidRDefault="00AF4B00" w:rsidP="00AF4B00">
            <w:pPr>
              <w:suppressAutoHyphens/>
              <w:rPr>
                <w:rFonts w:ascii="Arial" w:eastAsia="Calibri" w:hAnsi="Arial"/>
                <w:b/>
                <w:sz w:val="16"/>
                <w:szCs w:val="23"/>
              </w:rPr>
            </w:pPr>
            <w:r w:rsidRPr="00AF4B00">
              <w:rPr>
                <w:rFonts w:ascii="Arial" w:eastAsia="Calibri" w:hAnsi="Arial"/>
                <w:b/>
                <w:sz w:val="16"/>
                <w:szCs w:val="23"/>
              </w:rPr>
              <w:t>Total</w:t>
            </w:r>
          </w:p>
        </w:tc>
        <w:tc>
          <w:tcPr>
            <w:tcW w:w="1080" w:type="dxa"/>
            <w:tcBorders>
              <w:top w:val="double" w:sz="4" w:space="0" w:color="008000"/>
              <w:left w:val="nil"/>
              <w:bottom w:val="dashed" w:sz="4" w:space="0" w:color="0080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b/>
                <w:bCs/>
                <w:sz w:val="16"/>
                <w:szCs w:val="23"/>
              </w:rPr>
            </w:pPr>
            <w:r w:rsidRPr="00AF4B00">
              <w:rPr>
                <w:rFonts w:ascii="Arial" w:eastAsia="Calibri" w:hAnsi="Arial"/>
                <w:b/>
                <w:noProof/>
                <w:sz w:val="16"/>
                <w:szCs w:val="23"/>
              </w:rPr>
              <w:t>17,129</w:t>
            </w:r>
          </w:p>
        </w:tc>
        <w:tc>
          <w:tcPr>
            <w:tcW w:w="990" w:type="dxa"/>
            <w:tcBorders>
              <w:top w:val="double" w:sz="4" w:space="0" w:color="008000"/>
              <w:left w:val="nil"/>
              <w:bottom w:val="dashed" w:sz="4" w:space="0" w:color="0080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b/>
                <w:bCs/>
                <w:sz w:val="16"/>
                <w:szCs w:val="23"/>
              </w:rPr>
            </w:pPr>
            <w:r w:rsidRPr="00AF4B00">
              <w:rPr>
                <w:rFonts w:ascii="Arial" w:eastAsia="Calibri" w:hAnsi="Arial"/>
                <w:b/>
                <w:noProof/>
                <w:sz w:val="16"/>
                <w:szCs w:val="23"/>
              </w:rPr>
              <w:t>47.2</w:t>
            </w:r>
            <w:r w:rsidRPr="00AF4B00">
              <w:rPr>
                <w:rFonts w:ascii="Arial" w:eastAsia="Calibri" w:hAnsi="Arial"/>
                <w:b/>
                <w:bCs/>
                <w:sz w:val="16"/>
                <w:szCs w:val="23"/>
              </w:rPr>
              <w:t>%</w:t>
            </w:r>
          </w:p>
        </w:tc>
        <w:tc>
          <w:tcPr>
            <w:tcW w:w="1080" w:type="dxa"/>
            <w:tcBorders>
              <w:top w:val="double" w:sz="4" w:space="0" w:color="008000"/>
              <w:left w:val="nil"/>
              <w:bottom w:val="dashed" w:sz="4" w:space="0" w:color="0080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b/>
                <w:bCs/>
                <w:sz w:val="16"/>
                <w:szCs w:val="23"/>
              </w:rPr>
            </w:pPr>
            <w:r w:rsidRPr="00AF4B00">
              <w:rPr>
                <w:rFonts w:ascii="Arial" w:eastAsia="Calibri" w:hAnsi="Arial"/>
                <w:b/>
                <w:bCs/>
                <w:noProof/>
                <w:sz w:val="16"/>
                <w:szCs w:val="23"/>
              </w:rPr>
              <w:t>17,363</w:t>
            </w:r>
          </w:p>
        </w:tc>
        <w:tc>
          <w:tcPr>
            <w:tcW w:w="990" w:type="dxa"/>
            <w:tcBorders>
              <w:top w:val="double" w:sz="4" w:space="0" w:color="008000"/>
              <w:left w:val="nil"/>
              <w:bottom w:val="dashed" w:sz="4" w:space="0" w:color="008000"/>
              <w:right w:val="dotted" w:sz="4" w:space="0" w:color="008000"/>
            </w:tcBorders>
            <w:shd w:val="clear" w:color="000000" w:fill="FFFFE1"/>
            <w:noWrap/>
            <w:vAlign w:val="center"/>
            <w:hideMark/>
          </w:tcPr>
          <w:p w:rsidR="00AF4B00" w:rsidRPr="00AF4B00" w:rsidRDefault="00AF4B00" w:rsidP="00AF4B00">
            <w:pPr>
              <w:suppressAutoHyphens/>
              <w:jc w:val="center"/>
              <w:rPr>
                <w:rFonts w:ascii="Arial" w:eastAsia="Calibri" w:hAnsi="Arial"/>
                <w:b/>
                <w:bCs/>
                <w:sz w:val="16"/>
                <w:szCs w:val="23"/>
              </w:rPr>
            </w:pPr>
            <w:r w:rsidRPr="00AF4B00">
              <w:rPr>
                <w:rFonts w:ascii="Arial" w:eastAsia="Calibri" w:hAnsi="Arial"/>
                <w:b/>
                <w:bCs/>
                <w:noProof/>
                <w:sz w:val="16"/>
                <w:szCs w:val="23"/>
              </w:rPr>
              <w:t>40.7</w:t>
            </w:r>
            <w:r w:rsidRPr="00AF4B00">
              <w:rPr>
                <w:rFonts w:ascii="Arial" w:eastAsia="Calibri" w:hAnsi="Arial"/>
                <w:b/>
                <w:bCs/>
                <w:sz w:val="16"/>
                <w:szCs w:val="23"/>
              </w:rPr>
              <w:t>%</w:t>
            </w:r>
          </w:p>
        </w:tc>
        <w:tc>
          <w:tcPr>
            <w:tcW w:w="1036" w:type="dxa"/>
            <w:tcBorders>
              <w:top w:val="double" w:sz="4" w:space="0" w:color="008000"/>
              <w:left w:val="dotted" w:sz="4" w:space="0" w:color="008000"/>
              <w:bottom w:val="dashed" w:sz="4" w:space="0" w:color="008000"/>
              <w:right w:val="single" w:sz="4" w:space="0" w:color="008000"/>
            </w:tcBorders>
            <w:shd w:val="clear" w:color="000000" w:fill="FFFFE1"/>
            <w:noWrap/>
            <w:vAlign w:val="center"/>
            <w:hideMark/>
          </w:tcPr>
          <w:p w:rsidR="00AF4B00" w:rsidRPr="00AF4B00" w:rsidRDefault="00AF4B00" w:rsidP="00AF4B00">
            <w:pPr>
              <w:suppressAutoHyphens/>
              <w:jc w:val="center"/>
              <w:rPr>
                <w:rFonts w:ascii="Arial" w:eastAsia="Calibri" w:hAnsi="Arial"/>
                <w:b/>
                <w:bCs/>
                <w:sz w:val="16"/>
                <w:szCs w:val="23"/>
              </w:rPr>
            </w:pPr>
            <w:r w:rsidRPr="00AF4B00">
              <w:rPr>
                <w:rFonts w:ascii="Arial" w:eastAsia="Calibri" w:hAnsi="Arial"/>
                <w:b/>
                <w:noProof/>
                <w:sz w:val="16"/>
                <w:szCs w:val="23"/>
              </w:rPr>
              <w:t>1.4</w:t>
            </w:r>
            <w:r w:rsidRPr="00AF4B00">
              <w:rPr>
                <w:rFonts w:ascii="Arial" w:eastAsia="Calibri" w:hAnsi="Arial"/>
                <w:b/>
                <w:bCs/>
                <w:sz w:val="16"/>
                <w:szCs w:val="23"/>
              </w:rPr>
              <w:t>%</w:t>
            </w:r>
          </w:p>
        </w:tc>
      </w:tr>
      <w:tr w:rsidR="00AF4B00" w:rsidRPr="00AF4B00" w:rsidTr="00AF4B00">
        <w:trPr>
          <w:trHeight w:val="216"/>
          <w:jc w:val="center"/>
        </w:trPr>
        <w:tc>
          <w:tcPr>
            <w:tcW w:w="1953" w:type="dxa"/>
            <w:tcBorders>
              <w:top w:val="dashed" w:sz="4" w:space="0" w:color="008000"/>
              <w:left w:val="single" w:sz="4" w:space="0" w:color="008000"/>
              <w:bottom w:val="single" w:sz="4" w:space="0" w:color="008000"/>
              <w:right w:val="nil"/>
            </w:tcBorders>
            <w:shd w:val="clear" w:color="000000" w:fill="FFFFE1"/>
            <w:noWrap/>
            <w:vAlign w:val="center"/>
            <w:hideMark/>
          </w:tcPr>
          <w:p w:rsidR="00AF4B00" w:rsidRPr="00AF4B00" w:rsidRDefault="00AF4B00" w:rsidP="00AF4B00">
            <w:pPr>
              <w:suppressAutoHyphens/>
              <w:rPr>
                <w:rFonts w:ascii="Arial" w:eastAsia="Calibri" w:hAnsi="Arial"/>
                <w:b/>
                <w:sz w:val="16"/>
                <w:szCs w:val="23"/>
              </w:rPr>
            </w:pPr>
            <w:r w:rsidRPr="00AF4B00">
              <w:rPr>
                <w:rFonts w:ascii="Arial" w:eastAsia="Calibri" w:hAnsi="Arial"/>
                <w:b/>
                <w:sz w:val="16"/>
                <w:szCs w:val="23"/>
              </w:rPr>
              <w:t>Group Quarters Population</w:t>
            </w:r>
          </w:p>
        </w:tc>
        <w:tc>
          <w:tcPr>
            <w:tcW w:w="1080" w:type="dxa"/>
            <w:tcBorders>
              <w:top w:val="dashed" w:sz="4" w:space="0" w:color="008000"/>
              <w:left w:val="nil"/>
              <w:bottom w:val="single" w:sz="4" w:space="0" w:color="0080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b/>
                <w:bCs/>
                <w:sz w:val="16"/>
                <w:szCs w:val="23"/>
              </w:rPr>
            </w:pPr>
            <w:r w:rsidRPr="00AF4B00">
              <w:rPr>
                <w:rFonts w:ascii="Arial" w:eastAsia="Calibri" w:hAnsi="Arial"/>
                <w:b/>
                <w:noProof/>
                <w:sz w:val="16"/>
                <w:szCs w:val="23"/>
              </w:rPr>
              <w:t>36,307</w:t>
            </w:r>
          </w:p>
        </w:tc>
        <w:tc>
          <w:tcPr>
            <w:tcW w:w="990" w:type="dxa"/>
            <w:tcBorders>
              <w:top w:val="dashed" w:sz="4" w:space="0" w:color="008000"/>
              <w:left w:val="nil"/>
              <w:bottom w:val="single" w:sz="4" w:space="0" w:color="0080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b/>
                <w:sz w:val="16"/>
                <w:szCs w:val="23"/>
              </w:rPr>
            </w:pPr>
            <w:r w:rsidRPr="00AF4B00">
              <w:rPr>
                <w:rFonts w:ascii="Arial" w:eastAsia="Calibri" w:hAnsi="Arial"/>
                <w:b/>
                <w:sz w:val="16"/>
                <w:szCs w:val="23"/>
              </w:rPr>
              <w:t>100.0%</w:t>
            </w:r>
          </w:p>
        </w:tc>
        <w:tc>
          <w:tcPr>
            <w:tcW w:w="1080" w:type="dxa"/>
            <w:tcBorders>
              <w:top w:val="dashed" w:sz="4" w:space="0" w:color="008000"/>
              <w:left w:val="nil"/>
              <w:bottom w:val="single" w:sz="4" w:space="0" w:color="0080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b/>
                <w:bCs/>
                <w:sz w:val="16"/>
                <w:szCs w:val="23"/>
              </w:rPr>
            </w:pPr>
            <w:r w:rsidRPr="00AF4B00">
              <w:rPr>
                <w:rFonts w:ascii="Arial" w:eastAsia="Calibri" w:hAnsi="Arial"/>
                <w:b/>
                <w:bCs/>
                <w:noProof/>
                <w:sz w:val="16"/>
                <w:szCs w:val="23"/>
              </w:rPr>
              <w:t>42,629</w:t>
            </w:r>
          </w:p>
        </w:tc>
        <w:tc>
          <w:tcPr>
            <w:tcW w:w="990" w:type="dxa"/>
            <w:tcBorders>
              <w:top w:val="dashed" w:sz="4" w:space="0" w:color="008000"/>
              <w:left w:val="nil"/>
              <w:bottom w:val="single" w:sz="4" w:space="0" w:color="008000"/>
              <w:right w:val="dotted" w:sz="4" w:space="0" w:color="008000"/>
            </w:tcBorders>
            <w:shd w:val="clear" w:color="000000" w:fill="FFFFE1"/>
            <w:noWrap/>
            <w:vAlign w:val="center"/>
            <w:hideMark/>
          </w:tcPr>
          <w:p w:rsidR="00AF4B00" w:rsidRPr="00AF4B00" w:rsidRDefault="00AF4B00" w:rsidP="00AF4B00">
            <w:pPr>
              <w:suppressAutoHyphens/>
              <w:jc w:val="center"/>
              <w:rPr>
                <w:rFonts w:ascii="Arial" w:eastAsia="Calibri" w:hAnsi="Arial"/>
                <w:b/>
                <w:sz w:val="16"/>
                <w:szCs w:val="23"/>
              </w:rPr>
            </w:pPr>
            <w:r w:rsidRPr="00AF4B00">
              <w:rPr>
                <w:rFonts w:ascii="Arial" w:eastAsia="Calibri" w:hAnsi="Arial"/>
                <w:b/>
                <w:sz w:val="16"/>
                <w:szCs w:val="23"/>
              </w:rPr>
              <w:t>100.0%</w:t>
            </w:r>
          </w:p>
        </w:tc>
        <w:tc>
          <w:tcPr>
            <w:tcW w:w="1036" w:type="dxa"/>
            <w:tcBorders>
              <w:top w:val="dashed" w:sz="4" w:space="0" w:color="008000"/>
              <w:left w:val="dotted" w:sz="4" w:space="0" w:color="008000"/>
              <w:bottom w:val="single" w:sz="4" w:space="0" w:color="008000"/>
              <w:right w:val="single" w:sz="4" w:space="0" w:color="008000"/>
            </w:tcBorders>
            <w:shd w:val="clear" w:color="000000" w:fill="FFFFE1"/>
            <w:noWrap/>
            <w:vAlign w:val="center"/>
            <w:hideMark/>
          </w:tcPr>
          <w:p w:rsidR="00AF4B00" w:rsidRPr="00AF4B00" w:rsidRDefault="00AF4B00" w:rsidP="00AF4B00">
            <w:pPr>
              <w:suppressAutoHyphens/>
              <w:jc w:val="center"/>
              <w:rPr>
                <w:rFonts w:ascii="Arial" w:eastAsia="Calibri" w:hAnsi="Arial"/>
                <w:b/>
                <w:bCs/>
                <w:sz w:val="16"/>
                <w:szCs w:val="23"/>
              </w:rPr>
            </w:pPr>
            <w:r w:rsidRPr="00AF4B00">
              <w:rPr>
                <w:rFonts w:ascii="Arial" w:eastAsia="Calibri" w:hAnsi="Arial"/>
                <w:b/>
                <w:noProof/>
                <w:sz w:val="16"/>
                <w:szCs w:val="23"/>
              </w:rPr>
              <w:t>17.4</w:t>
            </w:r>
            <w:r w:rsidRPr="00AF4B00">
              <w:rPr>
                <w:rFonts w:ascii="Arial" w:eastAsia="Calibri" w:hAnsi="Arial"/>
                <w:b/>
                <w:bCs/>
                <w:sz w:val="16"/>
                <w:szCs w:val="23"/>
              </w:rPr>
              <w:t>%</w:t>
            </w:r>
          </w:p>
        </w:tc>
      </w:tr>
    </w:tbl>
    <w:p w:rsidR="00A577A3" w:rsidRPr="008B1951" w:rsidRDefault="00A577A3" w:rsidP="00A577A3">
      <w:pPr>
        <w:pStyle w:val="BodyText"/>
        <w:tabs>
          <w:tab w:val="num" w:pos="360"/>
        </w:tabs>
        <w:rPr>
          <w:rFonts w:ascii="CG Omega" w:hAnsi="CG Omega"/>
          <w:b/>
          <w:bCs/>
          <w:smallCaps/>
          <w:sz w:val="26"/>
          <w:szCs w:val="26"/>
        </w:rPr>
      </w:pPr>
      <w:r w:rsidRPr="008B1951">
        <w:rPr>
          <w:rFonts w:ascii="CG Omega" w:hAnsi="CG Omega"/>
          <w:b/>
          <w:bCs/>
          <w:smallCaps/>
          <w:sz w:val="26"/>
          <w:szCs w:val="26"/>
        </w:rPr>
        <w:t>Population and Household Forecast</w:t>
      </w:r>
    </w:p>
    <w:p w:rsidR="00A577A3" w:rsidRPr="00866A4D" w:rsidRDefault="00A577A3" w:rsidP="009A0335">
      <w:pPr>
        <w:pStyle w:val="BodyText"/>
        <w:tabs>
          <w:tab w:val="num" w:pos="360"/>
        </w:tabs>
        <w:rPr>
          <w:rFonts w:ascii="CG Omega" w:hAnsi="CG Omega"/>
          <w:sz w:val="20"/>
          <w:highlight w:val="yellow"/>
        </w:rPr>
      </w:pPr>
    </w:p>
    <w:p w:rsidR="00BF6703" w:rsidRPr="00FA7949" w:rsidRDefault="00096CBC" w:rsidP="009A0335">
      <w:pPr>
        <w:pStyle w:val="BodyText"/>
        <w:tabs>
          <w:tab w:val="num" w:pos="360"/>
        </w:tabs>
        <w:rPr>
          <w:rFonts w:ascii="CG Omega" w:hAnsi="CG Omega"/>
          <w:szCs w:val="24"/>
        </w:rPr>
      </w:pPr>
      <w:r>
        <w:rPr>
          <w:rFonts w:ascii="CG Omega" w:hAnsi="CG Omega"/>
          <w:szCs w:val="24"/>
        </w:rPr>
        <w:t xml:space="preserve">Households by household size are displayed in </w:t>
      </w:r>
      <w:r w:rsidRPr="00866A4D">
        <w:rPr>
          <w:rFonts w:ascii="CG Omega" w:hAnsi="CG Omega"/>
          <w:b/>
          <w:szCs w:val="24"/>
        </w:rPr>
        <w:t>Table III.10</w:t>
      </w:r>
      <w:r>
        <w:rPr>
          <w:rFonts w:ascii="CG Omega" w:hAnsi="CG Omega"/>
          <w:szCs w:val="24"/>
        </w:rPr>
        <w:t>, below</w:t>
      </w:r>
      <w:r w:rsidR="00BF6703" w:rsidRPr="00FA7949">
        <w:rPr>
          <w:rFonts w:ascii="CG Omega" w:hAnsi="CG Omega"/>
          <w:szCs w:val="24"/>
        </w:rPr>
        <w:t xml:space="preserve">. The number of households grew by 16.7 percent overall, but growth in the number of households with between three and six members fell behind that overall growth rate, and occupied smaller percentages of all New Mexico households at the end of the decade. By contrast, the number of one-person households grew at a rate of 28.6 percent and the number of two-person households grew by 18.6 percent. </w:t>
      </w:r>
      <w:r w:rsidR="00FA7949">
        <w:rPr>
          <w:rFonts w:ascii="CG Omega" w:hAnsi="CG Omega"/>
          <w:szCs w:val="24"/>
        </w:rPr>
        <w:t xml:space="preserve">As a result, households with one or two members came to occupy 28 and 32.9 percent of all households, respectively, by the end of the decade. </w:t>
      </w:r>
      <w:r>
        <w:rPr>
          <w:rFonts w:ascii="CG Omega" w:hAnsi="CG Omega"/>
          <w:szCs w:val="24"/>
        </w:rPr>
        <w:t>T</w:t>
      </w:r>
      <w:r w:rsidR="00FA7949" w:rsidRPr="00FA7949">
        <w:rPr>
          <w:rFonts w:ascii="CG Omega" w:hAnsi="CG Omega"/>
          <w:szCs w:val="24"/>
        </w:rPr>
        <w:t xml:space="preserve">he number of households with seven persons or more grew by </w:t>
      </w:r>
      <w:r>
        <w:rPr>
          <w:rFonts w:ascii="CG Omega" w:hAnsi="CG Omega"/>
          <w:szCs w:val="24"/>
        </w:rPr>
        <w:t>a very st</w:t>
      </w:r>
      <w:r w:rsidR="00D85DC8">
        <w:rPr>
          <w:rFonts w:ascii="CG Omega" w:hAnsi="CG Omega"/>
          <w:szCs w:val="24"/>
        </w:rPr>
        <w:t>rong</w:t>
      </w:r>
      <w:r>
        <w:rPr>
          <w:rFonts w:ascii="CG Omega" w:hAnsi="CG Omega"/>
          <w:szCs w:val="24"/>
        </w:rPr>
        <w:t xml:space="preserve"> </w:t>
      </w:r>
      <w:r w:rsidR="00FA7949" w:rsidRPr="00FA7949">
        <w:rPr>
          <w:rFonts w:ascii="CG Omega" w:hAnsi="CG Omega"/>
          <w:szCs w:val="24"/>
        </w:rPr>
        <w:t>19.3 percent</w:t>
      </w:r>
      <w:r>
        <w:rPr>
          <w:rFonts w:ascii="CG Omega" w:hAnsi="CG Omega"/>
          <w:szCs w:val="24"/>
        </w:rPr>
        <w:t>. Households of this size, growing at the second fastest rate, may portend demands for larger housing units.</w:t>
      </w:r>
      <w:r w:rsidR="00FA7949" w:rsidRPr="00FA7949">
        <w:rPr>
          <w:rFonts w:ascii="CG Omega" w:hAnsi="CG Omega"/>
          <w:szCs w:val="24"/>
        </w:rPr>
        <w:t xml:space="preserve"> </w:t>
      </w:r>
    </w:p>
    <w:p w:rsidR="00A577A3" w:rsidRPr="00866A4D" w:rsidRDefault="00A577A3" w:rsidP="009A0335">
      <w:pPr>
        <w:pStyle w:val="BodyText"/>
        <w:tabs>
          <w:tab w:val="num" w:pos="360"/>
        </w:tabs>
        <w:rPr>
          <w:rFonts w:ascii="CG Omega" w:hAnsi="CG Omega"/>
          <w:sz w:val="20"/>
          <w:highlight w:val="yellow"/>
        </w:rPr>
      </w:pPr>
    </w:p>
    <w:tbl>
      <w:tblPr>
        <w:tblW w:w="7268" w:type="dxa"/>
        <w:jc w:val="center"/>
        <w:tblLook w:val="04A0" w:firstRow="1" w:lastRow="0" w:firstColumn="1" w:lastColumn="0" w:noHBand="0" w:noVBand="1"/>
      </w:tblPr>
      <w:tblGrid>
        <w:gridCol w:w="1924"/>
        <w:gridCol w:w="1132"/>
        <w:gridCol w:w="990"/>
        <w:gridCol w:w="1132"/>
        <w:gridCol w:w="1080"/>
        <w:gridCol w:w="1010"/>
      </w:tblGrid>
      <w:tr w:rsidR="00AF4B00" w:rsidRPr="00AF4B00" w:rsidTr="00AF4B00">
        <w:trPr>
          <w:trHeight w:val="216"/>
          <w:jc w:val="center"/>
        </w:trPr>
        <w:tc>
          <w:tcPr>
            <w:tcW w:w="7268" w:type="dxa"/>
            <w:gridSpan w:val="6"/>
            <w:tcBorders>
              <w:bottom w:val="single" w:sz="4" w:space="0" w:color="009900"/>
            </w:tcBorders>
            <w:shd w:val="clear" w:color="000000" w:fill="auto"/>
            <w:noWrap/>
            <w:vAlign w:val="center"/>
            <w:hideMark/>
          </w:tcPr>
          <w:p w:rsidR="00AF4B00" w:rsidRPr="00AF4B00" w:rsidRDefault="00AF4B00" w:rsidP="00AF4B00">
            <w:pPr>
              <w:keepNext/>
              <w:jc w:val="center"/>
              <w:rPr>
                <w:rFonts w:ascii="Arial" w:eastAsia="Calibri" w:hAnsi="Arial"/>
                <w:b/>
                <w:bCs/>
                <w:color w:val="000000"/>
                <w:sz w:val="22"/>
                <w:szCs w:val="18"/>
              </w:rPr>
            </w:pPr>
            <w:r w:rsidRPr="00AF4B00">
              <w:rPr>
                <w:rFonts w:ascii="Arial" w:eastAsia="Calibri" w:hAnsi="Arial"/>
                <w:b/>
                <w:bCs/>
                <w:color w:val="000000"/>
                <w:sz w:val="22"/>
                <w:szCs w:val="18"/>
              </w:rPr>
              <w:t>Table I</w:t>
            </w:r>
            <w:r w:rsidR="002B6E94">
              <w:rPr>
                <w:rFonts w:ascii="Arial" w:eastAsia="Calibri" w:hAnsi="Arial"/>
                <w:b/>
                <w:bCs/>
                <w:color w:val="000000"/>
                <w:sz w:val="22"/>
                <w:szCs w:val="18"/>
              </w:rPr>
              <w:t>II.10</w:t>
            </w:r>
          </w:p>
          <w:p w:rsidR="00AF4B00" w:rsidRPr="00AF4B00" w:rsidRDefault="00AF4B00" w:rsidP="00AF4B00">
            <w:pPr>
              <w:keepNext/>
              <w:keepLines/>
              <w:suppressAutoHyphens/>
              <w:jc w:val="center"/>
              <w:rPr>
                <w:rFonts w:ascii="Arial" w:eastAsia="Calibri" w:hAnsi="Arial"/>
                <w:b/>
                <w:sz w:val="20"/>
                <w:szCs w:val="23"/>
              </w:rPr>
            </w:pPr>
            <w:r w:rsidRPr="00AF4B00">
              <w:rPr>
                <w:rFonts w:ascii="Arial" w:eastAsia="Calibri" w:hAnsi="Arial"/>
                <w:b/>
                <w:sz w:val="20"/>
                <w:szCs w:val="23"/>
              </w:rPr>
              <w:t>Households by Household Size</w:t>
            </w:r>
          </w:p>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State of New Mexico</w:t>
            </w:r>
          </w:p>
          <w:p w:rsidR="00AF4B00" w:rsidRPr="00AF4B00" w:rsidRDefault="00AF4B00" w:rsidP="00AF4B00">
            <w:pPr>
              <w:suppressAutoHyphens/>
              <w:jc w:val="center"/>
              <w:rPr>
                <w:rFonts w:ascii="Arial" w:eastAsia="Calibri" w:hAnsi="Arial"/>
                <w:b/>
                <w:bCs/>
                <w:sz w:val="16"/>
                <w:szCs w:val="23"/>
              </w:rPr>
            </w:pPr>
            <w:r w:rsidRPr="00AF4B00">
              <w:rPr>
                <w:rFonts w:ascii="Arial" w:eastAsia="Calibri" w:hAnsi="Arial"/>
                <w:sz w:val="16"/>
                <w:szCs w:val="23"/>
              </w:rPr>
              <w:t>2000 &amp; 2010 Census SF1 Data</w:t>
            </w:r>
          </w:p>
        </w:tc>
      </w:tr>
      <w:tr w:rsidR="00AF4B00" w:rsidRPr="00AF4B00" w:rsidTr="00AF4B00">
        <w:trPr>
          <w:trHeight w:val="216"/>
          <w:jc w:val="center"/>
        </w:trPr>
        <w:tc>
          <w:tcPr>
            <w:tcW w:w="1924" w:type="dxa"/>
            <w:vMerge w:val="restart"/>
            <w:tcBorders>
              <w:top w:val="single" w:sz="4" w:space="0" w:color="009900"/>
              <w:left w:val="single" w:sz="4" w:space="0" w:color="009900"/>
              <w:bottom w:val="single" w:sz="4" w:space="0" w:color="009900"/>
              <w:right w:val="nil"/>
            </w:tcBorders>
            <w:shd w:val="clear" w:color="000000" w:fill="FFFFE1"/>
            <w:noWrap/>
            <w:vAlign w:val="center"/>
            <w:hideMark/>
          </w:tcPr>
          <w:p w:rsidR="00AF4B00" w:rsidRPr="00AF4B00" w:rsidRDefault="00AF4B00" w:rsidP="00AF4B00">
            <w:pPr>
              <w:suppressAutoHyphens/>
              <w:rPr>
                <w:rFonts w:ascii="Arial" w:eastAsia="Calibri" w:hAnsi="Arial"/>
                <w:b/>
                <w:sz w:val="16"/>
                <w:szCs w:val="23"/>
              </w:rPr>
            </w:pPr>
            <w:r w:rsidRPr="00AF4B00">
              <w:rPr>
                <w:rFonts w:ascii="Arial" w:eastAsia="Calibri" w:hAnsi="Arial"/>
                <w:b/>
                <w:sz w:val="16"/>
                <w:szCs w:val="23"/>
              </w:rPr>
              <w:t>Size</w:t>
            </w:r>
          </w:p>
        </w:tc>
        <w:tc>
          <w:tcPr>
            <w:tcW w:w="2122" w:type="dxa"/>
            <w:gridSpan w:val="2"/>
            <w:tcBorders>
              <w:top w:val="single" w:sz="4" w:space="0" w:color="009900"/>
              <w:left w:val="nil"/>
              <w:bottom w:val="dotted" w:sz="4" w:space="0" w:color="0099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b/>
                <w:sz w:val="16"/>
                <w:szCs w:val="23"/>
              </w:rPr>
            </w:pPr>
            <w:r w:rsidRPr="00AF4B00">
              <w:rPr>
                <w:rFonts w:ascii="Arial" w:eastAsia="Calibri" w:hAnsi="Arial"/>
                <w:b/>
                <w:sz w:val="16"/>
                <w:szCs w:val="23"/>
              </w:rPr>
              <w:t>2000 Census</w:t>
            </w:r>
          </w:p>
        </w:tc>
        <w:tc>
          <w:tcPr>
            <w:tcW w:w="2212" w:type="dxa"/>
            <w:gridSpan w:val="2"/>
            <w:tcBorders>
              <w:top w:val="single" w:sz="4" w:space="0" w:color="009900"/>
              <w:left w:val="nil"/>
              <w:bottom w:val="dotted" w:sz="4" w:space="0" w:color="0099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b/>
                <w:sz w:val="16"/>
                <w:szCs w:val="23"/>
              </w:rPr>
            </w:pPr>
            <w:r w:rsidRPr="00AF4B00">
              <w:rPr>
                <w:rFonts w:ascii="Arial" w:eastAsia="Calibri" w:hAnsi="Arial"/>
                <w:b/>
                <w:sz w:val="16"/>
                <w:szCs w:val="23"/>
              </w:rPr>
              <w:t>2010 Census</w:t>
            </w:r>
          </w:p>
        </w:tc>
        <w:tc>
          <w:tcPr>
            <w:tcW w:w="1010" w:type="dxa"/>
            <w:vMerge w:val="restart"/>
            <w:tcBorders>
              <w:top w:val="single" w:sz="4" w:space="0" w:color="009900"/>
              <w:left w:val="dotted" w:sz="4" w:space="0" w:color="009900"/>
              <w:bottom w:val="single" w:sz="4" w:space="0" w:color="009900"/>
              <w:right w:val="single" w:sz="4" w:space="0" w:color="009900"/>
            </w:tcBorders>
            <w:shd w:val="clear" w:color="000000" w:fill="FFFFE1"/>
            <w:vAlign w:val="center"/>
            <w:hideMark/>
          </w:tcPr>
          <w:p w:rsidR="00AF4B00" w:rsidRPr="00AF4B00" w:rsidRDefault="00AF4B00" w:rsidP="00AF4B00">
            <w:pPr>
              <w:suppressAutoHyphens/>
              <w:jc w:val="center"/>
              <w:rPr>
                <w:rFonts w:ascii="Arial" w:eastAsia="Calibri" w:hAnsi="Arial"/>
                <w:b/>
                <w:sz w:val="16"/>
                <w:szCs w:val="23"/>
              </w:rPr>
            </w:pPr>
            <w:r w:rsidRPr="00AF4B00">
              <w:rPr>
                <w:rFonts w:ascii="Arial" w:eastAsia="Calibri" w:hAnsi="Arial"/>
                <w:b/>
                <w:sz w:val="16"/>
                <w:szCs w:val="23"/>
              </w:rPr>
              <w:t>% Change 00–10</w:t>
            </w:r>
          </w:p>
        </w:tc>
      </w:tr>
      <w:tr w:rsidR="00AF4B00" w:rsidRPr="00AF4B00" w:rsidTr="00AF4B00">
        <w:trPr>
          <w:trHeight w:val="216"/>
          <w:jc w:val="center"/>
        </w:trPr>
        <w:tc>
          <w:tcPr>
            <w:tcW w:w="1924" w:type="dxa"/>
            <w:vMerge/>
            <w:tcBorders>
              <w:top w:val="nil"/>
              <w:left w:val="single" w:sz="4" w:space="0" w:color="009900"/>
              <w:bottom w:val="single" w:sz="4" w:space="0" w:color="009900"/>
              <w:right w:val="nil"/>
            </w:tcBorders>
            <w:vAlign w:val="center"/>
            <w:hideMark/>
          </w:tcPr>
          <w:p w:rsidR="00AF4B00" w:rsidRPr="00AF4B00" w:rsidRDefault="00AF4B00" w:rsidP="00AF4B00">
            <w:pPr>
              <w:suppressAutoHyphens/>
              <w:rPr>
                <w:rFonts w:ascii="Arial" w:eastAsia="Calibri" w:hAnsi="Arial"/>
                <w:b/>
                <w:sz w:val="16"/>
                <w:szCs w:val="23"/>
              </w:rPr>
            </w:pPr>
          </w:p>
        </w:tc>
        <w:tc>
          <w:tcPr>
            <w:tcW w:w="1132" w:type="dxa"/>
            <w:tcBorders>
              <w:top w:val="nil"/>
              <w:left w:val="nil"/>
              <w:bottom w:val="single" w:sz="4" w:space="0" w:color="0099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b/>
                <w:sz w:val="16"/>
                <w:szCs w:val="23"/>
              </w:rPr>
            </w:pPr>
            <w:r w:rsidRPr="00AF4B00">
              <w:rPr>
                <w:rFonts w:ascii="Arial" w:eastAsia="Calibri" w:hAnsi="Arial"/>
                <w:b/>
                <w:sz w:val="16"/>
                <w:szCs w:val="23"/>
              </w:rPr>
              <w:t>Households</w:t>
            </w:r>
          </w:p>
        </w:tc>
        <w:tc>
          <w:tcPr>
            <w:tcW w:w="990" w:type="dxa"/>
            <w:tcBorders>
              <w:top w:val="nil"/>
              <w:left w:val="nil"/>
              <w:bottom w:val="single" w:sz="4" w:space="0" w:color="0099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b/>
                <w:sz w:val="16"/>
                <w:szCs w:val="23"/>
              </w:rPr>
            </w:pPr>
            <w:r w:rsidRPr="00AF4B00">
              <w:rPr>
                <w:rFonts w:ascii="Arial" w:eastAsia="Calibri" w:hAnsi="Arial"/>
                <w:b/>
                <w:sz w:val="16"/>
                <w:szCs w:val="23"/>
              </w:rPr>
              <w:t>% of Total</w:t>
            </w:r>
          </w:p>
        </w:tc>
        <w:tc>
          <w:tcPr>
            <w:tcW w:w="1132" w:type="dxa"/>
            <w:tcBorders>
              <w:top w:val="nil"/>
              <w:left w:val="nil"/>
              <w:bottom w:val="single" w:sz="4" w:space="0" w:color="0099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b/>
                <w:sz w:val="16"/>
                <w:szCs w:val="23"/>
              </w:rPr>
            </w:pPr>
            <w:r w:rsidRPr="00AF4B00">
              <w:rPr>
                <w:rFonts w:ascii="Arial" w:eastAsia="Calibri" w:hAnsi="Arial"/>
                <w:b/>
                <w:sz w:val="16"/>
                <w:szCs w:val="23"/>
              </w:rPr>
              <w:t>Households</w:t>
            </w:r>
          </w:p>
        </w:tc>
        <w:tc>
          <w:tcPr>
            <w:tcW w:w="1080" w:type="dxa"/>
            <w:tcBorders>
              <w:top w:val="nil"/>
              <w:left w:val="nil"/>
              <w:bottom w:val="single" w:sz="4" w:space="0" w:color="0099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b/>
                <w:sz w:val="16"/>
                <w:szCs w:val="23"/>
              </w:rPr>
            </w:pPr>
            <w:r w:rsidRPr="00AF4B00">
              <w:rPr>
                <w:rFonts w:ascii="Arial" w:eastAsia="Calibri" w:hAnsi="Arial"/>
                <w:b/>
                <w:sz w:val="16"/>
                <w:szCs w:val="23"/>
              </w:rPr>
              <w:t>% of Total</w:t>
            </w:r>
          </w:p>
        </w:tc>
        <w:tc>
          <w:tcPr>
            <w:tcW w:w="1010" w:type="dxa"/>
            <w:vMerge/>
            <w:tcBorders>
              <w:top w:val="nil"/>
              <w:left w:val="dotted" w:sz="4" w:space="0" w:color="009900"/>
              <w:bottom w:val="single" w:sz="4" w:space="0" w:color="009900"/>
              <w:right w:val="single" w:sz="4" w:space="0" w:color="009900"/>
            </w:tcBorders>
            <w:vAlign w:val="center"/>
            <w:hideMark/>
          </w:tcPr>
          <w:p w:rsidR="00AF4B00" w:rsidRPr="00AF4B00" w:rsidRDefault="00AF4B00" w:rsidP="00AF4B00">
            <w:pPr>
              <w:suppressAutoHyphens/>
              <w:jc w:val="center"/>
              <w:rPr>
                <w:rFonts w:ascii="Arial" w:eastAsia="Calibri" w:hAnsi="Arial"/>
                <w:b/>
                <w:sz w:val="16"/>
                <w:szCs w:val="23"/>
              </w:rPr>
            </w:pPr>
          </w:p>
        </w:tc>
      </w:tr>
      <w:tr w:rsidR="00AF4B00" w:rsidRPr="00AF4B00" w:rsidTr="00AF4B00">
        <w:trPr>
          <w:trHeight w:val="216"/>
          <w:jc w:val="center"/>
        </w:trPr>
        <w:tc>
          <w:tcPr>
            <w:tcW w:w="1924" w:type="dxa"/>
            <w:tcBorders>
              <w:top w:val="nil"/>
              <w:left w:val="single" w:sz="4" w:space="0" w:color="009900"/>
              <w:bottom w:val="nil"/>
              <w:right w:val="nil"/>
            </w:tcBorders>
            <w:shd w:val="clear" w:color="000000" w:fill="FFFFE1"/>
            <w:noWrap/>
            <w:vAlign w:val="center"/>
            <w:hideMark/>
          </w:tcPr>
          <w:p w:rsidR="00AF4B00" w:rsidRPr="00AF4B00" w:rsidRDefault="00AF4B00" w:rsidP="00AF4B00">
            <w:pPr>
              <w:suppressAutoHyphens/>
              <w:rPr>
                <w:rFonts w:ascii="Arial" w:eastAsia="Calibri" w:hAnsi="Arial"/>
                <w:sz w:val="16"/>
                <w:szCs w:val="23"/>
              </w:rPr>
            </w:pPr>
            <w:r w:rsidRPr="00AF4B00">
              <w:rPr>
                <w:rFonts w:ascii="Arial" w:eastAsia="Calibri" w:hAnsi="Arial"/>
                <w:sz w:val="16"/>
                <w:szCs w:val="23"/>
              </w:rPr>
              <w:t>One Person</w:t>
            </w:r>
          </w:p>
        </w:tc>
        <w:tc>
          <w:tcPr>
            <w:tcW w:w="1132"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172,181</w:t>
            </w:r>
          </w:p>
        </w:tc>
        <w:tc>
          <w:tcPr>
            <w:tcW w:w="990"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25.4</w:t>
            </w:r>
            <w:r w:rsidRPr="00AF4B00">
              <w:rPr>
                <w:rFonts w:ascii="Arial" w:eastAsia="Calibri" w:hAnsi="Arial"/>
                <w:sz w:val="16"/>
                <w:szCs w:val="23"/>
              </w:rPr>
              <w:t>%</w:t>
            </w:r>
          </w:p>
        </w:tc>
        <w:tc>
          <w:tcPr>
            <w:tcW w:w="1132"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221,347</w:t>
            </w:r>
          </w:p>
        </w:tc>
        <w:tc>
          <w:tcPr>
            <w:tcW w:w="1080"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28.0</w:t>
            </w:r>
            <w:r w:rsidRPr="00AF4B00">
              <w:rPr>
                <w:rFonts w:ascii="Arial" w:eastAsia="Calibri" w:hAnsi="Arial"/>
                <w:sz w:val="16"/>
                <w:szCs w:val="23"/>
              </w:rPr>
              <w:t>%</w:t>
            </w:r>
          </w:p>
        </w:tc>
        <w:tc>
          <w:tcPr>
            <w:tcW w:w="1010" w:type="dxa"/>
            <w:tcBorders>
              <w:top w:val="nil"/>
              <w:left w:val="dotted" w:sz="4" w:space="0" w:color="009900"/>
              <w:bottom w:val="nil"/>
              <w:right w:val="single" w:sz="4" w:space="0" w:color="009900"/>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28.6</w:t>
            </w:r>
            <w:r w:rsidRPr="00AF4B00">
              <w:rPr>
                <w:rFonts w:ascii="Arial" w:eastAsia="Calibri" w:hAnsi="Arial"/>
                <w:sz w:val="16"/>
                <w:szCs w:val="23"/>
              </w:rPr>
              <w:t>%</w:t>
            </w:r>
          </w:p>
        </w:tc>
      </w:tr>
      <w:tr w:rsidR="00AF4B00" w:rsidRPr="00AF4B00" w:rsidTr="00AF4B00">
        <w:trPr>
          <w:trHeight w:val="216"/>
          <w:jc w:val="center"/>
        </w:trPr>
        <w:tc>
          <w:tcPr>
            <w:tcW w:w="1924" w:type="dxa"/>
            <w:tcBorders>
              <w:top w:val="nil"/>
              <w:left w:val="single" w:sz="4" w:space="0" w:color="009900"/>
              <w:bottom w:val="nil"/>
              <w:right w:val="nil"/>
            </w:tcBorders>
            <w:shd w:val="clear" w:color="000000" w:fill="FFFFE1"/>
            <w:noWrap/>
            <w:vAlign w:val="center"/>
            <w:hideMark/>
          </w:tcPr>
          <w:p w:rsidR="00AF4B00" w:rsidRPr="00AF4B00" w:rsidRDefault="00AF4B00" w:rsidP="00AF4B00">
            <w:pPr>
              <w:suppressAutoHyphens/>
              <w:rPr>
                <w:rFonts w:ascii="Arial" w:eastAsia="Calibri" w:hAnsi="Arial"/>
                <w:sz w:val="16"/>
                <w:szCs w:val="23"/>
              </w:rPr>
            </w:pPr>
            <w:r w:rsidRPr="00AF4B00">
              <w:rPr>
                <w:rFonts w:ascii="Arial" w:eastAsia="Calibri" w:hAnsi="Arial"/>
                <w:sz w:val="16"/>
                <w:szCs w:val="23"/>
              </w:rPr>
              <w:t>Two Persons</w:t>
            </w:r>
          </w:p>
        </w:tc>
        <w:tc>
          <w:tcPr>
            <w:tcW w:w="1132"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219,502</w:t>
            </w:r>
          </w:p>
        </w:tc>
        <w:tc>
          <w:tcPr>
            <w:tcW w:w="990"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32.4</w:t>
            </w:r>
            <w:r w:rsidRPr="00AF4B00">
              <w:rPr>
                <w:rFonts w:ascii="Arial" w:eastAsia="Calibri" w:hAnsi="Arial"/>
                <w:sz w:val="16"/>
                <w:szCs w:val="23"/>
              </w:rPr>
              <w:t>%</w:t>
            </w:r>
          </w:p>
        </w:tc>
        <w:tc>
          <w:tcPr>
            <w:tcW w:w="1132"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260,244</w:t>
            </w:r>
          </w:p>
        </w:tc>
        <w:tc>
          <w:tcPr>
            <w:tcW w:w="1080"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32.9</w:t>
            </w:r>
            <w:r w:rsidRPr="00AF4B00">
              <w:rPr>
                <w:rFonts w:ascii="Arial" w:eastAsia="Calibri" w:hAnsi="Arial"/>
                <w:sz w:val="16"/>
                <w:szCs w:val="23"/>
              </w:rPr>
              <w:t>%</w:t>
            </w:r>
          </w:p>
        </w:tc>
        <w:tc>
          <w:tcPr>
            <w:tcW w:w="1010" w:type="dxa"/>
            <w:tcBorders>
              <w:top w:val="nil"/>
              <w:left w:val="dotted" w:sz="4" w:space="0" w:color="009900"/>
              <w:bottom w:val="nil"/>
              <w:right w:val="single" w:sz="4" w:space="0" w:color="009900"/>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18.6</w:t>
            </w:r>
            <w:r w:rsidRPr="00AF4B00">
              <w:rPr>
                <w:rFonts w:ascii="Arial" w:eastAsia="Calibri" w:hAnsi="Arial"/>
                <w:sz w:val="16"/>
                <w:szCs w:val="23"/>
              </w:rPr>
              <w:t>%</w:t>
            </w:r>
          </w:p>
        </w:tc>
      </w:tr>
      <w:tr w:rsidR="00AF4B00" w:rsidRPr="00AF4B00" w:rsidTr="00AF4B00">
        <w:trPr>
          <w:trHeight w:val="216"/>
          <w:jc w:val="center"/>
        </w:trPr>
        <w:tc>
          <w:tcPr>
            <w:tcW w:w="1924" w:type="dxa"/>
            <w:tcBorders>
              <w:top w:val="nil"/>
              <w:left w:val="single" w:sz="4" w:space="0" w:color="009900"/>
              <w:bottom w:val="nil"/>
              <w:right w:val="nil"/>
            </w:tcBorders>
            <w:shd w:val="clear" w:color="000000" w:fill="FFFFE1"/>
            <w:noWrap/>
            <w:vAlign w:val="center"/>
            <w:hideMark/>
          </w:tcPr>
          <w:p w:rsidR="00AF4B00" w:rsidRPr="00AF4B00" w:rsidRDefault="00AF4B00" w:rsidP="00AF4B00">
            <w:pPr>
              <w:suppressAutoHyphens/>
              <w:rPr>
                <w:rFonts w:ascii="Arial" w:eastAsia="Calibri" w:hAnsi="Arial"/>
                <w:sz w:val="16"/>
                <w:szCs w:val="23"/>
              </w:rPr>
            </w:pPr>
            <w:r w:rsidRPr="00AF4B00">
              <w:rPr>
                <w:rFonts w:ascii="Arial" w:eastAsia="Calibri" w:hAnsi="Arial"/>
                <w:sz w:val="16"/>
                <w:szCs w:val="23"/>
              </w:rPr>
              <w:t>Three Persons</w:t>
            </w:r>
          </w:p>
        </w:tc>
        <w:tc>
          <w:tcPr>
            <w:tcW w:w="1132"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110,766</w:t>
            </w:r>
          </w:p>
        </w:tc>
        <w:tc>
          <w:tcPr>
            <w:tcW w:w="990"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16.3</w:t>
            </w:r>
            <w:r w:rsidRPr="00AF4B00">
              <w:rPr>
                <w:rFonts w:ascii="Arial" w:eastAsia="Calibri" w:hAnsi="Arial"/>
                <w:sz w:val="16"/>
                <w:szCs w:val="23"/>
              </w:rPr>
              <w:t>%</w:t>
            </w:r>
          </w:p>
        </w:tc>
        <w:tc>
          <w:tcPr>
            <w:tcW w:w="1132"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121,352</w:t>
            </w:r>
          </w:p>
        </w:tc>
        <w:tc>
          <w:tcPr>
            <w:tcW w:w="1080"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15.3</w:t>
            </w:r>
            <w:r w:rsidRPr="00AF4B00">
              <w:rPr>
                <w:rFonts w:ascii="Arial" w:eastAsia="Calibri" w:hAnsi="Arial"/>
                <w:sz w:val="16"/>
                <w:szCs w:val="23"/>
              </w:rPr>
              <w:t>%</w:t>
            </w:r>
          </w:p>
        </w:tc>
        <w:tc>
          <w:tcPr>
            <w:tcW w:w="1010" w:type="dxa"/>
            <w:tcBorders>
              <w:top w:val="nil"/>
              <w:left w:val="dotted" w:sz="4" w:space="0" w:color="009900"/>
              <w:bottom w:val="nil"/>
              <w:right w:val="single" w:sz="4" w:space="0" w:color="009900"/>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9.6</w:t>
            </w:r>
            <w:r w:rsidRPr="00AF4B00">
              <w:rPr>
                <w:rFonts w:ascii="Arial" w:eastAsia="Calibri" w:hAnsi="Arial"/>
                <w:sz w:val="16"/>
                <w:szCs w:val="23"/>
              </w:rPr>
              <w:t>%</w:t>
            </w:r>
          </w:p>
        </w:tc>
      </w:tr>
      <w:tr w:rsidR="00AF4B00" w:rsidRPr="00AF4B00" w:rsidTr="00AF4B00">
        <w:trPr>
          <w:trHeight w:val="216"/>
          <w:jc w:val="center"/>
        </w:trPr>
        <w:tc>
          <w:tcPr>
            <w:tcW w:w="1924" w:type="dxa"/>
            <w:tcBorders>
              <w:top w:val="nil"/>
              <w:left w:val="single" w:sz="4" w:space="0" w:color="009900"/>
              <w:bottom w:val="nil"/>
              <w:right w:val="nil"/>
            </w:tcBorders>
            <w:shd w:val="clear" w:color="000000" w:fill="FFFFE1"/>
            <w:noWrap/>
            <w:vAlign w:val="center"/>
            <w:hideMark/>
          </w:tcPr>
          <w:p w:rsidR="00AF4B00" w:rsidRPr="00AF4B00" w:rsidRDefault="00AF4B00" w:rsidP="00AF4B00">
            <w:pPr>
              <w:suppressAutoHyphens/>
              <w:rPr>
                <w:rFonts w:ascii="Arial" w:eastAsia="Calibri" w:hAnsi="Arial"/>
                <w:sz w:val="16"/>
                <w:szCs w:val="23"/>
              </w:rPr>
            </w:pPr>
            <w:r w:rsidRPr="00AF4B00">
              <w:rPr>
                <w:rFonts w:ascii="Arial" w:eastAsia="Calibri" w:hAnsi="Arial"/>
                <w:sz w:val="16"/>
                <w:szCs w:val="23"/>
              </w:rPr>
              <w:t>Four Persons</w:t>
            </w:r>
          </w:p>
        </w:tc>
        <w:tc>
          <w:tcPr>
            <w:tcW w:w="1132"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95,632</w:t>
            </w:r>
          </w:p>
        </w:tc>
        <w:tc>
          <w:tcPr>
            <w:tcW w:w="990"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14.1</w:t>
            </w:r>
            <w:r w:rsidRPr="00AF4B00">
              <w:rPr>
                <w:rFonts w:ascii="Arial" w:eastAsia="Calibri" w:hAnsi="Arial"/>
                <w:sz w:val="16"/>
                <w:szCs w:val="23"/>
              </w:rPr>
              <w:t>%</w:t>
            </w:r>
          </w:p>
        </w:tc>
        <w:tc>
          <w:tcPr>
            <w:tcW w:w="1132"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98,041</w:t>
            </w:r>
          </w:p>
        </w:tc>
        <w:tc>
          <w:tcPr>
            <w:tcW w:w="1080"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12.4</w:t>
            </w:r>
            <w:r w:rsidRPr="00AF4B00">
              <w:rPr>
                <w:rFonts w:ascii="Arial" w:eastAsia="Calibri" w:hAnsi="Arial"/>
                <w:sz w:val="16"/>
                <w:szCs w:val="23"/>
              </w:rPr>
              <w:t>%</w:t>
            </w:r>
          </w:p>
        </w:tc>
        <w:tc>
          <w:tcPr>
            <w:tcW w:w="1010" w:type="dxa"/>
            <w:tcBorders>
              <w:top w:val="nil"/>
              <w:left w:val="dotted" w:sz="4" w:space="0" w:color="009900"/>
              <w:bottom w:val="nil"/>
              <w:right w:val="single" w:sz="4" w:space="0" w:color="009900"/>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2.5</w:t>
            </w:r>
            <w:r w:rsidRPr="00AF4B00">
              <w:rPr>
                <w:rFonts w:ascii="Arial" w:eastAsia="Calibri" w:hAnsi="Arial"/>
                <w:sz w:val="16"/>
                <w:szCs w:val="23"/>
              </w:rPr>
              <w:t>%</w:t>
            </w:r>
          </w:p>
        </w:tc>
      </w:tr>
      <w:tr w:rsidR="00AF4B00" w:rsidRPr="00AF4B00" w:rsidTr="00AF4B00">
        <w:trPr>
          <w:trHeight w:val="216"/>
          <w:jc w:val="center"/>
        </w:trPr>
        <w:tc>
          <w:tcPr>
            <w:tcW w:w="1924" w:type="dxa"/>
            <w:tcBorders>
              <w:top w:val="nil"/>
              <w:left w:val="single" w:sz="4" w:space="0" w:color="009900"/>
              <w:bottom w:val="nil"/>
              <w:right w:val="nil"/>
            </w:tcBorders>
            <w:shd w:val="clear" w:color="000000" w:fill="FFFFE1"/>
            <w:noWrap/>
            <w:vAlign w:val="center"/>
            <w:hideMark/>
          </w:tcPr>
          <w:p w:rsidR="00AF4B00" w:rsidRPr="00AF4B00" w:rsidRDefault="00AF4B00" w:rsidP="00AF4B00">
            <w:pPr>
              <w:suppressAutoHyphens/>
              <w:rPr>
                <w:rFonts w:ascii="Arial" w:eastAsia="Calibri" w:hAnsi="Arial"/>
                <w:sz w:val="16"/>
                <w:szCs w:val="23"/>
              </w:rPr>
            </w:pPr>
            <w:r w:rsidRPr="00AF4B00">
              <w:rPr>
                <w:rFonts w:ascii="Arial" w:eastAsia="Calibri" w:hAnsi="Arial"/>
                <w:sz w:val="16"/>
                <w:szCs w:val="23"/>
              </w:rPr>
              <w:t>Five Persons</w:t>
            </w:r>
          </w:p>
        </w:tc>
        <w:tc>
          <w:tcPr>
            <w:tcW w:w="1132"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47,658</w:t>
            </w:r>
          </w:p>
        </w:tc>
        <w:tc>
          <w:tcPr>
            <w:tcW w:w="990"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7.0</w:t>
            </w:r>
            <w:r w:rsidRPr="00AF4B00">
              <w:rPr>
                <w:rFonts w:ascii="Arial" w:eastAsia="Calibri" w:hAnsi="Arial"/>
                <w:sz w:val="16"/>
                <w:szCs w:val="23"/>
              </w:rPr>
              <w:t>%</w:t>
            </w:r>
          </w:p>
        </w:tc>
        <w:tc>
          <w:tcPr>
            <w:tcW w:w="1132"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52,997</w:t>
            </w:r>
          </w:p>
        </w:tc>
        <w:tc>
          <w:tcPr>
            <w:tcW w:w="1080"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6.7</w:t>
            </w:r>
            <w:r w:rsidRPr="00AF4B00">
              <w:rPr>
                <w:rFonts w:ascii="Arial" w:eastAsia="Calibri" w:hAnsi="Arial"/>
                <w:sz w:val="16"/>
                <w:szCs w:val="23"/>
              </w:rPr>
              <w:t>%</w:t>
            </w:r>
          </w:p>
        </w:tc>
        <w:tc>
          <w:tcPr>
            <w:tcW w:w="1010" w:type="dxa"/>
            <w:tcBorders>
              <w:top w:val="nil"/>
              <w:left w:val="dotted" w:sz="4" w:space="0" w:color="009900"/>
              <w:bottom w:val="nil"/>
              <w:right w:val="single" w:sz="4" w:space="0" w:color="009900"/>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11.2</w:t>
            </w:r>
            <w:r w:rsidRPr="00AF4B00">
              <w:rPr>
                <w:rFonts w:ascii="Arial" w:eastAsia="Calibri" w:hAnsi="Arial"/>
                <w:sz w:val="16"/>
                <w:szCs w:val="23"/>
              </w:rPr>
              <w:t>%</w:t>
            </w:r>
          </w:p>
        </w:tc>
      </w:tr>
      <w:tr w:rsidR="00AF4B00" w:rsidRPr="00AF4B00" w:rsidTr="00AF4B00">
        <w:trPr>
          <w:trHeight w:val="216"/>
          <w:jc w:val="center"/>
        </w:trPr>
        <w:tc>
          <w:tcPr>
            <w:tcW w:w="1924" w:type="dxa"/>
            <w:tcBorders>
              <w:top w:val="nil"/>
              <w:left w:val="single" w:sz="4" w:space="0" w:color="009900"/>
              <w:bottom w:val="nil"/>
              <w:right w:val="nil"/>
            </w:tcBorders>
            <w:shd w:val="clear" w:color="000000" w:fill="FFFFE1"/>
            <w:noWrap/>
            <w:vAlign w:val="center"/>
            <w:hideMark/>
          </w:tcPr>
          <w:p w:rsidR="00AF4B00" w:rsidRPr="00AF4B00" w:rsidRDefault="00AF4B00" w:rsidP="00AF4B00">
            <w:pPr>
              <w:suppressAutoHyphens/>
              <w:rPr>
                <w:rFonts w:ascii="Arial" w:eastAsia="Calibri" w:hAnsi="Arial"/>
                <w:sz w:val="16"/>
                <w:szCs w:val="23"/>
              </w:rPr>
            </w:pPr>
            <w:r w:rsidRPr="00AF4B00">
              <w:rPr>
                <w:rFonts w:ascii="Arial" w:eastAsia="Calibri" w:hAnsi="Arial"/>
                <w:sz w:val="16"/>
                <w:szCs w:val="23"/>
              </w:rPr>
              <w:t>Six Persons</w:t>
            </w:r>
          </w:p>
        </w:tc>
        <w:tc>
          <w:tcPr>
            <w:tcW w:w="1132"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19,179</w:t>
            </w:r>
          </w:p>
        </w:tc>
        <w:tc>
          <w:tcPr>
            <w:tcW w:w="990"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2.8</w:t>
            </w:r>
            <w:r w:rsidRPr="00AF4B00">
              <w:rPr>
                <w:rFonts w:ascii="Arial" w:eastAsia="Calibri" w:hAnsi="Arial"/>
                <w:sz w:val="16"/>
                <w:szCs w:val="23"/>
              </w:rPr>
              <w:t>%</w:t>
            </w:r>
          </w:p>
        </w:tc>
        <w:tc>
          <w:tcPr>
            <w:tcW w:w="1132"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21,845</w:t>
            </w:r>
          </w:p>
        </w:tc>
        <w:tc>
          <w:tcPr>
            <w:tcW w:w="1080"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2.8</w:t>
            </w:r>
            <w:r w:rsidRPr="00AF4B00">
              <w:rPr>
                <w:rFonts w:ascii="Arial" w:eastAsia="Calibri" w:hAnsi="Arial"/>
                <w:sz w:val="16"/>
                <w:szCs w:val="23"/>
              </w:rPr>
              <w:t>%</w:t>
            </w:r>
          </w:p>
        </w:tc>
        <w:tc>
          <w:tcPr>
            <w:tcW w:w="1010" w:type="dxa"/>
            <w:tcBorders>
              <w:top w:val="nil"/>
              <w:left w:val="dotted" w:sz="4" w:space="0" w:color="009900"/>
              <w:bottom w:val="nil"/>
              <w:right w:val="single" w:sz="4" w:space="0" w:color="009900"/>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13.9</w:t>
            </w:r>
            <w:r w:rsidRPr="00AF4B00">
              <w:rPr>
                <w:rFonts w:ascii="Arial" w:eastAsia="Calibri" w:hAnsi="Arial"/>
                <w:sz w:val="16"/>
                <w:szCs w:val="23"/>
              </w:rPr>
              <w:t>%</w:t>
            </w:r>
          </w:p>
        </w:tc>
      </w:tr>
      <w:tr w:rsidR="00AF4B00" w:rsidRPr="00AF4B00" w:rsidTr="00AF4B00">
        <w:trPr>
          <w:trHeight w:val="216"/>
          <w:jc w:val="center"/>
        </w:trPr>
        <w:tc>
          <w:tcPr>
            <w:tcW w:w="1924" w:type="dxa"/>
            <w:tcBorders>
              <w:top w:val="nil"/>
              <w:left w:val="single" w:sz="4" w:space="0" w:color="009900"/>
              <w:bottom w:val="nil"/>
              <w:right w:val="nil"/>
            </w:tcBorders>
            <w:shd w:val="clear" w:color="000000" w:fill="FFFFE1"/>
            <w:noWrap/>
            <w:vAlign w:val="center"/>
            <w:hideMark/>
          </w:tcPr>
          <w:p w:rsidR="00AF4B00" w:rsidRPr="00AF4B00" w:rsidRDefault="00AF4B00" w:rsidP="00AF4B00">
            <w:pPr>
              <w:suppressAutoHyphens/>
              <w:rPr>
                <w:rFonts w:ascii="Arial" w:eastAsia="Calibri" w:hAnsi="Arial"/>
                <w:sz w:val="16"/>
                <w:szCs w:val="23"/>
              </w:rPr>
            </w:pPr>
            <w:r w:rsidRPr="00AF4B00">
              <w:rPr>
                <w:rFonts w:ascii="Arial" w:eastAsia="Calibri" w:hAnsi="Arial"/>
                <w:sz w:val="16"/>
                <w:szCs w:val="23"/>
              </w:rPr>
              <w:t>Seven Persons or More</w:t>
            </w:r>
          </w:p>
        </w:tc>
        <w:tc>
          <w:tcPr>
            <w:tcW w:w="1132" w:type="dxa"/>
            <w:tcBorders>
              <w:top w:val="nil"/>
              <w:left w:val="nil"/>
              <w:bottom w:val="double" w:sz="6" w:space="0" w:color="0099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13,053</w:t>
            </w:r>
          </w:p>
        </w:tc>
        <w:tc>
          <w:tcPr>
            <w:tcW w:w="990" w:type="dxa"/>
            <w:tcBorders>
              <w:top w:val="nil"/>
              <w:left w:val="nil"/>
              <w:bottom w:val="double" w:sz="6" w:space="0" w:color="0099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1.9</w:t>
            </w:r>
            <w:r w:rsidRPr="00AF4B00">
              <w:rPr>
                <w:rFonts w:ascii="Arial" w:eastAsia="Calibri" w:hAnsi="Arial"/>
                <w:sz w:val="16"/>
                <w:szCs w:val="23"/>
              </w:rPr>
              <w:t>%</w:t>
            </w:r>
          </w:p>
        </w:tc>
        <w:tc>
          <w:tcPr>
            <w:tcW w:w="1132" w:type="dxa"/>
            <w:tcBorders>
              <w:top w:val="nil"/>
              <w:left w:val="nil"/>
              <w:bottom w:val="double" w:sz="6" w:space="0" w:color="0099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15,569</w:t>
            </w:r>
          </w:p>
        </w:tc>
        <w:tc>
          <w:tcPr>
            <w:tcW w:w="1080" w:type="dxa"/>
            <w:tcBorders>
              <w:top w:val="nil"/>
              <w:left w:val="nil"/>
              <w:bottom w:val="double" w:sz="6" w:space="0" w:color="0099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2.0</w:t>
            </w:r>
            <w:r w:rsidRPr="00AF4B00">
              <w:rPr>
                <w:rFonts w:ascii="Arial" w:eastAsia="Calibri" w:hAnsi="Arial"/>
                <w:sz w:val="16"/>
                <w:szCs w:val="23"/>
              </w:rPr>
              <w:t>%</w:t>
            </w:r>
          </w:p>
        </w:tc>
        <w:tc>
          <w:tcPr>
            <w:tcW w:w="1010" w:type="dxa"/>
            <w:tcBorders>
              <w:top w:val="nil"/>
              <w:left w:val="dotted" w:sz="4" w:space="0" w:color="009900"/>
              <w:bottom w:val="nil"/>
              <w:right w:val="single" w:sz="4" w:space="0" w:color="009900"/>
            </w:tcBorders>
            <w:shd w:val="clear" w:color="000000" w:fill="FFFFE1"/>
            <w:noWrap/>
            <w:vAlign w:val="center"/>
            <w:hideMark/>
          </w:tcPr>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19.3</w:t>
            </w:r>
            <w:r w:rsidRPr="00AF4B00">
              <w:rPr>
                <w:rFonts w:ascii="Arial" w:eastAsia="Calibri" w:hAnsi="Arial"/>
                <w:sz w:val="16"/>
                <w:szCs w:val="23"/>
              </w:rPr>
              <w:t>%</w:t>
            </w:r>
          </w:p>
        </w:tc>
      </w:tr>
      <w:tr w:rsidR="00AF4B00" w:rsidRPr="00AF4B00" w:rsidTr="00AF4B00">
        <w:trPr>
          <w:trHeight w:val="216"/>
          <w:jc w:val="center"/>
        </w:trPr>
        <w:tc>
          <w:tcPr>
            <w:tcW w:w="1924" w:type="dxa"/>
            <w:tcBorders>
              <w:top w:val="double" w:sz="6" w:space="0" w:color="009900"/>
              <w:left w:val="single" w:sz="4" w:space="0" w:color="009900"/>
              <w:bottom w:val="single" w:sz="4" w:space="0" w:color="009900"/>
              <w:right w:val="nil"/>
            </w:tcBorders>
            <w:shd w:val="clear" w:color="000000" w:fill="FFFFE1"/>
            <w:noWrap/>
            <w:vAlign w:val="center"/>
            <w:hideMark/>
          </w:tcPr>
          <w:p w:rsidR="00AF4B00" w:rsidRPr="00AF4B00" w:rsidRDefault="00AF4B00" w:rsidP="00AF4B00">
            <w:pPr>
              <w:suppressAutoHyphens/>
              <w:rPr>
                <w:rFonts w:ascii="Arial" w:eastAsia="Calibri" w:hAnsi="Arial"/>
                <w:b/>
                <w:sz w:val="16"/>
                <w:szCs w:val="23"/>
              </w:rPr>
            </w:pPr>
            <w:r w:rsidRPr="00AF4B00">
              <w:rPr>
                <w:rFonts w:ascii="Arial" w:eastAsia="Calibri" w:hAnsi="Arial"/>
                <w:b/>
                <w:sz w:val="16"/>
                <w:szCs w:val="23"/>
              </w:rPr>
              <w:t>Total</w:t>
            </w:r>
          </w:p>
        </w:tc>
        <w:tc>
          <w:tcPr>
            <w:tcW w:w="1132" w:type="dxa"/>
            <w:tcBorders>
              <w:top w:val="nil"/>
              <w:left w:val="nil"/>
              <w:bottom w:val="single" w:sz="4" w:space="0" w:color="0099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b/>
                <w:bCs/>
                <w:sz w:val="16"/>
                <w:szCs w:val="23"/>
              </w:rPr>
            </w:pPr>
            <w:r w:rsidRPr="00AF4B00">
              <w:rPr>
                <w:rFonts w:ascii="Arial" w:eastAsia="Calibri" w:hAnsi="Arial"/>
                <w:b/>
                <w:noProof/>
                <w:sz w:val="16"/>
                <w:szCs w:val="23"/>
              </w:rPr>
              <w:t>677,971</w:t>
            </w:r>
          </w:p>
        </w:tc>
        <w:tc>
          <w:tcPr>
            <w:tcW w:w="990" w:type="dxa"/>
            <w:tcBorders>
              <w:top w:val="nil"/>
              <w:left w:val="nil"/>
              <w:bottom w:val="single" w:sz="4" w:space="0" w:color="0099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b/>
                <w:bCs/>
                <w:sz w:val="16"/>
                <w:szCs w:val="23"/>
              </w:rPr>
            </w:pPr>
            <w:r w:rsidRPr="00AF4B00">
              <w:rPr>
                <w:rFonts w:ascii="Arial" w:eastAsia="Calibri" w:hAnsi="Arial"/>
                <w:b/>
                <w:sz w:val="16"/>
                <w:szCs w:val="23"/>
              </w:rPr>
              <w:t>100.0%</w:t>
            </w:r>
          </w:p>
        </w:tc>
        <w:tc>
          <w:tcPr>
            <w:tcW w:w="1132" w:type="dxa"/>
            <w:tcBorders>
              <w:top w:val="nil"/>
              <w:left w:val="nil"/>
              <w:bottom w:val="single" w:sz="4" w:space="0" w:color="0099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b/>
                <w:bCs/>
                <w:sz w:val="16"/>
                <w:szCs w:val="23"/>
              </w:rPr>
            </w:pPr>
            <w:r w:rsidRPr="00AF4B00">
              <w:rPr>
                <w:rFonts w:ascii="Arial" w:eastAsia="Calibri" w:hAnsi="Arial"/>
                <w:b/>
                <w:bCs/>
                <w:noProof/>
                <w:sz w:val="16"/>
                <w:szCs w:val="23"/>
              </w:rPr>
              <w:t>791,395</w:t>
            </w:r>
          </w:p>
        </w:tc>
        <w:tc>
          <w:tcPr>
            <w:tcW w:w="1080" w:type="dxa"/>
            <w:tcBorders>
              <w:top w:val="nil"/>
              <w:left w:val="nil"/>
              <w:bottom w:val="single" w:sz="4" w:space="0" w:color="0099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b/>
                <w:sz w:val="16"/>
                <w:szCs w:val="23"/>
              </w:rPr>
            </w:pPr>
            <w:r w:rsidRPr="00AF4B00">
              <w:rPr>
                <w:rFonts w:ascii="Arial" w:eastAsia="Calibri" w:hAnsi="Arial"/>
                <w:b/>
                <w:sz w:val="16"/>
                <w:szCs w:val="23"/>
              </w:rPr>
              <w:t>100.0%</w:t>
            </w:r>
          </w:p>
        </w:tc>
        <w:tc>
          <w:tcPr>
            <w:tcW w:w="1010" w:type="dxa"/>
            <w:tcBorders>
              <w:top w:val="double" w:sz="6" w:space="0" w:color="009900"/>
              <w:left w:val="dotted" w:sz="4" w:space="0" w:color="009900"/>
              <w:bottom w:val="single" w:sz="4" w:space="0" w:color="009900"/>
              <w:right w:val="single" w:sz="4" w:space="0" w:color="009900"/>
            </w:tcBorders>
            <w:shd w:val="clear" w:color="000000" w:fill="FFFFE1"/>
            <w:noWrap/>
            <w:vAlign w:val="center"/>
            <w:hideMark/>
          </w:tcPr>
          <w:p w:rsidR="00AF4B00" w:rsidRPr="00AF4B00" w:rsidRDefault="00AF4B00" w:rsidP="00AF4B00">
            <w:pPr>
              <w:suppressAutoHyphens/>
              <w:jc w:val="center"/>
              <w:rPr>
                <w:rFonts w:ascii="Arial" w:eastAsia="Calibri" w:hAnsi="Arial"/>
                <w:b/>
                <w:bCs/>
                <w:sz w:val="16"/>
                <w:szCs w:val="23"/>
              </w:rPr>
            </w:pPr>
            <w:r w:rsidRPr="00AF4B00">
              <w:rPr>
                <w:rFonts w:ascii="Arial" w:eastAsia="Calibri" w:hAnsi="Arial"/>
                <w:b/>
                <w:noProof/>
                <w:sz w:val="16"/>
                <w:szCs w:val="23"/>
              </w:rPr>
              <w:t>16.7</w:t>
            </w:r>
            <w:r w:rsidRPr="00AF4B00">
              <w:rPr>
                <w:rFonts w:ascii="Arial" w:eastAsia="Calibri" w:hAnsi="Arial"/>
                <w:b/>
                <w:bCs/>
                <w:sz w:val="16"/>
                <w:szCs w:val="23"/>
              </w:rPr>
              <w:t>%</w:t>
            </w:r>
          </w:p>
        </w:tc>
      </w:tr>
    </w:tbl>
    <w:p w:rsidR="001A239E" w:rsidRPr="00866A4D" w:rsidRDefault="001A239E" w:rsidP="009A0335">
      <w:pPr>
        <w:pStyle w:val="BodyText"/>
        <w:tabs>
          <w:tab w:val="num" w:pos="360"/>
        </w:tabs>
        <w:rPr>
          <w:rFonts w:ascii="CG Omega" w:hAnsi="CG Omega"/>
          <w:sz w:val="20"/>
          <w:highlight w:val="yellow"/>
        </w:rPr>
      </w:pPr>
    </w:p>
    <w:p w:rsidR="00AF4B00" w:rsidRDefault="001A239E" w:rsidP="009A0335">
      <w:pPr>
        <w:pStyle w:val="BodyText"/>
        <w:tabs>
          <w:tab w:val="num" w:pos="360"/>
        </w:tabs>
        <w:rPr>
          <w:rFonts w:ascii="CG Omega" w:hAnsi="CG Omega"/>
          <w:szCs w:val="24"/>
          <w:highlight w:val="yellow"/>
        </w:rPr>
      </w:pPr>
      <w:r w:rsidRPr="00D94406">
        <w:rPr>
          <w:rFonts w:ascii="CG Omega" w:hAnsi="CG Omega"/>
          <w:szCs w:val="24"/>
        </w:rPr>
        <w:t>The Bureau of Business and Economic Research (BBER) produces population forecasts</w:t>
      </w:r>
      <w:r w:rsidR="003555A3">
        <w:rPr>
          <w:rFonts w:ascii="CG Omega" w:hAnsi="CG Omega"/>
          <w:szCs w:val="24"/>
        </w:rPr>
        <w:t xml:space="preserve">, as seen in </w:t>
      </w:r>
      <w:r w:rsidR="003555A3" w:rsidRPr="00866A4D">
        <w:rPr>
          <w:rFonts w:ascii="CG Omega" w:hAnsi="CG Omega"/>
          <w:b/>
          <w:szCs w:val="24"/>
        </w:rPr>
        <w:t>Table III.11</w:t>
      </w:r>
      <w:r w:rsidR="00D85DC8">
        <w:rPr>
          <w:rFonts w:ascii="CG Omega" w:hAnsi="CG Omega"/>
          <w:szCs w:val="24"/>
        </w:rPr>
        <w:t>.</w:t>
      </w:r>
      <w:r w:rsidR="004305C8" w:rsidRPr="00D94406">
        <w:rPr>
          <w:rFonts w:ascii="CG Omega" w:hAnsi="CG Omega"/>
          <w:szCs w:val="24"/>
        </w:rPr>
        <w:t xml:space="preserve"> </w:t>
      </w:r>
      <w:r w:rsidRPr="00D94406">
        <w:rPr>
          <w:rFonts w:ascii="CG Omega" w:hAnsi="CG Omega"/>
          <w:szCs w:val="24"/>
        </w:rPr>
        <w:t>This information can be used to better anticipate housing and community development needs within the</w:t>
      </w:r>
      <w:r w:rsidR="002942AF" w:rsidRPr="00D94406">
        <w:rPr>
          <w:rFonts w:ascii="CG Omega" w:hAnsi="CG Omega"/>
          <w:szCs w:val="24"/>
        </w:rPr>
        <w:t xml:space="preserve"> state.</w:t>
      </w:r>
      <w:r w:rsidR="003555A3">
        <w:rPr>
          <w:rStyle w:val="FootnoteReference"/>
          <w:rFonts w:ascii="CG Omega" w:hAnsi="CG Omega"/>
          <w:szCs w:val="24"/>
        </w:rPr>
        <w:footnoteReference w:id="9"/>
      </w:r>
      <w:r w:rsidR="002942AF" w:rsidRPr="00D94406">
        <w:rPr>
          <w:rFonts w:ascii="CG Omega" w:hAnsi="CG Omega"/>
          <w:szCs w:val="24"/>
        </w:rPr>
        <w:t xml:space="preserve">  As seen in Table III.11</w:t>
      </w:r>
      <w:r w:rsidRPr="00D94406">
        <w:rPr>
          <w:rFonts w:ascii="CG Omega" w:hAnsi="CG Omega"/>
          <w:szCs w:val="24"/>
        </w:rPr>
        <w:t>, the state is expected to grow to 2.</w:t>
      </w:r>
      <w:r w:rsidR="00D94406" w:rsidRPr="00D94406">
        <w:rPr>
          <w:rFonts w:ascii="CG Omega" w:hAnsi="CG Omega"/>
          <w:szCs w:val="24"/>
        </w:rPr>
        <w:t>35</w:t>
      </w:r>
      <w:r w:rsidRPr="00D94406">
        <w:rPr>
          <w:rFonts w:ascii="CG Omega" w:hAnsi="CG Omega"/>
          <w:szCs w:val="24"/>
        </w:rPr>
        <w:t xml:space="preserve"> million persons </w:t>
      </w:r>
      <w:r w:rsidR="0051439D">
        <w:rPr>
          <w:rFonts w:ascii="CG Omega" w:hAnsi="CG Omega"/>
          <w:szCs w:val="24"/>
        </w:rPr>
        <w:t xml:space="preserve">and over 900,000 households </w:t>
      </w:r>
      <w:r w:rsidRPr="00D94406">
        <w:rPr>
          <w:rFonts w:ascii="CG Omega" w:hAnsi="CG Omega"/>
          <w:szCs w:val="24"/>
        </w:rPr>
        <w:t>by 20</w:t>
      </w:r>
      <w:r w:rsidR="00D94406" w:rsidRPr="00D94406">
        <w:rPr>
          <w:rFonts w:ascii="CG Omega" w:hAnsi="CG Omega"/>
          <w:szCs w:val="24"/>
        </w:rPr>
        <w:t>20</w:t>
      </w:r>
      <w:r w:rsidR="004305C8" w:rsidRPr="00D94406">
        <w:rPr>
          <w:rFonts w:ascii="CG Omega" w:hAnsi="CG Omega"/>
          <w:szCs w:val="24"/>
        </w:rPr>
        <w:t>, the fi</w:t>
      </w:r>
      <w:r w:rsidR="00D85DC8">
        <w:rPr>
          <w:rFonts w:ascii="CG Omega" w:hAnsi="CG Omega"/>
          <w:szCs w:val="24"/>
        </w:rPr>
        <w:t>nal year of this planning cycle,</w:t>
      </w:r>
      <w:r w:rsidR="002942AF" w:rsidRPr="00D94406">
        <w:rPr>
          <w:rFonts w:ascii="CG Omega" w:hAnsi="CG Omega"/>
          <w:szCs w:val="24"/>
        </w:rPr>
        <w:t xml:space="preserve"> and</w:t>
      </w:r>
      <w:r w:rsidRPr="00D94406">
        <w:rPr>
          <w:rFonts w:ascii="CG Omega" w:hAnsi="CG Omega"/>
          <w:szCs w:val="24"/>
        </w:rPr>
        <w:t xml:space="preserve"> to grow to</w:t>
      </w:r>
      <w:r w:rsidR="004305C8" w:rsidRPr="00D94406">
        <w:rPr>
          <w:rFonts w:ascii="CG Omega" w:hAnsi="CG Omega"/>
          <w:szCs w:val="24"/>
        </w:rPr>
        <w:t xml:space="preserve"> </w:t>
      </w:r>
      <w:r w:rsidR="00D94406" w:rsidRPr="00D94406">
        <w:rPr>
          <w:rFonts w:ascii="CG Omega" w:hAnsi="CG Omega"/>
          <w:szCs w:val="24"/>
        </w:rPr>
        <w:t>over 2.8</w:t>
      </w:r>
      <w:r w:rsidRPr="00D94406">
        <w:rPr>
          <w:rFonts w:ascii="CG Omega" w:hAnsi="CG Omega"/>
          <w:szCs w:val="24"/>
        </w:rPr>
        <w:t xml:space="preserve"> million </w:t>
      </w:r>
      <w:r w:rsidR="0051439D">
        <w:rPr>
          <w:rFonts w:ascii="CG Omega" w:hAnsi="CG Omega"/>
          <w:szCs w:val="24"/>
        </w:rPr>
        <w:t xml:space="preserve">persons and over 1 million households </w:t>
      </w:r>
      <w:r w:rsidR="00D94406" w:rsidRPr="00D94406">
        <w:rPr>
          <w:rFonts w:ascii="CG Omega" w:hAnsi="CG Omega"/>
          <w:szCs w:val="24"/>
        </w:rPr>
        <w:t>by 204</w:t>
      </w:r>
      <w:r w:rsidRPr="00D94406">
        <w:rPr>
          <w:rFonts w:ascii="CG Omega" w:hAnsi="CG Omega"/>
          <w:szCs w:val="24"/>
        </w:rPr>
        <w:t>0.</w:t>
      </w:r>
    </w:p>
    <w:p w:rsidR="001A239E" w:rsidRPr="004608D1" w:rsidRDefault="001A239E" w:rsidP="009A0335">
      <w:pPr>
        <w:pStyle w:val="BodyText"/>
        <w:tabs>
          <w:tab w:val="num" w:pos="360"/>
        </w:tabs>
        <w:rPr>
          <w:rFonts w:ascii="CG Omega" w:hAnsi="CG Omega"/>
          <w:sz w:val="16"/>
          <w:szCs w:val="16"/>
          <w:highlight w:val="yellow"/>
        </w:rPr>
      </w:pPr>
      <w:r w:rsidRPr="00955C8C">
        <w:rPr>
          <w:rFonts w:ascii="CG Omega" w:hAnsi="CG Omega"/>
          <w:szCs w:val="24"/>
          <w:highlight w:val="yellow"/>
        </w:rPr>
        <w:t xml:space="preserve">   </w:t>
      </w:r>
    </w:p>
    <w:tbl>
      <w:tblPr>
        <w:tblW w:w="8160" w:type="dxa"/>
        <w:jc w:val="center"/>
        <w:tblLook w:val="04A0" w:firstRow="1" w:lastRow="0" w:firstColumn="1" w:lastColumn="0" w:noHBand="0" w:noVBand="1"/>
      </w:tblPr>
      <w:tblGrid>
        <w:gridCol w:w="1208"/>
        <w:gridCol w:w="994"/>
        <w:gridCol w:w="993"/>
        <w:gridCol w:w="993"/>
        <w:gridCol w:w="993"/>
        <w:gridCol w:w="993"/>
        <w:gridCol w:w="993"/>
        <w:gridCol w:w="993"/>
      </w:tblGrid>
      <w:tr w:rsidR="003555A3" w:rsidTr="003555A3">
        <w:trPr>
          <w:trHeight w:val="285"/>
          <w:jc w:val="center"/>
        </w:trPr>
        <w:tc>
          <w:tcPr>
            <w:tcW w:w="8160" w:type="dxa"/>
            <w:gridSpan w:val="8"/>
            <w:tcBorders>
              <w:top w:val="nil"/>
              <w:left w:val="nil"/>
              <w:bottom w:val="nil"/>
              <w:right w:val="nil"/>
            </w:tcBorders>
            <w:shd w:val="clear" w:color="auto" w:fill="auto"/>
            <w:noWrap/>
            <w:vAlign w:val="center"/>
            <w:hideMark/>
          </w:tcPr>
          <w:p w:rsidR="003555A3" w:rsidRDefault="003555A3">
            <w:pPr>
              <w:jc w:val="center"/>
              <w:rPr>
                <w:rFonts w:ascii="Arial" w:hAnsi="Arial" w:cs="Arial"/>
                <w:b/>
                <w:bCs/>
                <w:color w:val="000000"/>
              </w:rPr>
            </w:pPr>
            <w:r>
              <w:rPr>
                <w:rFonts w:ascii="Arial" w:hAnsi="Arial" w:cs="Arial"/>
                <w:b/>
                <w:bCs/>
                <w:color w:val="000000"/>
              </w:rPr>
              <w:t>Table III.11</w:t>
            </w:r>
          </w:p>
        </w:tc>
      </w:tr>
      <w:tr w:rsidR="003555A3" w:rsidTr="003555A3">
        <w:trPr>
          <w:trHeight w:val="240"/>
          <w:jc w:val="center"/>
        </w:trPr>
        <w:tc>
          <w:tcPr>
            <w:tcW w:w="8160" w:type="dxa"/>
            <w:gridSpan w:val="8"/>
            <w:tcBorders>
              <w:top w:val="nil"/>
              <w:left w:val="nil"/>
              <w:bottom w:val="nil"/>
              <w:right w:val="nil"/>
            </w:tcBorders>
            <w:shd w:val="clear" w:color="auto" w:fill="auto"/>
            <w:noWrap/>
            <w:vAlign w:val="center"/>
            <w:hideMark/>
          </w:tcPr>
          <w:p w:rsidR="003555A3" w:rsidRDefault="003555A3">
            <w:pPr>
              <w:jc w:val="center"/>
              <w:rPr>
                <w:rFonts w:ascii="Arial" w:hAnsi="Arial" w:cs="Arial"/>
                <w:b/>
                <w:bCs/>
                <w:color w:val="000000"/>
                <w:sz w:val="20"/>
                <w:szCs w:val="20"/>
              </w:rPr>
            </w:pPr>
            <w:r>
              <w:rPr>
                <w:rFonts w:ascii="Arial" w:hAnsi="Arial" w:cs="Arial"/>
                <w:b/>
                <w:bCs/>
                <w:color w:val="000000"/>
                <w:sz w:val="20"/>
                <w:szCs w:val="20"/>
              </w:rPr>
              <w:t>Population and Household Projections</w:t>
            </w:r>
          </w:p>
        </w:tc>
      </w:tr>
      <w:tr w:rsidR="003555A3" w:rsidTr="003555A3">
        <w:trPr>
          <w:trHeight w:val="240"/>
          <w:jc w:val="center"/>
        </w:trPr>
        <w:tc>
          <w:tcPr>
            <w:tcW w:w="8160" w:type="dxa"/>
            <w:gridSpan w:val="8"/>
            <w:tcBorders>
              <w:top w:val="nil"/>
              <w:left w:val="nil"/>
              <w:bottom w:val="nil"/>
              <w:right w:val="nil"/>
            </w:tcBorders>
            <w:shd w:val="clear" w:color="auto" w:fill="auto"/>
            <w:noWrap/>
            <w:vAlign w:val="center"/>
            <w:hideMark/>
          </w:tcPr>
          <w:p w:rsidR="003555A3" w:rsidRDefault="003555A3">
            <w:pPr>
              <w:jc w:val="center"/>
              <w:rPr>
                <w:rFonts w:ascii="Arial" w:hAnsi="Arial" w:cs="Arial"/>
                <w:color w:val="000000"/>
                <w:sz w:val="16"/>
                <w:szCs w:val="16"/>
              </w:rPr>
            </w:pPr>
            <w:r>
              <w:rPr>
                <w:rFonts w:ascii="Arial" w:hAnsi="Arial" w:cs="Arial"/>
                <w:color w:val="000000"/>
                <w:sz w:val="16"/>
                <w:szCs w:val="16"/>
              </w:rPr>
              <w:t>State of New Mexico</w:t>
            </w:r>
          </w:p>
        </w:tc>
      </w:tr>
      <w:tr w:rsidR="003555A3" w:rsidTr="003555A3">
        <w:trPr>
          <w:trHeight w:val="225"/>
          <w:jc w:val="center"/>
        </w:trPr>
        <w:tc>
          <w:tcPr>
            <w:tcW w:w="8160" w:type="dxa"/>
            <w:gridSpan w:val="8"/>
            <w:tcBorders>
              <w:top w:val="nil"/>
              <w:left w:val="nil"/>
              <w:bottom w:val="single" w:sz="8" w:space="0" w:color="009900"/>
              <w:right w:val="nil"/>
            </w:tcBorders>
            <w:shd w:val="clear" w:color="auto" w:fill="auto"/>
            <w:noWrap/>
            <w:vAlign w:val="center"/>
            <w:hideMark/>
          </w:tcPr>
          <w:p w:rsidR="003555A3" w:rsidRDefault="003555A3">
            <w:pPr>
              <w:jc w:val="center"/>
              <w:rPr>
                <w:rFonts w:ascii="Arial" w:hAnsi="Arial" w:cs="Arial"/>
                <w:color w:val="000000"/>
                <w:sz w:val="16"/>
                <w:szCs w:val="16"/>
              </w:rPr>
            </w:pPr>
            <w:r>
              <w:rPr>
                <w:rFonts w:ascii="Arial" w:hAnsi="Arial" w:cs="Arial"/>
                <w:color w:val="000000"/>
                <w:sz w:val="16"/>
                <w:szCs w:val="16"/>
              </w:rPr>
              <w:t>2010 Census and BBER Forecast</w:t>
            </w:r>
          </w:p>
        </w:tc>
      </w:tr>
      <w:tr w:rsidR="003555A3" w:rsidTr="003555A3">
        <w:trPr>
          <w:trHeight w:val="315"/>
          <w:jc w:val="center"/>
        </w:trPr>
        <w:tc>
          <w:tcPr>
            <w:tcW w:w="1208" w:type="dxa"/>
            <w:tcBorders>
              <w:top w:val="nil"/>
              <w:left w:val="single" w:sz="8" w:space="0" w:color="009900"/>
              <w:bottom w:val="single" w:sz="8" w:space="0" w:color="009900"/>
              <w:right w:val="nil"/>
            </w:tcBorders>
            <w:shd w:val="clear" w:color="000000" w:fill="FFFFE1"/>
            <w:noWrap/>
            <w:vAlign w:val="center"/>
            <w:hideMark/>
          </w:tcPr>
          <w:p w:rsidR="003555A3" w:rsidRDefault="003555A3">
            <w:pPr>
              <w:rPr>
                <w:rFonts w:ascii="Arial" w:hAnsi="Arial" w:cs="Arial"/>
                <w:b/>
                <w:bCs/>
                <w:color w:val="000000"/>
                <w:sz w:val="16"/>
                <w:szCs w:val="16"/>
              </w:rPr>
            </w:pPr>
            <w:r>
              <w:rPr>
                <w:rFonts w:ascii="Arial" w:hAnsi="Arial" w:cs="Arial"/>
                <w:b/>
                <w:bCs/>
                <w:color w:val="000000"/>
                <w:sz w:val="16"/>
                <w:szCs w:val="16"/>
              </w:rPr>
              <w:t>Projections</w:t>
            </w:r>
          </w:p>
        </w:tc>
        <w:tc>
          <w:tcPr>
            <w:tcW w:w="994" w:type="dxa"/>
            <w:tcBorders>
              <w:top w:val="nil"/>
              <w:left w:val="nil"/>
              <w:bottom w:val="single" w:sz="8" w:space="0" w:color="009900"/>
              <w:right w:val="nil"/>
            </w:tcBorders>
            <w:shd w:val="clear" w:color="000000" w:fill="FFFFE1"/>
            <w:noWrap/>
            <w:vAlign w:val="center"/>
            <w:hideMark/>
          </w:tcPr>
          <w:p w:rsidR="003555A3" w:rsidRDefault="003555A3">
            <w:pPr>
              <w:jc w:val="center"/>
              <w:rPr>
                <w:rFonts w:ascii="Arial" w:hAnsi="Arial" w:cs="Arial"/>
                <w:b/>
                <w:bCs/>
                <w:color w:val="000000"/>
                <w:sz w:val="16"/>
                <w:szCs w:val="16"/>
              </w:rPr>
            </w:pPr>
            <w:r>
              <w:rPr>
                <w:rFonts w:ascii="Arial" w:hAnsi="Arial" w:cs="Arial"/>
                <w:b/>
                <w:bCs/>
                <w:color w:val="000000"/>
                <w:sz w:val="16"/>
                <w:szCs w:val="16"/>
              </w:rPr>
              <w:t>2010</w:t>
            </w:r>
          </w:p>
        </w:tc>
        <w:tc>
          <w:tcPr>
            <w:tcW w:w="993" w:type="dxa"/>
            <w:tcBorders>
              <w:top w:val="nil"/>
              <w:left w:val="nil"/>
              <w:bottom w:val="single" w:sz="8" w:space="0" w:color="009900"/>
              <w:right w:val="nil"/>
            </w:tcBorders>
            <w:shd w:val="clear" w:color="000000" w:fill="FFFFE1"/>
            <w:noWrap/>
            <w:vAlign w:val="center"/>
            <w:hideMark/>
          </w:tcPr>
          <w:p w:rsidR="003555A3" w:rsidRDefault="003555A3">
            <w:pPr>
              <w:jc w:val="center"/>
              <w:rPr>
                <w:rFonts w:ascii="Arial" w:hAnsi="Arial" w:cs="Arial"/>
                <w:b/>
                <w:bCs/>
                <w:color w:val="000000"/>
                <w:sz w:val="16"/>
                <w:szCs w:val="16"/>
              </w:rPr>
            </w:pPr>
            <w:r>
              <w:rPr>
                <w:rFonts w:ascii="Arial" w:hAnsi="Arial" w:cs="Arial"/>
                <w:b/>
                <w:bCs/>
                <w:color w:val="000000"/>
                <w:sz w:val="16"/>
                <w:szCs w:val="16"/>
              </w:rPr>
              <w:t>2015</w:t>
            </w:r>
          </w:p>
        </w:tc>
        <w:tc>
          <w:tcPr>
            <w:tcW w:w="993" w:type="dxa"/>
            <w:tcBorders>
              <w:top w:val="nil"/>
              <w:left w:val="nil"/>
              <w:bottom w:val="single" w:sz="8" w:space="0" w:color="009900"/>
              <w:right w:val="nil"/>
            </w:tcBorders>
            <w:shd w:val="clear" w:color="000000" w:fill="FFFFE1"/>
            <w:noWrap/>
            <w:vAlign w:val="center"/>
            <w:hideMark/>
          </w:tcPr>
          <w:p w:rsidR="003555A3" w:rsidRDefault="003555A3">
            <w:pPr>
              <w:jc w:val="center"/>
              <w:rPr>
                <w:rFonts w:ascii="Arial" w:hAnsi="Arial" w:cs="Arial"/>
                <w:b/>
                <w:bCs/>
                <w:color w:val="000000"/>
                <w:sz w:val="16"/>
                <w:szCs w:val="16"/>
              </w:rPr>
            </w:pPr>
            <w:r>
              <w:rPr>
                <w:rFonts w:ascii="Arial" w:hAnsi="Arial" w:cs="Arial"/>
                <w:b/>
                <w:bCs/>
                <w:color w:val="000000"/>
                <w:sz w:val="16"/>
                <w:szCs w:val="16"/>
              </w:rPr>
              <w:t>2020</w:t>
            </w:r>
          </w:p>
        </w:tc>
        <w:tc>
          <w:tcPr>
            <w:tcW w:w="993" w:type="dxa"/>
            <w:tcBorders>
              <w:top w:val="nil"/>
              <w:left w:val="nil"/>
              <w:bottom w:val="single" w:sz="8" w:space="0" w:color="009900"/>
              <w:right w:val="nil"/>
            </w:tcBorders>
            <w:shd w:val="clear" w:color="000000" w:fill="FFFFE1"/>
            <w:noWrap/>
            <w:vAlign w:val="center"/>
            <w:hideMark/>
          </w:tcPr>
          <w:p w:rsidR="003555A3" w:rsidRDefault="003555A3">
            <w:pPr>
              <w:jc w:val="center"/>
              <w:rPr>
                <w:rFonts w:ascii="Arial" w:hAnsi="Arial" w:cs="Arial"/>
                <w:b/>
                <w:bCs/>
                <w:color w:val="000000"/>
                <w:sz w:val="16"/>
                <w:szCs w:val="16"/>
              </w:rPr>
            </w:pPr>
            <w:r>
              <w:rPr>
                <w:rFonts w:ascii="Arial" w:hAnsi="Arial" w:cs="Arial"/>
                <w:b/>
                <w:bCs/>
                <w:color w:val="000000"/>
                <w:sz w:val="16"/>
                <w:szCs w:val="16"/>
              </w:rPr>
              <w:t>2025</w:t>
            </w:r>
          </w:p>
        </w:tc>
        <w:tc>
          <w:tcPr>
            <w:tcW w:w="993" w:type="dxa"/>
            <w:tcBorders>
              <w:top w:val="nil"/>
              <w:left w:val="nil"/>
              <w:bottom w:val="single" w:sz="8" w:space="0" w:color="009900"/>
              <w:right w:val="nil"/>
            </w:tcBorders>
            <w:shd w:val="clear" w:color="000000" w:fill="FFFFE1"/>
            <w:noWrap/>
            <w:vAlign w:val="center"/>
            <w:hideMark/>
          </w:tcPr>
          <w:p w:rsidR="003555A3" w:rsidRDefault="003555A3">
            <w:pPr>
              <w:jc w:val="center"/>
              <w:rPr>
                <w:rFonts w:ascii="Arial" w:hAnsi="Arial" w:cs="Arial"/>
                <w:b/>
                <w:bCs/>
                <w:color w:val="000000"/>
                <w:sz w:val="16"/>
                <w:szCs w:val="16"/>
              </w:rPr>
            </w:pPr>
            <w:r>
              <w:rPr>
                <w:rFonts w:ascii="Arial" w:hAnsi="Arial" w:cs="Arial"/>
                <w:b/>
                <w:bCs/>
                <w:color w:val="000000"/>
                <w:sz w:val="16"/>
                <w:szCs w:val="16"/>
              </w:rPr>
              <w:t>2030</w:t>
            </w:r>
          </w:p>
        </w:tc>
        <w:tc>
          <w:tcPr>
            <w:tcW w:w="993" w:type="dxa"/>
            <w:tcBorders>
              <w:top w:val="nil"/>
              <w:left w:val="nil"/>
              <w:bottom w:val="single" w:sz="8" w:space="0" w:color="009900"/>
              <w:right w:val="nil"/>
            </w:tcBorders>
            <w:shd w:val="clear" w:color="000000" w:fill="FFFFE1"/>
            <w:noWrap/>
            <w:vAlign w:val="center"/>
            <w:hideMark/>
          </w:tcPr>
          <w:p w:rsidR="003555A3" w:rsidRDefault="003555A3">
            <w:pPr>
              <w:jc w:val="center"/>
              <w:rPr>
                <w:rFonts w:ascii="Arial" w:hAnsi="Arial" w:cs="Arial"/>
                <w:b/>
                <w:bCs/>
                <w:color w:val="000000"/>
                <w:sz w:val="16"/>
                <w:szCs w:val="16"/>
              </w:rPr>
            </w:pPr>
            <w:r>
              <w:rPr>
                <w:rFonts w:ascii="Arial" w:hAnsi="Arial" w:cs="Arial"/>
                <w:b/>
                <w:bCs/>
                <w:color w:val="000000"/>
                <w:sz w:val="16"/>
                <w:szCs w:val="16"/>
              </w:rPr>
              <w:t>2035</w:t>
            </w:r>
          </w:p>
        </w:tc>
        <w:tc>
          <w:tcPr>
            <w:tcW w:w="993" w:type="dxa"/>
            <w:tcBorders>
              <w:top w:val="nil"/>
              <w:left w:val="nil"/>
              <w:bottom w:val="single" w:sz="8" w:space="0" w:color="009900"/>
              <w:right w:val="single" w:sz="8" w:space="0" w:color="009900"/>
            </w:tcBorders>
            <w:shd w:val="clear" w:color="000000" w:fill="FFFFE1"/>
            <w:noWrap/>
            <w:vAlign w:val="center"/>
            <w:hideMark/>
          </w:tcPr>
          <w:p w:rsidR="003555A3" w:rsidRDefault="003555A3">
            <w:pPr>
              <w:jc w:val="center"/>
              <w:rPr>
                <w:rFonts w:ascii="Arial" w:hAnsi="Arial" w:cs="Arial"/>
                <w:b/>
                <w:bCs/>
                <w:color w:val="000000"/>
                <w:sz w:val="16"/>
                <w:szCs w:val="16"/>
              </w:rPr>
            </w:pPr>
            <w:r>
              <w:rPr>
                <w:rFonts w:ascii="Arial" w:hAnsi="Arial" w:cs="Arial"/>
                <w:b/>
                <w:bCs/>
                <w:color w:val="000000"/>
                <w:sz w:val="16"/>
                <w:szCs w:val="16"/>
              </w:rPr>
              <w:t>2040</w:t>
            </w:r>
          </w:p>
        </w:tc>
      </w:tr>
      <w:tr w:rsidR="003555A3" w:rsidTr="003555A3">
        <w:trPr>
          <w:trHeight w:val="300"/>
          <w:jc w:val="center"/>
        </w:trPr>
        <w:tc>
          <w:tcPr>
            <w:tcW w:w="2202" w:type="dxa"/>
            <w:gridSpan w:val="2"/>
            <w:tcBorders>
              <w:top w:val="nil"/>
              <w:left w:val="single" w:sz="8" w:space="0" w:color="009900"/>
              <w:bottom w:val="nil"/>
              <w:right w:val="nil"/>
            </w:tcBorders>
            <w:shd w:val="clear" w:color="000000" w:fill="FFFFE1"/>
            <w:noWrap/>
            <w:vAlign w:val="center"/>
            <w:hideMark/>
          </w:tcPr>
          <w:p w:rsidR="003555A3" w:rsidRDefault="003555A3">
            <w:pPr>
              <w:rPr>
                <w:rFonts w:ascii="Arial" w:hAnsi="Arial" w:cs="Arial"/>
                <w:b/>
                <w:bCs/>
                <w:color w:val="000000"/>
                <w:sz w:val="16"/>
                <w:szCs w:val="16"/>
              </w:rPr>
            </w:pPr>
            <w:r>
              <w:rPr>
                <w:rFonts w:ascii="Arial" w:hAnsi="Arial" w:cs="Arial"/>
                <w:b/>
                <w:bCs/>
                <w:color w:val="000000"/>
                <w:sz w:val="16"/>
                <w:szCs w:val="16"/>
              </w:rPr>
              <w:t>Households</w:t>
            </w:r>
          </w:p>
        </w:tc>
        <w:tc>
          <w:tcPr>
            <w:tcW w:w="993" w:type="dxa"/>
            <w:tcBorders>
              <w:top w:val="nil"/>
              <w:left w:val="nil"/>
              <w:bottom w:val="nil"/>
              <w:right w:val="nil"/>
            </w:tcBorders>
            <w:shd w:val="clear" w:color="000000" w:fill="FFFFE1"/>
            <w:noWrap/>
            <w:vAlign w:val="center"/>
            <w:hideMark/>
          </w:tcPr>
          <w:p w:rsidR="003555A3" w:rsidRDefault="003555A3">
            <w:pPr>
              <w:jc w:val="center"/>
              <w:rPr>
                <w:rFonts w:ascii="Arial" w:hAnsi="Arial" w:cs="Arial"/>
                <w:b/>
                <w:bCs/>
                <w:color w:val="000000"/>
                <w:sz w:val="16"/>
                <w:szCs w:val="16"/>
              </w:rPr>
            </w:pPr>
            <w:r>
              <w:rPr>
                <w:rFonts w:ascii="Arial" w:hAnsi="Arial" w:cs="Arial"/>
                <w:b/>
                <w:bCs/>
                <w:color w:val="000000"/>
                <w:sz w:val="16"/>
                <w:szCs w:val="16"/>
              </w:rPr>
              <w:t> </w:t>
            </w:r>
          </w:p>
        </w:tc>
        <w:tc>
          <w:tcPr>
            <w:tcW w:w="993" w:type="dxa"/>
            <w:tcBorders>
              <w:top w:val="nil"/>
              <w:left w:val="nil"/>
              <w:bottom w:val="nil"/>
              <w:right w:val="nil"/>
            </w:tcBorders>
            <w:shd w:val="clear" w:color="000000" w:fill="FFFFE1"/>
            <w:noWrap/>
            <w:vAlign w:val="center"/>
            <w:hideMark/>
          </w:tcPr>
          <w:p w:rsidR="003555A3" w:rsidRDefault="003555A3">
            <w:pPr>
              <w:jc w:val="center"/>
              <w:rPr>
                <w:rFonts w:ascii="Arial" w:hAnsi="Arial" w:cs="Arial"/>
                <w:b/>
                <w:bCs/>
                <w:color w:val="000000"/>
                <w:sz w:val="16"/>
                <w:szCs w:val="16"/>
              </w:rPr>
            </w:pPr>
            <w:r>
              <w:rPr>
                <w:rFonts w:ascii="Arial" w:hAnsi="Arial" w:cs="Arial"/>
                <w:b/>
                <w:bCs/>
                <w:color w:val="000000"/>
                <w:sz w:val="16"/>
                <w:szCs w:val="16"/>
              </w:rPr>
              <w:t> </w:t>
            </w:r>
          </w:p>
        </w:tc>
        <w:tc>
          <w:tcPr>
            <w:tcW w:w="993" w:type="dxa"/>
            <w:tcBorders>
              <w:top w:val="nil"/>
              <w:left w:val="nil"/>
              <w:bottom w:val="nil"/>
              <w:right w:val="nil"/>
            </w:tcBorders>
            <w:shd w:val="clear" w:color="000000" w:fill="FFFFE1"/>
            <w:noWrap/>
            <w:vAlign w:val="center"/>
            <w:hideMark/>
          </w:tcPr>
          <w:p w:rsidR="003555A3" w:rsidRDefault="003555A3">
            <w:pPr>
              <w:jc w:val="center"/>
              <w:rPr>
                <w:rFonts w:ascii="Arial" w:hAnsi="Arial" w:cs="Arial"/>
                <w:b/>
                <w:bCs/>
                <w:color w:val="000000"/>
                <w:sz w:val="16"/>
                <w:szCs w:val="16"/>
              </w:rPr>
            </w:pPr>
            <w:r>
              <w:rPr>
                <w:rFonts w:ascii="Arial" w:hAnsi="Arial" w:cs="Arial"/>
                <w:b/>
                <w:bCs/>
                <w:color w:val="000000"/>
                <w:sz w:val="16"/>
                <w:szCs w:val="16"/>
              </w:rPr>
              <w:t> </w:t>
            </w:r>
          </w:p>
        </w:tc>
        <w:tc>
          <w:tcPr>
            <w:tcW w:w="993" w:type="dxa"/>
            <w:tcBorders>
              <w:top w:val="nil"/>
              <w:left w:val="nil"/>
              <w:bottom w:val="nil"/>
              <w:right w:val="nil"/>
            </w:tcBorders>
            <w:shd w:val="clear" w:color="000000" w:fill="FFFFE1"/>
            <w:noWrap/>
            <w:vAlign w:val="center"/>
            <w:hideMark/>
          </w:tcPr>
          <w:p w:rsidR="003555A3" w:rsidRDefault="003555A3">
            <w:pPr>
              <w:jc w:val="center"/>
              <w:rPr>
                <w:rFonts w:ascii="Arial" w:hAnsi="Arial" w:cs="Arial"/>
                <w:b/>
                <w:bCs/>
                <w:color w:val="000000"/>
                <w:sz w:val="16"/>
                <w:szCs w:val="16"/>
              </w:rPr>
            </w:pPr>
            <w:r>
              <w:rPr>
                <w:rFonts w:ascii="Arial" w:hAnsi="Arial" w:cs="Arial"/>
                <w:b/>
                <w:bCs/>
                <w:color w:val="000000"/>
                <w:sz w:val="16"/>
                <w:szCs w:val="16"/>
              </w:rPr>
              <w:t> </w:t>
            </w:r>
          </w:p>
        </w:tc>
        <w:tc>
          <w:tcPr>
            <w:tcW w:w="993" w:type="dxa"/>
            <w:tcBorders>
              <w:top w:val="nil"/>
              <w:left w:val="nil"/>
              <w:bottom w:val="nil"/>
              <w:right w:val="nil"/>
            </w:tcBorders>
            <w:shd w:val="clear" w:color="000000" w:fill="FFFFE1"/>
            <w:noWrap/>
            <w:vAlign w:val="center"/>
            <w:hideMark/>
          </w:tcPr>
          <w:p w:rsidR="003555A3" w:rsidRDefault="003555A3">
            <w:pPr>
              <w:jc w:val="center"/>
              <w:rPr>
                <w:rFonts w:ascii="Arial" w:hAnsi="Arial" w:cs="Arial"/>
                <w:b/>
                <w:bCs/>
                <w:color w:val="000000"/>
                <w:sz w:val="16"/>
                <w:szCs w:val="16"/>
              </w:rPr>
            </w:pPr>
            <w:r>
              <w:rPr>
                <w:rFonts w:ascii="Arial" w:hAnsi="Arial" w:cs="Arial"/>
                <w:b/>
                <w:bCs/>
                <w:color w:val="000000"/>
                <w:sz w:val="16"/>
                <w:szCs w:val="16"/>
              </w:rPr>
              <w:t> </w:t>
            </w:r>
          </w:p>
        </w:tc>
        <w:tc>
          <w:tcPr>
            <w:tcW w:w="993" w:type="dxa"/>
            <w:tcBorders>
              <w:top w:val="nil"/>
              <w:left w:val="nil"/>
              <w:bottom w:val="nil"/>
              <w:right w:val="single" w:sz="8" w:space="0" w:color="009900"/>
            </w:tcBorders>
            <w:shd w:val="clear" w:color="000000" w:fill="FFFFE1"/>
            <w:noWrap/>
            <w:vAlign w:val="center"/>
            <w:hideMark/>
          </w:tcPr>
          <w:p w:rsidR="003555A3" w:rsidRDefault="003555A3">
            <w:pPr>
              <w:jc w:val="center"/>
              <w:rPr>
                <w:rFonts w:ascii="Arial" w:hAnsi="Arial" w:cs="Arial"/>
                <w:b/>
                <w:bCs/>
                <w:color w:val="000000"/>
                <w:sz w:val="16"/>
                <w:szCs w:val="16"/>
              </w:rPr>
            </w:pPr>
            <w:r>
              <w:rPr>
                <w:rFonts w:ascii="Arial" w:hAnsi="Arial" w:cs="Arial"/>
                <w:b/>
                <w:bCs/>
                <w:color w:val="000000"/>
                <w:sz w:val="16"/>
                <w:szCs w:val="16"/>
              </w:rPr>
              <w:t> </w:t>
            </w:r>
          </w:p>
        </w:tc>
      </w:tr>
      <w:tr w:rsidR="003555A3" w:rsidTr="003555A3">
        <w:trPr>
          <w:trHeight w:val="300"/>
          <w:jc w:val="center"/>
        </w:trPr>
        <w:tc>
          <w:tcPr>
            <w:tcW w:w="1208" w:type="dxa"/>
            <w:tcBorders>
              <w:top w:val="nil"/>
              <w:left w:val="single" w:sz="8" w:space="0" w:color="009900"/>
              <w:bottom w:val="nil"/>
              <w:right w:val="nil"/>
            </w:tcBorders>
            <w:shd w:val="clear" w:color="000000" w:fill="FFFFE1"/>
            <w:noWrap/>
            <w:vAlign w:val="center"/>
            <w:hideMark/>
          </w:tcPr>
          <w:p w:rsidR="003555A3" w:rsidRDefault="003555A3">
            <w:pPr>
              <w:rPr>
                <w:rFonts w:ascii="Arial" w:hAnsi="Arial" w:cs="Arial"/>
                <w:color w:val="000000"/>
                <w:sz w:val="16"/>
                <w:szCs w:val="16"/>
              </w:rPr>
            </w:pPr>
            <w:r>
              <w:rPr>
                <w:rFonts w:ascii="Arial" w:hAnsi="Arial" w:cs="Arial"/>
                <w:color w:val="000000"/>
                <w:sz w:val="16"/>
                <w:szCs w:val="16"/>
              </w:rPr>
              <w:t xml:space="preserve">     Owner</w:t>
            </w:r>
          </w:p>
        </w:tc>
        <w:tc>
          <w:tcPr>
            <w:tcW w:w="994" w:type="dxa"/>
            <w:tcBorders>
              <w:top w:val="nil"/>
              <w:left w:val="nil"/>
              <w:bottom w:val="nil"/>
              <w:right w:val="nil"/>
            </w:tcBorders>
            <w:shd w:val="clear" w:color="000000" w:fill="FFFFE1"/>
            <w:noWrap/>
            <w:vAlign w:val="center"/>
            <w:hideMark/>
          </w:tcPr>
          <w:p w:rsidR="003555A3" w:rsidRDefault="003555A3">
            <w:pPr>
              <w:jc w:val="center"/>
              <w:rPr>
                <w:rFonts w:ascii="Arial" w:hAnsi="Arial" w:cs="Arial"/>
                <w:color w:val="000000"/>
                <w:sz w:val="16"/>
                <w:szCs w:val="16"/>
              </w:rPr>
            </w:pPr>
            <w:r>
              <w:rPr>
                <w:rFonts w:ascii="Arial" w:hAnsi="Arial" w:cs="Arial"/>
                <w:color w:val="000000"/>
                <w:sz w:val="16"/>
                <w:szCs w:val="16"/>
              </w:rPr>
              <w:t>542,106</w:t>
            </w:r>
          </w:p>
        </w:tc>
        <w:tc>
          <w:tcPr>
            <w:tcW w:w="993" w:type="dxa"/>
            <w:tcBorders>
              <w:top w:val="nil"/>
              <w:left w:val="nil"/>
              <w:bottom w:val="nil"/>
              <w:right w:val="nil"/>
            </w:tcBorders>
            <w:shd w:val="clear" w:color="000000" w:fill="FFFFE1"/>
            <w:noWrap/>
            <w:vAlign w:val="center"/>
            <w:hideMark/>
          </w:tcPr>
          <w:p w:rsidR="003555A3" w:rsidRDefault="003555A3">
            <w:pPr>
              <w:jc w:val="center"/>
              <w:rPr>
                <w:rFonts w:ascii="Arial" w:hAnsi="Arial" w:cs="Arial"/>
                <w:color w:val="000000"/>
                <w:sz w:val="16"/>
                <w:szCs w:val="16"/>
              </w:rPr>
            </w:pPr>
            <w:r>
              <w:rPr>
                <w:rFonts w:ascii="Arial" w:hAnsi="Arial" w:cs="Arial"/>
                <w:color w:val="000000"/>
                <w:sz w:val="16"/>
                <w:szCs w:val="16"/>
              </w:rPr>
              <w:t>581,403</w:t>
            </w:r>
          </w:p>
        </w:tc>
        <w:tc>
          <w:tcPr>
            <w:tcW w:w="993" w:type="dxa"/>
            <w:tcBorders>
              <w:top w:val="nil"/>
              <w:left w:val="nil"/>
              <w:bottom w:val="nil"/>
              <w:right w:val="nil"/>
            </w:tcBorders>
            <w:shd w:val="clear" w:color="000000" w:fill="FFFFE1"/>
            <w:noWrap/>
            <w:vAlign w:val="center"/>
            <w:hideMark/>
          </w:tcPr>
          <w:p w:rsidR="003555A3" w:rsidRDefault="003555A3">
            <w:pPr>
              <w:jc w:val="center"/>
              <w:rPr>
                <w:rFonts w:ascii="Arial" w:hAnsi="Arial" w:cs="Arial"/>
                <w:color w:val="000000"/>
                <w:sz w:val="16"/>
                <w:szCs w:val="16"/>
              </w:rPr>
            </w:pPr>
            <w:r>
              <w:rPr>
                <w:rFonts w:ascii="Arial" w:hAnsi="Arial" w:cs="Arial"/>
                <w:color w:val="000000"/>
                <w:sz w:val="16"/>
                <w:szCs w:val="16"/>
              </w:rPr>
              <w:t>619,122</w:t>
            </w:r>
          </w:p>
        </w:tc>
        <w:tc>
          <w:tcPr>
            <w:tcW w:w="993" w:type="dxa"/>
            <w:tcBorders>
              <w:top w:val="nil"/>
              <w:left w:val="nil"/>
              <w:bottom w:val="nil"/>
              <w:right w:val="nil"/>
            </w:tcBorders>
            <w:shd w:val="clear" w:color="000000" w:fill="FFFFE1"/>
            <w:noWrap/>
            <w:vAlign w:val="center"/>
            <w:hideMark/>
          </w:tcPr>
          <w:p w:rsidR="003555A3" w:rsidRDefault="003555A3">
            <w:pPr>
              <w:jc w:val="center"/>
              <w:rPr>
                <w:rFonts w:ascii="Arial" w:hAnsi="Arial" w:cs="Arial"/>
                <w:color w:val="000000"/>
                <w:sz w:val="16"/>
                <w:szCs w:val="16"/>
              </w:rPr>
            </w:pPr>
            <w:r>
              <w:rPr>
                <w:rFonts w:ascii="Arial" w:hAnsi="Arial" w:cs="Arial"/>
                <w:color w:val="000000"/>
                <w:sz w:val="16"/>
                <w:szCs w:val="16"/>
              </w:rPr>
              <w:t>654,795</w:t>
            </w:r>
          </w:p>
        </w:tc>
        <w:tc>
          <w:tcPr>
            <w:tcW w:w="993" w:type="dxa"/>
            <w:tcBorders>
              <w:top w:val="nil"/>
              <w:left w:val="nil"/>
              <w:bottom w:val="nil"/>
              <w:right w:val="nil"/>
            </w:tcBorders>
            <w:shd w:val="clear" w:color="000000" w:fill="FFFFE1"/>
            <w:noWrap/>
            <w:vAlign w:val="center"/>
            <w:hideMark/>
          </w:tcPr>
          <w:p w:rsidR="003555A3" w:rsidRDefault="003555A3">
            <w:pPr>
              <w:jc w:val="center"/>
              <w:rPr>
                <w:rFonts w:ascii="Arial" w:hAnsi="Arial" w:cs="Arial"/>
                <w:color w:val="000000"/>
                <w:sz w:val="16"/>
                <w:szCs w:val="16"/>
              </w:rPr>
            </w:pPr>
            <w:r>
              <w:rPr>
                <w:rFonts w:ascii="Arial" w:hAnsi="Arial" w:cs="Arial"/>
                <w:color w:val="000000"/>
                <w:sz w:val="16"/>
                <w:szCs w:val="16"/>
              </w:rPr>
              <w:t>687,994</w:t>
            </w:r>
          </w:p>
        </w:tc>
        <w:tc>
          <w:tcPr>
            <w:tcW w:w="993" w:type="dxa"/>
            <w:tcBorders>
              <w:top w:val="nil"/>
              <w:left w:val="nil"/>
              <w:bottom w:val="nil"/>
              <w:right w:val="nil"/>
            </w:tcBorders>
            <w:shd w:val="clear" w:color="000000" w:fill="FFFFE1"/>
            <w:noWrap/>
            <w:vAlign w:val="center"/>
            <w:hideMark/>
          </w:tcPr>
          <w:p w:rsidR="003555A3" w:rsidRDefault="003555A3">
            <w:pPr>
              <w:jc w:val="center"/>
              <w:rPr>
                <w:rFonts w:ascii="Arial" w:hAnsi="Arial" w:cs="Arial"/>
                <w:color w:val="000000"/>
                <w:sz w:val="16"/>
                <w:szCs w:val="16"/>
              </w:rPr>
            </w:pPr>
            <w:r>
              <w:rPr>
                <w:rFonts w:ascii="Arial" w:hAnsi="Arial" w:cs="Arial"/>
                <w:color w:val="000000"/>
                <w:sz w:val="16"/>
                <w:szCs w:val="16"/>
              </w:rPr>
              <w:t>717,949</w:t>
            </w:r>
          </w:p>
        </w:tc>
        <w:tc>
          <w:tcPr>
            <w:tcW w:w="993" w:type="dxa"/>
            <w:tcBorders>
              <w:top w:val="nil"/>
              <w:left w:val="nil"/>
              <w:bottom w:val="nil"/>
              <w:right w:val="single" w:sz="8" w:space="0" w:color="009900"/>
            </w:tcBorders>
            <w:shd w:val="clear" w:color="000000" w:fill="FFFFE1"/>
            <w:noWrap/>
            <w:vAlign w:val="center"/>
            <w:hideMark/>
          </w:tcPr>
          <w:p w:rsidR="003555A3" w:rsidRDefault="003555A3">
            <w:pPr>
              <w:jc w:val="center"/>
              <w:rPr>
                <w:rFonts w:ascii="Arial" w:hAnsi="Arial" w:cs="Arial"/>
                <w:color w:val="000000"/>
                <w:sz w:val="16"/>
                <w:szCs w:val="16"/>
              </w:rPr>
            </w:pPr>
            <w:r>
              <w:rPr>
                <w:rFonts w:ascii="Arial" w:hAnsi="Arial" w:cs="Arial"/>
                <w:color w:val="000000"/>
                <w:sz w:val="16"/>
                <w:szCs w:val="16"/>
              </w:rPr>
              <w:t>744,427</w:t>
            </w:r>
          </w:p>
        </w:tc>
      </w:tr>
      <w:tr w:rsidR="003555A3" w:rsidTr="003555A3">
        <w:trPr>
          <w:trHeight w:val="315"/>
          <w:jc w:val="center"/>
        </w:trPr>
        <w:tc>
          <w:tcPr>
            <w:tcW w:w="1208" w:type="dxa"/>
            <w:tcBorders>
              <w:top w:val="nil"/>
              <w:left w:val="single" w:sz="8" w:space="0" w:color="009900"/>
              <w:bottom w:val="nil"/>
              <w:right w:val="nil"/>
            </w:tcBorders>
            <w:shd w:val="clear" w:color="000000" w:fill="FFFFE1"/>
            <w:noWrap/>
            <w:vAlign w:val="center"/>
            <w:hideMark/>
          </w:tcPr>
          <w:p w:rsidR="003555A3" w:rsidRDefault="003555A3">
            <w:pPr>
              <w:rPr>
                <w:rFonts w:ascii="Arial" w:hAnsi="Arial" w:cs="Arial"/>
                <w:color w:val="000000"/>
                <w:sz w:val="16"/>
                <w:szCs w:val="16"/>
              </w:rPr>
            </w:pPr>
            <w:r>
              <w:rPr>
                <w:rFonts w:ascii="Arial" w:hAnsi="Arial" w:cs="Arial"/>
                <w:color w:val="000000"/>
                <w:sz w:val="16"/>
                <w:szCs w:val="16"/>
              </w:rPr>
              <w:t xml:space="preserve">     Renter</w:t>
            </w:r>
          </w:p>
        </w:tc>
        <w:tc>
          <w:tcPr>
            <w:tcW w:w="994" w:type="dxa"/>
            <w:tcBorders>
              <w:top w:val="nil"/>
              <w:left w:val="nil"/>
              <w:bottom w:val="nil"/>
              <w:right w:val="nil"/>
            </w:tcBorders>
            <w:shd w:val="clear" w:color="000000" w:fill="FFFFE1"/>
            <w:noWrap/>
            <w:vAlign w:val="center"/>
            <w:hideMark/>
          </w:tcPr>
          <w:p w:rsidR="003555A3" w:rsidRDefault="003555A3">
            <w:pPr>
              <w:jc w:val="center"/>
              <w:rPr>
                <w:rFonts w:ascii="Arial" w:hAnsi="Arial" w:cs="Arial"/>
                <w:color w:val="000000"/>
                <w:sz w:val="16"/>
                <w:szCs w:val="16"/>
              </w:rPr>
            </w:pPr>
            <w:r>
              <w:rPr>
                <w:rFonts w:ascii="Arial" w:hAnsi="Arial" w:cs="Arial"/>
                <w:color w:val="000000"/>
                <w:sz w:val="16"/>
                <w:szCs w:val="16"/>
              </w:rPr>
              <w:t>249,289</w:t>
            </w:r>
          </w:p>
        </w:tc>
        <w:tc>
          <w:tcPr>
            <w:tcW w:w="993" w:type="dxa"/>
            <w:tcBorders>
              <w:top w:val="nil"/>
              <w:left w:val="nil"/>
              <w:bottom w:val="nil"/>
              <w:right w:val="nil"/>
            </w:tcBorders>
            <w:shd w:val="clear" w:color="000000" w:fill="FFFFE1"/>
            <w:noWrap/>
            <w:vAlign w:val="center"/>
            <w:hideMark/>
          </w:tcPr>
          <w:p w:rsidR="003555A3" w:rsidRDefault="003555A3">
            <w:pPr>
              <w:jc w:val="center"/>
              <w:rPr>
                <w:rFonts w:ascii="Arial" w:hAnsi="Arial" w:cs="Arial"/>
                <w:color w:val="000000"/>
                <w:sz w:val="16"/>
                <w:szCs w:val="16"/>
              </w:rPr>
            </w:pPr>
            <w:r>
              <w:rPr>
                <w:rFonts w:ascii="Arial" w:hAnsi="Arial" w:cs="Arial"/>
                <w:color w:val="000000"/>
                <w:sz w:val="16"/>
                <w:szCs w:val="16"/>
              </w:rPr>
              <w:t>267,361</w:t>
            </w:r>
          </w:p>
        </w:tc>
        <w:tc>
          <w:tcPr>
            <w:tcW w:w="993" w:type="dxa"/>
            <w:tcBorders>
              <w:top w:val="nil"/>
              <w:left w:val="nil"/>
              <w:bottom w:val="nil"/>
              <w:right w:val="nil"/>
            </w:tcBorders>
            <w:shd w:val="clear" w:color="000000" w:fill="FFFFE1"/>
            <w:noWrap/>
            <w:vAlign w:val="center"/>
            <w:hideMark/>
          </w:tcPr>
          <w:p w:rsidR="003555A3" w:rsidRDefault="003555A3">
            <w:pPr>
              <w:jc w:val="center"/>
              <w:rPr>
                <w:rFonts w:ascii="Arial" w:hAnsi="Arial" w:cs="Arial"/>
                <w:color w:val="000000"/>
                <w:sz w:val="16"/>
                <w:szCs w:val="16"/>
              </w:rPr>
            </w:pPr>
            <w:r>
              <w:rPr>
                <w:rFonts w:ascii="Arial" w:hAnsi="Arial" w:cs="Arial"/>
                <w:color w:val="000000"/>
                <w:sz w:val="16"/>
                <w:szCs w:val="16"/>
              </w:rPr>
              <w:t>284,706</w:t>
            </w:r>
          </w:p>
        </w:tc>
        <w:tc>
          <w:tcPr>
            <w:tcW w:w="993" w:type="dxa"/>
            <w:tcBorders>
              <w:top w:val="nil"/>
              <w:left w:val="nil"/>
              <w:bottom w:val="nil"/>
              <w:right w:val="nil"/>
            </w:tcBorders>
            <w:shd w:val="clear" w:color="000000" w:fill="FFFFE1"/>
            <w:noWrap/>
            <w:vAlign w:val="center"/>
            <w:hideMark/>
          </w:tcPr>
          <w:p w:rsidR="003555A3" w:rsidRDefault="003555A3">
            <w:pPr>
              <w:jc w:val="center"/>
              <w:rPr>
                <w:rFonts w:ascii="Arial" w:hAnsi="Arial" w:cs="Arial"/>
                <w:color w:val="000000"/>
                <w:sz w:val="16"/>
                <w:szCs w:val="16"/>
              </w:rPr>
            </w:pPr>
            <w:r>
              <w:rPr>
                <w:rFonts w:ascii="Arial" w:hAnsi="Arial" w:cs="Arial"/>
                <w:color w:val="000000"/>
                <w:sz w:val="16"/>
                <w:szCs w:val="16"/>
              </w:rPr>
              <w:t>301,110</w:t>
            </w:r>
          </w:p>
        </w:tc>
        <w:tc>
          <w:tcPr>
            <w:tcW w:w="993" w:type="dxa"/>
            <w:tcBorders>
              <w:top w:val="nil"/>
              <w:left w:val="nil"/>
              <w:bottom w:val="nil"/>
              <w:right w:val="nil"/>
            </w:tcBorders>
            <w:shd w:val="clear" w:color="000000" w:fill="FFFFE1"/>
            <w:noWrap/>
            <w:vAlign w:val="center"/>
            <w:hideMark/>
          </w:tcPr>
          <w:p w:rsidR="003555A3" w:rsidRDefault="003555A3">
            <w:pPr>
              <w:jc w:val="center"/>
              <w:rPr>
                <w:rFonts w:ascii="Arial" w:hAnsi="Arial" w:cs="Arial"/>
                <w:color w:val="000000"/>
                <w:sz w:val="16"/>
                <w:szCs w:val="16"/>
              </w:rPr>
            </w:pPr>
            <w:r>
              <w:rPr>
                <w:rFonts w:ascii="Arial" w:hAnsi="Arial" w:cs="Arial"/>
                <w:color w:val="000000"/>
                <w:sz w:val="16"/>
                <w:szCs w:val="16"/>
              </w:rPr>
              <w:t>316,377</w:t>
            </w:r>
          </w:p>
        </w:tc>
        <w:tc>
          <w:tcPr>
            <w:tcW w:w="993" w:type="dxa"/>
            <w:tcBorders>
              <w:top w:val="nil"/>
              <w:left w:val="nil"/>
              <w:bottom w:val="nil"/>
              <w:right w:val="nil"/>
            </w:tcBorders>
            <w:shd w:val="clear" w:color="000000" w:fill="FFFFE1"/>
            <w:noWrap/>
            <w:vAlign w:val="center"/>
            <w:hideMark/>
          </w:tcPr>
          <w:p w:rsidR="003555A3" w:rsidRDefault="003555A3">
            <w:pPr>
              <w:jc w:val="center"/>
              <w:rPr>
                <w:rFonts w:ascii="Arial" w:hAnsi="Arial" w:cs="Arial"/>
                <w:color w:val="000000"/>
                <w:sz w:val="16"/>
                <w:szCs w:val="16"/>
              </w:rPr>
            </w:pPr>
            <w:r>
              <w:rPr>
                <w:rFonts w:ascii="Arial" w:hAnsi="Arial" w:cs="Arial"/>
                <w:color w:val="000000"/>
                <w:sz w:val="16"/>
                <w:szCs w:val="16"/>
              </w:rPr>
              <w:t>330,152</w:t>
            </w:r>
          </w:p>
        </w:tc>
        <w:tc>
          <w:tcPr>
            <w:tcW w:w="993" w:type="dxa"/>
            <w:tcBorders>
              <w:top w:val="nil"/>
              <w:left w:val="nil"/>
              <w:bottom w:val="nil"/>
              <w:right w:val="single" w:sz="8" w:space="0" w:color="009900"/>
            </w:tcBorders>
            <w:shd w:val="clear" w:color="000000" w:fill="FFFFE1"/>
            <w:noWrap/>
            <w:vAlign w:val="center"/>
            <w:hideMark/>
          </w:tcPr>
          <w:p w:rsidR="003555A3" w:rsidRDefault="003555A3">
            <w:pPr>
              <w:jc w:val="center"/>
              <w:rPr>
                <w:rFonts w:ascii="Arial" w:hAnsi="Arial" w:cs="Arial"/>
                <w:color w:val="000000"/>
                <w:sz w:val="16"/>
                <w:szCs w:val="16"/>
              </w:rPr>
            </w:pPr>
            <w:r>
              <w:rPr>
                <w:rFonts w:ascii="Arial" w:hAnsi="Arial" w:cs="Arial"/>
                <w:color w:val="000000"/>
                <w:sz w:val="16"/>
                <w:szCs w:val="16"/>
              </w:rPr>
              <w:t>342,328</w:t>
            </w:r>
          </w:p>
        </w:tc>
      </w:tr>
      <w:tr w:rsidR="003555A3" w:rsidTr="003555A3">
        <w:trPr>
          <w:trHeight w:val="315"/>
          <w:jc w:val="center"/>
        </w:trPr>
        <w:tc>
          <w:tcPr>
            <w:tcW w:w="1208" w:type="dxa"/>
            <w:tcBorders>
              <w:top w:val="double" w:sz="6" w:space="0" w:color="009900"/>
              <w:left w:val="single" w:sz="8" w:space="0" w:color="009900"/>
              <w:bottom w:val="dotted" w:sz="4" w:space="0" w:color="009900"/>
              <w:right w:val="nil"/>
            </w:tcBorders>
            <w:shd w:val="clear" w:color="000000" w:fill="FFFFE1"/>
            <w:noWrap/>
            <w:vAlign w:val="center"/>
            <w:hideMark/>
          </w:tcPr>
          <w:p w:rsidR="003555A3" w:rsidRDefault="003555A3">
            <w:pPr>
              <w:rPr>
                <w:rFonts w:ascii="Arial" w:hAnsi="Arial" w:cs="Arial"/>
                <w:b/>
                <w:bCs/>
                <w:color w:val="000000"/>
                <w:sz w:val="16"/>
                <w:szCs w:val="16"/>
              </w:rPr>
            </w:pPr>
            <w:r>
              <w:rPr>
                <w:rFonts w:ascii="Arial" w:hAnsi="Arial" w:cs="Arial"/>
                <w:b/>
                <w:bCs/>
                <w:color w:val="000000"/>
                <w:sz w:val="16"/>
                <w:szCs w:val="16"/>
              </w:rPr>
              <w:t>Total</w:t>
            </w:r>
          </w:p>
        </w:tc>
        <w:tc>
          <w:tcPr>
            <w:tcW w:w="994" w:type="dxa"/>
            <w:tcBorders>
              <w:top w:val="double" w:sz="6" w:space="0" w:color="009900"/>
              <w:left w:val="nil"/>
              <w:bottom w:val="dotted" w:sz="4" w:space="0" w:color="009900"/>
              <w:right w:val="nil"/>
            </w:tcBorders>
            <w:shd w:val="clear" w:color="000000" w:fill="FFFFE1"/>
            <w:noWrap/>
            <w:vAlign w:val="center"/>
            <w:hideMark/>
          </w:tcPr>
          <w:p w:rsidR="003555A3" w:rsidRDefault="003555A3">
            <w:pPr>
              <w:jc w:val="center"/>
              <w:rPr>
                <w:rFonts w:ascii="Arial" w:hAnsi="Arial" w:cs="Arial"/>
                <w:b/>
                <w:bCs/>
                <w:color w:val="000000"/>
                <w:sz w:val="16"/>
                <w:szCs w:val="16"/>
              </w:rPr>
            </w:pPr>
            <w:r>
              <w:rPr>
                <w:rFonts w:ascii="Arial" w:hAnsi="Arial" w:cs="Arial"/>
                <w:b/>
                <w:bCs/>
                <w:color w:val="000000"/>
                <w:sz w:val="16"/>
                <w:szCs w:val="16"/>
              </w:rPr>
              <w:t>791,395</w:t>
            </w:r>
          </w:p>
        </w:tc>
        <w:tc>
          <w:tcPr>
            <w:tcW w:w="993" w:type="dxa"/>
            <w:tcBorders>
              <w:top w:val="double" w:sz="6" w:space="0" w:color="009900"/>
              <w:left w:val="nil"/>
              <w:bottom w:val="dotted" w:sz="4" w:space="0" w:color="009900"/>
              <w:right w:val="nil"/>
            </w:tcBorders>
            <w:shd w:val="clear" w:color="000000" w:fill="FFFFE1"/>
            <w:noWrap/>
            <w:vAlign w:val="center"/>
            <w:hideMark/>
          </w:tcPr>
          <w:p w:rsidR="003555A3" w:rsidRDefault="003555A3">
            <w:pPr>
              <w:jc w:val="center"/>
              <w:rPr>
                <w:rFonts w:ascii="Arial" w:hAnsi="Arial" w:cs="Arial"/>
                <w:b/>
                <w:bCs/>
                <w:color w:val="000000"/>
                <w:sz w:val="16"/>
                <w:szCs w:val="16"/>
              </w:rPr>
            </w:pPr>
            <w:r>
              <w:rPr>
                <w:rFonts w:ascii="Arial" w:hAnsi="Arial" w:cs="Arial"/>
                <w:b/>
                <w:bCs/>
                <w:color w:val="000000"/>
                <w:sz w:val="16"/>
                <w:szCs w:val="16"/>
              </w:rPr>
              <w:t>848,764</w:t>
            </w:r>
          </w:p>
        </w:tc>
        <w:tc>
          <w:tcPr>
            <w:tcW w:w="993" w:type="dxa"/>
            <w:tcBorders>
              <w:top w:val="double" w:sz="6" w:space="0" w:color="009900"/>
              <w:left w:val="nil"/>
              <w:bottom w:val="dotted" w:sz="4" w:space="0" w:color="009900"/>
              <w:right w:val="nil"/>
            </w:tcBorders>
            <w:shd w:val="clear" w:color="000000" w:fill="FFFFE1"/>
            <w:noWrap/>
            <w:vAlign w:val="center"/>
            <w:hideMark/>
          </w:tcPr>
          <w:p w:rsidR="003555A3" w:rsidRDefault="003555A3">
            <w:pPr>
              <w:jc w:val="center"/>
              <w:rPr>
                <w:rFonts w:ascii="Arial" w:hAnsi="Arial" w:cs="Arial"/>
                <w:b/>
                <w:bCs/>
                <w:color w:val="000000"/>
                <w:sz w:val="16"/>
                <w:szCs w:val="16"/>
              </w:rPr>
            </w:pPr>
            <w:r>
              <w:rPr>
                <w:rFonts w:ascii="Arial" w:hAnsi="Arial" w:cs="Arial"/>
                <w:b/>
                <w:bCs/>
                <w:color w:val="000000"/>
                <w:sz w:val="16"/>
                <w:szCs w:val="16"/>
              </w:rPr>
              <w:t>903,828</w:t>
            </w:r>
          </w:p>
        </w:tc>
        <w:tc>
          <w:tcPr>
            <w:tcW w:w="993" w:type="dxa"/>
            <w:tcBorders>
              <w:top w:val="double" w:sz="6" w:space="0" w:color="009900"/>
              <w:left w:val="nil"/>
              <w:bottom w:val="dotted" w:sz="4" w:space="0" w:color="009900"/>
              <w:right w:val="nil"/>
            </w:tcBorders>
            <w:shd w:val="clear" w:color="000000" w:fill="FFFFE1"/>
            <w:noWrap/>
            <w:vAlign w:val="center"/>
            <w:hideMark/>
          </w:tcPr>
          <w:p w:rsidR="003555A3" w:rsidRDefault="003555A3">
            <w:pPr>
              <w:jc w:val="center"/>
              <w:rPr>
                <w:rFonts w:ascii="Arial" w:hAnsi="Arial" w:cs="Arial"/>
                <w:b/>
                <w:bCs/>
                <w:color w:val="000000"/>
                <w:sz w:val="16"/>
                <w:szCs w:val="16"/>
              </w:rPr>
            </w:pPr>
            <w:r>
              <w:rPr>
                <w:rFonts w:ascii="Arial" w:hAnsi="Arial" w:cs="Arial"/>
                <w:b/>
                <w:bCs/>
                <w:color w:val="000000"/>
                <w:sz w:val="16"/>
                <w:szCs w:val="16"/>
              </w:rPr>
              <w:t>955,905</w:t>
            </w:r>
          </w:p>
        </w:tc>
        <w:tc>
          <w:tcPr>
            <w:tcW w:w="993" w:type="dxa"/>
            <w:tcBorders>
              <w:top w:val="double" w:sz="6" w:space="0" w:color="009900"/>
              <w:left w:val="nil"/>
              <w:bottom w:val="dotted" w:sz="4" w:space="0" w:color="009900"/>
              <w:right w:val="nil"/>
            </w:tcBorders>
            <w:shd w:val="clear" w:color="000000" w:fill="FFFFE1"/>
            <w:noWrap/>
            <w:vAlign w:val="center"/>
            <w:hideMark/>
          </w:tcPr>
          <w:p w:rsidR="003555A3" w:rsidRDefault="003555A3">
            <w:pPr>
              <w:jc w:val="center"/>
              <w:rPr>
                <w:rFonts w:ascii="Arial" w:hAnsi="Arial" w:cs="Arial"/>
                <w:b/>
                <w:bCs/>
                <w:color w:val="000000"/>
                <w:sz w:val="16"/>
                <w:szCs w:val="16"/>
              </w:rPr>
            </w:pPr>
            <w:r>
              <w:rPr>
                <w:rFonts w:ascii="Arial" w:hAnsi="Arial" w:cs="Arial"/>
                <w:b/>
                <w:bCs/>
                <w:color w:val="000000"/>
                <w:sz w:val="16"/>
                <w:szCs w:val="16"/>
              </w:rPr>
              <w:t>1,004,370</w:t>
            </w:r>
          </w:p>
        </w:tc>
        <w:tc>
          <w:tcPr>
            <w:tcW w:w="993" w:type="dxa"/>
            <w:tcBorders>
              <w:top w:val="double" w:sz="6" w:space="0" w:color="009900"/>
              <w:left w:val="nil"/>
              <w:bottom w:val="dotted" w:sz="4" w:space="0" w:color="009900"/>
              <w:right w:val="nil"/>
            </w:tcBorders>
            <w:shd w:val="clear" w:color="000000" w:fill="FFFFE1"/>
            <w:noWrap/>
            <w:vAlign w:val="center"/>
            <w:hideMark/>
          </w:tcPr>
          <w:p w:rsidR="003555A3" w:rsidRDefault="003555A3">
            <w:pPr>
              <w:jc w:val="center"/>
              <w:rPr>
                <w:rFonts w:ascii="Arial" w:hAnsi="Arial" w:cs="Arial"/>
                <w:b/>
                <w:bCs/>
                <w:color w:val="000000"/>
                <w:sz w:val="16"/>
                <w:szCs w:val="16"/>
              </w:rPr>
            </w:pPr>
            <w:r>
              <w:rPr>
                <w:rFonts w:ascii="Arial" w:hAnsi="Arial" w:cs="Arial"/>
                <w:b/>
                <w:bCs/>
                <w:color w:val="000000"/>
                <w:sz w:val="16"/>
                <w:szCs w:val="16"/>
              </w:rPr>
              <w:t>1,048,101</w:t>
            </w:r>
          </w:p>
        </w:tc>
        <w:tc>
          <w:tcPr>
            <w:tcW w:w="993" w:type="dxa"/>
            <w:tcBorders>
              <w:top w:val="double" w:sz="6" w:space="0" w:color="009900"/>
              <w:left w:val="nil"/>
              <w:bottom w:val="dotted" w:sz="4" w:space="0" w:color="009900"/>
              <w:right w:val="single" w:sz="8" w:space="0" w:color="009900"/>
            </w:tcBorders>
            <w:shd w:val="clear" w:color="000000" w:fill="FFFFE1"/>
            <w:noWrap/>
            <w:vAlign w:val="center"/>
            <w:hideMark/>
          </w:tcPr>
          <w:p w:rsidR="003555A3" w:rsidRDefault="003555A3">
            <w:pPr>
              <w:jc w:val="center"/>
              <w:rPr>
                <w:rFonts w:ascii="Arial" w:hAnsi="Arial" w:cs="Arial"/>
                <w:b/>
                <w:bCs/>
                <w:color w:val="000000"/>
                <w:sz w:val="16"/>
                <w:szCs w:val="16"/>
              </w:rPr>
            </w:pPr>
            <w:r>
              <w:rPr>
                <w:rFonts w:ascii="Arial" w:hAnsi="Arial" w:cs="Arial"/>
                <w:b/>
                <w:bCs/>
                <w:color w:val="000000"/>
                <w:sz w:val="16"/>
                <w:szCs w:val="16"/>
              </w:rPr>
              <w:t>1,086,754</w:t>
            </w:r>
          </w:p>
        </w:tc>
      </w:tr>
      <w:tr w:rsidR="003555A3" w:rsidTr="003555A3">
        <w:trPr>
          <w:trHeight w:val="315"/>
          <w:jc w:val="center"/>
        </w:trPr>
        <w:tc>
          <w:tcPr>
            <w:tcW w:w="1208" w:type="dxa"/>
            <w:tcBorders>
              <w:top w:val="nil"/>
              <w:left w:val="single" w:sz="8" w:space="0" w:color="009900"/>
              <w:bottom w:val="single" w:sz="8" w:space="0" w:color="009900"/>
              <w:right w:val="nil"/>
            </w:tcBorders>
            <w:shd w:val="clear" w:color="000000" w:fill="FFFFE1"/>
            <w:noWrap/>
            <w:vAlign w:val="center"/>
            <w:hideMark/>
          </w:tcPr>
          <w:p w:rsidR="003555A3" w:rsidRDefault="003555A3">
            <w:pPr>
              <w:rPr>
                <w:rFonts w:ascii="Arial" w:hAnsi="Arial" w:cs="Arial"/>
                <w:color w:val="000000"/>
                <w:sz w:val="16"/>
                <w:szCs w:val="16"/>
              </w:rPr>
            </w:pPr>
            <w:r>
              <w:rPr>
                <w:rFonts w:ascii="Arial" w:hAnsi="Arial" w:cs="Arial"/>
                <w:color w:val="000000"/>
                <w:sz w:val="16"/>
                <w:szCs w:val="16"/>
              </w:rPr>
              <w:t>Population</w:t>
            </w:r>
          </w:p>
        </w:tc>
        <w:tc>
          <w:tcPr>
            <w:tcW w:w="994" w:type="dxa"/>
            <w:tcBorders>
              <w:top w:val="nil"/>
              <w:left w:val="nil"/>
              <w:bottom w:val="single" w:sz="8" w:space="0" w:color="009900"/>
              <w:right w:val="nil"/>
            </w:tcBorders>
            <w:shd w:val="clear" w:color="000000" w:fill="FFFFE1"/>
            <w:noWrap/>
            <w:vAlign w:val="center"/>
            <w:hideMark/>
          </w:tcPr>
          <w:p w:rsidR="003555A3" w:rsidRDefault="003555A3">
            <w:pPr>
              <w:jc w:val="center"/>
              <w:rPr>
                <w:rFonts w:ascii="Arial" w:hAnsi="Arial" w:cs="Arial"/>
                <w:color w:val="000000"/>
                <w:sz w:val="16"/>
                <w:szCs w:val="16"/>
              </w:rPr>
            </w:pPr>
            <w:r>
              <w:rPr>
                <w:rFonts w:ascii="Arial" w:hAnsi="Arial" w:cs="Arial"/>
                <w:color w:val="000000"/>
                <w:sz w:val="16"/>
                <w:szCs w:val="16"/>
              </w:rPr>
              <w:t>2,065,826</w:t>
            </w:r>
          </w:p>
        </w:tc>
        <w:tc>
          <w:tcPr>
            <w:tcW w:w="993" w:type="dxa"/>
            <w:tcBorders>
              <w:top w:val="nil"/>
              <w:left w:val="nil"/>
              <w:bottom w:val="single" w:sz="8" w:space="0" w:color="009900"/>
              <w:right w:val="nil"/>
            </w:tcBorders>
            <w:shd w:val="clear" w:color="000000" w:fill="FFFFE1"/>
            <w:noWrap/>
            <w:vAlign w:val="center"/>
            <w:hideMark/>
          </w:tcPr>
          <w:p w:rsidR="003555A3" w:rsidRDefault="003555A3">
            <w:pPr>
              <w:jc w:val="center"/>
              <w:rPr>
                <w:rFonts w:ascii="Arial" w:hAnsi="Arial" w:cs="Arial"/>
                <w:color w:val="000000"/>
                <w:sz w:val="16"/>
                <w:szCs w:val="16"/>
              </w:rPr>
            </w:pPr>
            <w:r>
              <w:rPr>
                <w:rFonts w:ascii="Arial" w:hAnsi="Arial" w:cs="Arial"/>
                <w:color w:val="000000"/>
                <w:sz w:val="16"/>
                <w:szCs w:val="16"/>
              </w:rPr>
              <w:t>2,208,450</w:t>
            </w:r>
          </w:p>
        </w:tc>
        <w:tc>
          <w:tcPr>
            <w:tcW w:w="993" w:type="dxa"/>
            <w:tcBorders>
              <w:top w:val="nil"/>
              <w:left w:val="nil"/>
              <w:bottom w:val="single" w:sz="8" w:space="0" w:color="009900"/>
              <w:right w:val="nil"/>
            </w:tcBorders>
            <w:shd w:val="clear" w:color="000000" w:fill="FFFFE1"/>
            <w:noWrap/>
            <w:vAlign w:val="center"/>
            <w:hideMark/>
          </w:tcPr>
          <w:p w:rsidR="003555A3" w:rsidRDefault="003555A3">
            <w:pPr>
              <w:jc w:val="center"/>
              <w:rPr>
                <w:rFonts w:ascii="Arial" w:hAnsi="Arial" w:cs="Arial"/>
                <w:color w:val="000000"/>
                <w:sz w:val="16"/>
                <w:szCs w:val="16"/>
              </w:rPr>
            </w:pPr>
            <w:r>
              <w:rPr>
                <w:rFonts w:ascii="Arial" w:hAnsi="Arial" w:cs="Arial"/>
                <w:color w:val="000000"/>
                <w:sz w:val="16"/>
                <w:szCs w:val="16"/>
              </w:rPr>
              <w:t>2,351,724</w:t>
            </w:r>
          </w:p>
        </w:tc>
        <w:tc>
          <w:tcPr>
            <w:tcW w:w="993" w:type="dxa"/>
            <w:tcBorders>
              <w:top w:val="nil"/>
              <w:left w:val="nil"/>
              <w:bottom w:val="single" w:sz="8" w:space="0" w:color="009900"/>
              <w:right w:val="nil"/>
            </w:tcBorders>
            <w:shd w:val="clear" w:color="000000" w:fill="FFFFE1"/>
            <w:noWrap/>
            <w:vAlign w:val="center"/>
            <w:hideMark/>
          </w:tcPr>
          <w:p w:rsidR="003555A3" w:rsidRDefault="003555A3">
            <w:pPr>
              <w:jc w:val="center"/>
              <w:rPr>
                <w:rFonts w:ascii="Arial" w:hAnsi="Arial" w:cs="Arial"/>
                <w:color w:val="000000"/>
                <w:sz w:val="16"/>
                <w:szCs w:val="16"/>
              </w:rPr>
            </w:pPr>
            <w:r>
              <w:rPr>
                <w:rFonts w:ascii="Arial" w:hAnsi="Arial" w:cs="Arial"/>
                <w:color w:val="000000"/>
                <w:sz w:val="16"/>
                <w:szCs w:val="16"/>
              </w:rPr>
              <w:t>2,487,227</w:t>
            </w:r>
          </w:p>
        </w:tc>
        <w:tc>
          <w:tcPr>
            <w:tcW w:w="993" w:type="dxa"/>
            <w:tcBorders>
              <w:top w:val="nil"/>
              <w:left w:val="nil"/>
              <w:bottom w:val="single" w:sz="8" w:space="0" w:color="009900"/>
              <w:right w:val="nil"/>
            </w:tcBorders>
            <w:shd w:val="clear" w:color="000000" w:fill="FFFFE1"/>
            <w:noWrap/>
            <w:vAlign w:val="center"/>
            <w:hideMark/>
          </w:tcPr>
          <w:p w:rsidR="003555A3" w:rsidRDefault="003555A3">
            <w:pPr>
              <w:jc w:val="center"/>
              <w:rPr>
                <w:rFonts w:ascii="Arial" w:hAnsi="Arial" w:cs="Arial"/>
                <w:color w:val="000000"/>
                <w:sz w:val="16"/>
                <w:szCs w:val="16"/>
              </w:rPr>
            </w:pPr>
            <w:r>
              <w:rPr>
                <w:rFonts w:ascii="Arial" w:hAnsi="Arial" w:cs="Arial"/>
                <w:color w:val="000000"/>
                <w:sz w:val="16"/>
                <w:szCs w:val="16"/>
              </w:rPr>
              <w:t>2,613,332</w:t>
            </w:r>
          </w:p>
        </w:tc>
        <w:tc>
          <w:tcPr>
            <w:tcW w:w="993" w:type="dxa"/>
            <w:tcBorders>
              <w:top w:val="nil"/>
              <w:left w:val="nil"/>
              <w:bottom w:val="single" w:sz="8" w:space="0" w:color="009900"/>
              <w:right w:val="nil"/>
            </w:tcBorders>
            <w:shd w:val="clear" w:color="000000" w:fill="FFFFE1"/>
            <w:noWrap/>
            <w:vAlign w:val="center"/>
            <w:hideMark/>
          </w:tcPr>
          <w:p w:rsidR="003555A3" w:rsidRDefault="003555A3">
            <w:pPr>
              <w:jc w:val="center"/>
              <w:rPr>
                <w:rFonts w:ascii="Arial" w:hAnsi="Arial" w:cs="Arial"/>
                <w:color w:val="000000"/>
                <w:sz w:val="16"/>
                <w:szCs w:val="16"/>
              </w:rPr>
            </w:pPr>
            <w:r>
              <w:rPr>
                <w:rFonts w:ascii="Arial" w:hAnsi="Arial" w:cs="Arial"/>
                <w:color w:val="000000"/>
                <w:sz w:val="16"/>
                <w:szCs w:val="16"/>
              </w:rPr>
              <w:t>2,727,118</w:t>
            </w:r>
          </w:p>
        </w:tc>
        <w:tc>
          <w:tcPr>
            <w:tcW w:w="993" w:type="dxa"/>
            <w:tcBorders>
              <w:top w:val="nil"/>
              <w:left w:val="nil"/>
              <w:bottom w:val="single" w:sz="8" w:space="0" w:color="009900"/>
              <w:right w:val="single" w:sz="8" w:space="0" w:color="009900"/>
            </w:tcBorders>
            <w:shd w:val="clear" w:color="000000" w:fill="FFFFE1"/>
            <w:noWrap/>
            <w:vAlign w:val="center"/>
            <w:hideMark/>
          </w:tcPr>
          <w:p w:rsidR="003555A3" w:rsidRDefault="003555A3">
            <w:pPr>
              <w:jc w:val="center"/>
              <w:rPr>
                <w:rFonts w:ascii="Arial" w:hAnsi="Arial" w:cs="Arial"/>
                <w:color w:val="000000"/>
                <w:sz w:val="16"/>
                <w:szCs w:val="16"/>
              </w:rPr>
            </w:pPr>
            <w:r>
              <w:rPr>
                <w:rFonts w:ascii="Arial" w:hAnsi="Arial" w:cs="Arial"/>
                <w:color w:val="000000"/>
                <w:sz w:val="16"/>
                <w:szCs w:val="16"/>
              </w:rPr>
              <w:t>2,827,692</w:t>
            </w:r>
          </w:p>
        </w:tc>
      </w:tr>
    </w:tbl>
    <w:p w:rsidR="004608D1" w:rsidRPr="00955C8C" w:rsidRDefault="004608D1" w:rsidP="00B27797">
      <w:pPr>
        <w:pStyle w:val="BodyText"/>
        <w:tabs>
          <w:tab w:val="num" w:pos="360"/>
        </w:tabs>
        <w:rPr>
          <w:rFonts w:ascii="CG Omega" w:hAnsi="CG Omega"/>
          <w:szCs w:val="24"/>
          <w:highlight w:val="yellow"/>
        </w:rPr>
      </w:pPr>
    </w:p>
    <w:p w:rsidR="008207B5" w:rsidRPr="00092493" w:rsidRDefault="00671DB6" w:rsidP="00BB666B">
      <w:pPr>
        <w:pStyle w:val="FirstHead"/>
      </w:pPr>
      <w:bookmarkStart w:id="40" w:name="_Toc233426574"/>
      <w:bookmarkStart w:id="41" w:name="_Toc233426759"/>
      <w:bookmarkStart w:id="42" w:name="_Toc399834566"/>
      <w:r w:rsidRPr="00092493">
        <w:t>C</w:t>
      </w:r>
      <w:r w:rsidR="008207B5" w:rsidRPr="00092493">
        <w:t>. Economic Conditions</w:t>
      </w:r>
      <w:bookmarkEnd w:id="40"/>
      <w:bookmarkEnd w:id="41"/>
      <w:bookmarkEnd w:id="42"/>
    </w:p>
    <w:p w:rsidR="00D03E10" w:rsidRPr="004608D1" w:rsidRDefault="00D03E10" w:rsidP="008207B5">
      <w:pPr>
        <w:pStyle w:val="PlainText"/>
        <w:jc w:val="both"/>
        <w:rPr>
          <w:rFonts w:ascii="CG Omega" w:hAnsi="CG Omega"/>
          <w:b/>
          <w:bCs/>
          <w:smallCaps/>
          <w:sz w:val="16"/>
          <w:szCs w:val="16"/>
        </w:rPr>
      </w:pPr>
    </w:p>
    <w:p w:rsidR="008207B5" w:rsidRPr="00092493" w:rsidRDefault="008207B5" w:rsidP="008207B5">
      <w:pPr>
        <w:pStyle w:val="PlainText"/>
        <w:jc w:val="both"/>
        <w:rPr>
          <w:rFonts w:ascii="CG Omega" w:hAnsi="CG Omega"/>
          <w:b/>
          <w:bCs/>
          <w:smallCaps/>
          <w:sz w:val="24"/>
          <w:szCs w:val="24"/>
        </w:rPr>
      </w:pPr>
      <w:r w:rsidRPr="00092493">
        <w:rPr>
          <w:rFonts w:ascii="CG Omega" w:hAnsi="CG Omega"/>
          <w:b/>
          <w:bCs/>
          <w:smallCaps/>
          <w:sz w:val="24"/>
          <w:szCs w:val="24"/>
        </w:rPr>
        <w:t>Labor Force</w:t>
      </w:r>
      <w:r w:rsidR="00D03E10" w:rsidRPr="00092493">
        <w:rPr>
          <w:rFonts w:ascii="CG Omega" w:hAnsi="CG Omega"/>
          <w:b/>
          <w:bCs/>
          <w:smallCaps/>
          <w:sz w:val="24"/>
          <w:szCs w:val="24"/>
        </w:rPr>
        <w:t xml:space="preserve"> and Employment</w:t>
      </w:r>
    </w:p>
    <w:p w:rsidR="008207B5" w:rsidRPr="004608D1" w:rsidRDefault="008207B5" w:rsidP="008207B5">
      <w:pPr>
        <w:jc w:val="both"/>
        <w:rPr>
          <w:rFonts w:ascii="CG Omega" w:hAnsi="CG Omega"/>
          <w:bCs/>
          <w:sz w:val="16"/>
          <w:szCs w:val="16"/>
          <w:highlight w:val="yellow"/>
        </w:rPr>
      </w:pPr>
    </w:p>
    <w:p w:rsidR="00092493" w:rsidRDefault="00092493" w:rsidP="008207B5">
      <w:pPr>
        <w:pStyle w:val="BodyText"/>
        <w:tabs>
          <w:tab w:val="num" w:pos="360"/>
        </w:tabs>
        <w:rPr>
          <w:rFonts w:ascii="CG Omega" w:hAnsi="CG Omega"/>
        </w:rPr>
      </w:pPr>
      <w:r w:rsidRPr="00092493">
        <w:rPr>
          <w:rFonts w:ascii="CG Omega" w:hAnsi="CG Omega"/>
        </w:rPr>
        <w:t>The size of the labor force</w:t>
      </w:r>
      <w:r w:rsidR="00D020E7">
        <w:rPr>
          <w:rFonts w:ascii="CG Omega" w:hAnsi="CG Omega"/>
        </w:rPr>
        <w:t>,</w:t>
      </w:r>
      <w:r w:rsidR="00D020E7" w:rsidRPr="00D020E7">
        <w:rPr>
          <w:rFonts w:ascii="CG Omega" w:hAnsi="CG Omega"/>
        </w:rPr>
        <w:t xml:space="preserve"> </w:t>
      </w:r>
      <w:r w:rsidR="00D020E7">
        <w:rPr>
          <w:rFonts w:ascii="CG Omega" w:hAnsi="CG Omega"/>
        </w:rPr>
        <w:t>which represents the number of residents either working or looking for work,</w:t>
      </w:r>
      <w:r w:rsidRPr="00092493">
        <w:rPr>
          <w:rFonts w:ascii="CG Omega" w:hAnsi="CG Omega"/>
        </w:rPr>
        <w:t xml:space="preserve"> and the number of workers employed in New Mexico have both grown considerably for more than two decades, though the recent worldwide recession did leave its m</w:t>
      </w:r>
      <w:r w:rsidR="00D020E7">
        <w:rPr>
          <w:rFonts w:ascii="CG Omega" w:hAnsi="CG Omega"/>
        </w:rPr>
        <w:t>ark on the New Mexican labor market</w:t>
      </w:r>
      <w:r w:rsidR="00EA4494">
        <w:rPr>
          <w:rFonts w:ascii="CG Omega" w:hAnsi="CG Omega"/>
        </w:rPr>
        <w:t xml:space="preserve">, as shown in </w:t>
      </w:r>
      <w:r w:rsidR="00EA4494" w:rsidRPr="0033425C">
        <w:rPr>
          <w:rFonts w:ascii="CG Omega" w:hAnsi="CG Omega"/>
          <w:b/>
        </w:rPr>
        <w:t>Diagram III.2</w:t>
      </w:r>
      <w:r w:rsidR="00EA4494">
        <w:rPr>
          <w:rFonts w:ascii="CG Omega" w:hAnsi="CG Omega"/>
        </w:rPr>
        <w:t xml:space="preserve"> below</w:t>
      </w:r>
      <w:r w:rsidRPr="00092493">
        <w:rPr>
          <w:rFonts w:ascii="CG Omega" w:hAnsi="CG Omega"/>
        </w:rPr>
        <w:t xml:space="preserve">. </w:t>
      </w:r>
      <w:r w:rsidR="00D020E7">
        <w:rPr>
          <w:rFonts w:ascii="CG Omega" w:hAnsi="CG Omega"/>
        </w:rPr>
        <w:t>Around</w:t>
      </w:r>
      <w:r w:rsidR="00AB1E88">
        <w:rPr>
          <w:rFonts w:ascii="CG Omega" w:hAnsi="CG Omega"/>
        </w:rPr>
        <w:t xml:space="preserve"> 13,000 workers were added to t</w:t>
      </w:r>
      <w:r>
        <w:rPr>
          <w:rFonts w:ascii="CG Omega" w:hAnsi="CG Omega"/>
        </w:rPr>
        <w:t>he state’s labor force</w:t>
      </w:r>
      <w:r w:rsidR="00D020E7">
        <w:rPr>
          <w:rFonts w:ascii="CG Omega" w:hAnsi="CG Omega"/>
        </w:rPr>
        <w:t xml:space="preserve"> </w:t>
      </w:r>
      <w:r w:rsidR="00AB1E88">
        <w:rPr>
          <w:rFonts w:ascii="CG Omega" w:hAnsi="CG Omega"/>
        </w:rPr>
        <w:t xml:space="preserve">every year between 1990 and 1998. Over this same period, the number of residents who were employed grew by nearly 14,000 per year. As a result, the share of New Mexicans who were looking for a job but were currently out of work had fallen to 3.5 percent by 2007. </w:t>
      </w:r>
      <w:r w:rsidR="00CD69C6">
        <w:rPr>
          <w:rFonts w:ascii="CG Omega" w:hAnsi="CG Omega"/>
        </w:rPr>
        <w:t>However, during the recession of the late 2000s</w:t>
      </w:r>
      <w:r w:rsidR="00472E22">
        <w:rPr>
          <w:rFonts w:ascii="CG Omega" w:hAnsi="CG Omega"/>
        </w:rPr>
        <w:t xml:space="preserve"> the number of employed New Mexi</w:t>
      </w:r>
      <w:r w:rsidR="00CD69C6">
        <w:rPr>
          <w:rFonts w:ascii="CG Omega" w:hAnsi="CG Omega"/>
        </w:rPr>
        <w:t>cans fell by over 40,000</w:t>
      </w:r>
      <w:r w:rsidR="00472E22">
        <w:rPr>
          <w:rFonts w:ascii="CG Omega" w:hAnsi="CG Omega"/>
        </w:rPr>
        <w:t xml:space="preserve"> in</w:t>
      </w:r>
      <w:r w:rsidR="00D020E7">
        <w:rPr>
          <w:rFonts w:ascii="CG Omega" w:hAnsi="CG Omega"/>
        </w:rPr>
        <w:t xml:space="preserve"> two years. T</w:t>
      </w:r>
      <w:r w:rsidR="00472E22">
        <w:rPr>
          <w:rFonts w:ascii="CG Omega" w:hAnsi="CG Omega"/>
        </w:rPr>
        <w:t>he contraction in the labor force w</w:t>
      </w:r>
      <w:r w:rsidR="00CD69C6">
        <w:rPr>
          <w:rFonts w:ascii="CG Omega" w:hAnsi="CG Omega"/>
        </w:rPr>
        <w:t xml:space="preserve">as less pronounced. This </w:t>
      </w:r>
      <w:r w:rsidR="00472E22">
        <w:rPr>
          <w:rFonts w:ascii="CG Omega" w:hAnsi="CG Omega"/>
        </w:rPr>
        <w:t>led to a widening of the gap between the number of employed and the number of New Mexicans in the labor force. This gap represents the number of persons in New Mexico who are officially unemployed.</w:t>
      </w:r>
    </w:p>
    <w:p w:rsidR="00DA2EA8" w:rsidRPr="004608D1" w:rsidRDefault="00DA2EA8" w:rsidP="00DA2EA8">
      <w:pPr>
        <w:keepNext/>
        <w:jc w:val="center"/>
        <w:rPr>
          <w:rFonts w:ascii="Arial" w:eastAsia="Calibri" w:hAnsi="Arial"/>
          <w:b/>
          <w:bCs/>
          <w:color w:val="000000"/>
          <w:sz w:val="16"/>
          <w:szCs w:val="16"/>
        </w:rPr>
      </w:pPr>
      <w:bookmarkStart w:id="43" w:name="_MON_1341394201"/>
      <w:bookmarkEnd w:id="43"/>
    </w:p>
    <w:p w:rsidR="00DA2EA8" w:rsidRPr="00CB35D7" w:rsidRDefault="00DA2EA8" w:rsidP="00DA2EA8">
      <w:pPr>
        <w:keepNext/>
        <w:jc w:val="center"/>
        <w:rPr>
          <w:rFonts w:ascii="Arial" w:eastAsia="Calibri" w:hAnsi="Arial"/>
          <w:b/>
          <w:bCs/>
          <w:color w:val="000000"/>
          <w:sz w:val="22"/>
          <w:szCs w:val="18"/>
        </w:rPr>
      </w:pPr>
      <w:r w:rsidRPr="00CB35D7">
        <w:rPr>
          <w:rFonts w:ascii="Arial" w:eastAsia="Calibri" w:hAnsi="Arial"/>
          <w:b/>
          <w:bCs/>
          <w:color w:val="000000"/>
          <w:sz w:val="22"/>
          <w:szCs w:val="18"/>
        </w:rPr>
        <w:t xml:space="preserve">Diagram </w:t>
      </w:r>
      <w:r w:rsidR="002B6E94">
        <w:rPr>
          <w:rFonts w:ascii="Arial" w:eastAsia="Calibri" w:hAnsi="Arial"/>
          <w:b/>
          <w:bCs/>
          <w:noProof/>
          <w:color w:val="000000"/>
          <w:sz w:val="22"/>
          <w:szCs w:val="18"/>
        </w:rPr>
        <w:t>III</w:t>
      </w:r>
      <w:r w:rsidRPr="00CB35D7">
        <w:rPr>
          <w:rFonts w:ascii="Arial" w:eastAsia="Calibri" w:hAnsi="Arial"/>
          <w:b/>
          <w:bCs/>
          <w:color w:val="000000"/>
          <w:sz w:val="22"/>
          <w:szCs w:val="18"/>
        </w:rPr>
        <w:t>.</w:t>
      </w:r>
      <w:r w:rsidR="002B6E94">
        <w:rPr>
          <w:rFonts w:ascii="Arial" w:eastAsia="Calibri" w:hAnsi="Arial"/>
          <w:b/>
          <w:bCs/>
          <w:noProof/>
          <w:color w:val="000000"/>
          <w:sz w:val="22"/>
          <w:szCs w:val="18"/>
        </w:rPr>
        <w:t>2</w:t>
      </w:r>
    </w:p>
    <w:p w:rsidR="00DA2EA8" w:rsidRPr="00CB35D7" w:rsidRDefault="00DA2EA8" w:rsidP="00DA2EA8">
      <w:pPr>
        <w:keepNext/>
        <w:keepLines/>
        <w:suppressAutoHyphens/>
        <w:jc w:val="center"/>
        <w:rPr>
          <w:rFonts w:ascii="Arial" w:eastAsia="Calibri" w:hAnsi="Arial"/>
          <w:b/>
          <w:sz w:val="20"/>
          <w:szCs w:val="23"/>
        </w:rPr>
      </w:pPr>
      <w:r w:rsidRPr="00CB35D7">
        <w:rPr>
          <w:rFonts w:ascii="Arial" w:eastAsia="Calibri" w:hAnsi="Arial"/>
          <w:b/>
          <w:sz w:val="20"/>
          <w:szCs w:val="23"/>
        </w:rPr>
        <w:t>Unemployment Rate</w:t>
      </w:r>
    </w:p>
    <w:p w:rsidR="00DA2EA8" w:rsidRPr="00CB35D7" w:rsidRDefault="00DA2EA8" w:rsidP="00DA2EA8">
      <w:pPr>
        <w:suppressAutoHyphens/>
        <w:jc w:val="center"/>
        <w:rPr>
          <w:rFonts w:ascii="Arial" w:eastAsia="Calibri" w:hAnsi="Arial"/>
          <w:sz w:val="16"/>
          <w:szCs w:val="23"/>
        </w:rPr>
      </w:pPr>
      <w:r w:rsidRPr="00CB35D7">
        <w:rPr>
          <w:rFonts w:ascii="Arial" w:eastAsia="Calibri" w:hAnsi="Arial"/>
          <w:noProof/>
          <w:sz w:val="16"/>
          <w:szCs w:val="23"/>
        </w:rPr>
        <w:t>State of New Mexico</w:t>
      </w:r>
    </w:p>
    <w:p w:rsidR="00243380" w:rsidRPr="00DA2EA8" w:rsidRDefault="00DA2EA8" w:rsidP="00DA2EA8">
      <w:pPr>
        <w:suppressAutoHyphens/>
        <w:jc w:val="center"/>
        <w:rPr>
          <w:rFonts w:ascii="Arial" w:eastAsia="Calibri" w:hAnsi="Arial"/>
          <w:sz w:val="16"/>
          <w:szCs w:val="23"/>
        </w:rPr>
      </w:pPr>
      <w:r w:rsidRPr="00CB35D7">
        <w:rPr>
          <w:rFonts w:ascii="Arial" w:eastAsia="Calibri" w:hAnsi="Arial"/>
          <w:sz w:val="16"/>
          <w:szCs w:val="23"/>
        </w:rPr>
        <w:t>1990–2012 BLS Data</w:t>
      </w:r>
    </w:p>
    <w:p w:rsidR="008207B5" w:rsidRPr="00955C8C" w:rsidRDefault="00DA2EA8" w:rsidP="008207B5">
      <w:pPr>
        <w:pStyle w:val="BodyText"/>
        <w:tabs>
          <w:tab w:val="num" w:pos="360"/>
        </w:tabs>
        <w:jc w:val="center"/>
        <w:rPr>
          <w:highlight w:val="yellow"/>
        </w:rPr>
      </w:pPr>
      <w:r>
        <w:rPr>
          <w:noProof/>
        </w:rPr>
        <w:drawing>
          <wp:inline distT="0" distB="0" distL="0" distR="0" wp14:anchorId="126D89B4" wp14:editId="0F4883ED">
            <wp:extent cx="5486400" cy="2743200"/>
            <wp:effectExtent l="0" t="0" r="0" b="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33425C" w:rsidRDefault="0033425C" w:rsidP="004608D1">
      <w:pPr>
        <w:pStyle w:val="BodyText"/>
        <w:tabs>
          <w:tab w:val="num" w:pos="360"/>
        </w:tabs>
        <w:rPr>
          <w:rFonts w:ascii="CG Omega" w:hAnsi="CG Omega"/>
          <w:szCs w:val="24"/>
        </w:rPr>
      </w:pPr>
    </w:p>
    <w:p w:rsidR="00243380" w:rsidRDefault="00DA2EA8" w:rsidP="004608D1">
      <w:pPr>
        <w:pStyle w:val="BodyText"/>
        <w:tabs>
          <w:tab w:val="num" w:pos="360"/>
        </w:tabs>
        <w:rPr>
          <w:rFonts w:ascii="CG Omega" w:hAnsi="CG Omega"/>
          <w:szCs w:val="24"/>
        </w:rPr>
      </w:pPr>
      <w:r w:rsidRPr="00CD69C6">
        <w:rPr>
          <w:rFonts w:ascii="CG Omega" w:hAnsi="CG Omega"/>
          <w:szCs w:val="24"/>
        </w:rPr>
        <w:t>Prior to 2007, unemployment in New Mexico had been on a generally downward trend</w:t>
      </w:r>
      <w:r w:rsidR="00472E22" w:rsidRPr="00CD69C6">
        <w:rPr>
          <w:rFonts w:ascii="CG Omega" w:hAnsi="CG Omega"/>
          <w:szCs w:val="24"/>
        </w:rPr>
        <w:t xml:space="preserve"> for nearly two decades thanks to the steady growth in the number of employed</w:t>
      </w:r>
      <w:r w:rsidR="00D020E7">
        <w:rPr>
          <w:rFonts w:ascii="CG Omega" w:hAnsi="CG Omega"/>
          <w:szCs w:val="24"/>
        </w:rPr>
        <w:t xml:space="preserve"> persons</w:t>
      </w:r>
      <w:r w:rsidR="00472E22" w:rsidRPr="00CD69C6">
        <w:rPr>
          <w:rFonts w:ascii="CG Omega" w:hAnsi="CG Omega"/>
          <w:szCs w:val="24"/>
        </w:rPr>
        <w:t>, which</w:t>
      </w:r>
      <w:r w:rsidR="00D020E7">
        <w:rPr>
          <w:rFonts w:ascii="CG Omega" w:hAnsi="CG Omega"/>
          <w:szCs w:val="24"/>
        </w:rPr>
        <w:t xml:space="preserve"> </w:t>
      </w:r>
      <w:r w:rsidR="00472E22" w:rsidRPr="00CD69C6">
        <w:rPr>
          <w:rFonts w:ascii="CG Omega" w:hAnsi="CG Omega"/>
          <w:szCs w:val="24"/>
        </w:rPr>
        <w:t xml:space="preserve">slightly but consistently outpaced the rate at which new members were added to the labor force. However, </w:t>
      </w:r>
      <w:r w:rsidR="00D020E7">
        <w:rPr>
          <w:rFonts w:ascii="CG Omega" w:hAnsi="CG Omega"/>
          <w:szCs w:val="24"/>
        </w:rPr>
        <w:t>g</w:t>
      </w:r>
      <w:r w:rsidR="00CD69C6" w:rsidRPr="00CD69C6">
        <w:rPr>
          <w:rFonts w:ascii="CG Omega" w:hAnsi="CG Omega"/>
          <w:szCs w:val="24"/>
        </w:rPr>
        <w:t>rowth in the number of employed fell behind growth in the labor force in the mid-1990s and in the early 2000s, corresponding to spikes in the unemployment rate during those time p</w:t>
      </w:r>
      <w:r w:rsidR="00D020E7">
        <w:rPr>
          <w:rFonts w:ascii="CG Omega" w:hAnsi="CG Omega"/>
          <w:szCs w:val="24"/>
        </w:rPr>
        <w:t>eriods</w:t>
      </w:r>
      <w:r w:rsidR="00EA4494">
        <w:rPr>
          <w:rFonts w:ascii="CG Omega" w:hAnsi="CG Omega"/>
          <w:szCs w:val="24"/>
        </w:rPr>
        <w:t xml:space="preserve">, as shown in </w:t>
      </w:r>
      <w:r w:rsidR="00EA4494" w:rsidRPr="0033425C">
        <w:rPr>
          <w:rFonts w:ascii="CG Omega" w:hAnsi="CG Omega"/>
          <w:b/>
          <w:szCs w:val="24"/>
        </w:rPr>
        <w:t>Diagram III.3</w:t>
      </w:r>
      <w:r w:rsidR="00EA4494">
        <w:rPr>
          <w:rFonts w:ascii="CG Omega" w:hAnsi="CG Omega"/>
          <w:szCs w:val="24"/>
        </w:rPr>
        <w:t xml:space="preserve"> on the following page</w:t>
      </w:r>
      <w:r w:rsidR="00D020E7">
        <w:rPr>
          <w:rFonts w:ascii="CG Omega" w:hAnsi="CG Omega"/>
          <w:szCs w:val="24"/>
        </w:rPr>
        <w:t xml:space="preserve">. However, </w:t>
      </w:r>
      <w:r w:rsidR="00CD69C6" w:rsidRPr="00CD69C6">
        <w:rPr>
          <w:rFonts w:ascii="CG Omega" w:hAnsi="CG Omega"/>
          <w:szCs w:val="24"/>
        </w:rPr>
        <w:t>a much more dramatic spike in unemployment</w:t>
      </w:r>
      <w:r w:rsidR="00D020E7">
        <w:rPr>
          <w:rFonts w:ascii="CG Omega" w:hAnsi="CG Omega"/>
          <w:szCs w:val="24"/>
        </w:rPr>
        <w:t xml:space="preserve"> came after 2007, when the unemployment rate jumped from 3.5 percent</w:t>
      </w:r>
      <w:r w:rsidR="00CD69C6" w:rsidRPr="00CD69C6">
        <w:rPr>
          <w:rFonts w:ascii="CG Omega" w:hAnsi="CG Omega"/>
          <w:szCs w:val="24"/>
        </w:rPr>
        <w:t xml:space="preserve"> to nearly </w:t>
      </w:r>
      <w:r w:rsidR="0033425C">
        <w:rPr>
          <w:rFonts w:ascii="CG Omega" w:hAnsi="CG Omega"/>
          <w:szCs w:val="24"/>
        </w:rPr>
        <w:t>eight</w:t>
      </w:r>
      <w:r w:rsidR="00CD69C6" w:rsidRPr="00CD69C6">
        <w:rPr>
          <w:rFonts w:ascii="CG Omega" w:hAnsi="CG Omega"/>
          <w:szCs w:val="24"/>
        </w:rPr>
        <w:t xml:space="preserve"> percent within three years. Since 2010, the unemployment rate in the state has been falling steadily.</w:t>
      </w:r>
      <w:bookmarkStart w:id="44" w:name="_MON_1341397580"/>
      <w:bookmarkStart w:id="45" w:name="_MON_1341904087"/>
      <w:bookmarkStart w:id="46" w:name="_MON_1341396541"/>
      <w:bookmarkEnd w:id="44"/>
      <w:bookmarkEnd w:id="45"/>
      <w:bookmarkEnd w:id="46"/>
    </w:p>
    <w:p w:rsidR="00EA4494" w:rsidRPr="004608D1" w:rsidRDefault="00EA4494" w:rsidP="004608D1">
      <w:pPr>
        <w:pStyle w:val="BodyText"/>
        <w:tabs>
          <w:tab w:val="num" w:pos="360"/>
        </w:tabs>
        <w:rPr>
          <w:rFonts w:ascii="CG Omega" w:hAnsi="CG Omega"/>
          <w:szCs w:val="24"/>
        </w:rPr>
      </w:pPr>
    </w:p>
    <w:p w:rsidR="00CB35D7" w:rsidRPr="00CB35D7" w:rsidRDefault="00CB35D7" w:rsidP="00CB35D7">
      <w:pPr>
        <w:keepNext/>
        <w:jc w:val="center"/>
        <w:rPr>
          <w:rFonts w:ascii="Arial" w:eastAsia="Calibri" w:hAnsi="Arial"/>
          <w:b/>
          <w:bCs/>
          <w:color w:val="000000"/>
          <w:sz w:val="22"/>
          <w:szCs w:val="18"/>
        </w:rPr>
      </w:pPr>
      <w:r w:rsidRPr="00CB35D7">
        <w:rPr>
          <w:rFonts w:ascii="Arial" w:eastAsia="Calibri" w:hAnsi="Arial"/>
          <w:b/>
          <w:bCs/>
          <w:color w:val="000000"/>
          <w:sz w:val="22"/>
          <w:szCs w:val="18"/>
        </w:rPr>
        <w:t xml:space="preserve">Diagram </w:t>
      </w:r>
      <w:r w:rsidR="00D93560">
        <w:rPr>
          <w:rFonts w:ascii="Arial" w:eastAsia="Calibri" w:hAnsi="Arial"/>
          <w:b/>
          <w:bCs/>
          <w:noProof/>
          <w:color w:val="000000"/>
          <w:sz w:val="22"/>
          <w:szCs w:val="18"/>
        </w:rPr>
        <w:t>III</w:t>
      </w:r>
      <w:r w:rsidRPr="00CB35D7">
        <w:rPr>
          <w:rFonts w:ascii="Arial" w:eastAsia="Calibri" w:hAnsi="Arial"/>
          <w:b/>
          <w:bCs/>
          <w:color w:val="000000"/>
          <w:sz w:val="22"/>
          <w:szCs w:val="18"/>
        </w:rPr>
        <w:t>.</w:t>
      </w:r>
      <w:r w:rsidR="00D93560">
        <w:rPr>
          <w:rFonts w:ascii="Arial" w:eastAsia="Calibri" w:hAnsi="Arial"/>
          <w:b/>
          <w:bCs/>
          <w:noProof/>
          <w:color w:val="000000"/>
          <w:sz w:val="22"/>
          <w:szCs w:val="18"/>
        </w:rPr>
        <w:t>3</w:t>
      </w:r>
    </w:p>
    <w:p w:rsidR="00CB35D7" w:rsidRPr="00CB35D7" w:rsidRDefault="00CB35D7" w:rsidP="00CB35D7">
      <w:pPr>
        <w:keepNext/>
        <w:keepLines/>
        <w:suppressAutoHyphens/>
        <w:jc w:val="center"/>
        <w:rPr>
          <w:rFonts w:ascii="Arial" w:eastAsia="Calibri" w:hAnsi="Arial"/>
          <w:b/>
          <w:sz w:val="20"/>
          <w:szCs w:val="23"/>
        </w:rPr>
      </w:pPr>
      <w:r w:rsidRPr="00CB35D7">
        <w:rPr>
          <w:rFonts w:ascii="Arial" w:eastAsia="Calibri" w:hAnsi="Arial"/>
          <w:b/>
          <w:sz w:val="20"/>
          <w:szCs w:val="23"/>
        </w:rPr>
        <w:t>Unemployment Rate</w:t>
      </w:r>
    </w:p>
    <w:p w:rsidR="00CB35D7" w:rsidRPr="00CB35D7" w:rsidRDefault="00CB35D7" w:rsidP="00CB35D7">
      <w:pPr>
        <w:suppressAutoHyphens/>
        <w:jc w:val="center"/>
        <w:rPr>
          <w:rFonts w:ascii="Arial" w:eastAsia="Calibri" w:hAnsi="Arial"/>
          <w:sz w:val="16"/>
          <w:szCs w:val="23"/>
        </w:rPr>
      </w:pPr>
      <w:r w:rsidRPr="00CB35D7">
        <w:rPr>
          <w:rFonts w:ascii="Arial" w:eastAsia="Calibri" w:hAnsi="Arial"/>
          <w:noProof/>
          <w:sz w:val="16"/>
          <w:szCs w:val="23"/>
        </w:rPr>
        <w:t>State of New Mexico</w:t>
      </w:r>
    </w:p>
    <w:p w:rsidR="002F35FB" w:rsidRPr="003555A3" w:rsidRDefault="00CB35D7" w:rsidP="003555A3">
      <w:pPr>
        <w:suppressAutoHyphens/>
        <w:jc w:val="center"/>
        <w:rPr>
          <w:rFonts w:ascii="Arial" w:eastAsia="Calibri" w:hAnsi="Arial"/>
          <w:sz w:val="16"/>
          <w:szCs w:val="23"/>
        </w:rPr>
      </w:pPr>
      <w:r w:rsidRPr="00CB35D7">
        <w:rPr>
          <w:rFonts w:ascii="Arial" w:eastAsia="Calibri" w:hAnsi="Arial"/>
          <w:sz w:val="16"/>
          <w:szCs w:val="23"/>
        </w:rPr>
        <w:t>1990–2012 BLS Data</w:t>
      </w:r>
    </w:p>
    <w:p w:rsidR="003555A3" w:rsidRPr="00662BAC" w:rsidRDefault="00CB35D7" w:rsidP="00662BAC">
      <w:pPr>
        <w:jc w:val="center"/>
        <w:rPr>
          <w:highlight w:val="yellow"/>
        </w:rPr>
      </w:pPr>
      <w:bookmarkStart w:id="47" w:name="_MON_1341397601"/>
      <w:bookmarkStart w:id="48" w:name="_MON_1341397606"/>
      <w:bookmarkStart w:id="49" w:name="_MON_1344166180"/>
      <w:bookmarkStart w:id="50" w:name="_MON_1341396919"/>
      <w:bookmarkEnd w:id="47"/>
      <w:bookmarkEnd w:id="48"/>
      <w:bookmarkEnd w:id="49"/>
      <w:bookmarkEnd w:id="50"/>
      <w:r>
        <w:rPr>
          <w:noProof/>
        </w:rPr>
        <w:drawing>
          <wp:inline distT="0" distB="0" distL="0" distR="0" wp14:anchorId="6BF9E426" wp14:editId="6CB289D3">
            <wp:extent cx="5486400" cy="2743200"/>
            <wp:effectExtent l="0" t="0" r="0" b="0"/>
            <wp:docPr id="90" name="Chart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A7082B" w:rsidRPr="00772F6D" w:rsidRDefault="00A7082B" w:rsidP="00A7082B">
      <w:pPr>
        <w:pStyle w:val="PlainText"/>
        <w:jc w:val="both"/>
        <w:rPr>
          <w:rFonts w:ascii="CG Omega" w:hAnsi="CG Omega"/>
          <w:b/>
          <w:bCs/>
          <w:smallCaps/>
          <w:sz w:val="24"/>
          <w:szCs w:val="24"/>
        </w:rPr>
      </w:pPr>
      <w:r w:rsidRPr="00772F6D">
        <w:rPr>
          <w:rFonts w:ascii="CG Omega" w:hAnsi="CG Omega"/>
          <w:b/>
          <w:bCs/>
          <w:smallCaps/>
          <w:sz w:val="24"/>
          <w:szCs w:val="24"/>
        </w:rPr>
        <w:t>Full and Part-Time Employment</w:t>
      </w:r>
    </w:p>
    <w:p w:rsidR="00A7082B" w:rsidRPr="0033425C" w:rsidRDefault="00A7082B" w:rsidP="008207B5"/>
    <w:p w:rsidR="00EE5DD4" w:rsidRPr="00772F6D" w:rsidRDefault="008207B5" w:rsidP="008207B5">
      <w:pPr>
        <w:jc w:val="both"/>
        <w:rPr>
          <w:rFonts w:ascii="CG Omega" w:hAnsi="CG Omega"/>
        </w:rPr>
      </w:pPr>
      <w:r w:rsidRPr="00772F6D">
        <w:rPr>
          <w:rFonts w:ascii="CG Omega" w:hAnsi="CG Omega"/>
        </w:rPr>
        <w:t>The B</w:t>
      </w:r>
      <w:r w:rsidR="00A7082B" w:rsidRPr="00772F6D">
        <w:rPr>
          <w:rFonts w:ascii="CG Omega" w:hAnsi="CG Omega"/>
        </w:rPr>
        <w:t>ureau of Economic Analysis (BEA)</w:t>
      </w:r>
      <w:r w:rsidRPr="00772F6D">
        <w:rPr>
          <w:rFonts w:ascii="CG Omega" w:hAnsi="CG Omega"/>
        </w:rPr>
        <w:t xml:space="preserve"> </w:t>
      </w:r>
      <w:r w:rsidR="0083362E" w:rsidRPr="00772F6D">
        <w:rPr>
          <w:rFonts w:ascii="CG Omega" w:hAnsi="CG Omega"/>
        </w:rPr>
        <w:t>provides an alternate index of employment; a</w:t>
      </w:r>
      <w:r w:rsidR="00772F6D" w:rsidRPr="00772F6D">
        <w:rPr>
          <w:rFonts w:ascii="CG Omega" w:hAnsi="CG Omega"/>
        </w:rPr>
        <w:t xml:space="preserve"> count of</w:t>
      </w:r>
      <w:r w:rsidR="0083362E" w:rsidRPr="00772F6D">
        <w:rPr>
          <w:rFonts w:ascii="CG Omega" w:hAnsi="CG Omega"/>
        </w:rPr>
        <w:t xml:space="preserve"> full-time and part-time jobs in the state</w:t>
      </w:r>
      <w:r w:rsidR="00772F6D" w:rsidRPr="00772F6D">
        <w:rPr>
          <w:rFonts w:ascii="CG Omega" w:hAnsi="CG Omega"/>
        </w:rPr>
        <w:t>. These data differ from the BLS data discussed previously in that they are collected where workers are employed rather than at the household level, and the same person may be counted twice in this dataset if he or she works more than one job.</w:t>
      </w:r>
    </w:p>
    <w:p w:rsidR="00EE5DD4" w:rsidRPr="0033425C" w:rsidRDefault="00EE5DD4" w:rsidP="008207B5">
      <w:pPr>
        <w:jc w:val="both"/>
        <w:rPr>
          <w:rFonts w:ascii="CG Omega" w:hAnsi="CG Omega"/>
          <w:highlight w:val="yellow"/>
        </w:rPr>
      </w:pPr>
    </w:p>
    <w:p w:rsidR="00743FC9" w:rsidRDefault="00D020E7" w:rsidP="003068B4">
      <w:pPr>
        <w:jc w:val="both"/>
        <w:rPr>
          <w:rFonts w:ascii="Arial" w:eastAsia="Calibri" w:hAnsi="Arial"/>
          <w:b/>
          <w:bCs/>
          <w:color w:val="000000"/>
          <w:sz w:val="22"/>
          <w:szCs w:val="18"/>
        </w:rPr>
      </w:pPr>
      <w:r>
        <w:rPr>
          <w:rFonts w:ascii="CG Omega" w:hAnsi="CG Omega"/>
        </w:rPr>
        <w:t>T</w:t>
      </w:r>
      <w:r w:rsidR="00772F6D" w:rsidRPr="003068B4">
        <w:rPr>
          <w:rFonts w:ascii="CG Omega" w:hAnsi="CG Omega"/>
        </w:rPr>
        <w:t>he count of jobs in the state and the count of labor force participants both yiel</w:t>
      </w:r>
      <w:r>
        <w:rPr>
          <w:rFonts w:ascii="CG Omega" w:hAnsi="CG Omega"/>
        </w:rPr>
        <w:t>d a similar portrait; of steady</w:t>
      </w:r>
      <w:r w:rsidR="0076747D" w:rsidRPr="003068B4">
        <w:rPr>
          <w:rFonts w:ascii="CG Omega" w:hAnsi="CG Omega"/>
        </w:rPr>
        <w:t xml:space="preserve"> </w:t>
      </w:r>
      <w:r w:rsidR="00772F6D" w:rsidRPr="003068B4">
        <w:rPr>
          <w:rFonts w:ascii="CG Omega" w:hAnsi="CG Omega"/>
        </w:rPr>
        <w:t>growth in the labor market</w:t>
      </w:r>
      <w:r w:rsidR="0076747D" w:rsidRPr="003068B4">
        <w:rPr>
          <w:rFonts w:ascii="CG Omega" w:hAnsi="CG Omega"/>
        </w:rPr>
        <w:t xml:space="preserve"> until 2008. In fact, the BEA </w:t>
      </w:r>
      <w:r w:rsidR="003068B4" w:rsidRPr="003068B4">
        <w:rPr>
          <w:rFonts w:ascii="CG Omega" w:hAnsi="CG Omega"/>
        </w:rPr>
        <w:t xml:space="preserve">data </w:t>
      </w:r>
      <w:r w:rsidR="0076747D" w:rsidRPr="003068B4">
        <w:rPr>
          <w:rFonts w:ascii="CG Omega" w:hAnsi="CG Omega"/>
        </w:rPr>
        <w:t>indicate that this growth has been steady since 1969, and that growth in the number of jobs was uniformly p</w:t>
      </w:r>
      <w:r w:rsidR="00EA4494">
        <w:rPr>
          <w:rFonts w:ascii="CG Omega" w:hAnsi="CG Omega"/>
        </w:rPr>
        <w:t xml:space="preserve">ositive for nearly four decades, as shown in </w:t>
      </w:r>
      <w:r w:rsidR="00EA4494" w:rsidRPr="0033425C">
        <w:rPr>
          <w:rFonts w:ascii="CG Omega" w:hAnsi="CG Omega"/>
          <w:b/>
        </w:rPr>
        <w:t>Diagram III.4</w:t>
      </w:r>
      <w:r w:rsidR="00EA4494">
        <w:rPr>
          <w:rFonts w:ascii="CG Omega" w:hAnsi="CG Omega"/>
        </w:rPr>
        <w:t xml:space="preserve"> on the following page.</w:t>
      </w:r>
      <w:r w:rsidR="0076747D" w:rsidRPr="003068B4">
        <w:rPr>
          <w:rFonts w:ascii="CG Omega" w:hAnsi="CG Omega"/>
        </w:rPr>
        <w:t xml:space="preserve"> In 1969, there were around 395,000 jobs in the state.</w:t>
      </w:r>
      <w:r w:rsidR="006B25F4" w:rsidRPr="003068B4">
        <w:rPr>
          <w:rFonts w:ascii="CG Omega" w:hAnsi="CG Omega"/>
        </w:rPr>
        <w:t xml:space="preserve"> By 2008, that number had grown to around 1,107,000. However</w:t>
      </w:r>
      <w:r>
        <w:rPr>
          <w:rFonts w:ascii="CG Omega" w:hAnsi="CG Omega"/>
        </w:rPr>
        <w:t>, with the onset of the</w:t>
      </w:r>
      <w:r w:rsidR="006B25F4" w:rsidRPr="003068B4">
        <w:rPr>
          <w:rFonts w:ascii="CG Omega" w:hAnsi="CG Omega"/>
        </w:rPr>
        <w:t xml:space="preserve"> recession of the late 2000s the number of jobs in the state began to fall, and by 2010 the state had lost almost 48,000 jobs. Since 2010, the number of jobs in the state has slowly begun to recover.</w:t>
      </w:r>
      <w:r w:rsidR="003068B4" w:rsidRPr="003068B4">
        <w:rPr>
          <w:rFonts w:ascii="CG Omega" w:hAnsi="CG Omega"/>
        </w:rPr>
        <w:t xml:space="preserve"> Between 2010 and 2011, about 4,000 jobs were added to the state economy. The following year, more than 11,200 were added. Though growth in total employment has yet to match pre-recession levels, these recent data 2011 and 2012 are encouraging.</w:t>
      </w:r>
    </w:p>
    <w:p w:rsidR="003068B4" w:rsidRDefault="003068B4" w:rsidP="003068B4">
      <w:pPr>
        <w:jc w:val="both"/>
        <w:rPr>
          <w:rFonts w:ascii="CG Omega" w:hAnsi="CG Omega"/>
          <w:sz w:val="16"/>
          <w:szCs w:val="16"/>
        </w:rPr>
      </w:pPr>
    </w:p>
    <w:p w:rsidR="004608D1" w:rsidRDefault="004608D1" w:rsidP="003068B4">
      <w:pPr>
        <w:jc w:val="both"/>
        <w:rPr>
          <w:rFonts w:ascii="CG Omega" w:hAnsi="CG Omega"/>
          <w:sz w:val="16"/>
          <w:szCs w:val="16"/>
        </w:rPr>
      </w:pPr>
    </w:p>
    <w:p w:rsidR="004608D1" w:rsidRDefault="004608D1" w:rsidP="003068B4">
      <w:pPr>
        <w:jc w:val="both"/>
        <w:rPr>
          <w:rFonts w:ascii="CG Omega" w:hAnsi="CG Omega"/>
          <w:sz w:val="16"/>
          <w:szCs w:val="16"/>
        </w:rPr>
      </w:pPr>
    </w:p>
    <w:p w:rsidR="004608D1" w:rsidRPr="004608D1" w:rsidRDefault="004608D1" w:rsidP="003068B4">
      <w:pPr>
        <w:jc w:val="both"/>
        <w:rPr>
          <w:rFonts w:ascii="CG Omega" w:hAnsi="CG Omega"/>
          <w:sz w:val="16"/>
          <w:szCs w:val="16"/>
        </w:rPr>
      </w:pPr>
    </w:p>
    <w:p w:rsidR="00694281" w:rsidRPr="00694281" w:rsidRDefault="00694281" w:rsidP="00694281">
      <w:pPr>
        <w:keepNext/>
        <w:jc w:val="center"/>
        <w:rPr>
          <w:rFonts w:ascii="Arial" w:eastAsia="Calibri" w:hAnsi="Arial"/>
          <w:b/>
          <w:bCs/>
          <w:color w:val="000000"/>
          <w:sz w:val="22"/>
          <w:szCs w:val="18"/>
        </w:rPr>
      </w:pPr>
      <w:r w:rsidRPr="00694281">
        <w:rPr>
          <w:rFonts w:ascii="Arial" w:eastAsia="Calibri" w:hAnsi="Arial"/>
          <w:b/>
          <w:bCs/>
          <w:color w:val="000000"/>
          <w:sz w:val="22"/>
          <w:szCs w:val="18"/>
        </w:rPr>
        <w:t xml:space="preserve">Diagram </w:t>
      </w:r>
      <w:r w:rsidR="00D93560">
        <w:rPr>
          <w:rFonts w:ascii="Arial" w:eastAsia="Calibri" w:hAnsi="Arial"/>
          <w:b/>
          <w:bCs/>
          <w:noProof/>
          <w:color w:val="000000"/>
          <w:sz w:val="22"/>
          <w:szCs w:val="18"/>
        </w:rPr>
        <w:t>III</w:t>
      </w:r>
      <w:r w:rsidRPr="00694281">
        <w:rPr>
          <w:rFonts w:ascii="Arial" w:eastAsia="Calibri" w:hAnsi="Arial"/>
          <w:b/>
          <w:bCs/>
          <w:color w:val="000000"/>
          <w:sz w:val="22"/>
          <w:szCs w:val="18"/>
        </w:rPr>
        <w:t>.</w:t>
      </w:r>
      <w:r w:rsidR="00D93560">
        <w:rPr>
          <w:rFonts w:ascii="Arial" w:eastAsia="Calibri" w:hAnsi="Arial"/>
          <w:b/>
          <w:bCs/>
          <w:noProof/>
          <w:color w:val="000000"/>
          <w:sz w:val="22"/>
          <w:szCs w:val="18"/>
        </w:rPr>
        <w:t>4</w:t>
      </w:r>
    </w:p>
    <w:p w:rsidR="00694281" w:rsidRPr="00694281" w:rsidRDefault="00694281" w:rsidP="00694281">
      <w:pPr>
        <w:keepNext/>
        <w:keepLines/>
        <w:suppressAutoHyphens/>
        <w:jc w:val="center"/>
        <w:rPr>
          <w:rFonts w:ascii="Arial" w:eastAsia="Calibri" w:hAnsi="Arial"/>
          <w:b/>
          <w:sz w:val="20"/>
          <w:szCs w:val="23"/>
        </w:rPr>
      </w:pPr>
      <w:r w:rsidRPr="00694281">
        <w:rPr>
          <w:rFonts w:ascii="Arial" w:eastAsia="Calibri" w:hAnsi="Arial"/>
          <w:b/>
          <w:sz w:val="20"/>
          <w:szCs w:val="23"/>
        </w:rPr>
        <w:t>Full- and Part-Time Employment</w:t>
      </w:r>
    </w:p>
    <w:p w:rsidR="00694281" w:rsidRPr="00694281" w:rsidRDefault="00694281" w:rsidP="00694281">
      <w:pPr>
        <w:suppressAutoHyphens/>
        <w:jc w:val="center"/>
        <w:rPr>
          <w:rFonts w:ascii="Arial" w:eastAsia="Calibri" w:hAnsi="Arial"/>
          <w:sz w:val="16"/>
          <w:szCs w:val="23"/>
        </w:rPr>
      </w:pPr>
      <w:r w:rsidRPr="00694281">
        <w:rPr>
          <w:rFonts w:ascii="Arial" w:eastAsia="Calibri" w:hAnsi="Arial"/>
          <w:noProof/>
          <w:sz w:val="16"/>
          <w:szCs w:val="23"/>
        </w:rPr>
        <w:t>State of New Mexico</w:t>
      </w:r>
    </w:p>
    <w:p w:rsidR="00404074" w:rsidRDefault="00694281" w:rsidP="008168AF">
      <w:pPr>
        <w:suppressAutoHyphens/>
        <w:jc w:val="center"/>
        <w:rPr>
          <w:rFonts w:ascii="Arial" w:eastAsia="Calibri" w:hAnsi="Arial"/>
          <w:sz w:val="16"/>
          <w:szCs w:val="23"/>
        </w:rPr>
      </w:pPr>
      <w:r w:rsidRPr="00694281">
        <w:rPr>
          <w:rFonts w:ascii="Arial" w:eastAsia="Calibri" w:hAnsi="Arial"/>
          <w:sz w:val="16"/>
          <w:szCs w:val="23"/>
        </w:rPr>
        <w:t>1969–2012 BEA Data</w:t>
      </w:r>
      <w:bookmarkStart w:id="51" w:name="_MON_1341399318"/>
      <w:bookmarkEnd w:id="51"/>
    </w:p>
    <w:p w:rsidR="0063526E" w:rsidRPr="0063526E" w:rsidRDefault="00CB35D7" w:rsidP="006141CD">
      <w:pPr>
        <w:suppressAutoHyphens/>
        <w:jc w:val="center"/>
        <w:rPr>
          <w:rFonts w:ascii="Arial" w:eastAsia="Calibri" w:hAnsi="Arial"/>
          <w:sz w:val="16"/>
          <w:szCs w:val="23"/>
        </w:rPr>
      </w:pPr>
      <w:r>
        <w:rPr>
          <w:noProof/>
        </w:rPr>
        <w:drawing>
          <wp:inline distT="0" distB="0" distL="0" distR="0" wp14:anchorId="185E65CE" wp14:editId="787456F1">
            <wp:extent cx="5619750" cy="2743200"/>
            <wp:effectExtent l="0" t="0" r="0" b="0"/>
            <wp:docPr id="91" name="Chart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8207B5" w:rsidRPr="004259BE" w:rsidRDefault="008207B5" w:rsidP="008207B5">
      <w:pPr>
        <w:pStyle w:val="BodyText"/>
        <w:tabs>
          <w:tab w:val="num" w:pos="360"/>
        </w:tabs>
        <w:rPr>
          <w:rFonts w:ascii="CG Omega" w:hAnsi="CG Omega"/>
          <w:b/>
          <w:bCs/>
          <w:smallCaps/>
          <w:szCs w:val="24"/>
        </w:rPr>
      </w:pPr>
      <w:r w:rsidRPr="004259BE">
        <w:rPr>
          <w:rFonts w:ascii="CG Omega" w:hAnsi="CG Omega"/>
          <w:b/>
          <w:bCs/>
          <w:smallCaps/>
          <w:szCs w:val="24"/>
        </w:rPr>
        <w:t xml:space="preserve">Earnings and </w:t>
      </w:r>
      <w:r w:rsidR="00323ADE" w:rsidRPr="004259BE">
        <w:rPr>
          <w:rFonts w:ascii="CG Omega" w:hAnsi="CG Omega"/>
          <w:b/>
          <w:bCs/>
          <w:smallCaps/>
          <w:szCs w:val="24"/>
        </w:rPr>
        <w:t xml:space="preserve">Personal </w:t>
      </w:r>
      <w:r w:rsidRPr="004259BE">
        <w:rPr>
          <w:rFonts w:ascii="CG Omega" w:hAnsi="CG Omega"/>
          <w:b/>
          <w:bCs/>
          <w:smallCaps/>
          <w:szCs w:val="24"/>
        </w:rPr>
        <w:t>Income</w:t>
      </w:r>
    </w:p>
    <w:p w:rsidR="008207B5" w:rsidRPr="0033425C" w:rsidRDefault="008207B5" w:rsidP="008207B5">
      <w:pPr>
        <w:pStyle w:val="BodyText"/>
        <w:tabs>
          <w:tab w:val="num" w:pos="360"/>
        </w:tabs>
        <w:rPr>
          <w:rFonts w:ascii="CG Omega" w:hAnsi="CG Omega"/>
          <w:szCs w:val="24"/>
        </w:rPr>
      </w:pPr>
    </w:p>
    <w:p w:rsidR="00BC2604" w:rsidRDefault="00BC2604" w:rsidP="00BC2604">
      <w:pPr>
        <w:jc w:val="both"/>
        <w:rPr>
          <w:rFonts w:ascii="CG Omega" w:hAnsi="CG Omega"/>
        </w:rPr>
      </w:pPr>
      <w:r w:rsidRPr="0033425C">
        <w:rPr>
          <w:rFonts w:ascii="CG Omega" w:hAnsi="CG Omega"/>
        </w:rPr>
        <w:t>Real</w:t>
      </w:r>
      <w:r w:rsidRPr="00BC2604">
        <w:rPr>
          <w:rFonts w:ascii="CG Omega" w:hAnsi="CG Omega"/>
        </w:rPr>
        <w:t xml:space="preserve"> average earnings per job is defined as the total earnings from all jobs statewide divided by the total number of jobs in the state, adjusted for inflation</w:t>
      </w:r>
      <w:r w:rsidR="00EA4494">
        <w:rPr>
          <w:rFonts w:ascii="CG Omega" w:hAnsi="CG Omega"/>
        </w:rPr>
        <w:t xml:space="preserve">, as shown in </w:t>
      </w:r>
      <w:r w:rsidR="00EA4494" w:rsidRPr="0033425C">
        <w:rPr>
          <w:rFonts w:ascii="CG Omega" w:hAnsi="CG Omega"/>
          <w:b/>
        </w:rPr>
        <w:t>Diagram III.5</w:t>
      </w:r>
      <w:r w:rsidR="00EA4494">
        <w:rPr>
          <w:rFonts w:ascii="CG Omega" w:hAnsi="CG Omega"/>
        </w:rPr>
        <w:t xml:space="preserve"> below</w:t>
      </w:r>
      <w:r w:rsidRPr="00BC2604">
        <w:rPr>
          <w:rFonts w:ascii="CG Omega" w:hAnsi="CG Omega"/>
        </w:rPr>
        <w:t>.</w:t>
      </w:r>
      <w:r>
        <w:t xml:space="preserve"> </w:t>
      </w:r>
      <w:r>
        <w:rPr>
          <w:rFonts w:ascii="CG Omega" w:hAnsi="CG Omega"/>
        </w:rPr>
        <w:t xml:space="preserve">Growth in these earnings, which had been uniformly positive since 1969, leveled off in 2002. Subsequently, the amount the average </w:t>
      </w:r>
      <w:r w:rsidR="003555A3">
        <w:rPr>
          <w:rFonts w:ascii="CG Omega" w:hAnsi="CG Omega"/>
        </w:rPr>
        <w:t>earnings per</w:t>
      </w:r>
      <w:r>
        <w:rPr>
          <w:rFonts w:ascii="CG Omega" w:hAnsi="CG Omega"/>
        </w:rPr>
        <w:t xml:space="preserve"> job</w:t>
      </w:r>
      <w:r w:rsidR="004259BE">
        <w:rPr>
          <w:rFonts w:ascii="CG Omega" w:hAnsi="CG Omega"/>
        </w:rPr>
        <w:t xml:space="preserve"> hovered around $45,000 per year </w:t>
      </w:r>
      <w:r w:rsidR="00D047B9">
        <w:rPr>
          <w:rFonts w:ascii="CG Omega" w:hAnsi="CG Omega"/>
        </w:rPr>
        <w:t xml:space="preserve">through 2009. The following two years saw some modest gains, </w:t>
      </w:r>
      <w:r w:rsidR="00A73F51">
        <w:rPr>
          <w:rFonts w:ascii="CG Omega" w:hAnsi="CG Omega"/>
        </w:rPr>
        <w:t>but showed signs of slowing in 2012</w:t>
      </w:r>
      <w:r w:rsidR="00D047B9">
        <w:rPr>
          <w:rFonts w:ascii="CG Omega" w:hAnsi="CG Omega"/>
        </w:rPr>
        <w:t>.</w:t>
      </w:r>
      <w:r w:rsidR="00F517AF">
        <w:rPr>
          <w:rFonts w:ascii="CG Omega" w:hAnsi="CG Omega"/>
        </w:rPr>
        <w:t xml:space="preserve"> Throughout the entire period from 1969 to 2012, wages </w:t>
      </w:r>
      <w:r w:rsidR="003512FA">
        <w:rPr>
          <w:rFonts w:ascii="CG Omega" w:hAnsi="CG Omega"/>
        </w:rPr>
        <w:t xml:space="preserve">in the State of New Mexico were </w:t>
      </w:r>
      <w:r w:rsidR="003555A3">
        <w:rPr>
          <w:rFonts w:ascii="CG Omega" w:hAnsi="CG Omega"/>
        </w:rPr>
        <w:t>much lower</w:t>
      </w:r>
      <w:r w:rsidR="003512FA">
        <w:rPr>
          <w:rFonts w:ascii="CG Omega" w:hAnsi="CG Omega"/>
        </w:rPr>
        <w:t xml:space="preserve"> than wages in the nation as a whole.</w:t>
      </w:r>
    </w:p>
    <w:p w:rsidR="003555A3" w:rsidRPr="0033425C" w:rsidRDefault="003555A3" w:rsidP="00BC2604">
      <w:pPr>
        <w:jc w:val="both"/>
        <w:rPr>
          <w:rFonts w:ascii="CG Omega" w:hAnsi="CG Omega"/>
        </w:rPr>
      </w:pPr>
    </w:p>
    <w:p w:rsidR="00CB35D7" w:rsidRPr="00CB35D7" w:rsidRDefault="00D93560" w:rsidP="00CB35D7">
      <w:pPr>
        <w:keepNext/>
        <w:jc w:val="center"/>
        <w:rPr>
          <w:rFonts w:ascii="Arial" w:eastAsia="Calibri" w:hAnsi="Arial"/>
          <w:b/>
          <w:bCs/>
          <w:color w:val="000000"/>
          <w:sz w:val="22"/>
          <w:szCs w:val="18"/>
        </w:rPr>
      </w:pPr>
      <w:r>
        <w:rPr>
          <w:rFonts w:ascii="Arial" w:eastAsia="Calibri" w:hAnsi="Arial"/>
          <w:b/>
          <w:bCs/>
          <w:color w:val="000000"/>
          <w:sz w:val="22"/>
          <w:szCs w:val="18"/>
        </w:rPr>
        <w:t>Diagram III</w:t>
      </w:r>
      <w:r w:rsidR="00CB35D7" w:rsidRPr="00CB35D7">
        <w:rPr>
          <w:rFonts w:ascii="Arial" w:eastAsia="Calibri" w:hAnsi="Arial"/>
          <w:b/>
          <w:bCs/>
          <w:color w:val="000000"/>
          <w:sz w:val="22"/>
          <w:szCs w:val="18"/>
        </w:rPr>
        <w:t>.</w:t>
      </w:r>
      <w:r>
        <w:rPr>
          <w:rFonts w:ascii="Arial" w:eastAsia="Calibri" w:hAnsi="Arial"/>
          <w:b/>
          <w:bCs/>
          <w:noProof/>
          <w:color w:val="000000"/>
          <w:sz w:val="22"/>
          <w:szCs w:val="18"/>
        </w:rPr>
        <w:t>5</w:t>
      </w:r>
    </w:p>
    <w:p w:rsidR="00CB35D7" w:rsidRPr="00CB35D7" w:rsidRDefault="00CB35D7" w:rsidP="00CB35D7">
      <w:pPr>
        <w:keepNext/>
        <w:keepLines/>
        <w:suppressAutoHyphens/>
        <w:jc w:val="center"/>
        <w:rPr>
          <w:rFonts w:ascii="Arial" w:eastAsia="Calibri" w:hAnsi="Arial"/>
          <w:b/>
          <w:sz w:val="20"/>
          <w:szCs w:val="23"/>
        </w:rPr>
      </w:pPr>
      <w:r w:rsidRPr="00CB35D7">
        <w:rPr>
          <w:rFonts w:ascii="Arial" w:eastAsia="Calibri" w:hAnsi="Arial"/>
          <w:b/>
          <w:sz w:val="20"/>
          <w:szCs w:val="23"/>
        </w:rPr>
        <w:t>Real Average Earnings Per Job</w:t>
      </w:r>
    </w:p>
    <w:p w:rsidR="00CB35D7" w:rsidRPr="00CB35D7" w:rsidRDefault="00CB35D7" w:rsidP="00CB35D7">
      <w:pPr>
        <w:suppressAutoHyphens/>
        <w:jc w:val="center"/>
        <w:rPr>
          <w:rFonts w:ascii="Arial" w:eastAsia="Calibri" w:hAnsi="Arial"/>
          <w:sz w:val="16"/>
          <w:szCs w:val="23"/>
        </w:rPr>
      </w:pPr>
      <w:r w:rsidRPr="00CB35D7">
        <w:rPr>
          <w:rFonts w:ascii="Arial" w:eastAsia="Calibri" w:hAnsi="Arial"/>
          <w:noProof/>
          <w:sz w:val="16"/>
          <w:szCs w:val="23"/>
        </w:rPr>
        <w:t>State of New Mexico</w:t>
      </w:r>
    </w:p>
    <w:p w:rsidR="008207B5" w:rsidRPr="00743FC9" w:rsidRDefault="00CB35D7" w:rsidP="00743FC9">
      <w:pPr>
        <w:suppressAutoHyphens/>
        <w:jc w:val="center"/>
        <w:rPr>
          <w:rFonts w:ascii="Arial" w:eastAsia="Calibri" w:hAnsi="Arial"/>
          <w:sz w:val="16"/>
          <w:szCs w:val="23"/>
        </w:rPr>
      </w:pPr>
      <w:r w:rsidRPr="00CB35D7">
        <w:rPr>
          <w:rFonts w:ascii="Arial" w:eastAsia="Calibri" w:hAnsi="Arial"/>
          <w:sz w:val="16"/>
          <w:szCs w:val="23"/>
        </w:rPr>
        <w:t>1969–2012 BEA Data, 2012 Dollars</w:t>
      </w:r>
    </w:p>
    <w:p w:rsidR="009D133A" w:rsidRPr="006141CD" w:rsidRDefault="00CB35D7" w:rsidP="006141CD">
      <w:pPr>
        <w:jc w:val="center"/>
        <w:rPr>
          <w:rFonts w:ascii="CG Omega" w:hAnsi="CG Omega"/>
          <w:highlight w:val="yellow"/>
        </w:rPr>
      </w:pPr>
      <w:bookmarkStart w:id="52" w:name="_MON_1341398072"/>
      <w:bookmarkStart w:id="53" w:name="_MON_1341398036"/>
      <w:bookmarkEnd w:id="52"/>
      <w:bookmarkEnd w:id="53"/>
      <w:r>
        <w:rPr>
          <w:noProof/>
        </w:rPr>
        <w:drawing>
          <wp:inline distT="0" distB="0" distL="0" distR="0" wp14:anchorId="223843DA" wp14:editId="638FD60A">
            <wp:extent cx="5061397" cy="2163651"/>
            <wp:effectExtent l="0" t="0" r="0" b="0"/>
            <wp:docPr id="92" name="Chart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743FC9" w:rsidRDefault="00D047B9" w:rsidP="003068B4">
      <w:pPr>
        <w:jc w:val="both"/>
        <w:rPr>
          <w:rFonts w:ascii="Arial" w:eastAsia="Calibri" w:hAnsi="Arial"/>
          <w:b/>
          <w:bCs/>
          <w:color w:val="000000"/>
          <w:sz w:val="22"/>
          <w:szCs w:val="18"/>
        </w:rPr>
      </w:pPr>
      <w:r w:rsidRPr="003E0287">
        <w:rPr>
          <w:rFonts w:ascii="CG Omega" w:hAnsi="CG Omega"/>
        </w:rPr>
        <w:t>Growth in real per capita</w:t>
      </w:r>
      <w:r w:rsidR="003068B4" w:rsidRPr="003E0287">
        <w:rPr>
          <w:rFonts w:ascii="CG Omega" w:hAnsi="CG Omega"/>
        </w:rPr>
        <w:t xml:space="preserve"> income</w:t>
      </w:r>
      <w:r w:rsidR="00A24CC7">
        <w:rPr>
          <w:rFonts w:ascii="CG Omega" w:hAnsi="CG Omega"/>
        </w:rPr>
        <w:t xml:space="preserve"> (PCI)</w:t>
      </w:r>
      <w:r w:rsidR="003068B4" w:rsidRPr="003E0287">
        <w:rPr>
          <w:rFonts w:ascii="CG Omega" w:hAnsi="CG Omega"/>
        </w:rPr>
        <w:t>, which</w:t>
      </w:r>
      <w:r w:rsidR="00BC2604">
        <w:rPr>
          <w:rFonts w:ascii="CG Omega" w:hAnsi="CG Omega"/>
        </w:rPr>
        <w:t xml:space="preserve"> is defined as</w:t>
      </w:r>
      <w:r w:rsidR="003068B4" w:rsidRPr="003E0287">
        <w:rPr>
          <w:rFonts w:ascii="CG Omega" w:hAnsi="CG Omega"/>
        </w:rPr>
        <w:t xml:space="preserve"> the total personal income </w:t>
      </w:r>
      <w:r w:rsidR="003E0287" w:rsidRPr="003E0287">
        <w:rPr>
          <w:rFonts w:ascii="CG Omega" w:hAnsi="CG Omega"/>
        </w:rPr>
        <w:t>from all sources</w:t>
      </w:r>
      <w:r w:rsidR="003068B4" w:rsidRPr="003E0287">
        <w:rPr>
          <w:rFonts w:ascii="CG Omega" w:hAnsi="CG Omega"/>
        </w:rPr>
        <w:t xml:space="preserve"> d</w:t>
      </w:r>
      <w:r w:rsidR="003E0287" w:rsidRPr="003E0287">
        <w:rPr>
          <w:rFonts w:ascii="CG Omega" w:hAnsi="CG Omega"/>
        </w:rPr>
        <w:t xml:space="preserve">ivided by the number of residents in the state, </w:t>
      </w:r>
      <w:r w:rsidR="003E0287">
        <w:rPr>
          <w:rFonts w:ascii="CG Omega" w:hAnsi="CG Omega"/>
        </w:rPr>
        <w:t>was smoother than growth in wages during the period from 1969 to 2012</w:t>
      </w:r>
      <w:r w:rsidR="00EA4494">
        <w:rPr>
          <w:rFonts w:ascii="CG Omega" w:hAnsi="CG Omega"/>
        </w:rPr>
        <w:t xml:space="preserve">, as shown in </w:t>
      </w:r>
      <w:r w:rsidR="00EA4494" w:rsidRPr="0033425C">
        <w:rPr>
          <w:rFonts w:ascii="CG Omega" w:hAnsi="CG Omega"/>
          <w:b/>
        </w:rPr>
        <w:t>Diagram III.6</w:t>
      </w:r>
      <w:r w:rsidR="00EA4494">
        <w:rPr>
          <w:rFonts w:ascii="CG Omega" w:hAnsi="CG Omega"/>
        </w:rPr>
        <w:t xml:space="preserve"> below</w:t>
      </w:r>
      <w:r w:rsidR="003E0287">
        <w:rPr>
          <w:rFonts w:ascii="CG Omega" w:hAnsi="CG Omega"/>
        </w:rPr>
        <w:t>.</w:t>
      </w:r>
      <w:r w:rsidR="00BC2604">
        <w:rPr>
          <w:rFonts w:ascii="CG Omega" w:hAnsi="CG Omega"/>
        </w:rPr>
        <w:t xml:space="preserve"> </w:t>
      </w:r>
      <w:r w:rsidR="00A24CC7">
        <w:rPr>
          <w:rFonts w:ascii="CG Omega" w:hAnsi="CG Omega"/>
        </w:rPr>
        <w:t xml:space="preserve">The most rapid growth in PCI came in 2001 when the average income increased by $2,486 over the previous year. </w:t>
      </w:r>
      <w:r w:rsidR="00BC2604">
        <w:rPr>
          <w:rFonts w:ascii="CG Omega" w:hAnsi="CG Omega"/>
        </w:rPr>
        <w:t xml:space="preserve">Real </w:t>
      </w:r>
      <w:r w:rsidR="003512FA">
        <w:rPr>
          <w:rFonts w:ascii="CG Omega" w:hAnsi="CG Omega"/>
        </w:rPr>
        <w:t>PCI fell in the state of New Mexico after 2008. However, the fall in PCI was not as dramatic or prolonged as the reduction in average earnings per job. After declining by $1,263 between 2008 and 2009, real PCI began to recover the following year. As had been the case with real average earnings per job, real PCI in New Mexico was consisten</w:t>
      </w:r>
      <w:r w:rsidR="00BC2604">
        <w:rPr>
          <w:rFonts w:ascii="CG Omega" w:hAnsi="CG Omega"/>
        </w:rPr>
        <w:t xml:space="preserve">tly lower than national figures; </w:t>
      </w:r>
      <w:r w:rsidR="003512FA">
        <w:rPr>
          <w:rFonts w:ascii="CG Omega" w:hAnsi="CG Omega"/>
        </w:rPr>
        <w:t xml:space="preserve">about 20 percent lower, on average, </w:t>
      </w:r>
      <w:r w:rsidR="001078C1">
        <w:rPr>
          <w:rFonts w:ascii="CG Omega" w:hAnsi="CG Omega"/>
        </w:rPr>
        <w:t>for the period from 1969 to 2012.</w:t>
      </w:r>
    </w:p>
    <w:p w:rsidR="004608D1" w:rsidRPr="0033425C" w:rsidRDefault="004608D1" w:rsidP="003068B4">
      <w:pPr>
        <w:jc w:val="both"/>
        <w:rPr>
          <w:rFonts w:ascii="CG Omega" w:hAnsi="CG Omega"/>
          <w:highlight w:val="yellow"/>
        </w:rPr>
      </w:pPr>
    </w:p>
    <w:p w:rsidR="00CB35D7" w:rsidRPr="00CB35D7" w:rsidRDefault="00CB35D7" w:rsidP="00CB35D7">
      <w:pPr>
        <w:keepNext/>
        <w:jc w:val="center"/>
        <w:rPr>
          <w:rFonts w:ascii="Arial" w:eastAsia="Calibri" w:hAnsi="Arial"/>
          <w:b/>
          <w:bCs/>
          <w:color w:val="000000"/>
          <w:sz w:val="22"/>
          <w:szCs w:val="18"/>
        </w:rPr>
      </w:pPr>
      <w:r w:rsidRPr="00CB35D7">
        <w:rPr>
          <w:rFonts w:ascii="Arial" w:eastAsia="Calibri" w:hAnsi="Arial"/>
          <w:b/>
          <w:bCs/>
          <w:color w:val="000000"/>
          <w:sz w:val="22"/>
          <w:szCs w:val="18"/>
        </w:rPr>
        <w:t xml:space="preserve">Diagram </w:t>
      </w:r>
      <w:r w:rsidR="00D93560">
        <w:rPr>
          <w:rFonts w:ascii="Arial" w:eastAsia="Calibri" w:hAnsi="Arial"/>
          <w:b/>
          <w:bCs/>
          <w:noProof/>
          <w:color w:val="000000"/>
          <w:sz w:val="22"/>
          <w:szCs w:val="18"/>
        </w:rPr>
        <w:t>III</w:t>
      </w:r>
      <w:r w:rsidRPr="00CB35D7">
        <w:rPr>
          <w:rFonts w:ascii="Arial" w:eastAsia="Calibri" w:hAnsi="Arial"/>
          <w:b/>
          <w:bCs/>
          <w:color w:val="000000"/>
          <w:sz w:val="22"/>
          <w:szCs w:val="18"/>
        </w:rPr>
        <w:t>.</w:t>
      </w:r>
      <w:r w:rsidR="00D93560">
        <w:rPr>
          <w:rFonts w:ascii="Arial" w:eastAsia="Calibri" w:hAnsi="Arial"/>
          <w:b/>
          <w:bCs/>
          <w:noProof/>
          <w:color w:val="000000"/>
          <w:sz w:val="22"/>
          <w:szCs w:val="18"/>
        </w:rPr>
        <w:t>6</w:t>
      </w:r>
    </w:p>
    <w:p w:rsidR="00CB35D7" w:rsidRPr="00CB35D7" w:rsidRDefault="00CB35D7" w:rsidP="00CB35D7">
      <w:pPr>
        <w:keepNext/>
        <w:keepLines/>
        <w:suppressAutoHyphens/>
        <w:jc w:val="center"/>
        <w:rPr>
          <w:rFonts w:ascii="Arial" w:eastAsia="Calibri" w:hAnsi="Arial"/>
          <w:b/>
          <w:sz w:val="20"/>
          <w:szCs w:val="23"/>
        </w:rPr>
      </w:pPr>
      <w:r w:rsidRPr="00CB35D7">
        <w:rPr>
          <w:rFonts w:ascii="Arial" w:eastAsia="Calibri" w:hAnsi="Arial"/>
          <w:b/>
          <w:sz w:val="20"/>
          <w:szCs w:val="23"/>
        </w:rPr>
        <w:t>Real Per Capita Income</w:t>
      </w:r>
    </w:p>
    <w:p w:rsidR="00CB35D7" w:rsidRPr="00CB35D7" w:rsidRDefault="00CB35D7" w:rsidP="00CB35D7">
      <w:pPr>
        <w:suppressAutoHyphens/>
        <w:jc w:val="center"/>
        <w:rPr>
          <w:rFonts w:ascii="Arial" w:eastAsia="Calibri" w:hAnsi="Arial"/>
          <w:sz w:val="16"/>
          <w:szCs w:val="23"/>
        </w:rPr>
      </w:pPr>
      <w:r w:rsidRPr="00CB35D7">
        <w:rPr>
          <w:rFonts w:ascii="Arial" w:eastAsia="Calibri" w:hAnsi="Arial"/>
          <w:noProof/>
          <w:sz w:val="16"/>
          <w:szCs w:val="23"/>
        </w:rPr>
        <w:t>State of New Mexico</w:t>
      </w:r>
    </w:p>
    <w:p w:rsidR="00CB35D7" w:rsidRPr="00CB35D7" w:rsidRDefault="00CB35D7" w:rsidP="00CB35D7">
      <w:pPr>
        <w:suppressAutoHyphens/>
        <w:jc w:val="center"/>
        <w:rPr>
          <w:rFonts w:ascii="Arial" w:eastAsia="Calibri" w:hAnsi="Arial"/>
          <w:sz w:val="16"/>
          <w:szCs w:val="23"/>
        </w:rPr>
      </w:pPr>
      <w:r w:rsidRPr="00CB35D7">
        <w:rPr>
          <w:rFonts w:ascii="Arial" w:eastAsia="Calibri" w:hAnsi="Arial"/>
          <w:sz w:val="16"/>
          <w:szCs w:val="23"/>
        </w:rPr>
        <w:t>1969–2012 BEA Data, 2012 Dollars</w:t>
      </w:r>
    </w:p>
    <w:p w:rsidR="005A48F8" w:rsidRDefault="00CB35D7" w:rsidP="00743FC9">
      <w:pPr>
        <w:pStyle w:val="BodyText"/>
        <w:tabs>
          <w:tab w:val="num" w:pos="360"/>
        </w:tabs>
        <w:jc w:val="center"/>
        <w:rPr>
          <w:szCs w:val="24"/>
          <w:highlight w:val="yellow"/>
        </w:rPr>
      </w:pPr>
      <w:bookmarkStart w:id="54" w:name="_MON_1341398543"/>
      <w:bookmarkEnd w:id="54"/>
      <w:r>
        <w:rPr>
          <w:noProof/>
        </w:rPr>
        <w:drawing>
          <wp:inline distT="0" distB="0" distL="0" distR="0" wp14:anchorId="2013214A" wp14:editId="18F0DDB1">
            <wp:extent cx="5486400" cy="2743200"/>
            <wp:effectExtent l="0" t="0" r="0" b="0"/>
            <wp:docPr id="94" name="Chart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33425C" w:rsidRPr="0033425C" w:rsidRDefault="0033425C" w:rsidP="00743FC9">
      <w:pPr>
        <w:pStyle w:val="BodyText"/>
        <w:tabs>
          <w:tab w:val="num" w:pos="360"/>
        </w:tabs>
        <w:jc w:val="center"/>
        <w:rPr>
          <w:szCs w:val="24"/>
          <w:highlight w:val="yellow"/>
        </w:rPr>
      </w:pPr>
    </w:p>
    <w:p w:rsidR="00C95EE8" w:rsidRPr="0033425C" w:rsidRDefault="00C95EE8" w:rsidP="008207B5">
      <w:pPr>
        <w:pStyle w:val="BodyText"/>
        <w:tabs>
          <w:tab w:val="num" w:pos="360"/>
        </w:tabs>
        <w:rPr>
          <w:rFonts w:ascii="CG Omega" w:hAnsi="CG Omega"/>
          <w:szCs w:val="24"/>
        </w:rPr>
      </w:pPr>
      <w:r w:rsidRPr="0033425C">
        <w:rPr>
          <w:rFonts w:ascii="CG Omega" w:hAnsi="CG Omega"/>
          <w:b/>
          <w:bCs/>
          <w:smallCaps/>
          <w:szCs w:val="24"/>
        </w:rPr>
        <w:t>Distribution of Income</w:t>
      </w:r>
    </w:p>
    <w:p w:rsidR="00AF4B00" w:rsidRPr="0033425C" w:rsidRDefault="00AF4B00" w:rsidP="008207B5">
      <w:pPr>
        <w:jc w:val="both"/>
        <w:rPr>
          <w:rFonts w:ascii="CG Omega" w:hAnsi="CG Omega"/>
          <w:highlight w:val="yellow"/>
        </w:rPr>
      </w:pPr>
    </w:p>
    <w:p w:rsidR="008207B5" w:rsidRDefault="00BC2604" w:rsidP="008207B5">
      <w:pPr>
        <w:jc w:val="both"/>
        <w:rPr>
          <w:rFonts w:ascii="CG Omega" w:hAnsi="CG Omega"/>
        </w:rPr>
      </w:pPr>
      <w:r>
        <w:rPr>
          <w:rFonts w:ascii="CG Omega" w:hAnsi="CG Omega"/>
        </w:rPr>
        <w:t>T</w:t>
      </w:r>
      <w:r w:rsidR="002F01F8" w:rsidRPr="002F01F8">
        <w:rPr>
          <w:rFonts w:ascii="CG Omega" w:hAnsi="CG Omega"/>
        </w:rPr>
        <w:t>he number of households making over $50,00</w:t>
      </w:r>
      <w:r>
        <w:rPr>
          <w:rFonts w:ascii="CG Omega" w:hAnsi="CG Omega"/>
        </w:rPr>
        <w:t>0 per year grew faster than the number of households</w:t>
      </w:r>
      <w:r w:rsidR="002F01F8" w:rsidRPr="002F01F8">
        <w:rPr>
          <w:rFonts w:ascii="CG Omega" w:hAnsi="CG Omega"/>
        </w:rPr>
        <w:t xml:space="preserve"> making less than $50,000 per year</w:t>
      </w:r>
      <w:r>
        <w:rPr>
          <w:rFonts w:ascii="CG Omega" w:hAnsi="CG Omega"/>
        </w:rPr>
        <w:t xml:space="preserve"> between 2000 and 2010</w:t>
      </w:r>
      <w:r w:rsidR="00EA4494">
        <w:rPr>
          <w:rFonts w:ascii="CG Omega" w:hAnsi="CG Omega"/>
        </w:rPr>
        <w:t>, as shown in Table III.12 on the following page</w:t>
      </w:r>
      <w:r w:rsidR="002F01F8" w:rsidRPr="002F01F8">
        <w:rPr>
          <w:rFonts w:ascii="CG Omega" w:hAnsi="CG Omega"/>
        </w:rPr>
        <w:t>. The percentage of h</w:t>
      </w:r>
      <w:r w:rsidR="000F191E">
        <w:rPr>
          <w:rFonts w:ascii="CG Omega" w:hAnsi="CG Omega"/>
        </w:rPr>
        <w:t>ouseholds earning</w:t>
      </w:r>
      <w:r w:rsidR="002F01F8" w:rsidRPr="002F01F8">
        <w:rPr>
          <w:rFonts w:ascii="CG Omega" w:hAnsi="CG Omega"/>
        </w:rPr>
        <w:t xml:space="preserve"> $50,000 to $74,999 per year increased by one percentage</w:t>
      </w:r>
      <w:r w:rsidR="000F191E">
        <w:rPr>
          <w:rFonts w:ascii="CG Omega" w:hAnsi="CG Omega"/>
        </w:rPr>
        <w:t xml:space="preserve"> point during that time. T</w:t>
      </w:r>
      <w:r w:rsidR="002F01F8" w:rsidRPr="002F01F8">
        <w:rPr>
          <w:rFonts w:ascii="CG Omega" w:hAnsi="CG Omega"/>
        </w:rPr>
        <w:t>he number of households earning $75,000 to $99,999 grew by over three percentage points. However, the most dramatic growth was observed among households maki</w:t>
      </w:r>
      <w:r>
        <w:rPr>
          <w:rFonts w:ascii="CG Omega" w:hAnsi="CG Omega"/>
        </w:rPr>
        <w:t>ng more than $100,000 per year. By 2012,</w:t>
      </w:r>
      <w:r w:rsidR="002F01F8" w:rsidRPr="002F01F8">
        <w:rPr>
          <w:rFonts w:ascii="CG Omega" w:hAnsi="CG Omega"/>
        </w:rPr>
        <w:t xml:space="preserve"> 16.9 percent of all</w:t>
      </w:r>
      <w:r w:rsidR="009F2C37">
        <w:rPr>
          <w:rFonts w:ascii="CG Omega" w:hAnsi="CG Omega"/>
        </w:rPr>
        <w:t xml:space="preserve"> state</w:t>
      </w:r>
      <w:r w:rsidR="002F01F8" w:rsidRPr="002F01F8">
        <w:rPr>
          <w:rFonts w:ascii="CG Omega" w:hAnsi="CG Omega"/>
        </w:rPr>
        <w:t xml:space="preserve"> households earned more than $100,000 per year.  </w:t>
      </w:r>
    </w:p>
    <w:p w:rsidR="00A73F51" w:rsidRDefault="00A73F51" w:rsidP="008207B5">
      <w:pPr>
        <w:jc w:val="both"/>
        <w:rPr>
          <w:rFonts w:ascii="CG Omega" w:hAnsi="CG Omega"/>
        </w:rPr>
      </w:pPr>
    </w:p>
    <w:p w:rsidR="00A73F51" w:rsidRDefault="00A73F51" w:rsidP="008207B5">
      <w:pPr>
        <w:jc w:val="both"/>
        <w:rPr>
          <w:rFonts w:ascii="CG Omega" w:hAnsi="CG Omega"/>
        </w:rPr>
      </w:pPr>
    </w:p>
    <w:p w:rsidR="00A73F51" w:rsidRPr="002F01F8" w:rsidRDefault="00A73F51" w:rsidP="008207B5">
      <w:pPr>
        <w:jc w:val="both"/>
        <w:rPr>
          <w:rFonts w:ascii="CG Omega" w:hAnsi="CG Omega"/>
        </w:rPr>
      </w:pPr>
    </w:p>
    <w:p w:rsidR="00C95EE8" w:rsidRPr="004608D1" w:rsidRDefault="00C95EE8" w:rsidP="008207B5">
      <w:pPr>
        <w:pStyle w:val="PlainText"/>
        <w:jc w:val="both"/>
        <w:rPr>
          <w:rFonts w:ascii="CG Omega" w:hAnsi="CG Omega"/>
          <w:b/>
          <w:bCs/>
          <w:smallCaps/>
          <w:sz w:val="16"/>
          <w:szCs w:val="16"/>
          <w:highlight w:val="yellow"/>
        </w:rPr>
      </w:pPr>
    </w:p>
    <w:tbl>
      <w:tblPr>
        <w:tblW w:w="6076" w:type="dxa"/>
        <w:jc w:val="center"/>
        <w:tblLook w:val="04A0" w:firstRow="1" w:lastRow="0" w:firstColumn="1" w:lastColumn="0" w:noHBand="0" w:noVBand="1"/>
      </w:tblPr>
      <w:tblGrid>
        <w:gridCol w:w="1672"/>
        <w:gridCol w:w="1132"/>
        <w:gridCol w:w="1070"/>
        <w:gridCol w:w="1132"/>
        <w:gridCol w:w="1070"/>
      </w:tblGrid>
      <w:tr w:rsidR="00AF4B00" w:rsidRPr="00AF4B00" w:rsidTr="00AF4B00">
        <w:trPr>
          <w:trHeight w:val="216"/>
          <w:jc w:val="center"/>
        </w:trPr>
        <w:tc>
          <w:tcPr>
            <w:tcW w:w="6076" w:type="dxa"/>
            <w:gridSpan w:val="5"/>
            <w:tcBorders>
              <w:bottom w:val="single" w:sz="4" w:space="0" w:color="009900"/>
            </w:tcBorders>
            <w:shd w:val="clear" w:color="000000" w:fill="auto"/>
            <w:noWrap/>
            <w:vAlign w:val="center"/>
            <w:hideMark/>
          </w:tcPr>
          <w:p w:rsidR="00AF4B00" w:rsidRPr="00AF4B00" w:rsidRDefault="00AF4B00" w:rsidP="00AF4B00">
            <w:pPr>
              <w:keepNext/>
              <w:jc w:val="center"/>
              <w:rPr>
                <w:rFonts w:ascii="Arial" w:eastAsia="Calibri" w:hAnsi="Arial"/>
                <w:b/>
                <w:bCs/>
                <w:color w:val="000000"/>
                <w:sz w:val="22"/>
                <w:szCs w:val="18"/>
              </w:rPr>
            </w:pPr>
            <w:r w:rsidRPr="00AF4B00">
              <w:rPr>
                <w:rFonts w:ascii="Arial" w:eastAsia="Calibri" w:hAnsi="Arial"/>
                <w:b/>
                <w:bCs/>
                <w:color w:val="000000"/>
                <w:sz w:val="22"/>
                <w:szCs w:val="18"/>
              </w:rPr>
              <w:t>Table I</w:t>
            </w:r>
            <w:r w:rsidR="00EA4494">
              <w:rPr>
                <w:rFonts w:ascii="Arial" w:eastAsia="Calibri" w:hAnsi="Arial"/>
                <w:b/>
                <w:bCs/>
                <w:color w:val="000000"/>
                <w:sz w:val="22"/>
                <w:szCs w:val="18"/>
              </w:rPr>
              <w:t>II.12</w:t>
            </w:r>
          </w:p>
          <w:p w:rsidR="00AF4B00" w:rsidRPr="00AF4B00" w:rsidRDefault="00AF4B00" w:rsidP="00AF4B00">
            <w:pPr>
              <w:keepNext/>
              <w:keepLines/>
              <w:suppressAutoHyphens/>
              <w:jc w:val="center"/>
              <w:rPr>
                <w:rFonts w:ascii="Arial" w:eastAsia="Calibri" w:hAnsi="Arial"/>
                <w:b/>
                <w:sz w:val="20"/>
                <w:szCs w:val="23"/>
              </w:rPr>
            </w:pPr>
            <w:r w:rsidRPr="00AF4B00">
              <w:rPr>
                <w:rFonts w:ascii="Arial" w:eastAsia="Calibri" w:hAnsi="Arial"/>
                <w:b/>
                <w:sz w:val="20"/>
                <w:szCs w:val="23"/>
              </w:rPr>
              <w:t>Households by Income</w:t>
            </w:r>
          </w:p>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State of New Mexico</w:t>
            </w:r>
          </w:p>
          <w:p w:rsidR="00AF4B00" w:rsidRPr="00AF4B00" w:rsidRDefault="00AF4B00" w:rsidP="00AF4B00">
            <w:pPr>
              <w:suppressAutoHyphens/>
              <w:jc w:val="center"/>
              <w:rPr>
                <w:rFonts w:ascii="Arial" w:eastAsia="Calibri" w:hAnsi="Arial"/>
                <w:b/>
                <w:bCs/>
                <w:sz w:val="16"/>
                <w:szCs w:val="23"/>
              </w:rPr>
            </w:pPr>
            <w:r w:rsidRPr="00AF4B00">
              <w:rPr>
                <w:rFonts w:ascii="Arial" w:eastAsia="Calibri" w:hAnsi="Arial"/>
                <w:sz w:val="16"/>
                <w:szCs w:val="23"/>
              </w:rPr>
              <w:t>2000 Census SF3 &amp; 2012 Five-Year ACS Data</w:t>
            </w:r>
          </w:p>
        </w:tc>
      </w:tr>
      <w:tr w:rsidR="00AF4B00" w:rsidRPr="00AF4B00" w:rsidTr="00AF4B00">
        <w:trPr>
          <w:trHeight w:val="216"/>
          <w:jc w:val="center"/>
        </w:trPr>
        <w:tc>
          <w:tcPr>
            <w:tcW w:w="1672" w:type="dxa"/>
            <w:vMerge w:val="restart"/>
            <w:tcBorders>
              <w:top w:val="single" w:sz="4" w:space="0" w:color="009900"/>
              <w:left w:val="single" w:sz="4" w:space="0" w:color="009900"/>
              <w:bottom w:val="single" w:sz="4" w:space="0" w:color="009900"/>
              <w:right w:val="nil"/>
            </w:tcBorders>
            <w:shd w:val="clear" w:color="000000" w:fill="FFFFE1"/>
            <w:noWrap/>
            <w:vAlign w:val="center"/>
            <w:hideMark/>
          </w:tcPr>
          <w:p w:rsidR="00AF4B00" w:rsidRPr="00AF4B00" w:rsidRDefault="00AF4B00" w:rsidP="00AF4B00">
            <w:pPr>
              <w:suppressAutoHyphens/>
              <w:rPr>
                <w:rFonts w:ascii="Arial" w:eastAsia="Calibri" w:hAnsi="Arial"/>
                <w:b/>
                <w:sz w:val="16"/>
                <w:szCs w:val="23"/>
              </w:rPr>
            </w:pPr>
            <w:r w:rsidRPr="00AF4B00">
              <w:rPr>
                <w:rFonts w:ascii="Arial" w:eastAsia="Calibri" w:hAnsi="Arial"/>
                <w:b/>
                <w:sz w:val="16"/>
                <w:szCs w:val="23"/>
              </w:rPr>
              <w:t>Income</w:t>
            </w:r>
          </w:p>
        </w:tc>
        <w:tc>
          <w:tcPr>
            <w:tcW w:w="2202" w:type="dxa"/>
            <w:gridSpan w:val="2"/>
            <w:tcBorders>
              <w:top w:val="single" w:sz="4" w:space="0" w:color="009900"/>
              <w:left w:val="nil"/>
              <w:bottom w:val="dotted" w:sz="4" w:space="0" w:color="0099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b/>
                <w:sz w:val="16"/>
                <w:szCs w:val="23"/>
              </w:rPr>
            </w:pPr>
            <w:r w:rsidRPr="00AF4B00">
              <w:rPr>
                <w:rFonts w:ascii="Arial" w:eastAsia="Calibri" w:hAnsi="Arial"/>
                <w:b/>
                <w:sz w:val="16"/>
                <w:szCs w:val="23"/>
              </w:rPr>
              <w:t>2000 Census</w:t>
            </w:r>
          </w:p>
        </w:tc>
        <w:tc>
          <w:tcPr>
            <w:tcW w:w="2202" w:type="dxa"/>
            <w:gridSpan w:val="2"/>
            <w:tcBorders>
              <w:top w:val="single" w:sz="4" w:space="0" w:color="009900"/>
              <w:left w:val="nil"/>
              <w:bottom w:val="dotted" w:sz="4" w:space="0" w:color="009900"/>
              <w:right w:val="single" w:sz="4" w:space="0" w:color="009900"/>
            </w:tcBorders>
            <w:shd w:val="clear" w:color="000000" w:fill="FFFFE1"/>
            <w:noWrap/>
            <w:vAlign w:val="center"/>
            <w:hideMark/>
          </w:tcPr>
          <w:p w:rsidR="00AF4B00" w:rsidRPr="00AF4B00" w:rsidRDefault="00AF4B00" w:rsidP="00AF4B00">
            <w:pPr>
              <w:suppressAutoHyphens/>
              <w:jc w:val="center"/>
              <w:rPr>
                <w:rFonts w:ascii="Arial" w:eastAsia="Calibri" w:hAnsi="Arial"/>
                <w:b/>
                <w:sz w:val="16"/>
                <w:szCs w:val="23"/>
              </w:rPr>
            </w:pPr>
            <w:r w:rsidRPr="00AF4B00">
              <w:rPr>
                <w:rFonts w:ascii="Arial" w:eastAsia="Calibri" w:hAnsi="Arial"/>
                <w:b/>
                <w:sz w:val="16"/>
                <w:szCs w:val="23"/>
              </w:rPr>
              <w:t>2012 Five-Year ACS</w:t>
            </w:r>
          </w:p>
        </w:tc>
      </w:tr>
      <w:tr w:rsidR="00AF4B00" w:rsidRPr="00AF4B00" w:rsidTr="00AF4B00">
        <w:trPr>
          <w:trHeight w:val="216"/>
          <w:jc w:val="center"/>
        </w:trPr>
        <w:tc>
          <w:tcPr>
            <w:tcW w:w="1672" w:type="dxa"/>
            <w:vMerge/>
            <w:tcBorders>
              <w:top w:val="single" w:sz="4" w:space="0" w:color="009900"/>
              <w:left w:val="single" w:sz="4" w:space="0" w:color="009900"/>
              <w:bottom w:val="single" w:sz="4" w:space="0" w:color="009900"/>
              <w:right w:val="nil"/>
            </w:tcBorders>
            <w:vAlign w:val="center"/>
            <w:hideMark/>
          </w:tcPr>
          <w:p w:rsidR="00AF4B00" w:rsidRPr="00AF4B00" w:rsidRDefault="00AF4B00" w:rsidP="00AF4B00">
            <w:pPr>
              <w:suppressAutoHyphens/>
              <w:rPr>
                <w:rFonts w:ascii="Arial" w:eastAsia="Calibri" w:hAnsi="Arial"/>
                <w:b/>
                <w:sz w:val="16"/>
                <w:szCs w:val="23"/>
              </w:rPr>
            </w:pPr>
          </w:p>
        </w:tc>
        <w:tc>
          <w:tcPr>
            <w:tcW w:w="1132" w:type="dxa"/>
            <w:tcBorders>
              <w:top w:val="nil"/>
              <w:left w:val="nil"/>
              <w:bottom w:val="single" w:sz="4" w:space="0" w:color="0099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b/>
                <w:sz w:val="16"/>
                <w:szCs w:val="23"/>
              </w:rPr>
            </w:pPr>
            <w:r w:rsidRPr="00AF4B00">
              <w:rPr>
                <w:rFonts w:ascii="Arial" w:eastAsia="Calibri" w:hAnsi="Arial"/>
                <w:b/>
                <w:sz w:val="16"/>
                <w:szCs w:val="23"/>
              </w:rPr>
              <w:t>Households</w:t>
            </w:r>
          </w:p>
        </w:tc>
        <w:tc>
          <w:tcPr>
            <w:tcW w:w="1070" w:type="dxa"/>
            <w:tcBorders>
              <w:top w:val="nil"/>
              <w:left w:val="nil"/>
              <w:bottom w:val="single" w:sz="4" w:space="0" w:color="0099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b/>
                <w:sz w:val="16"/>
                <w:szCs w:val="23"/>
              </w:rPr>
            </w:pPr>
            <w:r w:rsidRPr="00AF4B00">
              <w:rPr>
                <w:rFonts w:ascii="Arial" w:eastAsia="Calibri" w:hAnsi="Arial"/>
                <w:b/>
                <w:sz w:val="16"/>
                <w:szCs w:val="23"/>
              </w:rPr>
              <w:t>% of Total</w:t>
            </w:r>
          </w:p>
        </w:tc>
        <w:tc>
          <w:tcPr>
            <w:tcW w:w="1132" w:type="dxa"/>
            <w:tcBorders>
              <w:top w:val="nil"/>
              <w:left w:val="nil"/>
              <w:bottom w:val="single" w:sz="4" w:space="0" w:color="0099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b/>
                <w:sz w:val="16"/>
                <w:szCs w:val="23"/>
              </w:rPr>
            </w:pPr>
            <w:r w:rsidRPr="00AF4B00">
              <w:rPr>
                <w:rFonts w:ascii="Arial" w:eastAsia="Calibri" w:hAnsi="Arial"/>
                <w:b/>
                <w:sz w:val="16"/>
                <w:szCs w:val="23"/>
              </w:rPr>
              <w:t>Households</w:t>
            </w:r>
          </w:p>
        </w:tc>
        <w:tc>
          <w:tcPr>
            <w:tcW w:w="1070" w:type="dxa"/>
            <w:tcBorders>
              <w:top w:val="nil"/>
              <w:left w:val="nil"/>
              <w:bottom w:val="single" w:sz="4" w:space="0" w:color="009900"/>
              <w:right w:val="single" w:sz="4" w:space="0" w:color="009900"/>
            </w:tcBorders>
            <w:shd w:val="clear" w:color="000000" w:fill="FFFFE1"/>
            <w:noWrap/>
            <w:vAlign w:val="center"/>
            <w:hideMark/>
          </w:tcPr>
          <w:p w:rsidR="00AF4B00" w:rsidRPr="00AF4B00" w:rsidRDefault="00AF4B00" w:rsidP="00AF4B00">
            <w:pPr>
              <w:suppressAutoHyphens/>
              <w:jc w:val="center"/>
              <w:rPr>
                <w:rFonts w:ascii="Arial" w:eastAsia="Calibri" w:hAnsi="Arial"/>
                <w:b/>
                <w:sz w:val="16"/>
                <w:szCs w:val="23"/>
              </w:rPr>
            </w:pPr>
            <w:r w:rsidRPr="00AF4B00">
              <w:rPr>
                <w:rFonts w:ascii="Arial" w:eastAsia="Calibri" w:hAnsi="Arial"/>
                <w:b/>
                <w:sz w:val="16"/>
                <w:szCs w:val="23"/>
              </w:rPr>
              <w:t>% of Total</w:t>
            </w:r>
          </w:p>
        </w:tc>
      </w:tr>
      <w:tr w:rsidR="00AF4B00" w:rsidRPr="00AF4B00" w:rsidTr="00AF4B00">
        <w:trPr>
          <w:trHeight w:val="216"/>
          <w:jc w:val="center"/>
        </w:trPr>
        <w:tc>
          <w:tcPr>
            <w:tcW w:w="1672" w:type="dxa"/>
            <w:tcBorders>
              <w:top w:val="nil"/>
              <w:left w:val="single" w:sz="4" w:space="0" w:color="009900"/>
              <w:bottom w:val="nil"/>
              <w:right w:val="nil"/>
            </w:tcBorders>
            <w:shd w:val="clear" w:color="000000" w:fill="FFFFE1"/>
            <w:noWrap/>
            <w:vAlign w:val="center"/>
            <w:hideMark/>
          </w:tcPr>
          <w:p w:rsidR="00AF4B00" w:rsidRPr="00AF4B00" w:rsidRDefault="00AF4B00" w:rsidP="00AF4B00">
            <w:pPr>
              <w:suppressAutoHyphens/>
              <w:rPr>
                <w:rFonts w:ascii="Arial" w:eastAsia="Calibri" w:hAnsi="Arial"/>
                <w:sz w:val="16"/>
                <w:szCs w:val="23"/>
              </w:rPr>
            </w:pPr>
            <w:r w:rsidRPr="00AF4B00">
              <w:rPr>
                <w:rFonts w:ascii="Arial" w:eastAsia="Calibri" w:hAnsi="Arial"/>
                <w:sz w:val="16"/>
                <w:szCs w:val="23"/>
              </w:rPr>
              <w:t>Less than $15,000</w:t>
            </w:r>
          </w:p>
        </w:tc>
        <w:tc>
          <w:tcPr>
            <w:tcW w:w="1132"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noProof/>
                <w:sz w:val="16"/>
                <w:szCs w:val="23"/>
              </w:rPr>
              <w:t>141,300</w:t>
            </w:r>
          </w:p>
        </w:tc>
        <w:tc>
          <w:tcPr>
            <w:tcW w:w="1070"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noProof/>
                <w:sz w:val="16"/>
                <w:szCs w:val="23"/>
              </w:rPr>
              <w:t>20.8</w:t>
            </w:r>
            <w:r w:rsidRPr="00AF4B00">
              <w:rPr>
                <w:rFonts w:ascii="Arial" w:eastAsia="Calibri" w:hAnsi="Arial" w:cs="Arial"/>
                <w:sz w:val="16"/>
                <w:szCs w:val="16"/>
              </w:rPr>
              <w:t>%</w:t>
            </w:r>
          </w:p>
        </w:tc>
        <w:tc>
          <w:tcPr>
            <w:tcW w:w="1132"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cs="Arial"/>
                <w:noProof/>
                <w:sz w:val="16"/>
                <w:szCs w:val="16"/>
              </w:rPr>
              <w:t>119,338</w:t>
            </w:r>
          </w:p>
        </w:tc>
        <w:tc>
          <w:tcPr>
            <w:tcW w:w="1070" w:type="dxa"/>
            <w:tcBorders>
              <w:top w:val="nil"/>
              <w:left w:val="nil"/>
              <w:bottom w:val="nil"/>
              <w:right w:val="single" w:sz="4" w:space="0" w:color="009900"/>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cs="Arial"/>
                <w:noProof/>
                <w:sz w:val="16"/>
                <w:szCs w:val="16"/>
              </w:rPr>
              <w:t>15.6</w:t>
            </w:r>
            <w:r w:rsidRPr="00AF4B00">
              <w:rPr>
                <w:rFonts w:ascii="Arial" w:eastAsia="Calibri" w:hAnsi="Arial" w:cs="Arial"/>
                <w:sz w:val="16"/>
                <w:szCs w:val="16"/>
              </w:rPr>
              <w:t>%</w:t>
            </w:r>
          </w:p>
        </w:tc>
      </w:tr>
      <w:tr w:rsidR="00AF4B00" w:rsidRPr="00AF4B00" w:rsidTr="00AF4B00">
        <w:trPr>
          <w:trHeight w:val="216"/>
          <w:jc w:val="center"/>
        </w:trPr>
        <w:tc>
          <w:tcPr>
            <w:tcW w:w="1672" w:type="dxa"/>
            <w:tcBorders>
              <w:top w:val="nil"/>
              <w:left w:val="single" w:sz="4" w:space="0" w:color="009900"/>
              <w:bottom w:val="nil"/>
              <w:right w:val="nil"/>
            </w:tcBorders>
            <w:shd w:val="clear" w:color="000000" w:fill="FFFFE1"/>
            <w:noWrap/>
            <w:vAlign w:val="center"/>
            <w:hideMark/>
          </w:tcPr>
          <w:p w:rsidR="00AF4B00" w:rsidRPr="00AF4B00" w:rsidRDefault="00AF4B00" w:rsidP="00AF4B00">
            <w:pPr>
              <w:suppressAutoHyphens/>
              <w:rPr>
                <w:rFonts w:ascii="Arial" w:eastAsia="Calibri" w:hAnsi="Arial"/>
                <w:sz w:val="16"/>
                <w:szCs w:val="23"/>
              </w:rPr>
            </w:pPr>
            <w:r w:rsidRPr="00AF4B00">
              <w:rPr>
                <w:rFonts w:ascii="Arial" w:eastAsia="Calibri" w:hAnsi="Arial"/>
                <w:sz w:val="16"/>
                <w:szCs w:val="23"/>
              </w:rPr>
              <w:t>$15,000 to $19,999</w:t>
            </w:r>
          </w:p>
        </w:tc>
        <w:tc>
          <w:tcPr>
            <w:tcW w:w="1132"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noProof/>
                <w:sz w:val="16"/>
                <w:szCs w:val="23"/>
              </w:rPr>
              <w:t>53,474</w:t>
            </w:r>
          </w:p>
        </w:tc>
        <w:tc>
          <w:tcPr>
            <w:tcW w:w="1070"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noProof/>
                <w:sz w:val="16"/>
                <w:szCs w:val="23"/>
              </w:rPr>
              <w:t>7.9</w:t>
            </w:r>
            <w:r w:rsidRPr="00AF4B00">
              <w:rPr>
                <w:rFonts w:ascii="Arial" w:eastAsia="Calibri" w:hAnsi="Arial" w:cs="Arial"/>
                <w:sz w:val="16"/>
                <w:szCs w:val="16"/>
              </w:rPr>
              <w:t>%</w:t>
            </w:r>
          </w:p>
        </w:tc>
        <w:tc>
          <w:tcPr>
            <w:tcW w:w="1132"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cs="Arial"/>
                <w:noProof/>
                <w:sz w:val="16"/>
                <w:szCs w:val="16"/>
              </w:rPr>
              <w:t>48,486</w:t>
            </w:r>
          </w:p>
        </w:tc>
        <w:tc>
          <w:tcPr>
            <w:tcW w:w="1070" w:type="dxa"/>
            <w:tcBorders>
              <w:top w:val="nil"/>
              <w:left w:val="nil"/>
              <w:bottom w:val="nil"/>
              <w:right w:val="single" w:sz="4" w:space="0" w:color="009900"/>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cs="Arial"/>
                <w:noProof/>
                <w:sz w:val="16"/>
                <w:szCs w:val="16"/>
              </w:rPr>
              <w:t>6.3</w:t>
            </w:r>
            <w:r w:rsidRPr="00AF4B00">
              <w:rPr>
                <w:rFonts w:ascii="Arial" w:eastAsia="Calibri" w:hAnsi="Arial" w:cs="Arial"/>
                <w:sz w:val="16"/>
                <w:szCs w:val="16"/>
              </w:rPr>
              <w:t>%</w:t>
            </w:r>
          </w:p>
        </w:tc>
      </w:tr>
      <w:tr w:rsidR="00AF4B00" w:rsidRPr="00AF4B00" w:rsidTr="00AF4B00">
        <w:trPr>
          <w:trHeight w:val="216"/>
          <w:jc w:val="center"/>
        </w:trPr>
        <w:tc>
          <w:tcPr>
            <w:tcW w:w="1672" w:type="dxa"/>
            <w:tcBorders>
              <w:top w:val="nil"/>
              <w:left w:val="single" w:sz="4" w:space="0" w:color="009900"/>
              <w:bottom w:val="nil"/>
              <w:right w:val="nil"/>
            </w:tcBorders>
            <w:shd w:val="clear" w:color="000000" w:fill="FFFFE1"/>
            <w:noWrap/>
            <w:vAlign w:val="center"/>
            <w:hideMark/>
          </w:tcPr>
          <w:p w:rsidR="00AF4B00" w:rsidRPr="00AF4B00" w:rsidRDefault="00AF4B00" w:rsidP="00AF4B00">
            <w:pPr>
              <w:suppressAutoHyphens/>
              <w:rPr>
                <w:rFonts w:ascii="Arial" w:eastAsia="Calibri" w:hAnsi="Arial"/>
                <w:sz w:val="16"/>
                <w:szCs w:val="23"/>
              </w:rPr>
            </w:pPr>
            <w:r w:rsidRPr="00AF4B00">
              <w:rPr>
                <w:rFonts w:ascii="Arial" w:eastAsia="Calibri" w:hAnsi="Arial"/>
                <w:sz w:val="16"/>
                <w:szCs w:val="23"/>
              </w:rPr>
              <w:t>$20,000 to $24,999</w:t>
            </w:r>
          </w:p>
        </w:tc>
        <w:tc>
          <w:tcPr>
            <w:tcW w:w="1132"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noProof/>
                <w:sz w:val="16"/>
                <w:szCs w:val="23"/>
              </w:rPr>
              <w:t>53,813</w:t>
            </w:r>
          </w:p>
        </w:tc>
        <w:tc>
          <w:tcPr>
            <w:tcW w:w="1070"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noProof/>
                <w:sz w:val="16"/>
                <w:szCs w:val="23"/>
              </w:rPr>
              <w:t>7.9</w:t>
            </w:r>
            <w:r w:rsidRPr="00AF4B00">
              <w:rPr>
                <w:rFonts w:ascii="Arial" w:eastAsia="Calibri" w:hAnsi="Arial" w:cs="Arial"/>
                <w:sz w:val="16"/>
                <w:szCs w:val="16"/>
              </w:rPr>
              <w:t>%</w:t>
            </w:r>
          </w:p>
        </w:tc>
        <w:tc>
          <w:tcPr>
            <w:tcW w:w="1132"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cs="Arial"/>
                <w:noProof/>
                <w:sz w:val="16"/>
                <w:szCs w:val="16"/>
              </w:rPr>
              <w:t>48,311</w:t>
            </w:r>
          </w:p>
        </w:tc>
        <w:tc>
          <w:tcPr>
            <w:tcW w:w="1070" w:type="dxa"/>
            <w:tcBorders>
              <w:top w:val="nil"/>
              <w:left w:val="nil"/>
              <w:bottom w:val="nil"/>
              <w:right w:val="single" w:sz="4" w:space="0" w:color="009900"/>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cs="Arial"/>
                <w:noProof/>
                <w:sz w:val="16"/>
                <w:szCs w:val="16"/>
              </w:rPr>
              <w:t>6.3</w:t>
            </w:r>
            <w:r w:rsidRPr="00AF4B00">
              <w:rPr>
                <w:rFonts w:ascii="Arial" w:eastAsia="Calibri" w:hAnsi="Arial" w:cs="Arial"/>
                <w:sz w:val="16"/>
                <w:szCs w:val="16"/>
              </w:rPr>
              <w:t>%</w:t>
            </w:r>
          </w:p>
        </w:tc>
      </w:tr>
      <w:tr w:rsidR="00AF4B00" w:rsidRPr="00AF4B00" w:rsidTr="00AF4B00">
        <w:trPr>
          <w:trHeight w:val="216"/>
          <w:jc w:val="center"/>
        </w:trPr>
        <w:tc>
          <w:tcPr>
            <w:tcW w:w="1672" w:type="dxa"/>
            <w:tcBorders>
              <w:top w:val="nil"/>
              <w:left w:val="single" w:sz="4" w:space="0" w:color="009900"/>
              <w:bottom w:val="nil"/>
              <w:right w:val="nil"/>
            </w:tcBorders>
            <w:shd w:val="clear" w:color="000000" w:fill="FFFFE1"/>
            <w:noWrap/>
            <w:vAlign w:val="center"/>
            <w:hideMark/>
          </w:tcPr>
          <w:p w:rsidR="00AF4B00" w:rsidRPr="00AF4B00" w:rsidRDefault="00AF4B00" w:rsidP="00AF4B00">
            <w:pPr>
              <w:suppressAutoHyphens/>
              <w:rPr>
                <w:rFonts w:ascii="Arial" w:eastAsia="Calibri" w:hAnsi="Arial"/>
                <w:sz w:val="16"/>
                <w:szCs w:val="23"/>
              </w:rPr>
            </w:pPr>
            <w:r w:rsidRPr="00AF4B00">
              <w:rPr>
                <w:rFonts w:ascii="Arial" w:eastAsia="Calibri" w:hAnsi="Arial"/>
                <w:sz w:val="16"/>
                <w:szCs w:val="23"/>
              </w:rPr>
              <w:t>$25,000 to $34,999</w:t>
            </w:r>
          </w:p>
        </w:tc>
        <w:tc>
          <w:tcPr>
            <w:tcW w:w="1132"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noProof/>
                <w:sz w:val="16"/>
                <w:szCs w:val="23"/>
              </w:rPr>
              <w:t>97,447</w:t>
            </w:r>
          </w:p>
        </w:tc>
        <w:tc>
          <w:tcPr>
            <w:tcW w:w="1070"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noProof/>
                <w:sz w:val="16"/>
                <w:szCs w:val="23"/>
              </w:rPr>
              <w:t>14.4</w:t>
            </w:r>
            <w:r w:rsidRPr="00AF4B00">
              <w:rPr>
                <w:rFonts w:ascii="Arial" w:eastAsia="Calibri" w:hAnsi="Arial" w:cs="Arial"/>
                <w:sz w:val="16"/>
                <w:szCs w:val="16"/>
              </w:rPr>
              <w:t>%</w:t>
            </w:r>
          </w:p>
        </w:tc>
        <w:tc>
          <w:tcPr>
            <w:tcW w:w="1132"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cs="Arial"/>
                <w:noProof/>
                <w:sz w:val="16"/>
                <w:szCs w:val="16"/>
              </w:rPr>
              <w:t>89,020</w:t>
            </w:r>
          </w:p>
        </w:tc>
        <w:tc>
          <w:tcPr>
            <w:tcW w:w="1070" w:type="dxa"/>
            <w:tcBorders>
              <w:top w:val="nil"/>
              <w:left w:val="nil"/>
              <w:bottom w:val="nil"/>
              <w:right w:val="single" w:sz="4" w:space="0" w:color="009900"/>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cs="Arial"/>
                <w:noProof/>
                <w:sz w:val="16"/>
                <w:szCs w:val="16"/>
              </w:rPr>
              <w:t>11.7</w:t>
            </w:r>
            <w:r w:rsidRPr="00AF4B00">
              <w:rPr>
                <w:rFonts w:ascii="Arial" w:eastAsia="Calibri" w:hAnsi="Arial" w:cs="Arial"/>
                <w:sz w:val="16"/>
                <w:szCs w:val="16"/>
              </w:rPr>
              <w:t>%</w:t>
            </w:r>
          </w:p>
        </w:tc>
      </w:tr>
      <w:tr w:rsidR="00AF4B00" w:rsidRPr="00AF4B00" w:rsidTr="00AF4B00">
        <w:trPr>
          <w:trHeight w:val="216"/>
          <w:jc w:val="center"/>
        </w:trPr>
        <w:tc>
          <w:tcPr>
            <w:tcW w:w="1672" w:type="dxa"/>
            <w:tcBorders>
              <w:top w:val="nil"/>
              <w:left w:val="single" w:sz="4" w:space="0" w:color="009900"/>
              <w:bottom w:val="nil"/>
              <w:right w:val="nil"/>
            </w:tcBorders>
            <w:shd w:val="clear" w:color="000000" w:fill="FFFFE1"/>
            <w:noWrap/>
            <w:vAlign w:val="center"/>
            <w:hideMark/>
          </w:tcPr>
          <w:p w:rsidR="00AF4B00" w:rsidRPr="00AF4B00" w:rsidRDefault="00AF4B00" w:rsidP="00AF4B00">
            <w:pPr>
              <w:suppressAutoHyphens/>
              <w:rPr>
                <w:rFonts w:ascii="Arial" w:eastAsia="Calibri" w:hAnsi="Arial"/>
                <w:sz w:val="16"/>
                <w:szCs w:val="23"/>
              </w:rPr>
            </w:pPr>
            <w:r w:rsidRPr="00AF4B00">
              <w:rPr>
                <w:rFonts w:ascii="Arial" w:eastAsia="Calibri" w:hAnsi="Arial"/>
                <w:sz w:val="16"/>
                <w:szCs w:val="23"/>
              </w:rPr>
              <w:t>$35,000 to $49,999</w:t>
            </w:r>
          </w:p>
        </w:tc>
        <w:tc>
          <w:tcPr>
            <w:tcW w:w="1132"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noProof/>
                <w:sz w:val="16"/>
                <w:szCs w:val="23"/>
              </w:rPr>
              <w:t>115,315</w:t>
            </w:r>
          </w:p>
        </w:tc>
        <w:tc>
          <w:tcPr>
            <w:tcW w:w="1070"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noProof/>
                <w:sz w:val="16"/>
                <w:szCs w:val="23"/>
              </w:rPr>
              <w:t>17.0</w:t>
            </w:r>
            <w:r w:rsidRPr="00AF4B00">
              <w:rPr>
                <w:rFonts w:ascii="Arial" w:eastAsia="Calibri" w:hAnsi="Arial" w:cs="Arial"/>
                <w:sz w:val="16"/>
                <w:szCs w:val="16"/>
              </w:rPr>
              <w:t>%</w:t>
            </w:r>
          </w:p>
        </w:tc>
        <w:tc>
          <w:tcPr>
            <w:tcW w:w="1132"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cs="Arial"/>
                <w:noProof/>
                <w:sz w:val="16"/>
                <w:szCs w:val="16"/>
              </w:rPr>
              <w:t>111,308</w:t>
            </w:r>
          </w:p>
        </w:tc>
        <w:tc>
          <w:tcPr>
            <w:tcW w:w="1070" w:type="dxa"/>
            <w:tcBorders>
              <w:top w:val="nil"/>
              <w:left w:val="nil"/>
              <w:bottom w:val="nil"/>
              <w:right w:val="single" w:sz="4" w:space="0" w:color="009900"/>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cs="Arial"/>
                <w:noProof/>
                <w:sz w:val="16"/>
                <w:szCs w:val="16"/>
              </w:rPr>
              <w:t>14.6</w:t>
            </w:r>
            <w:r w:rsidRPr="00AF4B00">
              <w:rPr>
                <w:rFonts w:ascii="Arial" w:eastAsia="Calibri" w:hAnsi="Arial" w:cs="Arial"/>
                <w:sz w:val="16"/>
                <w:szCs w:val="16"/>
              </w:rPr>
              <w:t>%</w:t>
            </w:r>
          </w:p>
        </w:tc>
      </w:tr>
      <w:tr w:rsidR="00AF4B00" w:rsidRPr="00AF4B00" w:rsidTr="00AF4B00">
        <w:trPr>
          <w:trHeight w:val="216"/>
          <w:jc w:val="center"/>
        </w:trPr>
        <w:tc>
          <w:tcPr>
            <w:tcW w:w="1672" w:type="dxa"/>
            <w:tcBorders>
              <w:top w:val="nil"/>
              <w:left w:val="single" w:sz="4" w:space="0" w:color="009900"/>
              <w:bottom w:val="nil"/>
              <w:right w:val="nil"/>
            </w:tcBorders>
            <w:shd w:val="clear" w:color="000000" w:fill="FFFFE1"/>
            <w:noWrap/>
            <w:vAlign w:val="center"/>
            <w:hideMark/>
          </w:tcPr>
          <w:p w:rsidR="00AF4B00" w:rsidRPr="00AF4B00" w:rsidRDefault="00AF4B00" w:rsidP="00AF4B00">
            <w:pPr>
              <w:suppressAutoHyphens/>
              <w:rPr>
                <w:rFonts w:ascii="Arial" w:eastAsia="Calibri" w:hAnsi="Arial"/>
                <w:sz w:val="16"/>
                <w:szCs w:val="23"/>
              </w:rPr>
            </w:pPr>
            <w:r w:rsidRPr="00AF4B00">
              <w:rPr>
                <w:rFonts w:ascii="Arial" w:eastAsia="Calibri" w:hAnsi="Arial"/>
                <w:sz w:val="16"/>
                <w:szCs w:val="23"/>
              </w:rPr>
              <w:t>$50,000 to $74,999</w:t>
            </w:r>
          </w:p>
        </w:tc>
        <w:tc>
          <w:tcPr>
            <w:tcW w:w="1132"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noProof/>
                <w:sz w:val="16"/>
                <w:szCs w:val="23"/>
              </w:rPr>
              <w:t>111,913</w:t>
            </w:r>
          </w:p>
        </w:tc>
        <w:tc>
          <w:tcPr>
            <w:tcW w:w="1070"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noProof/>
                <w:sz w:val="16"/>
                <w:szCs w:val="23"/>
              </w:rPr>
              <w:t>16.5</w:t>
            </w:r>
            <w:r w:rsidRPr="00AF4B00">
              <w:rPr>
                <w:rFonts w:ascii="Arial" w:eastAsia="Calibri" w:hAnsi="Arial" w:cs="Arial"/>
                <w:sz w:val="16"/>
                <w:szCs w:val="16"/>
              </w:rPr>
              <w:t>%</w:t>
            </w:r>
          </w:p>
        </w:tc>
        <w:tc>
          <w:tcPr>
            <w:tcW w:w="1132"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cs="Arial"/>
                <w:noProof/>
                <w:sz w:val="16"/>
                <w:szCs w:val="16"/>
              </w:rPr>
              <w:t>133,356</w:t>
            </w:r>
          </w:p>
        </w:tc>
        <w:tc>
          <w:tcPr>
            <w:tcW w:w="1070" w:type="dxa"/>
            <w:tcBorders>
              <w:top w:val="nil"/>
              <w:left w:val="nil"/>
              <w:bottom w:val="nil"/>
              <w:right w:val="single" w:sz="4" w:space="0" w:color="009900"/>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cs="Arial"/>
                <w:noProof/>
                <w:sz w:val="16"/>
                <w:szCs w:val="16"/>
              </w:rPr>
              <w:t>17.5</w:t>
            </w:r>
            <w:r w:rsidRPr="00AF4B00">
              <w:rPr>
                <w:rFonts w:ascii="Arial" w:eastAsia="Calibri" w:hAnsi="Arial" w:cs="Arial"/>
                <w:sz w:val="16"/>
                <w:szCs w:val="16"/>
              </w:rPr>
              <w:t>%</w:t>
            </w:r>
          </w:p>
        </w:tc>
      </w:tr>
      <w:tr w:rsidR="00AF4B00" w:rsidRPr="00AF4B00" w:rsidTr="00AF4B00">
        <w:trPr>
          <w:trHeight w:val="216"/>
          <w:jc w:val="center"/>
        </w:trPr>
        <w:tc>
          <w:tcPr>
            <w:tcW w:w="1672" w:type="dxa"/>
            <w:tcBorders>
              <w:top w:val="nil"/>
              <w:left w:val="single" w:sz="4" w:space="0" w:color="009900"/>
              <w:bottom w:val="nil"/>
              <w:right w:val="nil"/>
            </w:tcBorders>
            <w:shd w:val="clear" w:color="000000" w:fill="FFFFE1"/>
            <w:noWrap/>
            <w:vAlign w:val="center"/>
            <w:hideMark/>
          </w:tcPr>
          <w:p w:rsidR="00AF4B00" w:rsidRPr="00AF4B00" w:rsidRDefault="00AF4B00" w:rsidP="00AF4B00">
            <w:pPr>
              <w:suppressAutoHyphens/>
              <w:rPr>
                <w:rFonts w:ascii="Arial" w:eastAsia="Calibri" w:hAnsi="Arial"/>
                <w:sz w:val="16"/>
                <w:szCs w:val="23"/>
              </w:rPr>
            </w:pPr>
            <w:r w:rsidRPr="00AF4B00">
              <w:rPr>
                <w:rFonts w:ascii="Arial" w:eastAsia="Calibri" w:hAnsi="Arial"/>
                <w:sz w:val="16"/>
                <w:szCs w:val="23"/>
              </w:rPr>
              <w:t>$75,000 to $99,999</w:t>
            </w:r>
          </w:p>
        </w:tc>
        <w:tc>
          <w:tcPr>
            <w:tcW w:w="1132"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noProof/>
                <w:sz w:val="16"/>
                <w:szCs w:val="23"/>
              </w:rPr>
              <w:t>53,079</w:t>
            </w:r>
          </w:p>
        </w:tc>
        <w:tc>
          <w:tcPr>
            <w:tcW w:w="1070"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noProof/>
                <w:sz w:val="16"/>
                <w:szCs w:val="23"/>
              </w:rPr>
              <w:t>7.8</w:t>
            </w:r>
            <w:r w:rsidRPr="00AF4B00">
              <w:rPr>
                <w:rFonts w:ascii="Arial" w:eastAsia="Calibri" w:hAnsi="Arial" w:cs="Arial"/>
                <w:sz w:val="16"/>
                <w:szCs w:val="16"/>
              </w:rPr>
              <w:t>%</w:t>
            </w:r>
          </w:p>
        </w:tc>
        <w:tc>
          <w:tcPr>
            <w:tcW w:w="1132"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cs="Arial"/>
                <w:noProof/>
                <w:sz w:val="16"/>
                <w:szCs w:val="16"/>
              </w:rPr>
              <w:t>85,103</w:t>
            </w:r>
          </w:p>
        </w:tc>
        <w:tc>
          <w:tcPr>
            <w:tcW w:w="1070" w:type="dxa"/>
            <w:tcBorders>
              <w:top w:val="nil"/>
              <w:left w:val="nil"/>
              <w:bottom w:val="nil"/>
              <w:right w:val="single" w:sz="4" w:space="0" w:color="009900"/>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cs="Arial"/>
                <w:noProof/>
                <w:sz w:val="16"/>
                <w:szCs w:val="16"/>
              </w:rPr>
              <w:t>11.1</w:t>
            </w:r>
            <w:r w:rsidRPr="00AF4B00">
              <w:rPr>
                <w:rFonts w:ascii="Arial" w:eastAsia="Calibri" w:hAnsi="Arial" w:cs="Arial"/>
                <w:sz w:val="16"/>
                <w:szCs w:val="16"/>
              </w:rPr>
              <w:t>%</w:t>
            </w:r>
          </w:p>
        </w:tc>
      </w:tr>
      <w:tr w:rsidR="00AF4B00" w:rsidRPr="00AF4B00" w:rsidTr="00AF4B00">
        <w:trPr>
          <w:trHeight w:val="216"/>
          <w:jc w:val="center"/>
        </w:trPr>
        <w:tc>
          <w:tcPr>
            <w:tcW w:w="1672" w:type="dxa"/>
            <w:tcBorders>
              <w:top w:val="nil"/>
              <w:left w:val="single" w:sz="4" w:space="0" w:color="009900"/>
              <w:bottom w:val="nil"/>
              <w:right w:val="nil"/>
            </w:tcBorders>
            <w:shd w:val="clear" w:color="000000" w:fill="FFFFE1"/>
            <w:noWrap/>
            <w:vAlign w:val="center"/>
            <w:hideMark/>
          </w:tcPr>
          <w:p w:rsidR="00AF4B00" w:rsidRPr="00AF4B00" w:rsidRDefault="00AF4B00" w:rsidP="00AF4B00">
            <w:pPr>
              <w:suppressAutoHyphens/>
              <w:rPr>
                <w:rFonts w:ascii="Arial" w:eastAsia="Calibri" w:hAnsi="Arial"/>
                <w:sz w:val="16"/>
                <w:szCs w:val="23"/>
              </w:rPr>
            </w:pPr>
            <w:r w:rsidRPr="00AF4B00">
              <w:rPr>
                <w:rFonts w:ascii="Arial" w:eastAsia="Calibri" w:hAnsi="Arial"/>
                <w:sz w:val="16"/>
                <w:szCs w:val="23"/>
              </w:rPr>
              <w:t>$100,000 or More</w:t>
            </w:r>
          </w:p>
        </w:tc>
        <w:tc>
          <w:tcPr>
            <w:tcW w:w="1132" w:type="dxa"/>
            <w:tcBorders>
              <w:top w:val="nil"/>
              <w:left w:val="nil"/>
              <w:bottom w:val="double" w:sz="6" w:space="0" w:color="0099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noProof/>
                <w:sz w:val="16"/>
                <w:szCs w:val="23"/>
              </w:rPr>
              <w:t>51,691</w:t>
            </w:r>
          </w:p>
        </w:tc>
        <w:tc>
          <w:tcPr>
            <w:tcW w:w="1070" w:type="dxa"/>
            <w:tcBorders>
              <w:top w:val="nil"/>
              <w:left w:val="nil"/>
              <w:bottom w:val="double" w:sz="6" w:space="0" w:color="0099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noProof/>
                <w:sz w:val="16"/>
                <w:szCs w:val="23"/>
              </w:rPr>
              <w:t>7.6</w:t>
            </w:r>
            <w:r w:rsidRPr="00AF4B00">
              <w:rPr>
                <w:rFonts w:ascii="Arial" w:eastAsia="Calibri" w:hAnsi="Arial" w:cs="Arial"/>
                <w:sz w:val="16"/>
                <w:szCs w:val="16"/>
              </w:rPr>
              <w:t>%</w:t>
            </w:r>
          </w:p>
        </w:tc>
        <w:tc>
          <w:tcPr>
            <w:tcW w:w="1132" w:type="dxa"/>
            <w:tcBorders>
              <w:top w:val="nil"/>
              <w:left w:val="nil"/>
              <w:bottom w:val="double" w:sz="6" w:space="0" w:color="0099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cs="Arial"/>
                <w:noProof/>
                <w:sz w:val="16"/>
                <w:szCs w:val="16"/>
              </w:rPr>
              <w:t>128,922</w:t>
            </w:r>
          </w:p>
        </w:tc>
        <w:tc>
          <w:tcPr>
            <w:tcW w:w="1070" w:type="dxa"/>
            <w:tcBorders>
              <w:top w:val="nil"/>
              <w:left w:val="nil"/>
              <w:bottom w:val="double" w:sz="6" w:space="0" w:color="009900"/>
              <w:right w:val="single" w:sz="4" w:space="0" w:color="009900"/>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cs="Arial"/>
                <w:noProof/>
                <w:sz w:val="16"/>
                <w:szCs w:val="16"/>
              </w:rPr>
              <w:t>16.9</w:t>
            </w:r>
            <w:r w:rsidRPr="00AF4B00">
              <w:rPr>
                <w:rFonts w:ascii="Arial" w:eastAsia="Calibri" w:hAnsi="Arial" w:cs="Arial"/>
                <w:sz w:val="16"/>
                <w:szCs w:val="16"/>
              </w:rPr>
              <w:t>%</w:t>
            </w:r>
          </w:p>
        </w:tc>
      </w:tr>
      <w:tr w:rsidR="00AF4B00" w:rsidRPr="00AF4B00" w:rsidTr="00AF4B00">
        <w:trPr>
          <w:trHeight w:val="216"/>
          <w:jc w:val="center"/>
        </w:trPr>
        <w:tc>
          <w:tcPr>
            <w:tcW w:w="1672" w:type="dxa"/>
            <w:tcBorders>
              <w:top w:val="double" w:sz="6" w:space="0" w:color="009900"/>
              <w:left w:val="single" w:sz="4" w:space="0" w:color="009900"/>
              <w:bottom w:val="single" w:sz="4" w:space="0" w:color="009900"/>
              <w:right w:val="nil"/>
            </w:tcBorders>
            <w:shd w:val="clear" w:color="000000" w:fill="FFFFE1"/>
            <w:noWrap/>
            <w:vAlign w:val="center"/>
            <w:hideMark/>
          </w:tcPr>
          <w:p w:rsidR="00AF4B00" w:rsidRPr="00AF4B00" w:rsidRDefault="00AF4B00" w:rsidP="00AF4B00">
            <w:pPr>
              <w:suppressAutoHyphens/>
              <w:rPr>
                <w:rFonts w:ascii="Arial" w:eastAsia="Calibri" w:hAnsi="Arial"/>
                <w:b/>
                <w:sz w:val="16"/>
                <w:szCs w:val="23"/>
              </w:rPr>
            </w:pPr>
            <w:r w:rsidRPr="00AF4B00">
              <w:rPr>
                <w:rFonts w:ascii="Arial" w:eastAsia="Calibri" w:hAnsi="Arial"/>
                <w:b/>
                <w:sz w:val="16"/>
                <w:szCs w:val="23"/>
              </w:rPr>
              <w:t>Total</w:t>
            </w:r>
          </w:p>
        </w:tc>
        <w:tc>
          <w:tcPr>
            <w:tcW w:w="1132" w:type="dxa"/>
            <w:tcBorders>
              <w:top w:val="nil"/>
              <w:left w:val="nil"/>
              <w:bottom w:val="single" w:sz="4" w:space="0" w:color="0099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b/>
                <w:sz w:val="16"/>
                <w:szCs w:val="16"/>
              </w:rPr>
            </w:pPr>
            <w:r w:rsidRPr="00AF4B00">
              <w:rPr>
                <w:rFonts w:ascii="Arial" w:eastAsia="Calibri" w:hAnsi="Arial"/>
                <w:b/>
                <w:noProof/>
                <w:sz w:val="16"/>
                <w:szCs w:val="23"/>
              </w:rPr>
              <w:t>678,032</w:t>
            </w:r>
          </w:p>
        </w:tc>
        <w:tc>
          <w:tcPr>
            <w:tcW w:w="1070" w:type="dxa"/>
            <w:tcBorders>
              <w:top w:val="nil"/>
              <w:left w:val="nil"/>
              <w:bottom w:val="single" w:sz="4" w:space="0" w:color="0099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b/>
                <w:sz w:val="16"/>
                <w:szCs w:val="23"/>
              </w:rPr>
            </w:pPr>
            <w:r w:rsidRPr="00AF4B00">
              <w:rPr>
                <w:rFonts w:ascii="Arial" w:eastAsia="Calibri" w:hAnsi="Arial"/>
                <w:b/>
                <w:sz w:val="16"/>
                <w:szCs w:val="23"/>
              </w:rPr>
              <w:t>100.0%</w:t>
            </w:r>
          </w:p>
        </w:tc>
        <w:tc>
          <w:tcPr>
            <w:tcW w:w="1132" w:type="dxa"/>
            <w:tcBorders>
              <w:top w:val="nil"/>
              <w:left w:val="nil"/>
              <w:bottom w:val="single" w:sz="4" w:space="0" w:color="0099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b/>
                <w:sz w:val="16"/>
                <w:szCs w:val="16"/>
              </w:rPr>
            </w:pPr>
            <w:r w:rsidRPr="00AF4B00">
              <w:rPr>
                <w:rFonts w:ascii="Arial" w:eastAsia="Calibri" w:hAnsi="Arial" w:cs="Arial"/>
                <w:b/>
                <w:noProof/>
                <w:sz w:val="16"/>
                <w:szCs w:val="16"/>
              </w:rPr>
              <w:t>763,844</w:t>
            </w:r>
          </w:p>
        </w:tc>
        <w:tc>
          <w:tcPr>
            <w:tcW w:w="1070" w:type="dxa"/>
            <w:tcBorders>
              <w:top w:val="nil"/>
              <w:left w:val="nil"/>
              <w:bottom w:val="single" w:sz="4" w:space="0" w:color="009900"/>
              <w:right w:val="single" w:sz="4" w:space="0" w:color="009900"/>
            </w:tcBorders>
            <w:shd w:val="clear" w:color="000000" w:fill="FFFFE1"/>
            <w:noWrap/>
            <w:vAlign w:val="center"/>
            <w:hideMark/>
          </w:tcPr>
          <w:p w:rsidR="00AF4B00" w:rsidRPr="00AF4B00" w:rsidRDefault="00AF4B00" w:rsidP="00AF4B00">
            <w:pPr>
              <w:suppressAutoHyphens/>
              <w:jc w:val="center"/>
              <w:rPr>
                <w:rFonts w:ascii="Arial" w:eastAsia="Calibri" w:hAnsi="Arial"/>
                <w:b/>
                <w:sz w:val="16"/>
                <w:szCs w:val="23"/>
              </w:rPr>
            </w:pPr>
            <w:r w:rsidRPr="00AF4B00">
              <w:rPr>
                <w:rFonts w:ascii="Arial" w:eastAsia="Calibri" w:hAnsi="Arial"/>
                <w:b/>
                <w:sz w:val="16"/>
                <w:szCs w:val="23"/>
              </w:rPr>
              <w:t>100.0%</w:t>
            </w:r>
          </w:p>
        </w:tc>
      </w:tr>
    </w:tbl>
    <w:p w:rsidR="00EE5DD4" w:rsidRPr="004608D1" w:rsidRDefault="00EE5DD4" w:rsidP="008207B5">
      <w:pPr>
        <w:pStyle w:val="PlainText"/>
        <w:jc w:val="both"/>
        <w:rPr>
          <w:rFonts w:ascii="CG Omega" w:hAnsi="CG Omega"/>
          <w:b/>
          <w:bCs/>
          <w:smallCaps/>
          <w:sz w:val="16"/>
          <w:szCs w:val="16"/>
          <w:highlight w:val="yellow"/>
        </w:rPr>
      </w:pPr>
    </w:p>
    <w:p w:rsidR="008207B5" w:rsidRPr="000F191E" w:rsidRDefault="005A3181" w:rsidP="008207B5">
      <w:pPr>
        <w:pStyle w:val="PlainText"/>
        <w:jc w:val="both"/>
        <w:rPr>
          <w:rFonts w:ascii="CG Omega" w:hAnsi="CG Omega"/>
          <w:b/>
          <w:bCs/>
          <w:smallCaps/>
          <w:sz w:val="24"/>
          <w:szCs w:val="24"/>
        </w:rPr>
      </w:pPr>
      <w:r w:rsidRPr="000F191E">
        <w:rPr>
          <w:rFonts w:ascii="CG Omega" w:hAnsi="CG Omega"/>
          <w:b/>
          <w:bCs/>
          <w:smallCaps/>
          <w:sz w:val="24"/>
          <w:szCs w:val="24"/>
        </w:rPr>
        <w:t xml:space="preserve">Poverty </w:t>
      </w:r>
    </w:p>
    <w:p w:rsidR="008207B5" w:rsidRPr="0033425C" w:rsidRDefault="008207B5" w:rsidP="008207B5">
      <w:pPr>
        <w:rPr>
          <w:rFonts w:ascii="CG Omega" w:hAnsi="CG Omega"/>
        </w:rPr>
      </w:pPr>
    </w:p>
    <w:p w:rsidR="00AF4B00" w:rsidRDefault="008207B5" w:rsidP="008207B5">
      <w:pPr>
        <w:jc w:val="both"/>
        <w:rPr>
          <w:rFonts w:ascii="CG Omega" w:hAnsi="CG Omega"/>
        </w:rPr>
      </w:pPr>
      <w:r w:rsidRPr="000F191E">
        <w:rPr>
          <w:rFonts w:ascii="CG Omega" w:hAnsi="CG Omega"/>
        </w:rPr>
        <w:t>The Census Bureau uses a set of income thresholds that vary by family size and composition to determine poverty status. If a family’s total income is less than the threshold for that size family, then that family, and every individual in it, is considered poor. The poverty thresholds do not vary geographically, but they are updated annually for inflation using the Consumer Price Index. The official poverty definition counts monetary income earned before taxes and does not include capital gains and non-cash benefits such as public housing, Medicaid and food stamps. Poverty is not defined for people in military barracks, institutional group quarters or for unrelated individuals under the age of 15, such as foster children. These people are excluded from the poverty calculations, as they are considered as neither poor nor non-poor.</w:t>
      </w:r>
      <w:r w:rsidRPr="000F191E">
        <w:rPr>
          <w:rStyle w:val="FootnoteReference"/>
          <w:rFonts w:ascii="CG Omega" w:hAnsi="CG Omega"/>
        </w:rPr>
        <w:footnoteReference w:id="10"/>
      </w:r>
    </w:p>
    <w:p w:rsidR="009F2C37" w:rsidRPr="004608D1" w:rsidRDefault="009F2C37" w:rsidP="008207B5">
      <w:pPr>
        <w:jc w:val="both"/>
        <w:rPr>
          <w:rFonts w:ascii="CG Omega" w:hAnsi="CG Omega"/>
          <w:sz w:val="16"/>
          <w:szCs w:val="16"/>
        </w:rPr>
      </w:pPr>
    </w:p>
    <w:p w:rsidR="009F2C37" w:rsidRDefault="009F2C37" w:rsidP="009F2C37">
      <w:pPr>
        <w:jc w:val="both"/>
        <w:rPr>
          <w:rFonts w:ascii="CG Omega" w:hAnsi="CG Omega"/>
        </w:rPr>
      </w:pPr>
      <w:r w:rsidRPr="008260B7">
        <w:rPr>
          <w:rFonts w:ascii="CG Omega" w:hAnsi="CG Omega"/>
          <w:lang w:val="en"/>
        </w:rPr>
        <w:t>In New Mexico the poverty rate in 2000 was 18.4 percent, with 328,933 persons living in poverty. This rate was considerably higher than the national average of 12.4 percent at that time</w:t>
      </w:r>
      <w:r w:rsidRPr="008260B7">
        <w:rPr>
          <w:rStyle w:val="FootnoteReference"/>
          <w:rFonts w:ascii="CG Omega" w:hAnsi="CG Omega"/>
          <w:lang w:val="en"/>
        </w:rPr>
        <w:footnoteReference w:id="11"/>
      </w:r>
      <w:r w:rsidRPr="008260B7">
        <w:rPr>
          <w:rFonts w:ascii="CG Omega" w:hAnsi="CG Omega"/>
          <w:lang w:val="en"/>
        </w:rPr>
        <w:t xml:space="preserve">. </w:t>
      </w:r>
      <w:r w:rsidR="006141CD">
        <w:rPr>
          <w:rFonts w:ascii="CG Omega" w:hAnsi="CG Omega"/>
          <w:lang w:val="en"/>
        </w:rPr>
        <w:t xml:space="preserve">By 2012, the statewide poverty rate had edged up to 19.5 percent. </w:t>
      </w:r>
      <w:r w:rsidRPr="008260B7">
        <w:rPr>
          <w:rFonts w:ascii="CG Omega" w:hAnsi="CG Omega"/>
          <w:lang w:val="en"/>
        </w:rPr>
        <w:t>The state</w:t>
      </w:r>
      <w:r w:rsidRPr="008260B7">
        <w:rPr>
          <w:rFonts w:ascii="CG Omega" w:hAnsi="CG Omega"/>
        </w:rPr>
        <w:t xml:space="preserve"> had nearly 43,000 children under the age of 5 living in poverty</w:t>
      </w:r>
      <w:r>
        <w:rPr>
          <w:rFonts w:ascii="CG Omega" w:hAnsi="CG Omega"/>
        </w:rPr>
        <w:t xml:space="preserve"> in </w:t>
      </w:r>
      <w:r w:rsidR="006141CD">
        <w:rPr>
          <w:rFonts w:ascii="CG Omega" w:hAnsi="CG Omega"/>
        </w:rPr>
        <w:t>2000</w:t>
      </w:r>
      <w:r>
        <w:rPr>
          <w:rFonts w:ascii="CG Omega" w:hAnsi="CG Omega"/>
        </w:rPr>
        <w:t>,</w:t>
      </w:r>
      <w:r w:rsidRPr="008260B7">
        <w:rPr>
          <w:rFonts w:ascii="CG Omega" w:hAnsi="CG Omega"/>
        </w:rPr>
        <w:t xml:space="preserve"> and another 82,482 children between the ages of 6 and 18 living in poverty. </w:t>
      </w:r>
      <w:r w:rsidR="006141CD">
        <w:rPr>
          <w:rFonts w:ascii="CG Omega" w:hAnsi="CG Omega"/>
        </w:rPr>
        <w:t xml:space="preserve">By 2012, there were 54,386 children under 6 living in poverty, and 86,437 children aged 6 to 17. </w:t>
      </w:r>
      <w:r w:rsidRPr="008260B7">
        <w:rPr>
          <w:rFonts w:ascii="CG Omega" w:hAnsi="CG Omega"/>
        </w:rPr>
        <w:t xml:space="preserve">Additionally, </w:t>
      </w:r>
      <w:r w:rsidR="006141CD">
        <w:rPr>
          <w:rFonts w:ascii="CG Omega" w:hAnsi="CG Omega"/>
        </w:rPr>
        <w:t>in 2012, there were 33,091</w:t>
      </w:r>
      <w:r w:rsidRPr="008260B7">
        <w:rPr>
          <w:rFonts w:ascii="CG Omega" w:hAnsi="CG Omega"/>
        </w:rPr>
        <w:t xml:space="preserve"> of the state’s citizens 65 year of age or older were also consid</w:t>
      </w:r>
      <w:r w:rsidR="006141CD">
        <w:rPr>
          <w:rFonts w:ascii="CG Omega" w:hAnsi="CG Omega"/>
        </w:rPr>
        <w:t>ered to be living in poverty. Much of the growth of the poverty rate is attributed to an increase in persons aged 18 to</w:t>
      </w:r>
      <w:r w:rsidR="000E64EA">
        <w:rPr>
          <w:rFonts w:ascii="CG Omega" w:hAnsi="CG Omega"/>
        </w:rPr>
        <w:t xml:space="preserve"> 64 that were living in poverty, which accounted for 55.8 percent of the persons living in poverty in 2010.</w:t>
      </w:r>
      <w:r w:rsidR="006141CD">
        <w:rPr>
          <w:rFonts w:ascii="CG Omega" w:hAnsi="CG Omega"/>
        </w:rPr>
        <w:t xml:space="preserve"> </w:t>
      </w:r>
      <w:r w:rsidRPr="008260B7">
        <w:rPr>
          <w:rFonts w:ascii="CG Omega" w:hAnsi="CG Omega"/>
        </w:rPr>
        <w:t xml:space="preserve">These data are presented in </w:t>
      </w:r>
      <w:r w:rsidRPr="0033425C">
        <w:rPr>
          <w:rFonts w:ascii="CG Omega" w:hAnsi="CG Omega"/>
          <w:b/>
        </w:rPr>
        <w:t>Table III.</w:t>
      </w:r>
      <w:r w:rsidR="00EA4494" w:rsidRPr="0033425C">
        <w:rPr>
          <w:rFonts w:ascii="CG Omega" w:hAnsi="CG Omega"/>
          <w:b/>
        </w:rPr>
        <w:t>13</w:t>
      </w:r>
      <w:r w:rsidR="000E64EA">
        <w:rPr>
          <w:rFonts w:ascii="CG Omega" w:hAnsi="CG Omega"/>
        </w:rPr>
        <w:t>, on the following page.</w:t>
      </w:r>
      <w:r>
        <w:rPr>
          <w:rFonts w:ascii="CG Omega" w:hAnsi="CG Omega"/>
        </w:rPr>
        <w:t xml:space="preserve"> </w:t>
      </w:r>
    </w:p>
    <w:p w:rsidR="00A73F51" w:rsidRDefault="00A73F51" w:rsidP="009F2C37">
      <w:pPr>
        <w:jc w:val="both"/>
        <w:rPr>
          <w:rFonts w:ascii="CG Omega" w:hAnsi="CG Omega"/>
        </w:rPr>
      </w:pPr>
    </w:p>
    <w:p w:rsidR="00A73F51" w:rsidRDefault="00A73F51" w:rsidP="009F2C37">
      <w:pPr>
        <w:jc w:val="both"/>
        <w:rPr>
          <w:rFonts w:ascii="CG Omega" w:hAnsi="CG Omega"/>
        </w:rPr>
      </w:pPr>
    </w:p>
    <w:p w:rsidR="00AF4B00" w:rsidRPr="004608D1" w:rsidRDefault="00AF4B00" w:rsidP="008207B5">
      <w:pPr>
        <w:jc w:val="both"/>
        <w:rPr>
          <w:rFonts w:ascii="CG Omega" w:hAnsi="CG Omega"/>
          <w:sz w:val="16"/>
          <w:szCs w:val="16"/>
          <w:highlight w:val="yellow"/>
        </w:rPr>
      </w:pPr>
    </w:p>
    <w:tbl>
      <w:tblPr>
        <w:tblW w:w="6815" w:type="dxa"/>
        <w:jc w:val="center"/>
        <w:tblLook w:val="04A0" w:firstRow="1" w:lastRow="0" w:firstColumn="1" w:lastColumn="0" w:noHBand="0" w:noVBand="1"/>
      </w:tblPr>
      <w:tblGrid>
        <w:gridCol w:w="1202"/>
        <w:gridCol w:w="1726"/>
        <w:gridCol w:w="999"/>
        <w:gridCol w:w="1842"/>
        <w:gridCol w:w="1046"/>
      </w:tblGrid>
      <w:tr w:rsidR="00AF4B00" w:rsidRPr="00AF4B00" w:rsidTr="00AF4B00">
        <w:trPr>
          <w:trHeight w:val="216"/>
          <w:jc w:val="center"/>
        </w:trPr>
        <w:tc>
          <w:tcPr>
            <w:tcW w:w="6815" w:type="dxa"/>
            <w:gridSpan w:val="5"/>
            <w:tcBorders>
              <w:bottom w:val="single" w:sz="4" w:space="0" w:color="009900"/>
            </w:tcBorders>
            <w:shd w:val="clear" w:color="000000" w:fill="auto"/>
            <w:noWrap/>
            <w:vAlign w:val="center"/>
            <w:hideMark/>
          </w:tcPr>
          <w:p w:rsidR="00AF4B00" w:rsidRPr="00AF4B00" w:rsidRDefault="00AF4B00" w:rsidP="00AF4B00">
            <w:pPr>
              <w:keepNext/>
              <w:jc w:val="center"/>
              <w:rPr>
                <w:rFonts w:ascii="Arial" w:eastAsia="Calibri" w:hAnsi="Arial"/>
                <w:b/>
                <w:bCs/>
                <w:color w:val="000000"/>
                <w:sz w:val="22"/>
                <w:szCs w:val="18"/>
              </w:rPr>
            </w:pPr>
            <w:r w:rsidRPr="00D93560">
              <w:rPr>
                <w:rFonts w:ascii="Arial" w:eastAsia="Calibri" w:hAnsi="Arial"/>
                <w:b/>
                <w:bCs/>
                <w:color w:val="000000"/>
                <w:sz w:val="22"/>
                <w:szCs w:val="18"/>
              </w:rPr>
              <w:t>Table I</w:t>
            </w:r>
            <w:r w:rsidR="00D93560" w:rsidRPr="00D93560">
              <w:rPr>
                <w:rFonts w:ascii="Arial" w:eastAsia="Calibri" w:hAnsi="Arial"/>
                <w:b/>
                <w:bCs/>
                <w:color w:val="000000"/>
                <w:sz w:val="22"/>
                <w:szCs w:val="18"/>
              </w:rPr>
              <w:t>II</w:t>
            </w:r>
            <w:r w:rsidR="00EA4494">
              <w:rPr>
                <w:rFonts w:ascii="Arial" w:eastAsia="Calibri" w:hAnsi="Arial"/>
                <w:b/>
                <w:bCs/>
                <w:color w:val="000000"/>
                <w:sz w:val="22"/>
                <w:szCs w:val="18"/>
              </w:rPr>
              <w:t>.13</w:t>
            </w:r>
          </w:p>
          <w:p w:rsidR="00AF4B00" w:rsidRPr="00AF4B00" w:rsidRDefault="00AF4B00" w:rsidP="00AF4B00">
            <w:pPr>
              <w:keepNext/>
              <w:keepLines/>
              <w:suppressAutoHyphens/>
              <w:jc w:val="center"/>
              <w:rPr>
                <w:rFonts w:ascii="Arial" w:eastAsia="Calibri" w:hAnsi="Arial"/>
                <w:b/>
                <w:sz w:val="20"/>
                <w:szCs w:val="23"/>
              </w:rPr>
            </w:pPr>
            <w:r w:rsidRPr="00AF4B00">
              <w:rPr>
                <w:rFonts w:ascii="Arial" w:eastAsia="Calibri" w:hAnsi="Arial"/>
                <w:b/>
                <w:sz w:val="20"/>
                <w:szCs w:val="23"/>
              </w:rPr>
              <w:t>Poverty by Age</w:t>
            </w:r>
          </w:p>
          <w:p w:rsidR="00AF4B00" w:rsidRPr="00AF4B00" w:rsidRDefault="00AF4B00" w:rsidP="00AF4B00">
            <w:pPr>
              <w:suppressAutoHyphens/>
              <w:jc w:val="center"/>
              <w:rPr>
                <w:rFonts w:ascii="Arial" w:eastAsia="Calibri" w:hAnsi="Arial"/>
                <w:sz w:val="16"/>
                <w:szCs w:val="23"/>
              </w:rPr>
            </w:pPr>
            <w:r w:rsidRPr="00AF4B00">
              <w:rPr>
                <w:rFonts w:ascii="Arial" w:eastAsia="Calibri" w:hAnsi="Arial"/>
                <w:noProof/>
                <w:sz w:val="16"/>
                <w:szCs w:val="23"/>
              </w:rPr>
              <w:t>State of New Mexico</w:t>
            </w:r>
          </w:p>
          <w:p w:rsidR="00AF4B00" w:rsidRPr="00AF4B00" w:rsidRDefault="00AF4B00" w:rsidP="00AF4B00">
            <w:pPr>
              <w:suppressAutoHyphens/>
              <w:jc w:val="center"/>
              <w:rPr>
                <w:rFonts w:ascii="Arial" w:eastAsia="Calibri" w:hAnsi="Arial"/>
                <w:b/>
                <w:bCs/>
                <w:sz w:val="16"/>
                <w:szCs w:val="23"/>
              </w:rPr>
            </w:pPr>
            <w:r w:rsidRPr="00AF4B00">
              <w:rPr>
                <w:rFonts w:ascii="Arial" w:eastAsia="Calibri" w:hAnsi="Arial"/>
                <w:sz w:val="16"/>
                <w:szCs w:val="23"/>
              </w:rPr>
              <w:t>2000 Census SF3 &amp; 2012 Five-Year ACS Data</w:t>
            </w:r>
          </w:p>
        </w:tc>
      </w:tr>
      <w:tr w:rsidR="00AF4B00" w:rsidRPr="00AF4B00" w:rsidTr="00AF4B00">
        <w:trPr>
          <w:trHeight w:val="216"/>
          <w:jc w:val="center"/>
        </w:trPr>
        <w:tc>
          <w:tcPr>
            <w:tcW w:w="1202" w:type="dxa"/>
            <w:vMerge w:val="restart"/>
            <w:tcBorders>
              <w:top w:val="single" w:sz="4" w:space="0" w:color="009900"/>
              <w:left w:val="single" w:sz="4" w:space="0" w:color="009900"/>
              <w:bottom w:val="single" w:sz="4" w:space="0" w:color="009900"/>
              <w:right w:val="nil"/>
            </w:tcBorders>
            <w:shd w:val="clear" w:color="000000" w:fill="FFFFE1"/>
            <w:noWrap/>
            <w:vAlign w:val="center"/>
            <w:hideMark/>
          </w:tcPr>
          <w:p w:rsidR="00AF4B00" w:rsidRPr="00AF4B00" w:rsidRDefault="00AF4B00" w:rsidP="00AF4B00">
            <w:pPr>
              <w:suppressAutoHyphens/>
              <w:rPr>
                <w:rFonts w:ascii="Arial" w:eastAsia="Calibri" w:hAnsi="Arial"/>
                <w:b/>
                <w:sz w:val="16"/>
                <w:szCs w:val="23"/>
              </w:rPr>
            </w:pPr>
            <w:r w:rsidRPr="00AF4B00">
              <w:rPr>
                <w:rFonts w:ascii="Arial" w:eastAsia="Calibri" w:hAnsi="Arial"/>
                <w:b/>
                <w:sz w:val="16"/>
                <w:szCs w:val="23"/>
              </w:rPr>
              <w:t>Age</w:t>
            </w:r>
          </w:p>
        </w:tc>
        <w:tc>
          <w:tcPr>
            <w:tcW w:w="2725" w:type="dxa"/>
            <w:gridSpan w:val="2"/>
            <w:tcBorders>
              <w:top w:val="single" w:sz="4" w:space="0" w:color="009900"/>
              <w:left w:val="nil"/>
              <w:bottom w:val="dotted" w:sz="4" w:space="0" w:color="0099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b/>
                <w:sz w:val="16"/>
                <w:szCs w:val="23"/>
              </w:rPr>
            </w:pPr>
            <w:r w:rsidRPr="00AF4B00">
              <w:rPr>
                <w:rFonts w:ascii="Arial" w:eastAsia="Calibri" w:hAnsi="Arial"/>
                <w:b/>
                <w:sz w:val="16"/>
                <w:szCs w:val="23"/>
              </w:rPr>
              <w:t>2000 Census</w:t>
            </w:r>
          </w:p>
        </w:tc>
        <w:tc>
          <w:tcPr>
            <w:tcW w:w="2888" w:type="dxa"/>
            <w:gridSpan w:val="2"/>
            <w:tcBorders>
              <w:top w:val="single" w:sz="4" w:space="0" w:color="009900"/>
              <w:left w:val="nil"/>
              <w:bottom w:val="dotted" w:sz="4" w:space="0" w:color="009900"/>
              <w:right w:val="single" w:sz="4" w:space="0" w:color="009900"/>
            </w:tcBorders>
            <w:shd w:val="clear" w:color="000000" w:fill="FFFFE1"/>
            <w:noWrap/>
            <w:vAlign w:val="center"/>
            <w:hideMark/>
          </w:tcPr>
          <w:p w:rsidR="00AF4B00" w:rsidRPr="00AF4B00" w:rsidRDefault="00AF4B00" w:rsidP="00AF4B00">
            <w:pPr>
              <w:suppressAutoHyphens/>
              <w:jc w:val="center"/>
              <w:rPr>
                <w:rFonts w:ascii="Arial" w:eastAsia="Calibri" w:hAnsi="Arial"/>
                <w:b/>
                <w:sz w:val="16"/>
                <w:szCs w:val="23"/>
              </w:rPr>
            </w:pPr>
            <w:r w:rsidRPr="00AF4B00">
              <w:rPr>
                <w:rFonts w:ascii="Arial" w:eastAsia="Calibri" w:hAnsi="Arial"/>
                <w:b/>
                <w:sz w:val="16"/>
                <w:szCs w:val="23"/>
              </w:rPr>
              <w:t>2012 Five-Year ACS</w:t>
            </w:r>
          </w:p>
        </w:tc>
      </w:tr>
      <w:tr w:rsidR="00AF4B00" w:rsidRPr="00AF4B00" w:rsidTr="00AF4B00">
        <w:trPr>
          <w:trHeight w:val="216"/>
          <w:jc w:val="center"/>
        </w:trPr>
        <w:tc>
          <w:tcPr>
            <w:tcW w:w="1202" w:type="dxa"/>
            <w:vMerge/>
            <w:tcBorders>
              <w:top w:val="single" w:sz="4" w:space="0" w:color="009900"/>
              <w:left w:val="single" w:sz="4" w:space="0" w:color="009900"/>
              <w:bottom w:val="single" w:sz="4" w:space="0" w:color="009900"/>
              <w:right w:val="nil"/>
            </w:tcBorders>
            <w:vAlign w:val="center"/>
            <w:hideMark/>
          </w:tcPr>
          <w:p w:rsidR="00AF4B00" w:rsidRPr="00AF4B00" w:rsidRDefault="00AF4B00" w:rsidP="00AF4B00">
            <w:pPr>
              <w:suppressAutoHyphens/>
              <w:rPr>
                <w:rFonts w:ascii="Arial" w:eastAsia="Calibri" w:hAnsi="Arial"/>
                <w:b/>
                <w:sz w:val="16"/>
                <w:szCs w:val="23"/>
              </w:rPr>
            </w:pPr>
          </w:p>
        </w:tc>
        <w:tc>
          <w:tcPr>
            <w:tcW w:w="1726" w:type="dxa"/>
            <w:tcBorders>
              <w:top w:val="nil"/>
              <w:left w:val="nil"/>
              <w:bottom w:val="single" w:sz="4" w:space="0" w:color="0099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b/>
                <w:sz w:val="16"/>
                <w:szCs w:val="23"/>
              </w:rPr>
            </w:pPr>
            <w:r w:rsidRPr="00AF4B00">
              <w:rPr>
                <w:rFonts w:ascii="Arial" w:eastAsia="Calibri" w:hAnsi="Arial"/>
                <w:b/>
                <w:sz w:val="16"/>
                <w:szCs w:val="23"/>
              </w:rPr>
              <w:t>Persons in Poverty</w:t>
            </w:r>
          </w:p>
        </w:tc>
        <w:tc>
          <w:tcPr>
            <w:tcW w:w="999" w:type="dxa"/>
            <w:tcBorders>
              <w:top w:val="nil"/>
              <w:left w:val="nil"/>
              <w:bottom w:val="single" w:sz="4" w:space="0" w:color="0099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b/>
                <w:sz w:val="16"/>
                <w:szCs w:val="23"/>
              </w:rPr>
            </w:pPr>
            <w:r w:rsidRPr="00AF4B00">
              <w:rPr>
                <w:rFonts w:ascii="Arial" w:eastAsia="Calibri" w:hAnsi="Arial"/>
                <w:b/>
                <w:sz w:val="16"/>
                <w:szCs w:val="23"/>
              </w:rPr>
              <w:t>% of Total</w:t>
            </w:r>
          </w:p>
        </w:tc>
        <w:tc>
          <w:tcPr>
            <w:tcW w:w="1842" w:type="dxa"/>
            <w:tcBorders>
              <w:top w:val="nil"/>
              <w:left w:val="nil"/>
              <w:bottom w:val="single" w:sz="4" w:space="0" w:color="0099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b/>
                <w:sz w:val="16"/>
                <w:szCs w:val="23"/>
              </w:rPr>
            </w:pPr>
            <w:r w:rsidRPr="00AF4B00">
              <w:rPr>
                <w:rFonts w:ascii="Arial" w:eastAsia="Calibri" w:hAnsi="Arial"/>
                <w:b/>
                <w:sz w:val="16"/>
                <w:szCs w:val="23"/>
              </w:rPr>
              <w:t>Persons in Poverty</w:t>
            </w:r>
          </w:p>
        </w:tc>
        <w:tc>
          <w:tcPr>
            <w:tcW w:w="1046" w:type="dxa"/>
            <w:tcBorders>
              <w:top w:val="nil"/>
              <w:left w:val="nil"/>
              <w:bottom w:val="single" w:sz="4" w:space="0" w:color="009900"/>
              <w:right w:val="single" w:sz="4" w:space="0" w:color="009900"/>
            </w:tcBorders>
            <w:shd w:val="clear" w:color="000000" w:fill="FFFFE1"/>
            <w:noWrap/>
            <w:vAlign w:val="center"/>
            <w:hideMark/>
          </w:tcPr>
          <w:p w:rsidR="00AF4B00" w:rsidRPr="00AF4B00" w:rsidRDefault="00AF4B00" w:rsidP="00AF4B00">
            <w:pPr>
              <w:suppressAutoHyphens/>
              <w:jc w:val="center"/>
              <w:rPr>
                <w:rFonts w:ascii="Arial" w:eastAsia="Calibri" w:hAnsi="Arial"/>
                <w:b/>
                <w:sz w:val="16"/>
                <w:szCs w:val="23"/>
              </w:rPr>
            </w:pPr>
            <w:r w:rsidRPr="00AF4B00">
              <w:rPr>
                <w:rFonts w:ascii="Arial" w:eastAsia="Calibri" w:hAnsi="Arial"/>
                <w:b/>
                <w:sz w:val="16"/>
                <w:szCs w:val="23"/>
              </w:rPr>
              <w:t>% of Total</w:t>
            </w:r>
          </w:p>
        </w:tc>
      </w:tr>
      <w:tr w:rsidR="00AF4B00" w:rsidRPr="00AF4B00" w:rsidTr="00AF4B00">
        <w:trPr>
          <w:trHeight w:val="216"/>
          <w:jc w:val="center"/>
        </w:trPr>
        <w:tc>
          <w:tcPr>
            <w:tcW w:w="1202" w:type="dxa"/>
            <w:tcBorders>
              <w:top w:val="nil"/>
              <w:left w:val="single" w:sz="4" w:space="0" w:color="009900"/>
              <w:bottom w:val="nil"/>
              <w:right w:val="nil"/>
            </w:tcBorders>
            <w:shd w:val="clear" w:color="000000" w:fill="FFFFE1"/>
            <w:noWrap/>
            <w:vAlign w:val="center"/>
            <w:hideMark/>
          </w:tcPr>
          <w:p w:rsidR="00AF4B00" w:rsidRPr="00AF4B00" w:rsidRDefault="00AF4B00" w:rsidP="00AF4B00">
            <w:pPr>
              <w:suppressAutoHyphens/>
              <w:rPr>
                <w:rFonts w:ascii="Arial" w:eastAsia="Calibri" w:hAnsi="Arial"/>
                <w:sz w:val="16"/>
                <w:szCs w:val="23"/>
              </w:rPr>
            </w:pPr>
            <w:r w:rsidRPr="00AF4B00">
              <w:rPr>
                <w:rFonts w:ascii="Arial" w:eastAsia="Calibri" w:hAnsi="Arial"/>
                <w:sz w:val="16"/>
                <w:szCs w:val="23"/>
              </w:rPr>
              <w:t>Under 6</w:t>
            </w:r>
          </w:p>
        </w:tc>
        <w:tc>
          <w:tcPr>
            <w:tcW w:w="1726"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noProof/>
                <w:sz w:val="16"/>
                <w:szCs w:val="23"/>
              </w:rPr>
              <w:t>42,736</w:t>
            </w:r>
          </w:p>
        </w:tc>
        <w:tc>
          <w:tcPr>
            <w:tcW w:w="999"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noProof/>
                <w:sz w:val="16"/>
                <w:szCs w:val="23"/>
              </w:rPr>
              <w:t>13.0</w:t>
            </w:r>
            <w:r w:rsidRPr="00AF4B00">
              <w:rPr>
                <w:rFonts w:ascii="Arial" w:eastAsia="Calibri" w:hAnsi="Arial" w:cs="Arial"/>
                <w:sz w:val="16"/>
                <w:szCs w:val="16"/>
              </w:rPr>
              <w:t>%</w:t>
            </w:r>
          </w:p>
        </w:tc>
        <w:tc>
          <w:tcPr>
            <w:tcW w:w="1842"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cs="Arial"/>
                <w:noProof/>
                <w:sz w:val="16"/>
                <w:szCs w:val="16"/>
              </w:rPr>
              <w:t>54,386</w:t>
            </w:r>
          </w:p>
        </w:tc>
        <w:tc>
          <w:tcPr>
            <w:tcW w:w="1046" w:type="dxa"/>
            <w:tcBorders>
              <w:top w:val="nil"/>
              <w:left w:val="nil"/>
              <w:bottom w:val="nil"/>
              <w:right w:val="single" w:sz="4" w:space="0" w:color="009900"/>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cs="Arial"/>
                <w:noProof/>
                <w:sz w:val="16"/>
                <w:szCs w:val="16"/>
              </w:rPr>
              <w:t>13.8</w:t>
            </w:r>
            <w:r w:rsidRPr="00AF4B00">
              <w:rPr>
                <w:rFonts w:ascii="Arial" w:eastAsia="Calibri" w:hAnsi="Arial" w:cs="Arial"/>
                <w:sz w:val="16"/>
                <w:szCs w:val="16"/>
              </w:rPr>
              <w:t>%</w:t>
            </w:r>
          </w:p>
        </w:tc>
      </w:tr>
      <w:tr w:rsidR="00AF4B00" w:rsidRPr="00AF4B00" w:rsidTr="00AF4B00">
        <w:trPr>
          <w:trHeight w:val="216"/>
          <w:jc w:val="center"/>
        </w:trPr>
        <w:tc>
          <w:tcPr>
            <w:tcW w:w="1202" w:type="dxa"/>
            <w:tcBorders>
              <w:top w:val="nil"/>
              <w:left w:val="single" w:sz="4" w:space="0" w:color="009900"/>
              <w:bottom w:val="nil"/>
              <w:right w:val="nil"/>
            </w:tcBorders>
            <w:shd w:val="clear" w:color="000000" w:fill="FFFFE1"/>
            <w:noWrap/>
            <w:vAlign w:val="center"/>
            <w:hideMark/>
          </w:tcPr>
          <w:p w:rsidR="00AF4B00" w:rsidRPr="00AF4B00" w:rsidRDefault="00AF4B00" w:rsidP="00AF4B00">
            <w:pPr>
              <w:suppressAutoHyphens/>
              <w:rPr>
                <w:rFonts w:ascii="Arial" w:eastAsia="Calibri" w:hAnsi="Arial"/>
                <w:sz w:val="16"/>
                <w:szCs w:val="23"/>
              </w:rPr>
            </w:pPr>
            <w:r w:rsidRPr="00AF4B00">
              <w:rPr>
                <w:rFonts w:ascii="Arial" w:eastAsia="Calibri" w:hAnsi="Arial"/>
                <w:sz w:val="16"/>
                <w:szCs w:val="23"/>
              </w:rPr>
              <w:t>6 to 17</w:t>
            </w:r>
          </w:p>
        </w:tc>
        <w:tc>
          <w:tcPr>
            <w:tcW w:w="1726"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noProof/>
                <w:sz w:val="16"/>
                <w:szCs w:val="23"/>
              </w:rPr>
              <w:t>82,482</w:t>
            </w:r>
          </w:p>
        </w:tc>
        <w:tc>
          <w:tcPr>
            <w:tcW w:w="999"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noProof/>
                <w:sz w:val="16"/>
                <w:szCs w:val="23"/>
              </w:rPr>
              <w:t>25.1</w:t>
            </w:r>
            <w:r w:rsidRPr="00AF4B00">
              <w:rPr>
                <w:rFonts w:ascii="Arial" w:eastAsia="Calibri" w:hAnsi="Arial" w:cs="Arial"/>
                <w:sz w:val="16"/>
                <w:szCs w:val="16"/>
              </w:rPr>
              <w:t>%</w:t>
            </w:r>
          </w:p>
        </w:tc>
        <w:tc>
          <w:tcPr>
            <w:tcW w:w="1842"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cs="Arial"/>
                <w:noProof/>
                <w:sz w:val="16"/>
                <w:szCs w:val="16"/>
              </w:rPr>
              <w:t>86,437</w:t>
            </w:r>
          </w:p>
        </w:tc>
        <w:tc>
          <w:tcPr>
            <w:tcW w:w="1046" w:type="dxa"/>
            <w:tcBorders>
              <w:top w:val="nil"/>
              <w:left w:val="nil"/>
              <w:bottom w:val="nil"/>
              <w:right w:val="single" w:sz="4" w:space="0" w:color="009900"/>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cs="Arial"/>
                <w:noProof/>
                <w:sz w:val="16"/>
                <w:szCs w:val="16"/>
              </w:rPr>
              <w:t>22.0</w:t>
            </w:r>
            <w:r w:rsidRPr="00AF4B00">
              <w:rPr>
                <w:rFonts w:ascii="Arial" w:eastAsia="Calibri" w:hAnsi="Arial" w:cs="Arial"/>
                <w:sz w:val="16"/>
                <w:szCs w:val="16"/>
              </w:rPr>
              <w:t>%</w:t>
            </w:r>
          </w:p>
        </w:tc>
      </w:tr>
      <w:tr w:rsidR="00AF4B00" w:rsidRPr="00AF4B00" w:rsidTr="00AF4B00">
        <w:trPr>
          <w:trHeight w:val="216"/>
          <w:jc w:val="center"/>
        </w:trPr>
        <w:tc>
          <w:tcPr>
            <w:tcW w:w="1202" w:type="dxa"/>
            <w:tcBorders>
              <w:top w:val="nil"/>
              <w:left w:val="single" w:sz="4" w:space="0" w:color="009900"/>
              <w:bottom w:val="nil"/>
              <w:right w:val="nil"/>
            </w:tcBorders>
            <w:shd w:val="clear" w:color="000000" w:fill="FFFFE1"/>
            <w:noWrap/>
            <w:vAlign w:val="center"/>
            <w:hideMark/>
          </w:tcPr>
          <w:p w:rsidR="00AF4B00" w:rsidRPr="00AF4B00" w:rsidRDefault="00AF4B00" w:rsidP="00AF4B00">
            <w:pPr>
              <w:suppressAutoHyphens/>
              <w:rPr>
                <w:rFonts w:ascii="Arial" w:eastAsia="Calibri" w:hAnsi="Arial"/>
                <w:sz w:val="16"/>
                <w:szCs w:val="23"/>
              </w:rPr>
            </w:pPr>
            <w:r w:rsidRPr="00AF4B00">
              <w:rPr>
                <w:rFonts w:ascii="Arial" w:eastAsia="Calibri" w:hAnsi="Arial"/>
                <w:sz w:val="16"/>
                <w:szCs w:val="23"/>
              </w:rPr>
              <w:t>18 to 64</w:t>
            </w:r>
          </w:p>
        </w:tc>
        <w:tc>
          <w:tcPr>
            <w:tcW w:w="1726"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noProof/>
                <w:sz w:val="16"/>
                <w:szCs w:val="23"/>
              </w:rPr>
              <w:t>177,374</w:t>
            </w:r>
          </w:p>
        </w:tc>
        <w:tc>
          <w:tcPr>
            <w:tcW w:w="999"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noProof/>
                <w:sz w:val="16"/>
                <w:szCs w:val="23"/>
              </w:rPr>
              <w:t>53.9</w:t>
            </w:r>
            <w:r w:rsidRPr="00AF4B00">
              <w:rPr>
                <w:rFonts w:ascii="Arial" w:eastAsia="Calibri" w:hAnsi="Arial" w:cs="Arial"/>
                <w:sz w:val="16"/>
                <w:szCs w:val="16"/>
              </w:rPr>
              <w:t>%</w:t>
            </w:r>
          </w:p>
        </w:tc>
        <w:tc>
          <w:tcPr>
            <w:tcW w:w="1842" w:type="dxa"/>
            <w:tcBorders>
              <w:top w:val="nil"/>
              <w:left w:val="nil"/>
              <w:bottom w:val="nil"/>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cs="Arial"/>
                <w:noProof/>
                <w:sz w:val="16"/>
                <w:szCs w:val="16"/>
              </w:rPr>
              <w:t>219,225</w:t>
            </w:r>
          </w:p>
        </w:tc>
        <w:tc>
          <w:tcPr>
            <w:tcW w:w="1046" w:type="dxa"/>
            <w:tcBorders>
              <w:top w:val="nil"/>
              <w:left w:val="nil"/>
              <w:bottom w:val="nil"/>
              <w:right w:val="single" w:sz="4" w:space="0" w:color="009900"/>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cs="Arial"/>
                <w:noProof/>
                <w:sz w:val="16"/>
                <w:szCs w:val="16"/>
              </w:rPr>
              <w:t>55.8</w:t>
            </w:r>
            <w:r w:rsidRPr="00AF4B00">
              <w:rPr>
                <w:rFonts w:ascii="Arial" w:eastAsia="Calibri" w:hAnsi="Arial" w:cs="Arial"/>
                <w:sz w:val="16"/>
                <w:szCs w:val="16"/>
              </w:rPr>
              <w:t>%</w:t>
            </w:r>
          </w:p>
        </w:tc>
      </w:tr>
      <w:tr w:rsidR="00AF4B00" w:rsidRPr="00AF4B00" w:rsidTr="00AF4B00">
        <w:trPr>
          <w:trHeight w:val="216"/>
          <w:jc w:val="center"/>
        </w:trPr>
        <w:tc>
          <w:tcPr>
            <w:tcW w:w="1202" w:type="dxa"/>
            <w:tcBorders>
              <w:top w:val="nil"/>
              <w:left w:val="single" w:sz="4" w:space="0" w:color="009900"/>
              <w:bottom w:val="nil"/>
              <w:right w:val="nil"/>
            </w:tcBorders>
            <w:shd w:val="clear" w:color="000000" w:fill="FFFFE1"/>
            <w:noWrap/>
            <w:vAlign w:val="center"/>
            <w:hideMark/>
          </w:tcPr>
          <w:p w:rsidR="00AF4B00" w:rsidRPr="00AF4B00" w:rsidRDefault="00AF4B00" w:rsidP="00AF4B00">
            <w:pPr>
              <w:suppressAutoHyphens/>
              <w:rPr>
                <w:rFonts w:ascii="Arial" w:eastAsia="Calibri" w:hAnsi="Arial"/>
                <w:sz w:val="16"/>
                <w:szCs w:val="23"/>
              </w:rPr>
            </w:pPr>
            <w:r w:rsidRPr="00AF4B00">
              <w:rPr>
                <w:rFonts w:ascii="Arial" w:eastAsia="Calibri" w:hAnsi="Arial"/>
                <w:sz w:val="16"/>
                <w:szCs w:val="23"/>
              </w:rPr>
              <w:t>65 or Older</w:t>
            </w:r>
          </w:p>
        </w:tc>
        <w:tc>
          <w:tcPr>
            <w:tcW w:w="1726" w:type="dxa"/>
            <w:tcBorders>
              <w:top w:val="nil"/>
              <w:left w:val="nil"/>
              <w:bottom w:val="double" w:sz="6" w:space="0" w:color="0099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noProof/>
                <w:sz w:val="16"/>
                <w:szCs w:val="23"/>
              </w:rPr>
              <w:t>26,341</w:t>
            </w:r>
          </w:p>
        </w:tc>
        <w:tc>
          <w:tcPr>
            <w:tcW w:w="999" w:type="dxa"/>
            <w:tcBorders>
              <w:top w:val="nil"/>
              <w:left w:val="nil"/>
              <w:bottom w:val="double" w:sz="6" w:space="0" w:color="0099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noProof/>
                <w:sz w:val="16"/>
                <w:szCs w:val="23"/>
              </w:rPr>
              <w:t>8.0</w:t>
            </w:r>
            <w:r w:rsidRPr="00AF4B00">
              <w:rPr>
                <w:rFonts w:ascii="Arial" w:eastAsia="Calibri" w:hAnsi="Arial" w:cs="Arial"/>
                <w:sz w:val="16"/>
                <w:szCs w:val="16"/>
              </w:rPr>
              <w:t>%</w:t>
            </w:r>
          </w:p>
        </w:tc>
        <w:tc>
          <w:tcPr>
            <w:tcW w:w="1842" w:type="dxa"/>
            <w:tcBorders>
              <w:top w:val="nil"/>
              <w:left w:val="nil"/>
              <w:bottom w:val="double" w:sz="6" w:space="0" w:color="0099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cs="Arial"/>
                <w:noProof/>
                <w:sz w:val="16"/>
                <w:szCs w:val="16"/>
              </w:rPr>
              <w:t>33,091</w:t>
            </w:r>
          </w:p>
        </w:tc>
        <w:tc>
          <w:tcPr>
            <w:tcW w:w="1046" w:type="dxa"/>
            <w:tcBorders>
              <w:top w:val="nil"/>
              <w:left w:val="nil"/>
              <w:bottom w:val="double" w:sz="6" w:space="0" w:color="009900"/>
              <w:right w:val="single" w:sz="4" w:space="0" w:color="009900"/>
            </w:tcBorders>
            <w:shd w:val="clear" w:color="000000" w:fill="FFFFE1"/>
            <w:noWrap/>
            <w:vAlign w:val="center"/>
            <w:hideMark/>
          </w:tcPr>
          <w:p w:rsidR="00AF4B00" w:rsidRPr="00AF4B00" w:rsidRDefault="00AF4B00" w:rsidP="00AF4B00">
            <w:pPr>
              <w:suppressAutoHyphens/>
              <w:jc w:val="center"/>
              <w:rPr>
                <w:rFonts w:ascii="Arial" w:eastAsia="Calibri" w:hAnsi="Arial" w:cs="Arial"/>
                <w:sz w:val="16"/>
                <w:szCs w:val="16"/>
              </w:rPr>
            </w:pPr>
            <w:r w:rsidRPr="00AF4B00">
              <w:rPr>
                <w:rFonts w:ascii="Arial" w:eastAsia="Calibri" w:hAnsi="Arial" w:cs="Arial"/>
                <w:noProof/>
                <w:sz w:val="16"/>
                <w:szCs w:val="16"/>
              </w:rPr>
              <w:t>8.4</w:t>
            </w:r>
            <w:r w:rsidRPr="00AF4B00">
              <w:rPr>
                <w:rFonts w:ascii="Arial" w:eastAsia="Calibri" w:hAnsi="Arial" w:cs="Arial"/>
                <w:sz w:val="16"/>
                <w:szCs w:val="16"/>
              </w:rPr>
              <w:t>%</w:t>
            </w:r>
          </w:p>
        </w:tc>
      </w:tr>
      <w:tr w:rsidR="00AF4B00" w:rsidRPr="00AF4B00" w:rsidTr="00AF4B00">
        <w:trPr>
          <w:trHeight w:val="216"/>
          <w:jc w:val="center"/>
        </w:trPr>
        <w:tc>
          <w:tcPr>
            <w:tcW w:w="1202" w:type="dxa"/>
            <w:tcBorders>
              <w:top w:val="double" w:sz="6" w:space="0" w:color="009900"/>
              <w:left w:val="single" w:sz="4" w:space="0" w:color="009900"/>
              <w:bottom w:val="dotted" w:sz="4" w:space="0" w:color="009900"/>
              <w:right w:val="nil"/>
            </w:tcBorders>
            <w:shd w:val="clear" w:color="000000" w:fill="FFFFE1"/>
            <w:noWrap/>
            <w:vAlign w:val="center"/>
            <w:hideMark/>
          </w:tcPr>
          <w:p w:rsidR="00AF4B00" w:rsidRPr="00AF4B00" w:rsidRDefault="00AF4B00" w:rsidP="00AF4B00">
            <w:pPr>
              <w:suppressAutoHyphens/>
              <w:rPr>
                <w:rFonts w:ascii="Arial" w:eastAsia="Calibri" w:hAnsi="Arial"/>
                <w:b/>
                <w:sz w:val="16"/>
                <w:szCs w:val="23"/>
              </w:rPr>
            </w:pPr>
            <w:r w:rsidRPr="00AF4B00">
              <w:rPr>
                <w:rFonts w:ascii="Arial" w:eastAsia="Calibri" w:hAnsi="Arial"/>
                <w:b/>
                <w:sz w:val="16"/>
                <w:szCs w:val="23"/>
              </w:rPr>
              <w:t>Total</w:t>
            </w:r>
          </w:p>
        </w:tc>
        <w:tc>
          <w:tcPr>
            <w:tcW w:w="1726" w:type="dxa"/>
            <w:tcBorders>
              <w:top w:val="nil"/>
              <w:left w:val="nil"/>
              <w:bottom w:val="dotted" w:sz="4" w:space="0" w:color="0099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b/>
                <w:bCs/>
                <w:sz w:val="16"/>
                <w:szCs w:val="16"/>
              </w:rPr>
            </w:pPr>
            <w:r w:rsidRPr="00AF4B00">
              <w:rPr>
                <w:rFonts w:ascii="Arial" w:eastAsia="Calibri" w:hAnsi="Arial"/>
                <w:b/>
                <w:noProof/>
                <w:sz w:val="16"/>
                <w:szCs w:val="23"/>
              </w:rPr>
              <w:t>328,933</w:t>
            </w:r>
          </w:p>
        </w:tc>
        <w:tc>
          <w:tcPr>
            <w:tcW w:w="999" w:type="dxa"/>
            <w:tcBorders>
              <w:top w:val="nil"/>
              <w:left w:val="nil"/>
              <w:bottom w:val="dotted" w:sz="4" w:space="0" w:color="0099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b/>
                <w:sz w:val="16"/>
                <w:szCs w:val="23"/>
              </w:rPr>
            </w:pPr>
            <w:r w:rsidRPr="00AF4B00">
              <w:rPr>
                <w:rFonts w:ascii="Arial" w:eastAsia="Calibri" w:hAnsi="Arial"/>
                <w:b/>
                <w:sz w:val="16"/>
                <w:szCs w:val="23"/>
              </w:rPr>
              <w:t>100.0%</w:t>
            </w:r>
          </w:p>
        </w:tc>
        <w:tc>
          <w:tcPr>
            <w:tcW w:w="1842" w:type="dxa"/>
            <w:tcBorders>
              <w:top w:val="nil"/>
              <w:left w:val="nil"/>
              <w:bottom w:val="dotted" w:sz="4" w:space="0" w:color="0099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b/>
                <w:bCs/>
                <w:sz w:val="16"/>
                <w:szCs w:val="16"/>
              </w:rPr>
            </w:pPr>
            <w:r w:rsidRPr="00AF4B00">
              <w:rPr>
                <w:rFonts w:ascii="Arial" w:eastAsia="Calibri" w:hAnsi="Arial" w:cs="Arial"/>
                <w:b/>
                <w:noProof/>
                <w:sz w:val="16"/>
                <w:szCs w:val="16"/>
              </w:rPr>
              <w:t>393,139</w:t>
            </w:r>
          </w:p>
        </w:tc>
        <w:tc>
          <w:tcPr>
            <w:tcW w:w="1046" w:type="dxa"/>
            <w:tcBorders>
              <w:top w:val="nil"/>
              <w:left w:val="nil"/>
              <w:bottom w:val="dotted" w:sz="4" w:space="0" w:color="009900"/>
              <w:right w:val="single" w:sz="4" w:space="0" w:color="009900"/>
            </w:tcBorders>
            <w:shd w:val="clear" w:color="000000" w:fill="FFFFE1"/>
            <w:noWrap/>
            <w:vAlign w:val="center"/>
            <w:hideMark/>
          </w:tcPr>
          <w:p w:rsidR="00AF4B00" w:rsidRPr="00AF4B00" w:rsidRDefault="00AF4B00" w:rsidP="00AF4B00">
            <w:pPr>
              <w:suppressAutoHyphens/>
              <w:jc w:val="center"/>
              <w:rPr>
                <w:rFonts w:ascii="Arial" w:eastAsia="Calibri" w:hAnsi="Arial"/>
                <w:b/>
                <w:bCs/>
                <w:sz w:val="16"/>
                <w:szCs w:val="23"/>
              </w:rPr>
            </w:pPr>
            <w:r w:rsidRPr="00AF4B00">
              <w:rPr>
                <w:rFonts w:ascii="Arial" w:eastAsia="Calibri" w:hAnsi="Arial"/>
                <w:b/>
                <w:sz w:val="16"/>
                <w:szCs w:val="23"/>
              </w:rPr>
              <w:t>100.0%</w:t>
            </w:r>
          </w:p>
        </w:tc>
      </w:tr>
      <w:tr w:rsidR="00AF4B00" w:rsidRPr="00AF4B00" w:rsidTr="00AF4B00">
        <w:trPr>
          <w:trHeight w:val="216"/>
          <w:jc w:val="center"/>
        </w:trPr>
        <w:tc>
          <w:tcPr>
            <w:tcW w:w="1202" w:type="dxa"/>
            <w:tcBorders>
              <w:top w:val="nil"/>
              <w:left w:val="single" w:sz="4" w:space="0" w:color="009900"/>
              <w:bottom w:val="single" w:sz="4" w:space="0" w:color="009900"/>
              <w:right w:val="nil"/>
            </w:tcBorders>
            <w:shd w:val="clear" w:color="000000" w:fill="FFFFE1"/>
            <w:noWrap/>
            <w:vAlign w:val="center"/>
            <w:hideMark/>
          </w:tcPr>
          <w:p w:rsidR="00AF4B00" w:rsidRPr="00AF4B00" w:rsidRDefault="00AF4B00" w:rsidP="00AF4B00">
            <w:pPr>
              <w:suppressAutoHyphens/>
              <w:rPr>
                <w:rFonts w:ascii="Arial" w:eastAsia="Calibri" w:hAnsi="Arial"/>
                <w:b/>
                <w:sz w:val="16"/>
                <w:szCs w:val="23"/>
              </w:rPr>
            </w:pPr>
            <w:r w:rsidRPr="00AF4B00">
              <w:rPr>
                <w:rFonts w:ascii="Arial" w:eastAsia="Calibri" w:hAnsi="Arial"/>
                <w:b/>
                <w:sz w:val="16"/>
                <w:szCs w:val="23"/>
              </w:rPr>
              <w:t>Poverty Rate</w:t>
            </w:r>
          </w:p>
        </w:tc>
        <w:tc>
          <w:tcPr>
            <w:tcW w:w="1726" w:type="dxa"/>
            <w:tcBorders>
              <w:top w:val="nil"/>
              <w:left w:val="nil"/>
              <w:bottom w:val="single" w:sz="4" w:space="0" w:color="0099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b/>
                <w:sz w:val="16"/>
                <w:szCs w:val="16"/>
              </w:rPr>
            </w:pPr>
            <w:r w:rsidRPr="00AF4B00">
              <w:rPr>
                <w:rFonts w:ascii="Arial" w:eastAsia="Calibri" w:hAnsi="Arial"/>
                <w:b/>
                <w:noProof/>
                <w:sz w:val="16"/>
                <w:szCs w:val="23"/>
              </w:rPr>
              <w:t>18.4</w:t>
            </w:r>
            <w:r w:rsidRPr="00AF4B00">
              <w:rPr>
                <w:rFonts w:ascii="Arial" w:eastAsia="Calibri" w:hAnsi="Arial" w:cs="Arial"/>
                <w:b/>
                <w:sz w:val="16"/>
                <w:szCs w:val="16"/>
              </w:rPr>
              <w:t>%</w:t>
            </w:r>
          </w:p>
        </w:tc>
        <w:tc>
          <w:tcPr>
            <w:tcW w:w="999" w:type="dxa"/>
            <w:tcBorders>
              <w:top w:val="nil"/>
              <w:left w:val="nil"/>
              <w:bottom w:val="single" w:sz="4" w:space="0" w:color="0099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b/>
                <w:sz w:val="16"/>
                <w:szCs w:val="23"/>
              </w:rPr>
            </w:pPr>
            <w:r w:rsidRPr="00AF4B00">
              <w:rPr>
                <w:rFonts w:ascii="Arial" w:eastAsia="Calibri" w:hAnsi="Arial"/>
                <w:b/>
                <w:sz w:val="16"/>
                <w:szCs w:val="23"/>
              </w:rPr>
              <w:t>.</w:t>
            </w:r>
          </w:p>
        </w:tc>
        <w:tc>
          <w:tcPr>
            <w:tcW w:w="1842" w:type="dxa"/>
            <w:tcBorders>
              <w:top w:val="nil"/>
              <w:left w:val="nil"/>
              <w:bottom w:val="single" w:sz="4" w:space="0" w:color="009900"/>
              <w:right w:val="nil"/>
            </w:tcBorders>
            <w:shd w:val="clear" w:color="000000" w:fill="FFFFE1"/>
            <w:noWrap/>
            <w:vAlign w:val="center"/>
            <w:hideMark/>
          </w:tcPr>
          <w:p w:rsidR="00AF4B00" w:rsidRPr="00AF4B00" w:rsidRDefault="00AF4B00" w:rsidP="00AF4B00">
            <w:pPr>
              <w:suppressAutoHyphens/>
              <w:jc w:val="center"/>
              <w:rPr>
                <w:rFonts w:ascii="Arial" w:eastAsia="Calibri" w:hAnsi="Arial" w:cs="Arial"/>
                <w:b/>
                <w:sz w:val="16"/>
                <w:szCs w:val="16"/>
              </w:rPr>
            </w:pPr>
            <w:r w:rsidRPr="00AF4B00">
              <w:rPr>
                <w:rFonts w:ascii="Arial" w:eastAsia="Calibri" w:hAnsi="Arial" w:cs="Arial"/>
                <w:b/>
                <w:noProof/>
                <w:sz w:val="16"/>
                <w:szCs w:val="16"/>
              </w:rPr>
              <w:t>19.5</w:t>
            </w:r>
            <w:r w:rsidRPr="00AF4B00">
              <w:rPr>
                <w:rFonts w:ascii="Arial" w:eastAsia="Calibri" w:hAnsi="Arial" w:cs="Arial"/>
                <w:b/>
                <w:sz w:val="16"/>
                <w:szCs w:val="16"/>
              </w:rPr>
              <w:t>%</w:t>
            </w:r>
          </w:p>
        </w:tc>
        <w:tc>
          <w:tcPr>
            <w:tcW w:w="1046" w:type="dxa"/>
            <w:tcBorders>
              <w:top w:val="nil"/>
              <w:left w:val="nil"/>
              <w:bottom w:val="single" w:sz="4" w:space="0" w:color="009900"/>
              <w:right w:val="single" w:sz="4" w:space="0" w:color="009900"/>
            </w:tcBorders>
            <w:shd w:val="clear" w:color="000000" w:fill="FFFFE1"/>
            <w:noWrap/>
            <w:vAlign w:val="center"/>
            <w:hideMark/>
          </w:tcPr>
          <w:p w:rsidR="00AF4B00" w:rsidRPr="00AF4B00" w:rsidRDefault="00AF4B00" w:rsidP="00AF4B00">
            <w:pPr>
              <w:suppressAutoHyphens/>
              <w:jc w:val="center"/>
              <w:rPr>
                <w:rFonts w:ascii="Arial" w:eastAsia="Calibri" w:hAnsi="Arial"/>
                <w:b/>
                <w:sz w:val="16"/>
                <w:szCs w:val="23"/>
              </w:rPr>
            </w:pPr>
            <w:r w:rsidRPr="00AF4B00">
              <w:rPr>
                <w:rFonts w:ascii="Arial" w:eastAsia="Calibri" w:hAnsi="Arial"/>
                <w:b/>
                <w:sz w:val="16"/>
                <w:szCs w:val="23"/>
              </w:rPr>
              <w:t>.</w:t>
            </w:r>
          </w:p>
        </w:tc>
      </w:tr>
    </w:tbl>
    <w:p w:rsidR="00E808A1" w:rsidRPr="0033425C" w:rsidRDefault="00E808A1" w:rsidP="008207B5">
      <w:pPr>
        <w:jc w:val="both"/>
        <w:rPr>
          <w:rFonts w:ascii="CG Omega" w:hAnsi="CG Omega"/>
          <w:highlight w:val="yellow"/>
          <w:lang w:val="en"/>
        </w:rPr>
      </w:pPr>
    </w:p>
    <w:p w:rsidR="00E808A1" w:rsidRPr="00CC5E08" w:rsidRDefault="00CC5E08" w:rsidP="008207B5">
      <w:pPr>
        <w:jc w:val="both"/>
        <w:rPr>
          <w:rFonts w:ascii="CG Omega" w:hAnsi="CG Omega"/>
        </w:rPr>
      </w:pPr>
      <w:r>
        <w:rPr>
          <w:rFonts w:ascii="CG Omega" w:hAnsi="CG Omega"/>
        </w:rPr>
        <w:t>In 2000</w:t>
      </w:r>
      <w:r w:rsidR="00A56206">
        <w:rPr>
          <w:rFonts w:ascii="CG Omega" w:hAnsi="CG Omega"/>
        </w:rPr>
        <w:t xml:space="preserve">, particularly high rates of poverty were observed in Census tracts throughout McKinley County, as well </w:t>
      </w:r>
      <w:r w:rsidR="00E808A1">
        <w:rPr>
          <w:rFonts w:ascii="CG Omega" w:hAnsi="CG Omega"/>
        </w:rPr>
        <w:t>as in the n</w:t>
      </w:r>
      <w:r w:rsidR="00A56206">
        <w:rPr>
          <w:rFonts w:ascii="CG Omega" w:hAnsi="CG Omega"/>
        </w:rPr>
        <w:t>orthwestern portion of Sandoval County</w:t>
      </w:r>
      <w:r w:rsidR="00BA76C7">
        <w:rPr>
          <w:rFonts w:ascii="CG Omega" w:hAnsi="CG Omega"/>
        </w:rPr>
        <w:t xml:space="preserve"> and Socorro County, as s</w:t>
      </w:r>
      <w:r w:rsidR="00E808A1">
        <w:rPr>
          <w:rFonts w:ascii="CG Omega" w:hAnsi="CG Omega"/>
        </w:rPr>
        <w:t>ee</w:t>
      </w:r>
      <w:r w:rsidR="00BA76C7">
        <w:rPr>
          <w:rFonts w:ascii="CG Omega" w:hAnsi="CG Omega"/>
        </w:rPr>
        <w:t>n in</w:t>
      </w:r>
      <w:r w:rsidR="00E808A1">
        <w:rPr>
          <w:rFonts w:ascii="CG Omega" w:hAnsi="CG Omega"/>
        </w:rPr>
        <w:t xml:space="preserve"> </w:t>
      </w:r>
      <w:r w:rsidR="00E808A1" w:rsidRPr="00974E80">
        <w:rPr>
          <w:rFonts w:ascii="CG Omega" w:hAnsi="CG Omega"/>
          <w:b/>
        </w:rPr>
        <w:t>Map III.10</w:t>
      </w:r>
      <w:r w:rsidR="00EA4494">
        <w:rPr>
          <w:rFonts w:ascii="CG Omega" w:hAnsi="CG Omega"/>
        </w:rPr>
        <w:t xml:space="preserve"> on the following page</w:t>
      </w:r>
      <w:r w:rsidR="00A56206">
        <w:rPr>
          <w:rFonts w:ascii="CG Omega" w:hAnsi="CG Omega"/>
        </w:rPr>
        <w:t xml:space="preserve">. </w:t>
      </w:r>
      <w:r w:rsidR="00E808A1">
        <w:rPr>
          <w:rFonts w:ascii="CG Omega" w:hAnsi="CG Omega"/>
        </w:rPr>
        <w:t xml:space="preserve">In some of these areas, roughly three quarters of the population were living in poverty. Though poverty tended to be concentrated in the northwest of the state in 2000, poverty rates were above the disproportionate share threshold of 28.0 in several areas in the south of the state, </w:t>
      </w:r>
      <w:r w:rsidR="002F068A">
        <w:rPr>
          <w:rFonts w:ascii="CG Omega" w:hAnsi="CG Omega"/>
        </w:rPr>
        <w:t>ranging</w:t>
      </w:r>
      <w:r w:rsidR="00E808A1">
        <w:rPr>
          <w:rFonts w:ascii="CG Omega" w:hAnsi="CG Omega"/>
        </w:rPr>
        <w:t xml:space="preserve"> from 28.1 to 44.1 percent in large rural areas encompassing all of Luna County, most of Otero County, and substantial portions of Doña Ana County.</w:t>
      </w:r>
      <w:r w:rsidR="004F7921">
        <w:rPr>
          <w:rFonts w:ascii="CG Omega" w:hAnsi="CG Omega"/>
        </w:rPr>
        <w:t xml:space="preserve"> </w:t>
      </w:r>
      <w:r w:rsidR="002F068A">
        <w:rPr>
          <w:rFonts w:ascii="CG Omega" w:hAnsi="CG Omega"/>
        </w:rPr>
        <w:t xml:space="preserve">As noted, the overall distribution of </w:t>
      </w:r>
      <w:r w:rsidR="004F7921">
        <w:rPr>
          <w:rFonts w:ascii="CG Omega" w:hAnsi="CG Omega"/>
        </w:rPr>
        <w:t>relatively high-</w:t>
      </w:r>
      <w:r w:rsidR="002F068A">
        <w:rPr>
          <w:rFonts w:ascii="CG Omega" w:hAnsi="CG Omega"/>
        </w:rPr>
        <w:t xml:space="preserve">poverty </w:t>
      </w:r>
      <w:r w:rsidR="004F7921">
        <w:rPr>
          <w:rFonts w:ascii="CG Omega" w:hAnsi="CG Omega"/>
        </w:rPr>
        <w:t xml:space="preserve">Census tracts </w:t>
      </w:r>
      <w:r w:rsidR="002F068A">
        <w:rPr>
          <w:rFonts w:ascii="CG Omega" w:hAnsi="CG Omega"/>
        </w:rPr>
        <w:t>in New Mexico had not</w:t>
      </w:r>
      <w:r w:rsidR="004F7921">
        <w:rPr>
          <w:rFonts w:ascii="CG Omega" w:hAnsi="CG Omega"/>
        </w:rPr>
        <w:t xml:space="preserve"> changed substantially by 2012.</w:t>
      </w:r>
      <w:r w:rsidR="00F15081">
        <w:rPr>
          <w:rFonts w:ascii="CG Omega" w:hAnsi="CG Omega"/>
        </w:rPr>
        <w:t xml:space="preserve"> The poverty rate by census tract for 2012 can be seen in </w:t>
      </w:r>
      <w:r w:rsidR="00F15081" w:rsidRPr="0033425C">
        <w:rPr>
          <w:rFonts w:ascii="CG Omega" w:hAnsi="CG Omega"/>
          <w:b/>
        </w:rPr>
        <w:t>Map III.11</w:t>
      </w:r>
      <w:r w:rsidR="00EA4494">
        <w:rPr>
          <w:rFonts w:ascii="CG Omega" w:hAnsi="CG Omega"/>
        </w:rPr>
        <w:t xml:space="preserve"> on page </w:t>
      </w:r>
      <w:r w:rsidR="0033425C">
        <w:rPr>
          <w:rFonts w:ascii="CG Omega" w:hAnsi="CG Omega"/>
        </w:rPr>
        <w:t>49</w:t>
      </w:r>
      <w:r w:rsidR="00F15081">
        <w:rPr>
          <w:rFonts w:ascii="CG Omega" w:hAnsi="CG Omega"/>
        </w:rPr>
        <w:t>.</w:t>
      </w:r>
    </w:p>
    <w:p w:rsidR="00804992" w:rsidRPr="005049D4" w:rsidRDefault="008E2483" w:rsidP="001318CF">
      <w:pPr>
        <w:jc w:val="center"/>
        <w:rPr>
          <w:rFonts w:ascii="Arial" w:hAnsi="Arial" w:cs="Arial"/>
          <w:b/>
          <w:sz w:val="23"/>
          <w:szCs w:val="23"/>
        </w:rPr>
      </w:pPr>
      <w:r>
        <w:rPr>
          <w:rFonts w:ascii="Arial" w:hAnsi="Arial" w:cs="Arial"/>
          <w:b/>
          <w:sz w:val="23"/>
          <w:szCs w:val="23"/>
          <w:highlight w:val="yellow"/>
        </w:rPr>
        <w:br w:type="page"/>
      </w:r>
      <w:r w:rsidR="006028F7">
        <w:rPr>
          <w:rFonts w:ascii="Arial" w:hAnsi="Arial" w:cs="Arial"/>
          <w:b/>
          <w:sz w:val="23"/>
          <w:szCs w:val="23"/>
        </w:rPr>
        <w:t>Map III.10</w:t>
      </w:r>
    </w:p>
    <w:p w:rsidR="00804992" w:rsidRPr="005049D4" w:rsidRDefault="00804992" w:rsidP="00804992">
      <w:pPr>
        <w:widowControl w:val="0"/>
        <w:jc w:val="center"/>
        <w:rPr>
          <w:rFonts w:ascii="Arial" w:hAnsi="Arial" w:cs="Arial"/>
          <w:b/>
          <w:sz w:val="20"/>
          <w:szCs w:val="20"/>
        </w:rPr>
      </w:pPr>
      <w:r w:rsidRPr="005049D4">
        <w:rPr>
          <w:rFonts w:ascii="Arial" w:hAnsi="Arial" w:cs="Arial"/>
          <w:b/>
          <w:sz w:val="20"/>
          <w:szCs w:val="20"/>
        </w:rPr>
        <w:t>Poverty Rate by Census Tract</w:t>
      </w:r>
    </w:p>
    <w:p w:rsidR="00A02123" w:rsidRPr="005049D4" w:rsidRDefault="00834F30" w:rsidP="00A02123">
      <w:pPr>
        <w:jc w:val="center"/>
        <w:rPr>
          <w:rFonts w:ascii="Arial" w:hAnsi="Arial" w:cs="Arial"/>
          <w:bCs/>
          <w:sz w:val="16"/>
          <w:szCs w:val="16"/>
        </w:rPr>
      </w:pPr>
      <w:r w:rsidRPr="005049D4">
        <w:rPr>
          <w:rFonts w:ascii="Arial" w:hAnsi="Arial" w:cs="Arial"/>
          <w:bCs/>
          <w:sz w:val="16"/>
          <w:szCs w:val="16"/>
        </w:rPr>
        <w:t>State of New Mexico</w:t>
      </w:r>
    </w:p>
    <w:p w:rsidR="00804992" w:rsidRPr="005049D4" w:rsidRDefault="00804992" w:rsidP="00804992">
      <w:pPr>
        <w:widowControl w:val="0"/>
        <w:jc w:val="center"/>
        <w:rPr>
          <w:rFonts w:ascii="Arial" w:hAnsi="Arial" w:cs="Arial"/>
          <w:sz w:val="16"/>
          <w:szCs w:val="16"/>
        </w:rPr>
      </w:pPr>
      <w:r w:rsidRPr="005049D4">
        <w:rPr>
          <w:rFonts w:ascii="Arial" w:hAnsi="Arial" w:cs="Arial"/>
          <w:sz w:val="16"/>
          <w:szCs w:val="16"/>
        </w:rPr>
        <w:t>2000 Census</w:t>
      </w:r>
      <w:r w:rsidR="00CE7680" w:rsidRPr="005049D4">
        <w:rPr>
          <w:rFonts w:ascii="Arial" w:hAnsi="Arial" w:cs="Arial"/>
          <w:sz w:val="16"/>
          <w:szCs w:val="16"/>
        </w:rPr>
        <w:t xml:space="preserve"> Data</w:t>
      </w:r>
    </w:p>
    <w:p w:rsidR="00607115" w:rsidRPr="00955C8C" w:rsidRDefault="008168AF" w:rsidP="00804992">
      <w:pPr>
        <w:widowControl w:val="0"/>
        <w:jc w:val="center"/>
        <w:rPr>
          <w:sz w:val="12"/>
          <w:szCs w:val="12"/>
          <w:highlight w:val="yellow"/>
        </w:rPr>
      </w:pPr>
      <w:r>
        <w:rPr>
          <w:noProof/>
        </w:rPr>
        <w:drawing>
          <wp:inline distT="0" distB="0" distL="0" distR="0" wp14:anchorId="6B757F8D" wp14:editId="15AB4387">
            <wp:extent cx="5257800" cy="6991350"/>
            <wp:effectExtent l="0" t="0" r="0" b="0"/>
            <wp:docPr id="17" name="Picture 17" descr="NMMFA03_2000_Pove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MMFA03_2000_Poverty"/>
                    <pic:cNvPicPr>
                      <a:picLocks noChangeAspect="1" noChangeArrowheads="1"/>
                    </pic:cNvPicPr>
                  </pic:nvPicPr>
                  <pic:blipFill>
                    <a:blip r:embed="rId38" cstate="print">
                      <a:extLst>
                        <a:ext uri="{28A0092B-C50C-407E-A947-70E740481C1C}">
                          <a14:useLocalDpi xmlns:a14="http://schemas.microsoft.com/office/drawing/2010/main" val="0"/>
                        </a:ext>
                      </a:extLst>
                    </a:blip>
                    <a:srcRect l="5379" t="4713" r="5957" b="4378"/>
                    <a:stretch>
                      <a:fillRect/>
                    </a:stretch>
                  </pic:blipFill>
                  <pic:spPr bwMode="auto">
                    <a:xfrm>
                      <a:off x="0" y="0"/>
                      <a:ext cx="5257800" cy="6991350"/>
                    </a:xfrm>
                    <a:prstGeom prst="rect">
                      <a:avLst/>
                    </a:prstGeom>
                    <a:noFill/>
                    <a:ln>
                      <a:noFill/>
                    </a:ln>
                  </pic:spPr>
                </pic:pic>
              </a:graphicData>
            </a:graphic>
          </wp:inline>
        </w:drawing>
      </w:r>
    </w:p>
    <w:p w:rsidR="005049D4" w:rsidRPr="005049D4" w:rsidRDefault="008E2483" w:rsidP="005049D4">
      <w:pPr>
        <w:jc w:val="center"/>
        <w:rPr>
          <w:rFonts w:ascii="Arial" w:hAnsi="Arial" w:cs="Arial"/>
          <w:b/>
          <w:sz w:val="23"/>
          <w:szCs w:val="23"/>
        </w:rPr>
      </w:pPr>
      <w:r>
        <w:rPr>
          <w:highlight w:val="yellow"/>
        </w:rPr>
        <w:br w:type="page"/>
      </w:r>
      <w:r w:rsidR="006028F7">
        <w:rPr>
          <w:rFonts w:ascii="Arial" w:hAnsi="Arial" w:cs="Arial"/>
          <w:b/>
          <w:sz w:val="23"/>
          <w:szCs w:val="23"/>
        </w:rPr>
        <w:t>Map III.11</w:t>
      </w:r>
    </w:p>
    <w:p w:rsidR="005049D4" w:rsidRPr="005049D4" w:rsidRDefault="005049D4" w:rsidP="005049D4">
      <w:pPr>
        <w:widowControl w:val="0"/>
        <w:jc w:val="center"/>
        <w:rPr>
          <w:rFonts w:ascii="Arial" w:hAnsi="Arial" w:cs="Arial"/>
          <w:b/>
          <w:sz w:val="20"/>
          <w:szCs w:val="20"/>
        </w:rPr>
      </w:pPr>
      <w:r w:rsidRPr="005049D4">
        <w:rPr>
          <w:rFonts w:ascii="Arial" w:hAnsi="Arial" w:cs="Arial"/>
          <w:b/>
          <w:sz w:val="20"/>
          <w:szCs w:val="20"/>
        </w:rPr>
        <w:t>Poverty Rate by Census Tract</w:t>
      </w:r>
    </w:p>
    <w:p w:rsidR="005049D4" w:rsidRPr="005049D4" w:rsidRDefault="005049D4" w:rsidP="005049D4">
      <w:pPr>
        <w:jc w:val="center"/>
        <w:rPr>
          <w:rFonts w:ascii="Arial" w:hAnsi="Arial" w:cs="Arial"/>
          <w:bCs/>
          <w:sz w:val="16"/>
          <w:szCs w:val="16"/>
        </w:rPr>
      </w:pPr>
      <w:r w:rsidRPr="005049D4">
        <w:rPr>
          <w:rFonts w:ascii="Arial" w:hAnsi="Arial" w:cs="Arial"/>
          <w:bCs/>
          <w:sz w:val="16"/>
          <w:szCs w:val="16"/>
        </w:rPr>
        <w:t>State of New Mexico</w:t>
      </w:r>
    </w:p>
    <w:p w:rsidR="005049D4" w:rsidRDefault="005049D4" w:rsidP="005049D4">
      <w:pPr>
        <w:widowControl w:val="0"/>
        <w:jc w:val="center"/>
        <w:rPr>
          <w:rFonts w:ascii="Arial" w:hAnsi="Arial" w:cs="Arial"/>
          <w:sz w:val="16"/>
          <w:szCs w:val="16"/>
        </w:rPr>
      </w:pPr>
      <w:r>
        <w:rPr>
          <w:rFonts w:ascii="Arial" w:hAnsi="Arial" w:cs="Arial"/>
          <w:sz w:val="16"/>
          <w:szCs w:val="16"/>
        </w:rPr>
        <w:t>201</w:t>
      </w:r>
      <w:r w:rsidR="00E207CC">
        <w:rPr>
          <w:rFonts w:ascii="Arial" w:hAnsi="Arial" w:cs="Arial"/>
          <w:sz w:val="16"/>
          <w:szCs w:val="16"/>
        </w:rPr>
        <w:t>2 American Community Survey</w:t>
      </w:r>
    </w:p>
    <w:p w:rsidR="005049D4" w:rsidRPr="005049D4" w:rsidRDefault="008168AF" w:rsidP="005049D4">
      <w:pPr>
        <w:widowControl w:val="0"/>
        <w:jc w:val="center"/>
        <w:rPr>
          <w:rFonts w:ascii="Arial" w:hAnsi="Arial" w:cs="Arial"/>
          <w:sz w:val="16"/>
          <w:szCs w:val="16"/>
        </w:rPr>
      </w:pPr>
      <w:r>
        <w:rPr>
          <w:noProof/>
        </w:rPr>
        <w:drawing>
          <wp:inline distT="0" distB="0" distL="0" distR="0" wp14:anchorId="664A5CE5" wp14:editId="4DDAA8A3">
            <wp:extent cx="5257800" cy="7010400"/>
            <wp:effectExtent l="0" t="0" r="0" b="0"/>
            <wp:docPr id="18" name="Picture 18" descr="NMMFA03_2012_Pove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MMFA03_2012_Poverty"/>
                    <pic:cNvPicPr>
                      <a:picLocks noChangeAspect="1" noChangeArrowheads="1"/>
                    </pic:cNvPicPr>
                  </pic:nvPicPr>
                  <pic:blipFill>
                    <a:blip r:embed="rId39" cstate="print">
                      <a:extLst>
                        <a:ext uri="{28A0092B-C50C-407E-A947-70E740481C1C}">
                          <a14:useLocalDpi xmlns:a14="http://schemas.microsoft.com/office/drawing/2010/main" val="0"/>
                        </a:ext>
                      </a:extLst>
                    </a:blip>
                    <a:srcRect l="5379" t="4378" r="5957" b="4378"/>
                    <a:stretch>
                      <a:fillRect/>
                    </a:stretch>
                  </pic:blipFill>
                  <pic:spPr bwMode="auto">
                    <a:xfrm>
                      <a:off x="0" y="0"/>
                      <a:ext cx="5257800" cy="7010400"/>
                    </a:xfrm>
                    <a:prstGeom prst="rect">
                      <a:avLst/>
                    </a:prstGeom>
                    <a:noFill/>
                    <a:ln>
                      <a:noFill/>
                    </a:ln>
                  </pic:spPr>
                </pic:pic>
              </a:graphicData>
            </a:graphic>
          </wp:inline>
        </w:drawing>
      </w:r>
    </w:p>
    <w:p w:rsidR="00EE5DD4" w:rsidRPr="005049D4" w:rsidRDefault="005049D4" w:rsidP="005049D4">
      <w:pPr>
        <w:widowControl w:val="0"/>
        <w:rPr>
          <w:highlight w:val="yellow"/>
        </w:rPr>
      </w:pPr>
      <w:r>
        <w:rPr>
          <w:highlight w:val="yellow"/>
        </w:rPr>
        <w:br w:type="page"/>
      </w:r>
    </w:p>
    <w:tbl>
      <w:tblPr>
        <w:tblpPr w:leftFromText="180" w:rightFromText="180" w:vertAnchor="text" w:horzAnchor="margin" w:tblpXSpec="right" w:tblpYSpec="top"/>
        <w:tblOverlap w:val="never"/>
        <w:tblW w:w="2877" w:type="dxa"/>
        <w:tblLook w:val="04A0" w:firstRow="1" w:lastRow="0" w:firstColumn="1" w:lastColumn="0" w:noHBand="0" w:noVBand="1"/>
      </w:tblPr>
      <w:tblGrid>
        <w:gridCol w:w="572"/>
        <w:gridCol w:w="1160"/>
        <w:gridCol w:w="1481"/>
      </w:tblGrid>
      <w:tr w:rsidR="0051335C" w:rsidRPr="00302344" w:rsidTr="0051335C">
        <w:trPr>
          <w:trHeight w:val="1098"/>
        </w:trPr>
        <w:tc>
          <w:tcPr>
            <w:tcW w:w="2877" w:type="dxa"/>
            <w:gridSpan w:val="3"/>
            <w:tcBorders>
              <w:top w:val="nil"/>
              <w:left w:val="nil"/>
              <w:bottom w:val="single" w:sz="4" w:space="0" w:color="009900"/>
              <w:right w:val="nil"/>
            </w:tcBorders>
            <w:shd w:val="clear" w:color="auto" w:fill="auto"/>
            <w:noWrap/>
            <w:vAlign w:val="center"/>
            <w:hideMark/>
          </w:tcPr>
          <w:p w:rsidR="0051335C" w:rsidRDefault="0051335C" w:rsidP="0051335C">
            <w:pPr>
              <w:jc w:val="center"/>
              <w:rPr>
                <w:rFonts w:ascii="Arial" w:hAnsi="Arial" w:cs="Arial"/>
                <w:b/>
                <w:bCs/>
                <w:color w:val="000000"/>
                <w:sz w:val="23"/>
                <w:szCs w:val="23"/>
              </w:rPr>
            </w:pPr>
          </w:p>
          <w:p w:rsidR="0051335C" w:rsidRPr="00302344" w:rsidRDefault="0051335C" w:rsidP="0051335C">
            <w:pPr>
              <w:jc w:val="center"/>
              <w:rPr>
                <w:rFonts w:ascii="Arial" w:hAnsi="Arial" w:cs="Arial"/>
                <w:b/>
                <w:bCs/>
                <w:color w:val="000000"/>
                <w:sz w:val="23"/>
                <w:szCs w:val="23"/>
              </w:rPr>
            </w:pPr>
            <w:r>
              <w:rPr>
                <w:rFonts w:ascii="Arial" w:hAnsi="Arial" w:cs="Arial"/>
                <w:b/>
                <w:bCs/>
                <w:color w:val="000000"/>
                <w:sz w:val="23"/>
                <w:szCs w:val="23"/>
              </w:rPr>
              <w:t>Table III.14</w:t>
            </w:r>
          </w:p>
          <w:p w:rsidR="0051335C" w:rsidRPr="00302344" w:rsidRDefault="0051335C" w:rsidP="0051335C">
            <w:pPr>
              <w:jc w:val="center"/>
              <w:rPr>
                <w:rFonts w:ascii="Arial" w:hAnsi="Arial" w:cs="Arial"/>
                <w:b/>
                <w:bCs/>
                <w:color w:val="000000"/>
                <w:sz w:val="20"/>
                <w:szCs w:val="20"/>
              </w:rPr>
            </w:pPr>
            <w:r w:rsidRPr="00302344">
              <w:rPr>
                <w:rFonts w:ascii="Arial" w:hAnsi="Arial" w:cs="Arial"/>
                <w:b/>
                <w:bCs/>
                <w:color w:val="000000"/>
                <w:sz w:val="20"/>
                <w:szCs w:val="20"/>
              </w:rPr>
              <w:t>Poverty Rate</w:t>
            </w:r>
          </w:p>
          <w:p w:rsidR="0051335C" w:rsidRPr="00302344" w:rsidRDefault="0051335C" w:rsidP="0051335C">
            <w:pPr>
              <w:jc w:val="center"/>
              <w:rPr>
                <w:rFonts w:ascii="Arial" w:hAnsi="Arial" w:cs="Arial"/>
                <w:color w:val="000000"/>
                <w:sz w:val="16"/>
                <w:szCs w:val="16"/>
              </w:rPr>
            </w:pPr>
            <w:r w:rsidRPr="00302344">
              <w:rPr>
                <w:rFonts w:ascii="Arial" w:hAnsi="Arial" w:cs="Arial"/>
                <w:color w:val="000000"/>
                <w:sz w:val="16"/>
                <w:szCs w:val="16"/>
              </w:rPr>
              <w:t>State of New Mexico</w:t>
            </w:r>
          </w:p>
          <w:p w:rsidR="0051335C" w:rsidRPr="00302344" w:rsidRDefault="0051335C" w:rsidP="0051335C">
            <w:pPr>
              <w:jc w:val="center"/>
              <w:rPr>
                <w:rFonts w:ascii="Arial" w:hAnsi="Arial" w:cs="Arial"/>
                <w:color w:val="000000"/>
                <w:sz w:val="16"/>
                <w:szCs w:val="16"/>
              </w:rPr>
            </w:pPr>
            <w:r w:rsidRPr="00302344">
              <w:rPr>
                <w:rFonts w:ascii="Arial" w:hAnsi="Arial" w:cs="Arial"/>
                <w:color w:val="000000"/>
                <w:sz w:val="16"/>
                <w:szCs w:val="16"/>
              </w:rPr>
              <w:t>Census Bureau SAIPE Poverty Estimates,</w:t>
            </w:r>
          </w:p>
          <w:p w:rsidR="0051335C" w:rsidRPr="00302344" w:rsidRDefault="0051335C" w:rsidP="0051335C">
            <w:pPr>
              <w:jc w:val="center"/>
              <w:rPr>
                <w:rFonts w:ascii="Arial" w:hAnsi="Arial" w:cs="Arial"/>
                <w:b/>
                <w:bCs/>
                <w:color w:val="000000"/>
                <w:sz w:val="23"/>
                <w:szCs w:val="23"/>
              </w:rPr>
            </w:pPr>
            <w:r w:rsidRPr="00302344">
              <w:rPr>
                <w:rFonts w:ascii="Arial" w:hAnsi="Arial" w:cs="Arial"/>
                <w:color w:val="000000"/>
                <w:sz w:val="16"/>
                <w:szCs w:val="16"/>
              </w:rPr>
              <w:t>2000 - 2012</w:t>
            </w:r>
          </w:p>
        </w:tc>
      </w:tr>
      <w:tr w:rsidR="0051335C" w:rsidRPr="00302344" w:rsidTr="0051335C">
        <w:trPr>
          <w:trHeight w:val="450"/>
        </w:trPr>
        <w:tc>
          <w:tcPr>
            <w:tcW w:w="236" w:type="dxa"/>
            <w:tcBorders>
              <w:top w:val="single" w:sz="4" w:space="0" w:color="009900"/>
              <w:left w:val="single" w:sz="4" w:space="0" w:color="009900"/>
              <w:bottom w:val="single" w:sz="4" w:space="0" w:color="009900"/>
              <w:right w:val="nil"/>
            </w:tcBorders>
            <w:shd w:val="clear" w:color="000000" w:fill="FFFFE1"/>
            <w:noWrap/>
            <w:vAlign w:val="center"/>
            <w:hideMark/>
          </w:tcPr>
          <w:p w:rsidR="0051335C" w:rsidRPr="00302344" w:rsidRDefault="0051335C" w:rsidP="0051335C">
            <w:pPr>
              <w:rPr>
                <w:rFonts w:ascii="Arial" w:hAnsi="Arial" w:cs="Arial"/>
                <w:b/>
                <w:bCs/>
                <w:color w:val="000000"/>
                <w:sz w:val="16"/>
                <w:szCs w:val="16"/>
              </w:rPr>
            </w:pPr>
            <w:r w:rsidRPr="00302344">
              <w:rPr>
                <w:rFonts w:ascii="Arial" w:hAnsi="Arial" w:cs="Arial"/>
                <w:b/>
                <w:bCs/>
                <w:color w:val="000000"/>
                <w:sz w:val="16"/>
                <w:szCs w:val="16"/>
              </w:rPr>
              <w:t>Year</w:t>
            </w:r>
          </w:p>
        </w:tc>
        <w:tc>
          <w:tcPr>
            <w:tcW w:w="1160" w:type="dxa"/>
            <w:tcBorders>
              <w:top w:val="single" w:sz="4" w:space="0" w:color="009900"/>
              <w:left w:val="nil"/>
              <w:bottom w:val="single" w:sz="4" w:space="0" w:color="009900"/>
              <w:right w:val="nil"/>
            </w:tcBorders>
            <w:shd w:val="clear" w:color="000000" w:fill="FFFFE1"/>
            <w:vAlign w:val="center"/>
            <w:hideMark/>
          </w:tcPr>
          <w:p w:rsidR="0051335C" w:rsidRPr="00302344" w:rsidRDefault="0051335C" w:rsidP="0051335C">
            <w:pPr>
              <w:jc w:val="center"/>
              <w:rPr>
                <w:rFonts w:ascii="Arial" w:hAnsi="Arial" w:cs="Arial"/>
                <w:b/>
                <w:bCs/>
                <w:color w:val="000000"/>
                <w:sz w:val="16"/>
                <w:szCs w:val="16"/>
              </w:rPr>
            </w:pPr>
            <w:r w:rsidRPr="00302344">
              <w:rPr>
                <w:rFonts w:ascii="Arial" w:hAnsi="Arial" w:cs="Arial"/>
                <w:b/>
                <w:bCs/>
                <w:color w:val="000000"/>
                <w:sz w:val="16"/>
                <w:szCs w:val="16"/>
              </w:rPr>
              <w:t>Individuals in Poverty</w:t>
            </w:r>
          </w:p>
        </w:tc>
        <w:tc>
          <w:tcPr>
            <w:tcW w:w="1481" w:type="dxa"/>
            <w:tcBorders>
              <w:top w:val="single" w:sz="4" w:space="0" w:color="009900"/>
              <w:left w:val="nil"/>
              <w:bottom w:val="single" w:sz="4" w:space="0" w:color="009900"/>
              <w:right w:val="single" w:sz="4" w:space="0" w:color="009900"/>
            </w:tcBorders>
            <w:shd w:val="clear" w:color="000000" w:fill="FFFFE1"/>
            <w:noWrap/>
            <w:vAlign w:val="center"/>
            <w:hideMark/>
          </w:tcPr>
          <w:p w:rsidR="0051335C" w:rsidRPr="00302344" w:rsidRDefault="0051335C" w:rsidP="0051335C">
            <w:pPr>
              <w:jc w:val="center"/>
              <w:rPr>
                <w:rFonts w:ascii="Arial" w:hAnsi="Arial" w:cs="Arial"/>
                <w:b/>
                <w:bCs/>
                <w:color w:val="000000"/>
                <w:sz w:val="16"/>
                <w:szCs w:val="16"/>
              </w:rPr>
            </w:pPr>
            <w:r w:rsidRPr="00302344">
              <w:rPr>
                <w:rFonts w:ascii="Arial" w:hAnsi="Arial" w:cs="Arial"/>
                <w:b/>
                <w:bCs/>
                <w:color w:val="000000"/>
                <w:sz w:val="16"/>
                <w:szCs w:val="16"/>
              </w:rPr>
              <w:t>Poverty Rate</w:t>
            </w:r>
          </w:p>
        </w:tc>
      </w:tr>
      <w:tr w:rsidR="0051335C" w:rsidRPr="00302344" w:rsidTr="0051335C">
        <w:trPr>
          <w:trHeight w:val="300"/>
        </w:trPr>
        <w:tc>
          <w:tcPr>
            <w:tcW w:w="236" w:type="dxa"/>
            <w:tcBorders>
              <w:top w:val="nil"/>
              <w:left w:val="single" w:sz="4" w:space="0" w:color="009900"/>
              <w:bottom w:val="nil"/>
              <w:right w:val="nil"/>
            </w:tcBorders>
            <w:shd w:val="clear" w:color="000000" w:fill="FFFFE1"/>
            <w:noWrap/>
            <w:vAlign w:val="center"/>
            <w:hideMark/>
          </w:tcPr>
          <w:p w:rsidR="0051335C" w:rsidRPr="00302344" w:rsidRDefault="0051335C" w:rsidP="0051335C">
            <w:pPr>
              <w:rPr>
                <w:rFonts w:ascii="Arial" w:hAnsi="Arial" w:cs="Arial"/>
                <w:color w:val="000000"/>
                <w:sz w:val="16"/>
                <w:szCs w:val="16"/>
              </w:rPr>
            </w:pPr>
            <w:r w:rsidRPr="00302344">
              <w:rPr>
                <w:rFonts w:ascii="Arial" w:hAnsi="Arial" w:cs="Arial"/>
                <w:color w:val="000000"/>
                <w:sz w:val="16"/>
                <w:szCs w:val="16"/>
              </w:rPr>
              <w:t>2000</w:t>
            </w:r>
          </w:p>
        </w:tc>
        <w:tc>
          <w:tcPr>
            <w:tcW w:w="1160" w:type="dxa"/>
            <w:tcBorders>
              <w:top w:val="nil"/>
              <w:left w:val="nil"/>
              <w:bottom w:val="nil"/>
              <w:right w:val="nil"/>
            </w:tcBorders>
            <w:shd w:val="clear" w:color="000000" w:fill="FFFFE1"/>
            <w:noWrap/>
            <w:vAlign w:val="center"/>
            <w:hideMark/>
          </w:tcPr>
          <w:p w:rsidR="0051335C" w:rsidRPr="00302344" w:rsidRDefault="0051335C" w:rsidP="0051335C">
            <w:pPr>
              <w:jc w:val="center"/>
              <w:rPr>
                <w:rFonts w:ascii="Arial" w:hAnsi="Arial" w:cs="Arial"/>
                <w:color w:val="000000"/>
                <w:sz w:val="16"/>
                <w:szCs w:val="16"/>
              </w:rPr>
            </w:pPr>
            <w:r w:rsidRPr="00302344">
              <w:rPr>
                <w:rFonts w:ascii="Arial" w:hAnsi="Arial" w:cs="Arial"/>
                <w:color w:val="000000"/>
                <w:sz w:val="16"/>
                <w:szCs w:val="16"/>
              </w:rPr>
              <w:t>309,103</w:t>
            </w:r>
          </w:p>
        </w:tc>
        <w:tc>
          <w:tcPr>
            <w:tcW w:w="1481" w:type="dxa"/>
            <w:tcBorders>
              <w:top w:val="nil"/>
              <w:left w:val="nil"/>
              <w:bottom w:val="nil"/>
              <w:right w:val="single" w:sz="4" w:space="0" w:color="009900"/>
            </w:tcBorders>
            <w:shd w:val="clear" w:color="000000" w:fill="FFFFE1"/>
            <w:noWrap/>
            <w:vAlign w:val="center"/>
            <w:hideMark/>
          </w:tcPr>
          <w:p w:rsidR="0051335C" w:rsidRPr="00302344" w:rsidRDefault="0051335C" w:rsidP="0051335C">
            <w:pPr>
              <w:jc w:val="center"/>
              <w:rPr>
                <w:rFonts w:ascii="Arial" w:hAnsi="Arial" w:cs="Arial"/>
                <w:color w:val="000000"/>
                <w:sz w:val="16"/>
                <w:szCs w:val="16"/>
              </w:rPr>
            </w:pPr>
            <w:r w:rsidRPr="00302344">
              <w:rPr>
                <w:rFonts w:ascii="Arial" w:hAnsi="Arial" w:cs="Arial"/>
                <w:color w:val="000000"/>
                <w:sz w:val="16"/>
                <w:szCs w:val="16"/>
              </w:rPr>
              <w:t>17.3</w:t>
            </w:r>
          </w:p>
        </w:tc>
      </w:tr>
      <w:tr w:rsidR="0051335C" w:rsidRPr="00302344" w:rsidTr="0051335C">
        <w:trPr>
          <w:trHeight w:val="300"/>
        </w:trPr>
        <w:tc>
          <w:tcPr>
            <w:tcW w:w="236" w:type="dxa"/>
            <w:tcBorders>
              <w:top w:val="nil"/>
              <w:left w:val="single" w:sz="4" w:space="0" w:color="009900"/>
              <w:bottom w:val="nil"/>
              <w:right w:val="nil"/>
            </w:tcBorders>
            <w:shd w:val="clear" w:color="000000" w:fill="FFFFE1"/>
            <w:noWrap/>
            <w:vAlign w:val="center"/>
            <w:hideMark/>
          </w:tcPr>
          <w:p w:rsidR="0051335C" w:rsidRPr="00302344" w:rsidRDefault="0051335C" w:rsidP="0051335C">
            <w:pPr>
              <w:rPr>
                <w:rFonts w:ascii="Arial" w:hAnsi="Arial" w:cs="Arial"/>
                <w:color w:val="000000"/>
                <w:sz w:val="16"/>
                <w:szCs w:val="16"/>
              </w:rPr>
            </w:pPr>
            <w:r w:rsidRPr="00302344">
              <w:rPr>
                <w:rFonts w:ascii="Arial" w:hAnsi="Arial" w:cs="Arial"/>
                <w:color w:val="000000"/>
                <w:sz w:val="16"/>
                <w:szCs w:val="16"/>
              </w:rPr>
              <w:t>2001</w:t>
            </w:r>
          </w:p>
        </w:tc>
        <w:tc>
          <w:tcPr>
            <w:tcW w:w="1160" w:type="dxa"/>
            <w:tcBorders>
              <w:top w:val="nil"/>
              <w:left w:val="nil"/>
              <w:bottom w:val="nil"/>
              <w:right w:val="nil"/>
            </w:tcBorders>
            <w:shd w:val="clear" w:color="000000" w:fill="FFFFE1"/>
            <w:noWrap/>
            <w:vAlign w:val="center"/>
            <w:hideMark/>
          </w:tcPr>
          <w:p w:rsidR="0051335C" w:rsidRPr="00302344" w:rsidRDefault="0051335C" w:rsidP="0051335C">
            <w:pPr>
              <w:jc w:val="center"/>
              <w:rPr>
                <w:rFonts w:ascii="Arial" w:hAnsi="Arial" w:cs="Arial"/>
                <w:color w:val="000000"/>
                <w:sz w:val="16"/>
                <w:szCs w:val="16"/>
              </w:rPr>
            </w:pPr>
            <w:r w:rsidRPr="00302344">
              <w:rPr>
                <w:rFonts w:ascii="Arial" w:hAnsi="Arial" w:cs="Arial"/>
                <w:color w:val="000000"/>
                <w:sz w:val="16"/>
                <w:szCs w:val="16"/>
              </w:rPr>
              <w:t>326,653</w:t>
            </w:r>
          </w:p>
        </w:tc>
        <w:tc>
          <w:tcPr>
            <w:tcW w:w="1481" w:type="dxa"/>
            <w:tcBorders>
              <w:top w:val="nil"/>
              <w:left w:val="nil"/>
              <w:bottom w:val="nil"/>
              <w:right w:val="single" w:sz="4" w:space="0" w:color="009900"/>
            </w:tcBorders>
            <w:shd w:val="clear" w:color="000000" w:fill="FFFFE1"/>
            <w:noWrap/>
            <w:vAlign w:val="center"/>
            <w:hideMark/>
          </w:tcPr>
          <w:p w:rsidR="0051335C" w:rsidRPr="00302344" w:rsidRDefault="0051335C" w:rsidP="0051335C">
            <w:pPr>
              <w:jc w:val="center"/>
              <w:rPr>
                <w:rFonts w:ascii="Arial" w:hAnsi="Arial" w:cs="Arial"/>
                <w:color w:val="000000"/>
                <w:sz w:val="16"/>
                <w:szCs w:val="16"/>
              </w:rPr>
            </w:pPr>
            <w:r w:rsidRPr="00302344">
              <w:rPr>
                <w:rFonts w:ascii="Arial" w:hAnsi="Arial" w:cs="Arial"/>
                <w:color w:val="000000"/>
                <w:sz w:val="16"/>
                <w:szCs w:val="16"/>
              </w:rPr>
              <w:t>18.0</w:t>
            </w:r>
          </w:p>
        </w:tc>
      </w:tr>
      <w:tr w:rsidR="0051335C" w:rsidRPr="00302344" w:rsidTr="0051335C">
        <w:trPr>
          <w:trHeight w:val="300"/>
        </w:trPr>
        <w:tc>
          <w:tcPr>
            <w:tcW w:w="236" w:type="dxa"/>
            <w:tcBorders>
              <w:top w:val="nil"/>
              <w:left w:val="single" w:sz="4" w:space="0" w:color="009900"/>
              <w:bottom w:val="nil"/>
              <w:right w:val="nil"/>
            </w:tcBorders>
            <w:shd w:val="clear" w:color="000000" w:fill="FFFFE1"/>
            <w:noWrap/>
            <w:vAlign w:val="center"/>
            <w:hideMark/>
          </w:tcPr>
          <w:p w:rsidR="0051335C" w:rsidRPr="00302344" w:rsidRDefault="0051335C" w:rsidP="0051335C">
            <w:pPr>
              <w:rPr>
                <w:rFonts w:ascii="Arial" w:hAnsi="Arial" w:cs="Arial"/>
                <w:color w:val="000000"/>
                <w:sz w:val="16"/>
                <w:szCs w:val="16"/>
              </w:rPr>
            </w:pPr>
            <w:r w:rsidRPr="00302344">
              <w:rPr>
                <w:rFonts w:ascii="Arial" w:hAnsi="Arial" w:cs="Arial"/>
                <w:color w:val="000000"/>
                <w:sz w:val="16"/>
                <w:szCs w:val="16"/>
              </w:rPr>
              <w:t>2002</w:t>
            </w:r>
          </w:p>
        </w:tc>
        <w:tc>
          <w:tcPr>
            <w:tcW w:w="1160" w:type="dxa"/>
            <w:tcBorders>
              <w:top w:val="nil"/>
              <w:left w:val="nil"/>
              <w:bottom w:val="nil"/>
              <w:right w:val="nil"/>
            </w:tcBorders>
            <w:shd w:val="clear" w:color="000000" w:fill="FFFFE1"/>
            <w:noWrap/>
            <w:vAlign w:val="center"/>
            <w:hideMark/>
          </w:tcPr>
          <w:p w:rsidR="0051335C" w:rsidRPr="00302344" w:rsidRDefault="0051335C" w:rsidP="0051335C">
            <w:pPr>
              <w:jc w:val="center"/>
              <w:rPr>
                <w:rFonts w:ascii="Arial" w:hAnsi="Arial" w:cs="Arial"/>
                <w:color w:val="000000"/>
                <w:sz w:val="16"/>
                <w:szCs w:val="16"/>
              </w:rPr>
            </w:pPr>
            <w:r w:rsidRPr="00302344">
              <w:rPr>
                <w:rFonts w:ascii="Arial" w:hAnsi="Arial" w:cs="Arial"/>
                <w:color w:val="000000"/>
                <w:sz w:val="16"/>
                <w:szCs w:val="16"/>
              </w:rPr>
              <w:t>327,444</w:t>
            </w:r>
          </w:p>
        </w:tc>
        <w:tc>
          <w:tcPr>
            <w:tcW w:w="1481" w:type="dxa"/>
            <w:tcBorders>
              <w:top w:val="nil"/>
              <w:left w:val="nil"/>
              <w:bottom w:val="nil"/>
              <w:right w:val="single" w:sz="4" w:space="0" w:color="009900"/>
            </w:tcBorders>
            <w:shd w:val="clear" w:color="000000" w:fill="FFFFE1"/>
            <w:noWrap/>
            <w:vAlign w:val="center"/>
            <w:hideMark/>
          </w:tcPr>
          <w:p w:rsidR="0051335C" w:rsidRPr="00302344" w:rsidRDefault="0051335C" w:rsidP="0051335C">
            <w:pPr>
              <w:jc w:val="center"/>
              <w:rPr>
                <w:rFonts w:ascii="Arial" w:hAnsi="Arial" w:cs="Arial"/>
                <w:color w:val="000000"/>
                <w:sz w:val="16"/>
                <w:szCs w:val="16"/>
              </w:rPr>
            </w:pPr>
            <w:r w:rsidRPr="00302344">
              <w:rPr>
                <w:rFonts w:ascii="Arial" w:hAnsi="Arial" w:cs="Arial"/>
                <w:color w:val="000000"/>
                <w:sz w:val="16"/>
                <w:szCs w:val="16"/>
              </w:rPr>
              <w:t>17.7</w:t>
            </w:r>
          </w:p>
        </w:tc>
      </w:tr>
      <w:tr w:rsidR="0051335C" w:rsidRPr="00302344" w:rsidTr="0051335C">
        <w:trPr>
          <w:trHeight w:val="300"/>
        </w:trPr>
        <w:tc>
          <w:tcPr>
            <w:tcW w:w="236" w:type="dxa"/>
            <w:tcBorders>
              <w:top w:val="nil"/>
              <w:left w:val="single" w:sz="4" w:space="0" w:color="009900"/>
              <w:bottom w:val="nil"/>
              <w:right w:val="nil"/>
            </w:tcBorders>
            <w:shd w:val="clear" w:color="000000" w:fill="FFFFE1"/>
            <w:noWrap/>
            <w:vAlign w:val="center"/>
            <w:hideMark/>
          </w:tcPr>
          <w:p w:rsidR="0051335C" w:rsidRPr="00302344" w:rsidRDefault="0051335C" w:rsidP="0051335C">
            <w:pPr>
              <w:rPr>
                <w:rFonts w:ascii="Arial" w:hAnsi="Arial" w:cs="Arial"/>
                <w:color w:val="000000"/>
                <w:sz w:val="16"/>
                <w:szCs w:val="16"/>
              </w:rPr>
            </w:pPr>
            <w:r w:rsidRPr="00302344">
              <w:rPr>
                <w:rFonts w:ascii="Arial" w:hAnsi="Arial" w:cs="Arial"/>
                <w:color w:val="000000"/>
                <w:sz w:val="16"/>
                <w:szCs w:val="16"/>
              </w:rPr>
              <w:t>2003</w:t>
            </w:r>
          </w:p>
        </w:tc>
        <w:tc>
          <w:tcPr>
            <w:tcW w:w="1160" w:type="dxa"/>
            <w:tcBorders>
              <w:top w:val="nil"/>
              <w:left w:val="nil"/>
              <w:bottom w:val="nil"/>
              <w:right w:val="nil"/>
            </w:tcBorders>
            <w:shd w:val="clear" w:color="000000" w:fill="FFFFE1"/>
            <w:noWrap/>
            <w:vAlign w:val="center"/>
            <w:hideMark/>
          </w:tcPr>
          <w:p w:rsidR="0051335C" w:rsidRPr="00302344" w:rsidRDefault="0051335C" w:rsidP="0051335C">
            <w:pPr>
              <w:jc w:val="center"/>
              <w:rPr>
                <w:rFonts w:ascii="Arial" w:hAnsi="Arial" w:cs="Arial"/>
                <w:color w:val="000000"/>
                <w:sz w:val="16"/>
                <w:szCs w:val="16"/>
              </w:rPr>
            </w:pPr>
            <w:r w:rsidRPr="00302344">
              <w:rPr>
                <w:rFonts w:ascii="Arial" w:hAnsi="Arial" w:cs="Arial"/>
                <w:color w:val="000000"/>
                <w:sz w:val="16"/>
                <w:szCs w:val="16"/>
              </w:rPr>
              <w:t>330,759</w:t>
            </w:r>
          </w:p>
        </w:tc>
        <w:tc>
          <w:tcPr>
            <w:tcW w:w="1481" w:type="dxa"/>
            <w:tcBorders>
              <w:top w:val="nil"/>
              <w:left w:val="nil"/>
              <w:bottom w:val="nil"/>
              <w:right w:val="single" w:sz="4" w:space="0" w:color="009900"/>
            </w:tcBorders>
            <w:shd w:val="clear" w:color="000000" w:fill="FFFFE1"/>
            <w:noWrap/>
            <w:vAlign w:val="center"/>
            <w:hideMark/>
          </w:tcPr>
          <w:p w:rsidR="0051335C" w:rsidRPr="00302344" w:rsidRDefault="0051335C" w:rsidP="0051335C">
            <w:pPr>
              <w:jc w:val="center"/>
              <w:rPr>
                <w:rFonts w:ascii="Arial" w:hAnsi="Arial" w:cs="Arial"/>
                <w:color w:val="000000"/>
                <w:sz w:val="16"/>
                <w:szCs w:val="16"/>
              </w:rPr>
            </w:pPr>
            <w:r w:rsidRPr="00302344">
              <w:rPr>
                <w:rFonts w:ascii="Arial" w:hAnsi="Arial" w:cs="Arial"/>
                <w:color w:val="000000"/>
                <w:sz w:val="16"/>
                <w:szCs w:val="16"/>
              </w:rPr>
              <w:t>17.7</w:t>
            </w:r>
          </w:p>
        </w:tc>
      </w:tr>
      <w:tr w:rsidR="0051335C" w:rsidRPr="00302344" w:rsidTr="0051335C">
        <w:trPr>
          <w:trHeight w:val="300"/>
        </w:trPr>
        <w:tc>
          <w:tcPr>
            <w:tcW w:w="236" w:type="dxa"/>
            <w:tcBorders>
              <w:top w:val="nil"/>
              <w:left w:val="single" w:sz="4" w:space="0" w:color="009900"/>
              <w:bottom w:val="nil"/>
              <w:right w:val="nil"/>
            </w:tcBorders>
            <w:shd w:val="clear" w:color="000000" w:fill="FFFFE1"/>
            <w:noWrap/>
            <w:vAlign w:val="center"/>
            <w:hideMark/>
          </w:tcPr>
          <w:p w:rsidR="0051335C" w:rsidRPr="00302344" w:rsidRDefault="0051335C" w:rsidP="0051335C">
            <w:pPr>
              <w:rPr>
                <w:rFonts w:ascii="Arial" w:hAnsi="Arial" w:cs="Arial"/>
                <w:color w:val="000000"/>
                <w:sz w:val="16"/>
                <w:szCs w:val="16"/>
              </w:rPr>
            </w:pPr>
            <w:r w:rsidRPr="00302344">
              <w:rPr>
                <w:rFonts w:ascii="Arial" w:hAnsi="Arial" w:cs="Arial"/>
                <w:color w:val="000000"/>
                <w:sz w:val="16"/>
                <w:szCs w:val="16"/>
              </w:rPr>
              <w:t>2004</w:t>
            </w:r>
          </w:p>
        </w:tc>
        <w:tc>
          <w:tcPr>
            <w:tcW w:w="1160" w:type="dxa"/>
            <w:tcBorders>
              <w:top w:val="nil"/>
              <w:left w:val="nil"/>
              <w:bottom w:val="nil"/>
              <w:right w:val="nil"/>
            </w:tcBorders>
            <w:shd w:val="clear" w:color="000000" w:fill="FFFFE1"/>
            <w:noWrap/>
            <w:vAlign w:val="center"/>
            <w:hideMark/>
          </w:tcPr>
          <w:p w:rsidR="0051335C" w:rsidRPr="00302344" w:rsidRDefault="0051335C" w:rsidP="0051335C">
            <w:pPr>
              <w:jc w:val="center"/>
              <w:rPr>
                <w:rFonts w:ascii="Arial" w:hAnsi="Arial" w:cs="Arial"/>
                <w:color w:val="000000"/>
                <w:sz w:val="16"/>
                <w:szCs w:val="16"/>
              </w:rPr>
            </w:pPr>
            <w:r w:rsidRPr="00302344">
              <w:rPr>
                <w:rFonts w:ascii="Arial" w:hAnsi="Arial" w:cs="Arial"/>
                <w:color w:val="000000"/>
                <w:sz w:val="16"/>
                <w:szCs w:val="16"/>
              </w:rPr>
              <w:t>316,088</w:t>
            </w:r>
          </w:p>
        </w:tc>
        <w:tc>
          <w:tcPr>
            <w:tcW w:w="1481" w:type="dxa"/>
            <w:tcBorders>
              <w:top w:val="nil"/>
              <w:left w:val="nil"/>
              <w:bottom w:val="nil"/>
              <w:right w:val="single" w:sz="4" w:space="0" w:color="009900"/>
            </w:tcBorders>
            <w:shd w:val="clear" w:color="000000" w:fill="FFFFE1"/>
            <w:noWrap/>
            <w:vAlign w:val="center"/>
            <w:hideMark/>
          </w:tcPr>
          <w:p w:rsidR="0051335C" w:rsidRPr="00302344" w:rsidRDefault="0051335C" w:rsidP="0051335C">
            <w:pPr>
              <w:jc w:val="center"/>
              <w:rPr>
                <w:rFonts w:ascii="Arial" w:hAnsi="Arial" w:cs="Arial"/>
                <w:color w:val="000000"/>
                <w:sz w:val="16"/>
                <w:szCs w:val="16"/>
              </w:rPr>
            </w:pPr>
            <w:r w:rsidRPr="00302344">
              <w:rPr>
                <w:rFonts w:ascii="Arial" w:hAnsi="Arial" w:cs="Arial"/>
                <w:color w:val="000000"/>
                <w:sz w:val="16"/>
                <w:szCs w:val="16"/>
              </w:rPr>
              <w:t>16.7</w:t>
            </w:r>
          </w:p>
        </w:tc>
      </w:tr>
      <w:tr w:rsidR="0051335C" w:rsidRPr="00302344" w:rsidTr="0051335C">
        <w:trPr>
          <w:trHeight w:val="300"/>
        </w:trPr>
        <w:tc>
          <w:tcPr>
            <w:tcW w:w="236" w:type="dxa"/>
            <w:tcBorders>
              <w:top w:val="nil"/>
              <w:left w:val="single" w:sz="4" w:space="0" w:color="009900"/>
              <w:bottom w:val="nil"/>
              <w:right w:val="nil"/>
            </w:tcBorders>
            <w:shd w:val="clear" w:color="000000" w:fill="FFFFE1"/>
            <w:noWrap/>
            <w:vAlign w:val="center"/>
            <w:hideMark/>
          </w:tcPr>
          <w:p w:rsidR="0051335C" w:rsidRPr="00302344" w:rsidRDefault="0051335C" w:rsidP="0051335C">
            <w:pPr>
              <w:rPr>
                <w:rFonts w:ascii="Arial" w:hAnsi="Arial" w:cs="Arial"/>
                <w:color w:val="000000"/>
                <w:sz w:val="16"/>
                <w:szCs w:val="16"/>
              </w:rPr>
            </w:pPr>
            <w:r w:rsidRPr="00302344">
              <w:rPr>
                <w:rFonts w:ascii="Arial" w:hAnsi="Arial" w:cs="Arial"/>
                <w:color w:val="000000"/>
                <w:sz w:val="16"/>
                <w:szCs w:val="16"/>
              </w:rPr>
              <w:t>2005</w:t>
            </w:r>
          </w:p>
        </w:tc>
        <w:tc>
          <w:tcPr>
            <w:tcW w:w="1160" w:type="dxa"/>
            <w:tcBorders>
              <w:top w:val="nil"/>
              <w:left w:val="nil"/>
              <w:bottom w:val="nil"/>
              <w:right w:val="nil"/>
            </w:tcBorders>
            <w:shd w:val="clear" w:color="000000" w:fill="FFFFE1"/>
            <w:noWrap/>
            <w:vAlign w:val="center"/>
            <w:hideMark/>
          </w:tcPr>
          <w:p w:rsidR="0051335C" w:rsidRPr="00302344" w:rsidRDefault="0051335C" w:rsidP="0051335C">
            <w:pPr>
              <w:jc w:val="center"/>
              <w:rPr>
                <w:rFonts w:ascii="Arial" w:hAnsi="Arial" w:cs="Arial"/>
                <w:color w:val="000000"/>
                <w:sz w:val="16"/>
                <w:szCs w:val="16"/>
              </w:rPr>
            </w:pPr>
            <w:r w:rsidRPr="00302344">
              <w:rPr>
                <w:rFonts w:ascii="Arial" w:hAnsi="Arial" w:cs="Arial"/>
                <w:color w:val="000000"/>
                <w:sz w:val="16"/>
                <w:szCs w:val="16"/>
              </w:rPr>
              <w:t>345,231</w:t>
            </w:r>
          </w:p>
        </w:tc>
        <w:tc>
          <w:tcPr>
            <w:tcW w:w="1481" w:type="dxa"/>
            <w:tcBorders>
              <w:top w:val="nil"/>
              <w:left w:val="nil"/>
              <w:bottom w:val="nil"/>
              <w:right w:val="single" w:sz="4" w:space="0" w:color="009900"/>
            </w:tcBorders>
            <w:shd w:val="clear" w:color="000000" w:fill="FFFFE1"/>
            <w:noWrap/>
            <w:vAlign w:val="center"/>
            <w:hideMark/>
          </w:tcPr>
          <w:p w:rsidR="0051335C" w:rsidRPr="00302344" w:rsidRDefault="0051335C" w:rsidP="0051335C">
            <w:pPr>
              <w:jc w:val="center"/>
              <w:rPr>
                <w:rFonts w:ascii="Arial" w:hAnsi="Arial" w:cs="Arial"/>
                <w:color w:val="000000"/>
                <w:sz w:val="16"/>
                <w:szCs w:val="16"/>
              </w:rPr>
            </w:pPr>
            <w:r w:rsidRPr="00302344">
              <w:rPr>
                <w:rFonts w:ascii="Arial" w:hAnsi="Arial" w:cs="Arial"/>
                <w:color w:val="000000"/>
                <w:sz w:val="16"/>
                <w:szCs w:val="16"/>
              </w:rPr>
              <w:t>18.4</w:t>
            </w:r>
          </w:p>
        </w:tc>
      </w:tr>
      <w:tr w:rsidR="0051335C" w:rsidRPr="00302344" w:rsidTr="0051335C">
        <w:trPr>
          <w:trHeight w:val="300"/>
        </w:trPr>
        <w:tc>
          <w:tcPr>
            <w:tcW w:w="236" w:type="dxa"/>
            <w:tcBorders>
              <w:top w:val="nil"/>
              <w:left w:val="single" w:sz="4" w:space="0" w:color="009900"/>
              <w:bottom w:val="nil"/>
              <w:right w:val="nil"/>
            </w:tcBorders>
            <w:shd w:val="clear" w:color="000000" w:fill="FFFFE1"/>
            <w:noWrap/>
            <w:vAlign w:val="center"/>
            <w:hideMark/>
          </w:tcPr>
          <w:p w:rsidR="0051335C" w:rsidRPr="00302344" w:rsidRDefault="0051335C" w:rsidP="0051335C">
            <w:pPr>
              <w:rPr>
                <w:rFonts w:ascii="Arial" w:hAnsi="Arial" w:cs="Arial"/>
                <w:color w:val="000000"/>
                <w:sz w:val="16"/>
                <w:szCs w:val="16"/>
              </w:rPr>
            </w:pPr>
            <w:r w:rsidRPr="00302344">
              <w:rPr>
                <w:rFonts w:ascii="Arial" w:hAnsi="Arial" w:cs="Arial"/>
                <w:color w:val="000000"/>
                <w:sz w:val="16"/>
                <w:szCs w:val="16"/>
              </w:rPr>
              <w:t>2006</w:t>
            </w:r>
          </w:p>
        </w:tc>
        <w:tc>
          <w:tcPr>
            <w:tcW w:w="1160" w:type="dxa"/>
            <w:tcBorders>
              <w:top w:val="nil"/>
              <w:left w:val="nil"/>
              <w:bottom w:val="nil"/>
              <w:right w:val="nil"/>
            </w:tcBorders>
            <w:shd w:val="clear" w:color="000000" w:fill="FFFFE1"/>
            <w:noWrap/>
            <w:vAlign w:val="center"/>
            <w:hideMark/>
          </w:tcPr>
          <w:p w:rsidR="0051335C" w:rsidRPr="00302344" w:rsidRDefault="0051335C" w:rsidP="0051335C">
            <w:pPr>
              <w:jc w:val="center"/>
              <w:rPr>
                <w:rFonts w:ascii="Arial" w:hAnsi="Arial" w:cs="Arial"/>
                <w:color w:val="000000"/>
                <w:sz w:val="16"/>
                <w:szCs w:val="16"/>
              </w:rPr>
            </w:pPr>
            <w:r w:rsidRPr="00302344">
              <w:rPr>
                <w:rFonts w:ascii="Arial" w:hAnsi="Arial" w:cs="Arial"/>
                <w:color w:val="000000"/>
                <w:sz w:val="16"/>
                <w:szCs w:val="16"/>
              </w:rPr>
              <w:t>350,120</w:t>
            </w:r>
          </w:p>
        </w:tc>
        <w:tc>
          <w:tcPr>
            <w:tcW w:w="1481" w:type="dxa"/>
            <w:tcBorders>
              <w:top w:val="nil"/>
              <w:left w:val="nil"/>
              <w:bottom w:val="nil"/>
              <w:right w:val="single" w:sz="4" w:space="0" w:color="009900"/>
            </w:tcBorders>
            <w:shd w:val="clear" w:color="000000" w:fill="FFFFE1"/>
            <w:noWrap/>
            <w:vAlign w:val="center"/>
            <w:hideMark/>
          </w:tcPr>
          <w:p w:rsidR="0051335C" w:rsidRPr="00302344" w:rsidRDefault="0051335C" w:rsidP="0051335C">
            <w:pPr>
              <w:jc w:val="center"/>
              <w:rPr>
                <w:rFonts w:ascii="Arial" w:hAnsi="Arial" w:cs="Arial"/>
                <w:color w:val="000000"/>
                <w:sz w:val="16"/>
                <w:szCs w:val="16"/>
              </w:rPr>
            </w:pPr>
            <w:r w:rsidRPr="00302344">
              <w:rPr>
                <w:rFonts w:ascii="Arial" w:hAnsi="Arial" w:cs="Arial"/>
                <w:color w:val="000000"/>
                <w:sz w:val="16"/>
                <w:szCs w:val="16"/>
              </w:rPr>
              <w:t>18.3</w:t>
            </w:r>
          </w:p>
        </w:tc>
      </w:tr>
      <w:tr w:rsidR="0051335C" w:rsidRPr="00302344" w:rsidTr="0051335C">
        <w:trPr>
          <w:trHeight w:val="300"/>
        </w:trPr>
        <w:tc>
          <w:tcPr>
            <w:tcW w:w="236" w:type="dxa"/>
            <w:tcBorders>
              <w:top w:val="nil"/>
              <w:left w:val="single" w:sz="4" w:space="0" w:color="009900"/>
              <w:bottom w:val="nil"/>
              <w:right w:val="nil"/>
            </w:tcBorders>
            <w:shd w:val="clear" w:color="000000" w:fill="FFFFE1"/>
            <w:noWrap/>
            <w:vAlign w:val="center"/>
            <w:hideMark/>
          </w:tcPr>
          <w:p w:rsidR="0051335C" w:rsidRPr="00302344" w:rsidRDefault="0051335C" w:rsidP="0051335C">
            <w:pPr>
              <w:rPr>
                <w:rFonts w:ascii="Arial" w:hAnsi="Arial" w:cs="Arial"/>
                <w:color w:val="000000"/>
                <w:sz w:val="16"/>
                <w:szCs w:val="16"/>
              </w:rPr>
            </w:pPr>
            <w:r w:rsidRPr="00302344">
              <w:rPr>
                <w:rFonts w:ascii="Arial" w:hAnsi="Arial" w:cs="Arial"/>
                <w:color w:val="000000"/>
                <w:sz w:val="16"/>
                <w:szCs w:val="16"/>
              </w:rPr>
              <w:t>2007</w:t>
            </w:r>
          </w:p>
        </w:tc>
        <w:tc>
          <w:tcPr>
            <w:tcW w:w="1160" w:type="dxa"/>
            <w:tcBorders>
              <w:top w:val="nil"/>
              <w:left w:val="nil"/>
              <w:bottom w:val="nil"/>
              <w:right w:val="nil"/>
            </w:tcBorders>
            <w:shd w:val="clear" w:color="000000" w:fill="FFFFE1"/>
            <w:noWrap/>
            <w:vAlign w:val="center"/>
            <w:hideMark/>
          </w:tcPr>
          <w:p w:rsidR="0051335C" w:rsidRPr="00302344" w:rsidRDefault="0051335C" w:rsidP="0051335C">
            <w:pPr>
              <w:jc w:val="center"/>
              <w:rPr>
                <w:rFonts w:ascii="Arial" w:hAnsi="Arial" w:cs="Arial"/>
                <w:color w:val="000000"/>
                <w:sz w:val="16"/>
                <w:szCs w:val="16"/>
              </w:rPr>
            </w:pPr>
            <w:r w:rsidRPr="00302344">
              <w:rPr>
                <w:rFonts w:ascii="Arial" w:hAnsi="Arial" w:cs="Arial"/>
                <w:color w:val="000000"/>
                <w:sz w:val="16"/>
                <w:szCs w:val="16"/>
              </w:rPr>
              <w:t>344,060</w:t>
            </w:r>
          </w:p>
        </w:tc>
        <w:tc>
          <w:tcPr>
            <w:tcW w:w="1481" w:type="dxa"/>
            <w:tcBorders>
              <w:top w:val="nil"/>
              <w:left w:val="nil"/>
              <w:bottom w:val="nil"/>
              <w:right w:val="single" w:sz="4" w:space="0" w:color="009900"/>
            </w:tcBorders>
            <w:shd w:val="clear" w:color="000000" w:fill="FFFFE1"/>
            <w:noWrap/>
            <w:vAlign w:val="center"/>
            <w:hideMark/>
          </w:tcPr>
          <w:p w:rsidR="0051335C" w:rsidRPr="00302344" w:rsidRDefault="0051335C" w:rsidP="0051335C">
            <w:pPr>
              <w:jc w:val="center"/>
              <w:rPr>
                <w:rFonts w:ascii="Arial" w:hAnsi="Arial" w:cs="Arial"/>
                <w:color w:val="000000"/>
                <w:sz w:val="16"/>
                <w:szCs w:val="16"/>
              </w:rPr>
            </w:pPr>
            <w:r w:rsidRPr="00302344">
              <w:rPr>
                <w:rFonts w:ascii="Arial" w:hAnsi="Arial" w:cs="Arial"/>
                <w:color w:val="000000"/>
                <w:sz w:val="16"/>
                <w:szCs w:val="16"/>
              </w:rPr>
              <w:t>17.9</w:t>
            </w:r>
          </w:p>
        </w:tc>
      </w:tr>
      <w:tr w:rsidR="0051335C" w:rsidRPr="00302344" w:rsidTr="0051335C">
        <w:trPr>
          <w:trHeight w:val="300"/>
        </w:trPr>
        <w:tc>
          <w:tcPr>
            <w:tcW w:w="236" w:type="dxa"/>
            <w:tcBorders>
              <w:top w:val="nil"/>
              <w:left w:val="single" w:sz="4" w:space="0" w:color="009900"/>
              <w:bottom w:val="nil"/>
              <w:right w:val="nil"/>
            </w:tcBorders>
            <w:shd w:val="clear" w:color="000000" w:fill="FFFFE1"/>
            <w:noWrap/>
            <w:vAlign w:val="center"/>
            <w:hideMark/>
          </w:tcPr>
          <w:p w:rsidR="0051335C" w:rsidRPr="00302344" w:rsidRDefault="0051335C" w:rsidP="0051335C">
            <w:pPr>
              <w:rPr>
                <w:rFonts w:ascii="Arial" w:hAnsi="Arial" w:cs="Arial"/>
                <w:color w:val="000000"/>
                <w:sz w:val="16"/>
                <w:szCs w:val="16"/>
              </w:rPr>
            </w:pPr>
            <w:r w:rsidRPr="00302344">
              <w:rPr>
                <w:rFonts w:ascii="Arial" w:hAnsi="Arial" w:cs="Arial"/>
                <w:color w:val="000000"/>
                <w:sz w:val="16"/>
                <w:szCs w:val="16"/>
              </w:rPr>
              <w:t>2008</w:t>
            </w:r>
          </w:p>
        </w:tc>
        <w:tc>
          <w:tcPr>
            <w:tcW w:w="1160" w:type="dxa"/>
            <w:tcBorders>
              <w:top w:val="nil"/>
              <w:left w:val="nil"/>
              <w:bottom w:val="nil"/>
              <w:right w:val="nil"/>
            </w:tcBorders>
            <w:shd w:val="clear" w:color="000000" w:fill="FFFFE1"/>
            <w:noWrap/>
            <w:vAlign w:val="center"/>
            <w:hideMark/>
          </w:tcPr>
          <w:p w:rsidR="0051335C" w:rsidRPr="00302344" w:rsidRDefault="0051335C" w:rsidP="0051335C">
            <w:pPr>
              <w:jc w:val="center"/>
              <w:rPr>
                <w:rFonts w:ascii="Arial" w:hAnsi="Arial" w:cs="Arial"/>
                <w:color w:val="000000"/>
                <w:sz w:val="16"/>
                <w:szCs w:val="16"/>
              </w:rPr>
            </w:pPr>
            <w:r w:rsidRPr="00302344">
              <w:rPr>
                <w:rFonts w:ascii="Arial" w:hAnsi="Arial" w:cs="Arial"/>
                <w:color w:val="000000"/>
                <w:sz w:val="16"/>
                <w:szCs w:val="16"/>
              </w:rPr>
              <w:t>329,857</w:t>
            </w:r>
          </w:p>
        </w:tc>
        <w:tc>
          <w:tcPr>
            <w:tcW w:w="1481" w:type="dxa"/>
            <w:tcBorders>
              <w:top w:val="nil"/>
              <w:left w:val="nil"/>
              <w:bottom w:val="nil"/>
              <w:right w:val="single" w:sz="4" w:space="0" w:color="009900"/>
            </w:tcBorders>
            <w:shd w:val="clear" w:color="000000" w:fill="FFFFE1"/>
            <w:noWrap/>
            <w:vAlign w:val="center"/>
            <w:hideMark/>
          </w:tcPr>
          <w:p w:rsidR="0051335C" w:rsidRPr="00302344" w:rsidRDefault="0051335C" w:rsidP="0051335C">
            <w:pPr>
              <w:jc w:val="center"/>
              <w:rPr>
                <w:rFonts w:ascii="Arial" w:hAnsi="Arial" w:cs="Arial"/>
                <w:color w:val="000000"/>
                <w:sz w:val="16"/>
                <w:szCs w:val="16"/>
              </w:rPr>
            </w:pPr>
            <w:r w:rsidRPr="00302344">
              <w:rPr>
                <w:rFonts w:ascii="Arial" w:hAnsi="Arial" w:cs="Arial"/>
                <w:color w:val="000000"/>
                <w:sz w:val="16"/>
                <w:szCs w:val="16"/>
              </w:rPr>
              <w:t>17.0</w:t>
            </w:r>
          </w:p>
        </w:tc>
      </w:tr>
      <w:tr w:rsidR="0051335C" w:rsidRPr="00302344" w:rsidTr="0051335C">
        <w:trPr>
          <w:trHeight w:val="300"/>
        </w:trPr>
        <w:tc>
          <w:tcPr>
            <w:tcW w:w="236" w:type="dxa"/>
            <w:tcBorders>
              <w:top w:val="nil"/>
              <w:left w:val="single" w:sz="4" w:space="0" w:color="009900"/>
              <w:bottom w:val="nil"/>
              <w:right w:val="nil"/>
            </w:tcBorders>
            <w:shd w:val="clear" w:color="000000" w:fill="FFFFE1"/>
            <w:noWrap/>
            <w:vAlign w:val="center"/>
            <w:hideMark/>
          </w:tcPr>
          <w:p w:rsidR="0051335C" w:rsidRPr="00302344" w:rsidRDefault="0051335C" w:rsidP="0051335C">
            <w:pPr>
              <w:rPr>
                <w:rFonts w:ascii="Arial" w:hAnsi="Arial" w:cs="Arial"/>
                <w:color w:val="000000"/>
                <w:sz w:val="16"/>
                <w:szCs w:val="16"/>
              </w:rPr>
            </w:pPr>
            <w:r w:rsidRPr="00302344">
              <w:rPr>
                <w:rFonts w:ascii="Arial" w:hAnsi="Arial" w:cs="Arial"/>
                <w:color w:val="000000"/>
                <w:sz w:val="16"/>
                <w:szCs w:val="16"/>
              </w:rPr>
              <w:t>2009</w:t>
            </w:r>
          </w:p>
        </w:tc>
        <w:tc>
          <w:tcPr>
            <w:tcW w:w="1160" w:type="dxa"/>
            <w:tcBorders>
              <w:top w:val="nil"/>
              <w:left w:val="nil"/>
              <w:bottom w:val="nil"/>
              <w:right w:val="nil"/>
            </w:tcBorders>
            <w:shd w:val="clear" w:color="000000" w:fill="FFFFE1"/>
            <w:noWrap/>
            <w:vAlign w:val="center"/>
            <w:hideMark/>
          </w:tcPr>
          <w:p w:rsidR="0051335C" w:rsidRPr="00302344" w:rsidRDefault="0051335C" w:rsidP="0051335C">
            <w:pPr>
              <w:jc w:val="center"/>
              <w:rPr>
                <w:rFonts w:ascii="Arial" w:hAnsi="Arial" w:cs="Arial"/>
                <w:color w:val="000000"/>
                <w:sz w:val="16"/>
                <w:szCs w:val="16"/>
              </w:rPr>
            </w:pPr>
            <w:r w:rsidRPr="00302344">
              <w:rPr>
                <w:rFonts w:ascii="Arial" w:hAnsi="Arial" w:cs="Arial"/>
                <w:color w:val="000000"/>
                <w:sz w:val="16"/>
                <w:szCs w:val="16"/>
              </w:rPr>
              <w:t>359</w:t>
            </w:r>
            <w:r>
              <w:rPr>
                <w:rFonts w:ascii="Arial" w:hAnsi="Arial" w:cs="Arial"/>
                <w:color w:val="000000"/>
                <w:sz w:val="16"/>
                <w:szCs w:val="16"/>
              </w:rPr>
              <w:t>,</w:t>
            </w:r>
            <w:r w:rsidRPr="00302344">
              <w:rPr>
                <w:rFonts w:ascii="Arial" w:hAnsi="Arial" w:cs="Arial"/>
                <w:color w:val="000000"/>
                <w:sz w:val="16"/>
                <w:szCs w:val="16"/>
              </w:rPr>
              <w:t>030</w:t>
            </w:r>
          </w:p>
        </w:tc>
        <w:tc>
          <w:tcPr>
            <w:tcW w:w="1481" w:type="dxa"/>
            <w:tcBorders>
              <w:top w:val="nil"/>
              <w:left w:val="nil"/>
              <w:bottom w:val="nil"/>
              <w:right w:val="single" w:sz="4" w:space="0" w:color="009900"/>
            </w:tcBorders>
            <w:shd w:val="clear" w:color="000000" w:fill="FFFFE1"/>
            <w:noWrap/>
            <w:vAlign w:val="center"/>
            <w:hideMark/>
          </w:tcPr>
          <w:p w:rsidR="0051335C" w:rsidRPr="00302344" w:rsidRDefault="0051335C" w:rsidP="0051335C">
            <w:pPr>
              <w:jc w:val="center"/>
              <w:rPr>
                <w:rFonts w:ascii="Arial" w:hAnsi="Arial" w:cs="Arial"/>
                <w:color w:val="000000"/>
                <w:sz w:val="16"/>
                <w:szCs w:val="16"/>
              </w:rPr>
            </w:pPr>
            <w:r w:rsidRPr="00302344">
              <w:rPr>
                <w:rFonts w:ascii="Arial" w:hAnsi="Arial" w:cs="Arial"/>
                <w:color w:val="000000"/>
                <w:sz w:val="16"/>
                <w:szCs w:val="16"/>
              </w:rPr>
              <w:t>18.2</w:t>
            </w:r>
          </w:p>
        </w:tc>
      </w:tr>
      <w:tr w:rsidR="0051335C" w:rsidRPr="00302344" w:rsidTr="0051335C">
        <w:trPr>
          <w:trHeight w:val="315"/>
        </w:trPr>
        <w:tc>
          <w:tcPr>
            <w:tcW w:w="236" w:type="dxa"/>
            <w:tcBorders>
              <w:top w:val="nil"/>
              <w:left w:val="single" w:sz="4" w:space="0" w:color="009900"/>
              <w:bottom w:val="nil"/>
              <w:right w:val="nil"/>
            </w:tcBorders>
            <w:shd w:val="clear" w:color="000000" w:fill="FFFFE1"/>
            <w:noWrap/>
            <w:vAlign w:val="center"/>
            <w:hideMark/>
          </w:tcPr>
          <w:p w:rsidR="0051335C" w:rsidRPr="00302344" w:rsidRDefault="0051335C" w:rsidP="0051335C">
            <w:pPr>
              <w:rPr>
                <w:rFonts w:ascii="Arial" w:hAnsi="Arial" w:cs="Arial"/>
                <w:color w:val="000000"/>
                <w:sz w:val="16"/>
                <w:szCs w:val="16"/>
              </w:rPr>
            </w:pPr>
            <w:r w:rsidRPr="00302344">
              <w:rPr>
                <w:rFonts w:ascii="Arial" w:hAnsi="Arial" w:cs="Arial"/>
                <w:color w:val="000000"/>
                <w:sz w:val="16"/>
                <w:szCs w:val="16"/>
              </w:rPr>
              <w:t>2010</w:t>
            </w:r>
          </w:p>
        </w:tc>
        <w:tc>
          <w:tcPr>
            <w:tcW w:w="1160" w:type="dxa"/>
            <w:tcBorders>
              <w:top w:val="nil"/>
              <w:left w:val="nil"/>
              <w:bottom w:val="nil"/>
              <w:right w:val="nil"/>
            </w:tcBorders>
            <w:shd w:val="clear" w:color="000000" w:fill="FFFFE1"/>
            <w:noWrap/>
            <w:vAlign w:val="center"/>
            <w:hideMark/>
          </w:tcPr>
          <w:p w:rsidR="0051335C" w:rsidRPr="00302344" w:rsidRDefault="0051335C" w:rsidP="0051335C">
            <w:pPr>
              <w:jc w:val="center"/>
              <w:rPr>
                <w:rFonts w:ascii="Arial" w:hAnsi="Arial" w:cs="Arial"/>
                <w:color w:val="000000"/>
                <w:sz w:val="16"/>
                <w:szCs w:val="16"/>
              </w:rPr>
            </w:pPr>
            <w:r w:rsidRPr="00302344">
              <w:rPr>
                <w:rFonts w:ascii="Arial" w:hAnsi="Arial" w:cs="Arial"/>
                <w:color w:val="000000"/>
                <w:sz w:val="16"/>
                <w:szCs w:val="16"/>
              </w:rPr>
              <w:t>400,779</w:t>
            </w:r>
          </w:p>
        </w:tc>
        <w:tc>
          <w:tcPr>
            <w:tcW w:w="1481" w:type="dxa"/>
            <w:tcBorders>
              <w:top w:val="nil"/>
              <w:left w:val="nil"/>
              <w:bottom w:val="nil"/>
              <w:right w:val="single" w:sz="4" w:space="0" w:color="009900"/>
            </w:tcBorders>
            <w:shd w:val="clear" w:color="000000" w:fill="FFFFE1"/>
            <w:noWrap/>
            <w:vAlign w:val="center"/>
            <w:hideMark/>
          </w:tcPr>
          <w:p w:rsidR="0051335C" w:rsidRPr="00302344" w:rsidRDefault="0051335C" w:rsidP="0051335C">
            <w:pPr>
              <w:jc w:val="center"/>
              <w:rPr>
                <w:rFonts w:ascii="Arial" w:hAnsi="Arial" w:cs="Arial"/>
                <w:color w:val="000000"/>
                <w:sz w:val="16"/>
                <w:szCs w:val="16"/>
              </w:rPr>
            </w:pPr>
            <w:r w:rsidRPr="00302344">
              <w:rPr>
                <w:rFonts w:ascii="Arial" w:hAnsi="Arial" w:cs="Arial"/>
                <w:color w:val="000000"/>
                <w:sz w:val="16"/>
                <w:szCs w:val="16"/>
              </w:rPr>
              <w:t>19.8</w:t>
            </w:r>
          </w:p>
        </w:tc>
      </w:tr>
      <w:tr w:rsidR="0051335C" w:rsidRPr="00302344" w:rsidTr="0051335C">
        <w:trPr>
          <w:trHeight w:val="315"/>
        </w:trPr>
        <w:tc>
          <w:tcPr>
            <w:tcW w:w="236" w:type="dxa"/>
            <w:tcBorders>
              <w:top w:val="nil"/>
              <w:left w:val="single" w:sz="4" w:space="0" w:color="009900"/>
              <w:bottom w:val="nil"/>
              <w:right w:val="nil"/>
            </w:tcBorders>
            <w:shd w:val="clear" w:color="000000" w:fill="FFFFE1"/>
            <w:noWrap/>
            <w:vAlign w:val="center"/>
            <w:hideMark/>
          </w:tcPr>
          <w:p w:rsidR="0051335C" w:rsidRPr="00302344" w:rsidRDefault="0051335C" w:rsidP="0051335C">
            <w:pPr>
              <w:rPr>
                <w:rFonts w:ascii="Arial" w:hAnsi="Arial" w:cs="Arial"/>
                <w:color w:val="000000"/>
                <w:sz w:val="16"/>
                <w:szCs w:val="16"/>
              </w:rPr>
            </w:pPr>
            <w:r w:rsidRPr="00302344">
              <w:rPr>
                <w:rFonts w:ascii="Arial" w:hAnsi="Arial" w:cs="Arial"/>
                <w:color w:val="000000"/>
                <w:sz w:val="16"/>
                <w:szCs w:val="16"/>
              </w:rPr>
              <w:t>2011</w:t>
            </w:r>
          </w:p>
        </w:tc>
        <w:tc>
          <w:tcPr>
            <w:tcW w:w="1160" w:type="dxa"/>
            <w:tcBorders>
              <w:top w:val="nil"/>
              <w:left w:val="nil"/>
              <w:bottom w:val="nil"/>
              <w:right w:val="nil"/>
            </w:tcBorders>
            <w:shd w:val="clear" w:color="000000" w:fill="FFFFE1"/>
            <w:noWrap/>
            <w:vAlign w:val="center"/>
            <w:hideMark/>
          </w:tcPr>
          <w:p w:rsidR="0051335C" w:rsidRPr="00302344" w:rsidRDefault="0051335C" w:rsidP="0051335C">
            <w:pPr>
              <w:jc w:val="center"/>
              <w:rPr>
                <w:rFonts w:ascii="Arial" w:hAnsi="Arial" w:cs="Arial"/>
                <w:color w:val="000000"/>
                <w:sz w:val="16"/>
                <w:szCs w:val="16"/>
              </w:rPr>
            </w:pPr>
            <w:r w:rsidRPr="00302344">
              <w:rPr>
                <w:rFonts w:ascii="Arial" w:hAnsi="Arial" w:cs="Arial"/>
                <w:color w:val="000000"/>
                <w:sz w:val="16"/>
                <w:szCs w:val="16"/>
              </w:rPr>
              <w:t>427,340</w:t>
            </w:r>
          </w:p>
        </w:tc>
        <w:tc>
          <w:tcPr>
            <w:tcW w:w="1481" w:type="dxa"/>
            <w:tcBorders>
              <w:top w:val="nil"/>
              <w:left w:val="nil"/>
              <w:bottom w:val="nil"/>
              <w:right w:val="single" w:sz="4" w:space="0" w:color="009900"/>
            </w:tcBorders>
            <w:shd w:val="clear" w:color="000000" w:fill="FFFFE1"/>
            <w:noWrap/>
            <w:vAlign w:val="center"/>
            <w:hideMark/>
          </w:tcPr>
          <w:p w:rsidR="0051335C" w:rsidRPr="00302344" w:rsidRDefault="0051335C" w:rsidP="0051335C">
            <w:pPr>
              <w:jc w:val="center"/>
              <w:rPr>
                <w:rFonts w:ascii="Arial" w:hAnsi="Arial" w:cs="Arial"/>
                <w:color w:val="000000"/>
                <w:sz w:val="16"/>
                <w:szCs w:val="16"/>
              </w:rPr>
            </w:pPr>
            <w:r w:rsidRPr="00302344">
              <w:rPr>
                <w:rFonts w:ascii="Arial" w:hAnsi="Arial" w:cs="Arial"/>
                <w:color w:val="000000"/>
                <w:sz w:val="16"/>
                <w:szCs w:val="16"/>
              </w:rPr>
              <w:t>20.9</w:t>
            </w:r>
          </w:p>
        </w:tc>
      </w:tr>
      <w:tr w:rsidR="0051335C" w:rsidRPr="00302344" w:rsidTr="0051335C">
        <w:trPr>
          <w:trHeight w:val="300"/>
        </w:trPr>
        <w:tc>
          <w:tcPr>
            <w:tcW w:w="236" w:type="dxa"/>
            <w:tcBorders>
              <w:top w:val="nil"/>
              <w:left w:val="single" w:sz="4" w:space="0" w:color="009900"/>
              <w:bottom w:val="single" w:sz="4" w:space="0" w:color="009900"/>
              <w:right w:val="nil"/>
            </w:tcBorders>
            <w:shd w:val="clear" w:color="000000" w:fill="FFFFE1"/>
            <w:noWrap/>
            <w:vAlign w:val="center"/>
            <w:hideMark/>
          </w:tcPr>
          <w:p w:rsidR="0051335C" w:rsidRPr="00302344" w:rsidRDefault="0051335C" w:rsidP="0051335C">
            <w:pPr>
              <w:rPr>
                <w:rFonts w:ascii="Arial" w:hAnsi="Arial" w:cs="Arial"/>
                <w:color w:val="000000"/>
                <w:sz w:val="16"/>
                <w:szCs w:val="16"/>
              </w:rPr>
            </w:pPr>
            <w:r w:rsidRPr="00302344">
              <w:rPr>
                <w:rFonts w:ascii="Arial" w:hAnsi="Arial" w:cs="Arial"/>
                <w:color w:val="000000"/>
                <w:sz w:val="16"/>
                <w:szCs w:val="16"/>
              </w:rPr>
              <w:t>2012</w:t>
            </w:r>
          </w:p>
        </w:tc>
        <w:tc>
          <w:tcPr>
            <w:tcW w:w="1160" w:type="dxa"/>
            <w:tcBorders>
              <w:top w:val="nil"/>
              <w:left w:val="nil"/>
              <w:bottom w:val="single" w:sz="4" w:space="0" w:color="009900"/>
              <w:right w:val="nil"/>
            </w:tcBorders>
            <w:shd w:val="clear" w:color="000000" w:fill="FFFFE1"/>
            <w:noWrap/>
            <w:vAlign w:val="center"/>
            <w:hideMark/>
          </w:tcPr>
          <w:p w:rsidR="0051335C" w:rsidRPr="00302344" w:rsidRDefault="0051335C" w:rsidP="0051335C">
            <w:pPr>
              <w:jc w:val="center"/>
              <w:rPr>
                <w:rFonts w:ascii="Arial" w:hAnsi="Arial" w:cs="Arial"/>
                <w:color w:val="000000"/>
                <w:sz w:val="16"/>
                <w:szCs w:val="16"/>
              </w:rPr>
            </w:pPr>
            <w:r w:rsidRPr="00302344">
              <w:rPr>
                <w:rFonts w:ascii="Arial" w:hAnsi="Arial" w:cs="Arial"/>
                <w:color w:val="000000"/>
                <w:sz w:val="16"/>
                <w:szCs w:val="16"/>
              </w:rPr>
              <w:t>421,123</w:t>
            </w:r>
          </w:p>
        </w:tc>
        <w:tc>
          <w:tcPr>
            <w:tcW w:w="1481" w:type="dxa"/>
            <w:tcBorders>
              <w:top w:val="nil"/>
              <w:left w:val="nil"/>
              <w:bottom w:val="single" w:sz="4" w:space="0" w:color="009900"/>
              <w:right w:val="single" w:sz="4" w:space="0" w:color="009900"/>
            </w:tcBorders>
            <w:shd w:val="clear" w:color="000000" w:fill="FFFFE1"/>
            <w:noWrap/>
            <w:vAlign w:val="center"/>
            <w:hideMark/>
          </w:tcPr>
          <w:p w:rsidR="0051335C" w:rsidRPr="00302344" w:rsidRDefault="0051335C" w:rsidP="0051335C">
            <w:pPr>
              <w:jc w:val="center"/>
              <w:rPr>
                <w:rFonts w:ascii="Arial" w:hAnsi="Arial" w:cs="Arial"/>
                <w:color w:val="000000"/>
                <w:sz w:val="16"/>
                <w:szCs w:val="16"/>
              </w:rPr>
            </w:pPr>
            <w:r w:rsidRPr="00302344">
              <w:rPr>
                <w:rFonts w:ascii="Arial" w:hAnsi="Arial" w:cs="Arial"/>
                <w:color w:val="000000"/>
                <w:sz w:val="16"/>
                <w:szCs w:val="16"/>
              </w:rPr>
              <w:t>20.6</w:t>
            </w:r>
          </w:p>
        </w:tc>
      </w:tr>
    </w:tbl>
    <w:p w:rsidR="0051335C" w:rsidRDefault="0051335C" w:rsidP="00B27797">
      <w:pPr>
        <w:pStyle w:val="BodyText"/>
        <w:tabs>
          <w:tab w:val="num" w:pos="360"/>
        </w:tabs>
        <w:rPr>
          <w:rFonts w:ascii="CG Omega" w:hAnsi="CG Omega"/>
          <w:szCs w:val="24"/>
        </w:rPr>
      </w:pPr>
    </w:p>
    <w:p w:rsidR="00A42245" w:rsidRPr="00955C8C" w:rsidRDefault="00A42245" w:rsidP="00B27797">
      <w:pPr>
        <w:pStyle w:val="BodyText"/>
        <w:tabs>
          <w:tab w:val="num" w:pos="360"/>
        </w:tabs>
        <w:rPr>
          <w:rFonts w:ascii="CG Omega" w:hAnsi="CG Omega"/>
          <w:szCs w:val="24"/>
          <w:highlight w:val="yellow"/>
        </w:rPr>
      </w:pPr>
      <w:r w:rsidRPr="00FD096D">
        <w:rPr>
          <w:rFonts w:ascii="CG Omega" w:hAnsi="CG Omega"/>
          <w:szCs w:val="24"/>
        </w:rPr>
        <w:t>More recent poverty data for New Mexico</w:t>
      </w:r>
      <w:r w:rsidR="00965C11" w:rsidRPr="00FD096D">
        <w:rPr>
          <w:rFonts w:ascii="CG Omega" w:hAnsi="CG Omega"/>
          <w:szCs w:val="24"/>
        </w:rPr>
        <w:t>, extracted from the Census Bureau’s Small Area Income and Poverty Estimates program,</w:t>
      </w:r>
      <w:r w:rsidR="002942AF" w:rsidRPr="00FD096D">
        <w:rPr>
          <w:rFonts w:ascii="CG Omega" w:hAnsi="CG Omega"/>
          <w:szCs w:val="24"/>
        </w:rPr>
        <w:t xml:space="preserve"> are</w:t>
      </w:r>
      <w:r w:rsidRPr="00FD096D">
        <w:rPr>
          <w:rFonts w:ascii="CG Omega" w:hAnsi="CG Omega"/>
          <w:szCs w:val="24"/>
        </w:rPr>
        <w:t xml:space="preserve"> presented in </w:t>
      </w:r>
      <w:r w:rsidRPr="0033425C">
        <w:rPr>
          <w:rFonts w:ascii="CG Omega" w:hAnsi="CG Omega"/>
          <w:b/>
          <w:szCs w:val="24"/>
        </w:rPr>
        <w:t xml:space="preserve">Table </w:t>
      </w:r>
      <w:r w:rsidR="00EA4494" w:rsidRPr="0033425C">
        <w:rPr>
          <w:rFonts w:ascii="CG Omega" w:hAnsi="CG Omega"/>
          <w:b/>
          <w:szCs w:val="24"/>
        </w:rPr>
        <w:t>III.14</w:t>
      </w:r>
      <w:r w:rsidR="009F2C37">
        <w:rPr>
          <w:rFonts w:ascii="CG Omega" w:hAnsi="CG Omega"/>
          <w:szCs w:val="24"/>
        </w:rPr>
        <w:t>, at right.</w:t>
      </w:r>
      <w:r w:rsidR="009E6968" w:rsidRPr="00FD096D">
        <w:rPr>
          <w:rFonts w:ascii="CG Omega" w:hAnsi="CG Omega"/>
          <w:szCs w:val="24"/>
        </w:rPr>
        <w:t xml:space="preserve"> </w:t>
      </w:r>
      <w:r w:rsidR="00BA1EBB" w:rsidRPr="00BA1EBB">
        <w:rPr>
          <w:rFonts w:ascii="CG Omega" w:hAnsi="CG Omega"/>
          <w:szCs w:val="24"/>
        </w:rPr>
        <w:t xml:space="preserve">Having held steady between 16.7 and 18.4 percent for most of the decade, the poverty rate began to increase in the latter part of the decade, climbing from 17 percent in 2008 to 20.9 percent by 2011, likely as a consequence of the worldwide recession that occurred roughly within the same time frame. As of 2012 the poverty rate had begun to fall </w:t>
      </w:r>
      <w:r w:rsidR="007E041D">
        <w:rPr>
          <w:rFonts w:ascii="CG Omega" w:hAnsi="CG Omega"/>
          <w:szCs w:val="24"/>
        </w:rPr>
        <w:t>slightly</w:t>
      </w:r>
      <w:r w:rsidR="00BA1EBB" w:rsidRPr="00BA1EBB">
        <w:rPr>
          <w:rFonts w:ascii="CG Omega" w:hAnsi="CG Omega"/>
          <w:szCs w:val="24"/>
        </w:rPr>
        <w:t>, but remained relatively high at 20.6 percent.</w:t>
      </w:r>
    </w:p>
    <w:p w:rsidR="00A42245" w:rsidRPr="0033425C" w:rsidRDefault="00A42245" w:rsidP="00B27797">
      <w:pPr>
        <w:pStyle w:val="BodyText"/>
        <w:tabs>
          <w:tab w:val="num" w:pos="360"/>
        </w:tabs>
        <w:rPr>
          <w:rFonts w:ascii="CG Omega" w:hAnsi="CG Omega"/>
          <w:szCs w:val="24"/>
          <w:highlight w:val="yellow"/>
        </w:rPr>
      </w:pPr>
    </w:p>
    <w:p w:rsidR="00EE5DD4" w:rsidRPr="00051550" w:rsidRDefault="00EE5DD4" w:rsidP="00B27797">
      <w:pPr>
        <w:pStyle w:val="BodyText"/>
        <w:tabs>
          <w:tab w:val="num" w:pos="360"/>
        </w:tabs>
        <w:rPr>
          <w:rFonts w:ascii="CG Omega" w:hAnsi="CG Omega"/>
          <w:szCs w:val="24"/>
        </w:rPr>
      </w:pPr>
      <w:r w:rsidRPr="00051550">
        <w:rPr>
          <w:rFonts w:ascii="CG Omega" w:hAnsi="CG Omega"/>
          <w:szCs w:val="24"/>
        </w:rPr>
        <w:t>Despite the level of poverty in New Mexi</w:t>
      </w:r>
      <w:r w:rsidR="007B6442" w:rsidRPr="00051550">
        <w:rPr>
          <w:rFonts w:ascii="CG Omega" w:hAnsi="CG Omega"/>
          <w:szCs w:val="24"/>
        </w:rPr>
        <w:t xml:space="preserve">co, </w:t>
      </w:r>
      <w:r w:rsidR="00965C11" w:rsidRPr="00051550">
        <w:rPr>
          <w:rFonts w:ascii="CG Omega" w:hAnsi="CG Omega"/>
          <w:szCs w:val="24"/>
        </w:rPr>
        <w:t xml:space="preserve">HUD’s estimate of </w:t>
      </w:r>
      <w:r w:rsidR="007B6442" w:rsidRPr="00051550">
        <w:rPr>
          <w:rFonts w:ascii="CG Omega" w:hAnsi="CG Omega"/>
          <w:szCs w:val="24"/>
        </w:rPr>
        <w:t>the median family income</w:t>
      </w:r>
      <w:r w:rsidRPr="00051550">
        <w:rPr>
          <w:rFonts w:ascii="CG Omega" w:hAnsi="CG Omega"/>
          <w:szCs w:val="24"/>
        </w:rPr>
        <w:t xml:space="preserve"> </w:t>
      </w:r>
      <w:r w:rsidR="00051550" w:rsidRPr="00051550">
        <w:rPr>
          <w:rFonts w:ascii="CG Omega" w:hAnsi="CG Omega"/>
          <w:szCs w:val="24"/>
        </w:rPr>
        <w:t>has increased overall from 2000 through 2013</w:t>
      </w:r>
      <w:r w:rsidR="009F2C37" w:rsidRPr="00051550">
        <w:rPr>
          <w:rFonts w:ascii="CG Omega" w:hAnsi="CG Omega"/>
          <w:szCs w:val="24"/>
        </w:rPr>
        <w:t>.</w:t>
      </w:r>
      <w:r w:rsidRPr="00051550">
        <w:rPr>
          <w:rFonts w:ascii="CG Omega" w:hAnsi="CG Omega"/>
          <w:szCs w:val="24"/>
        </w:rPr>
        <w:t xml:space="preserve"> </w:t>
      </w:r>
      <w:r w:rsidR="00051550" w:rsidRPr="00051550">
        <w:rPr>
          <w:rFonts w:ascii="CG Omega" w:hAnsi="CG Omega"/>
          <w:szCs w:val="24"/>
        </w:rPr>
        <w:t>Since 2000</w:t>
      </w:r>
      <w:r w:rsidRPr="00051550">
        <w:rPr>
          <w:rFonts w:ascii="CG Omega" w:hAnsi="CG Omega"/>
          <w:szCs w:val="24"/>
        </w:rPr>
        <w:t>, the median family inco</w:t>
      </w:r>
      <w:r w:rsidR="00051550" w:rsidRPr="00051550">
        <w:rPr>
          <w:rFonts w:ascii="CG Omega" w:hAnsi="CG Omega"/>
          <w:szCs w:val="24"/>
        </w:rPr>
        <w:t>me increased from $40,800 to $53</w:t>
      </w:r>
      <w:r w:rsidRPr="00051550">
        <w:rPr>
          <w:rFonts w:ascii="CG Omega" w:hAnsi="CG Omega"/>
          <w:szCs w:val="24"/>
        </w:rPr>
        <w:t>,</w:t>
      </w:r>
      <w:r w:rsidR="00051550" w:rsidRPr="00051550">
        <w:rPr>
          <w:rFonts w:ascii="CG Omega" w:hAnsi="CG Omega"/>
          <w:szCs w:val="24"/>
        </w:rPr>
        <w:t>8</w:t>
      </w:r>
      <w:r w:rsidRPr="00051550">
        <w:rPr>
          <w:rFonts w:ascii="CG Omega" w:hAnsi="CG Omega"/>
          <w:szCs w:val="24"/>
        </w:rPr>
        <w:t xml:space="preserve">00, as shown in </w:t>
      </w:r>
      <w:r w:rsidRPr="0033425C">
        <w:rPr>
          <w:rFonts w:ascii="CG Omega" w:hAnsi="CG Omega"/>
          <w:b/>
          <w:szCs w:val="24"/>
        </w:rPr>
        <w:t xml:space="preserve">Diagram </w:t>
      </w:r>
      <w:r w:rsidR="00D93560" w:rsidRPr="0033425C">
        <w:rPr>
          <w:rFonts w:ascii="CG Omega" w:hAnsi="CG Omega"/>
          <w:b/>
          <w:szCs w:val="24"/>
        </w:rPr>
        <w:t>III.7</w:t>
      </w:r>
      <w:r w:rsidR="00EA4494">
        <w:rPr>
          <w:rFonts w:ascii="CG Omega" w:hAnsi="CG Omega"/>
          <w:szCs w:val="24"/>
        </w:rPr>
        <w:t xml:space="preserve"> below</w:t>
      </w:r>
      <w:r w:rsidR="00965C11" w:rsidRPr="00D93560">
        <w:rPr>
          <w:rFonts w:ascii="CG Omega" w:hAnsi="CG Omega"/>
          <w:szCs w:val="24"/>
        </w:rPr>
        <w:t>,</w:t>
      </w:r>
      <w:r w:rsidR="00965C11" w:rsidRPr="00051550">
        <w:rPr>
          <w:rFonts w:ascii="CG Omega" w:hAnsi="CG Omega"/>
          <w:szCs w:val="24"/>
        </w:rPr>
        <w:t xml:space="preserve"> with </w:t>
      </w:r>
      <w:r w:rsidR="00051550" w:rsidRPr="00051550">
        <w:rPr>
          <w:rFonts w:ascii="CG Omega" w:hAnsi="CG Omega"/>
          <w:szCs w:val="24"/>
        </w:rPr>
        <w:t>growth leveling off and falling somewhat in the past couple years.</w:t>
      </w:r>
      <w:r w:rsidR="007B6442" w:rsidRPr="00051550">
        <w:rPr>
          <w:rFonts w:ascii="CG Omega" w:hAnsi="CG Omega"/>
          <w:szCs w:val="24"/>
        </w:rPr>
        <w:t xml:space="preserve"> </w:t>
      </w:r>
    </w:p>
    <w:p w:rsidR="00302344" w:rsidRPr="0033425C" w:rsidRDefault="00302344" w:rsidP="00B27797">
      <w:pPr>
        <w:pStyle w:val="BodyText"/>
        <w:tabs>
          <w:tab w:val="num" w:pos="360"/>
        </w:tabs>
        <w:rPr>
          <w:rFonts w:ascii="CG Omega" w:hAnsi="CG Omega"/>
          <w:szCs w:val="24"/>
          <w:highlight w:val="yellow"/>
        </w:rPr>
      </w:pPr>
    </w:p>
    <w:p w:rsidR="00051550" w:rsidRPr="00671A7C" w:rsidRDefault="00D93560" w:rsidP="00051550">
      <w:pPr>
        <w:pStyle w:val="NoSpacing"/>
        <w:ind w:left="3600" w:firstLine="360"/>
        <w:rPr>
          <w:rFonts w:ascii="Arial" w:hAnsi="Arial" w:cs="Arial"/>
          <w:b/>
        </w:rPr>
      </w:pPr>
      <w:r w:rsidRPr="00D93560">
        <w:rPr>
          <w:rFonts w:ascii="Arial" w:hAnsi="Arial" w:cs="Arial"/>
          <w:b/>
        </w:rPr>
        <w:t xml:space="preserve">Diagram </w:t>
      </w:r>
      <w:r>
        <w:rPr>
          <w:rFonts w:ascii="Arial" w:hAnsi="Arial" w:cs="Arial"/>
          <w:b/>
        </w:rPr>
        <w:t>III.7</w:t>
      </w:r>
    </w:p>
    <w:p w:rsidR="00051550" w:rsidRPr="00671A7C" w:rsidRDefault="00051550" w:rsidP="00051550">
      <w:pPr>
        <w:pStyle w:val="NoSpacing"/>
        <w:jc w:val="center"/>
        <w:rPr>
          <w:rFonts w:ascii="Arial" w:hAnsi="Arial" w:cs="Arial"/>
          <w:b/>
          <w:sz w:val="20"/>
          <w:szCs w:val="20"/>
        </w:rPr>
      </w:pPr>
      <w:r w:rsidRPr="00671A7C">
        <w:rPr>
          <w:rFonts w:ascii="Arial" w:hAnsi="Arial" w:cs="Arial"/>
          <w:b/>
          <w:sz w:val="20"/>
          <w:szCs w:val="20"/>
        </w:rPr>
        <w:t>Median Family Income</w:t>
      </w:r>
    </w:p>
    <w:p w:rsidR="00051550" w:rsidRPr="00671A7C" w:rsidRDefault="00051550" w:rsidP="00051550">
      <w:pPr>
        <w:pStyle w:val="NoSpacing"/>
        <w:jc w:val="center"/>
        <w:rPr>
          <w:rFonts w:ascii="Arial" w:hAnsi="Arial" w:cs="Arial"/>
          <w:sz w:val="16"/>
          <w:szCs w:val="16"/>
        </w:rPr>
      </w:pPr>
      <w:r w:rsidRPr="00671A7C">
        <w:rPr>
          <w:rFonts w:ascii="Arial" w:hAnsi="Arial" w:cs="Arial"/>
          <w:sz w:val="16"/>
          <w:szCs w:val="16"/>
        </w:rPr>
        <w:t>State of New Mexico</w:t>
      </w:r>
    </w:p>
    <w:p w:rsidR="007B6442" w:rsidRPr="00051550" w:rsidRDefault="00051550" w:rsidP="00051550">
      <w:pPr>
        <w:pStyle w:val="NoSpacing"/>
        <w:jc w:val="center"/>
        <w:rPr>
          <w:rFonts w:ascii="Arial" w:hAnsi="Arial" w:cs="Arial"/>
          <w:sz w:val="16"/>
          <w:szCs w:val="16"/>
        </w:rPr>
      </w:pPr>
      <w:r w:rsidRPr="00671A7C">
        <w:rPr>
          <w:rFonts w:ascii="Arial" w:hAnsi="Arial" w:cs="Arial"/>
          <w:sz w:val="16"/>
          <w:szCs w:val="16"/>
        </w:rPr>
        <w:t xml:space="preserve">HUD Data, 2000 </w:t>
      </w:r>
      <w:r>
        <w:rPr>
          <w:rFonts w:ascii="Arial" w:hAnsi="Arial" w:cs="Arial"/>
          <w:sz w:val="16"/>
          <w:szCs w:val="16"/>
        </w:rPr>
        <w:t>–</w:t>
      </w:r>
      <w:r w:rsidRPr="00671A7C">
        <w:rPr>
          <w:rFonts w:ascii="Arial" w:hAnsi="Arial" w:cs="Arial"/>
          <w:sz w:val="16"/>
          <w:szCs w:val="16"/>
        </w:rPr>
        <w:t xml:space="preserve"> 2014</w:t>
      </w:r>
    </w:p>
    <w:p w:rsidR="00EF17C9" w:rsidRPr="001D6EBE" w:rsidRDefault="00051550" w:rsidP="004608D1">
      <w:pPr>
        <w:pStyle w:val="BodyText"/>
        <w:tabs>
          <w:tab w:val="num" w:pos="360"/>
        </w:tabs>
        <w:jc w:val="center"/>
        <w:rPr>
          <w:rFonts w:ascii="CG Omega" w:hAnsi="CG Omega"/>
          <w:sz w:val="16"/>
          <w:szCs w:val="16"/>
          <w:highlight w:val="yellow"/>
        </w:rPr>
      </w:pPr>
      <w:r>
        <w:rPr>
          <w:noProof/>
        </w:rPr>
        <w:drawing>
          <wp:inline distT="0" distB="0" distL="0" distR="0" wp14:anchorId="5884612F" wp14:editId="69913E75">
            <wp:extent cx="5219700" cy="2581275"/>
            <wp:effectExtent l="0" t="0" r="0" b="0"/>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51335C" w:rsidRDefault="0051335C" w:rsidP="001078C1">
      <w:pPr>
        <w:pStyle w:val="PlainText"/>
        <w:jc w:val="both"/>
        <w:rPr>
          <w:rFonts w:ascii="CG Omega" w:hAnsi="CG Omega"/>
          <w:b/>
          <w:bCs/>
          <w:smallCaps/>
          <w:sz w:val="24"/>
          <w:szCs w:val="24"/>
        </w:rPr>
      </w:pPr>
    </w:p>
    <w:p w:rsidR="00AD58E4" w:rsidRDefault="00965C11" w:rsidP="001078C1">
      <w:pPr>
        <w:pStyle w:val="PlainText"/>
        <w:jc w:val="both"/>
        <w:rPr>
          <w:rFonts w:ascii="CG Omega" w:hAnsi="CG Omega"/>
          <w:b/>
          <w:bCs/>
          <w:smallCaps/>
          <w:sz w:val="24"/>
          <w:szCs w:val="24"/>
        </w:rPr>
      </w:pPr>
      <w:r w:rsidRPr="00322CDF">
        <w:rPr>
          <w:rFonts w:ascii="CG Omega" w:hAnsi="CG Omega"/>
          <w:b/>
          <w:bCs/>
          <w:smallCaps/>
          <w:sz w:val="24"/>
          <w:szCs w:val="24"/>
        </w:rPr>
        <w:t xml:space="preserve">Anti-Poverty Strategy </w:t>
      </w:r>
    </w:p>
    <w:p w:rsidR="00A73F51" w:rsidRPr="0033425C" w:rsidRDefault="00A73F51" w:rsidP="001078C1">
      <w:pPr>
        <w:pStyle w:val="PlainText"/>
        <w:jc w:val="both"/>
        <w:rPr>
          <w:rFonts w:ascii="CG Omega" w:hAnsi="CG Omega"/>
          <w:b/>
          <w:bCs/>
          <w:smallCaps/>
          <w:sz w:val="18"/>
          <w:szCs w:val="18"/>
        </w:rPr>
      </w:pPr>
    </w:p>
    <w:p w:rsidR="00A73F51" w:rsidRPr="0033425C" w:rsidRDefault="00A73F51" w:rsidP="0033425C">
      <w:pPr>
        <w:jc w:val="both"/>
        <w:rPr>
          <w:rFonts w:ascii="CG Omega" w:hAnsi="CG Omega" w:cstheme="minorHAnsi"/>
          <w:color w:val="000000"/>
        </w:rPr>
      </w:pPr>
      <w:r w:rsidRPr="0033425C">
        <w:rPr>
          <w:rFonts w:ascii="CG Omega" w:hAnsi="CG Omega" w:cstheme="minorHAnsi"/>
          <w:color w:val="000000"/>
        </w:rPr>
        <w:t xml:space="preserve">The role </w:t>
      </w:r>
      <w:r w:rsidR="00CC3344" w:rsidRPr="0033425C">
        <w:rPr>
          <w:rFonts w:ascii="CG Omega" w:hAnsi="CG Omega" w:cstheme="minorHAnsi"/>
          <w:color w:val="000000"/>
        </w:rPr>
        <w:t>MFA</w:t>
      </w:r>
      <w:r w:rsidRPr="0033425C">
        <w:rPr>
          <w:rFonts w:ascii="CG Omega" w:hAnsi="CG Omega" w:cstheme="minorHAnsi"/>
          <w:color w:val="000000"/>
        </w:rPr>
        <w:t xml:space="preserve"> performs in reducing poverty is to foster and promote self-sufficiency and independence. To better empower individual and families toward this goal, the following strategies will be implemented: </w:t>
      </w:r>
    </w:p>
    <w:p w:rsidR="00A73F51" w:rsidRPr="0033425C" w:rsidRDefault="00A73F51" w:rsidP="0033425C">
      <w:pPr>
        <w:jc w:val="both"/>
        <w:rPr>
          <w:rFonts w:ascii="CG Omega" w:hAnsi="CG Omega" w:cstheme="minorHAnsi"/>
          <w:color w:val="000000"/>
          <w:sz w:val="20"/>
          <w:szCs w:val="20"/>
        </w:rPr>
      </w:pPr>
    </w:p>
    <w:p w:rsidR="00A73F51" w:rsidRPr="00A73F51" w:rsidRDefault="00A73F51" w:rsidP="0033425C">
      <w:pPr>
        <w:numPr>
          <w:ilvl w:val="0"/>
          <w:numId w:val="50"/>
        </w:numPr>
        <w:autoSpaceDE w:val="0"/>
        <w:autoSpaceDN w:val="0"/>
        <w:adjustRightInd w:val="0"/>
        <w:ind w:left="720"/>
        <w:jc w:val="both"/>
        <w:rPr>
          <w:rFonts w:ascii="CG Omega" w:hAnsi="CG Omega" w:cstheme="minorHAnsi"/>
          <w:color w:val="000000"/>
        </w:rPr>
      </w:pPr>
      <w:r w:rsidRPr="00A73F51">
        <w:rPr>
          <w:rFonts w:ascii="CG Omega" w:hAnsi="CG Omega" w:cstheme="minorHAnsi"/>
          <w:color w:val="000000"/>
        </w:rPr>
        <w:t xml:space="preserve">Promote sustainable economic development through affordable housing and other community development activities; </w:t>
      </w:r>
    </w:p>
    <w:p w:rsidR="00A73F51" w:rsidRPr="00A73F51" w:rsidRDefault="00A73F51" w:rsidP="0033425C">
      <w:pPr>
        <w:numPr>
          <w:ilvl w:val="0"/>
          <w:numId w:val="50"/>
        </w:numPr>
        <w:autoSpaceDE w:val="0"/>
        <w:autoSpaceDN w:val="0"/>
        <w:adjustRightInd w:val="0"/>
        <w:ind w:left="720"/>
        <w:jc w:val="both"/>
        <w:rPr>
          <w:rFonts w:ascii="CG Omega" w:hAnsi="CG Omega" w:cstheme="minorHAnsi"/>
          <w:color w:val="000000"/>
        </w:rPr>
      </w:pPr>
      <w:r w:rsidRPr="00A73F51">
        <w:rPr>
          <w:rFonts w:ascii="CG Omega" w:hAnsi="CG Omega" w:cstheme="minorHAnsi"/>
          <w:color w:val="000000"/>
        </w:rPr>
        <w:t>Assist households in achieving housing stabilities, which in turn reduces the likelihood of poverty;</w:t>
      </w:r>
    </w:p>
    <w:p w:rsidR="00A73F51" w:rsidRPr="00A73F51" w:rsidRDefault="00A73F51" w:rsidP="0033425C">
      <w:pPr>
        <w:numPr>
          <w:ilvl w:val="0"/>
          <w:numId w:val="50"/>
        </w:numPr>
        <w:autoSpaceDE w:val="0"/>
        <w:autoSpaceDN w:val="0"/>
        <w:adjustRightInd w:val="0"/>
        <w:ind w:left="720"/>
        <w:jc w:val="both"/>
        <w:rPr>
          <w:rFonts w:ascii="CG Omega" w:hAnsi="CG Omega" w:cstheme="minorHAnsi"/>
          <w:color w:val="000000"/>
        </w:rPr>
      </w:pPr>
      <w:r w:rsidRPr="00A73F51">
        <w:rPr>
          <w:rFonts w:ascii="CG Omega" w:hAnsi="CG Omega" w:cstheme="minorHAnsi"/>
          <w:color w:val="000000"/>
        </w:rPr>
        <w:t>Encourage rental projects to provide services to tenants, including financial literacy;</w:t>
      </w:r>
    </w:p>
    <w:p w:rsidR="00A73F51" w:rsidRPr="00A73F51" w:rsidRDefault="00A73F51" w:rsidP="0033425C">
      <w:pPr>
        <w:numPr>
          <w:ilvl w:val="0"/>
          <w:numId w:val="50"/>
        </w:numPr>
        <w:autoSpaceDE w:val="0"/>
        <w:autoSpaceDN w:val="0"/>
        <w:adjustRightInd w:val="0"/>
        <w:ind w:left="720"/>
        <w:jc w:val="both"/>
        <w:rPr>
          <w:rFonts w:ascii="CG Omega" w:hAnsi="CG Omega" w:cstheme="minorHAnsi"/>
          <w:color w:val="000000"/>
        </w:rPr>
      </w:pPr>
      <w:r w:rsidRPr="00A73F51">
        <w:rPr>
          <w:rFonts w:ascii="CG Omega" w:hAnsi="CG Omega" w:cstheme="minorHAnsi"/>
          <w:color w:val="000000"/>
        </w:rPr>
        <w:t>Maintain a strong relationship with the N</w:t>
      </w:r>
      <w:r w:rsidR="0033425C">
        <w:rPr>
          <w:rFonts w:ascii="CG Omega" w:hAnsi="CG Omega" w:cstheme="minorHAnsi"/>
          <w:color w:val="000000"/>
        </w:rPr>
        <w:t>MCEH</w:t>
      </w:r>
      <w:r w:rsidRPr="00A73F51">
        <w:rPr>
          <w:rFonts w:ascii="CG Omega" w:hAnsi="CG Omega" w:cstheme="minorHAnsi"/>
          <w:color w:val="000000"/>
        </w:rPr>
        <w:t xml:space="preserve"> to enhance and promote stabilization of homeless individuals and families and encourage transition to stable, permanent housing situations;</w:t>
      </w:r>
    </w:p>
    <w:p w:rsidR="00A73F51" w:rsidRPr="00A73F51" w:rsidRDefault="00A73F51" w:rsidP="0033425C">
      <w:pPr>
        <w:numPr>
          <w:ilvl w:val="0"/>
          <w:numId w:val="50"/>
        </w:numPr>
        <w:autoSpaceDE w:val="0"/>
        <w:autoSpaceDN w:val="0"/>
        <w:adjustRightInd w:val="0"/>
        <w:ind w:left="720"/>
        <w:jc w:val="both"/>
        <w:rPr>
          <w:rFonts w:ascii="CG Omega" w:hAnsi="CG Omega" w:cstheme="minorHAnsi"/>
          <w:color w:val="000000"/>
        </w:rPr>
      </w:pPr>
      <w:r w:rsidRPr="00A73F51">
        <w:rPr>
          <w:rFonts w:ascii="CG Omega" w:hAnsi="CG Omega" w:cstheme="minorHAnsi"/>
          <w:color w:val="000000"/>
        </w:rPr>
        <w:t>Enhance efforts to educate the public and interested persons about available supportive services that foster self-sufficiency and independent living arrangements; and</w:t>
      </w:r>
    </w:p>
    <w:p w:rsidR="00A73F51" w:rsidRPr="00A73F51" w:rsidRDefault="00A73F51" w:rsidP="0033425C">
      <w:pPr>
        <w:numPr>
          <w:ilvl w:val="0"/>
          <w:numId w:val="50"/>
        </w:numPr>
        <w:autoSpaceDE w:val="0"/>
        <w:autoSpaceDN w:val="0"/>
        <w:adjustRightInd w:val="0"/>
        <w:ind w:left="720"/>
        <w:jc w:val="both"/>
        <w:rPr>
          <w:rFonts w:ascii="CG Omega" w:hAnsi="CG Omega" w:cstheme="minorHAnsi"/>
          <w:color w:val="000000"/>
        </w:rPr>
      </w:pPr>
      <w:r w:rsidRPr="00A73F51">
        <w:rPr>
          <w:rFonts w:ascii="CG Omega" w:hAnsi="CG Omega" w:cstheme="minorHAnsi"/>
          <w:color w:val="000000"/>
        </w:rPr>
        <w:t xml:space="preserve">Assist low income households in reducing energy costs. </w:t>
      </w:r>
    </w:p>
    <w:p w:rsidR="00AD58E4" w:rsidRPr="0033425C" w:rsidRDefault="00AD58E4" w:rsidP="00B27797">
      <w:pPr>
        <w:pStyle w:val="BodyText"/>
        <w:tabs>
          <w:tab w:val="num" w:pos="360"/>
        </w:tabs>
        <w:rPr>
          <w:rFonts w:ascii="CG Omega" w:hAnsi="CG Omega"/>
          <w:sz w:val="18"/>
          <w:szCs w:val="18"/>
          <w:highlight w:val="yellow"/>
        </w:rPr>
      </w:pPr>
    </w:p>
    <w:p w:rsidR="000869BD" w:rsidRPr="001C4452" w:rsidRDefault="000869BD" w:rsidP="00BB666B">
      <w:pPr>
        <w:pStyle w:val="FirstHead"/>
      </w:pPr>
      <w:bookmarkStart w:id="55" w:name="_Toc399834567"/>
      <w:r w:rsidRPr="001C4452">
        <w:t>D. Summary</w:t>
      </w:r>
      <w:bookmarkEnd w:id="55"/>
    </w:p>
    <w:p w:rsidR="000869BD" w:rsidRPr="0033425C" w:rsidRDefault="000869BD" w:rsidP="000869BD">
      <w:pPr>
        <w:pStyle w:val="BodyText"/>
        <w:tabs>
          <w:tab w:val="num" w:pos="360"/>
        </w:tabs>
        <w:rPr>
          <w:rFonts w:ascii="CG Omega" w:hAnsi="CG Omega"/>
          <w:sz w:val="18"/>
          <w:szCs w:val="18"/>
          <w:highlight w:val="yellow"/>
        </w:rPr>
      </w:pPr>
    </w:p>
    <w:p w:rsidR="00000429" w:rsidRPr="0033425C" w:rsidRDefault="00000429" w:rsidP="00000429">
      <w:pPr>
        <w:jc w:val="both"/>
        <w:rPr>
          <w:rFonts w:ascii="CG Omega" w:hAnsi="CG Omega"/>
          <w:highlight w:val="yellow"/>
        </w:rPr>
      </w:pPr>
      <w:r w:rsidRPr="0033425C">
        <w:rPr>
          <w:rFonts w:ascii="CG Omega" w:hAnsi="CG Omega"/>
        </w:rPr>
        <w:t>Between 1980 and 20</w:t>
      </w:r>
      <w:r w:rsidR="00BA2E8C" w:rsidRPr="0033425C">
        <w:rPr>
          <w:rFonts w:ascii="CG Omega" w:hAnsi="CG Omega"/>
        </w:rPr>
        <w:t>13</w:t>
      </w:r>
      <w:r w:rsidRPr="0033425C">
        <w:rPr>
          <w:rFonts w:ascii="CG Omega" w:hAnsi="CG Omega"/>
        </w:rPr>
        <w:t>, the population in New Mexico increased from 1.3 million in 1980 to over 2 million. In the last thirteen years, from 2000 through 2013, total population growth equaled 14.6 percent.  In 2010, the majority of the population, 68.4</w:t>
      </w:r>
      <w:r w:rsidR="00322CDF" w:rsidRPr="0033425C">
        <w:rPr>
          <w:rFonts w:ascii="CG Omega" w:hAnsi="CG Omega"/>
        </w:rPr>
        <w:t xml:space="preserve"> </w:t>
      </w:r>
      <w:r w:rsidRPr="0033425C">
        <w:rPr>
          <w:rFonts w:ascii="CG Omega" w:hAnsi="CG Omega"/>
        </w:rPr>
        <w:t xml:space="preserve">percent, was </w:t>
      </w:r>
      <w:r w:rsidR="00CC3344" w:rsidRPr="0033425C">
        <w:rPr>
          <w:rFonts w:ascii="CG Omega" w:hAnsi="CG Omega"/>
        </w:rPr>
        <w:t>White</w:t>
      </w:r>
      <w:r w:rsidRPr="0033425C">
        <w:rPr>
          <w:rFonts w:ascii="CG Omega" w:hAnsi="CG Omega"/>
        </w:rPr>
        <w:t xml:space="preserve">, followed by other at 15.0 percent, American Indian at 9.4 percent, two or more races at 3.7 percent, black at 2.1 percent, Asian at 1.4 percent and Native Hawaiian/Pacific Islander at 0.1 percent.  As for ethnicity, persons of Hispanic descent comprised 46.3 percent of the population.  </w:t>
      </w:r>
      <w:r w:rsidR="001C4452" w:rsidRPr="0033425C">
        <w:rPr>
          <w:rFonts w:ascii="CG Omega" w:hAnsi="CG Omega"/>
        </w:rPr>
        <w:t xml:space="preserve">Geographic analysis of racial and ethnic data showed that Hispanic and American Indian populations were overly concentrated in certain parts of the state.  Slightly over 20 percent of the population aged 5 or older in New Mexico had one or more disabilities at the time of the 2000 census.  In terms of population growth, the state is expected to grow to close to 2.4 million persons </w:t>
      </w:r>
      <w:r w:rsidR="00EE67A7" w:rsidRPr="0033425C">
        <w:rPr>
          <w:rFonts w:ascii="CG Omega" w:hAnsi="CG Omega"/>
        </w:rPr>
        <w:t xml:space="preserve">and over 900,000 households </w:t>
      </w:r>
      <w:r w:rsidR="001C4452" w:rsidRPr="0033425C">
        <w:rPr>
          <w:rFonts w:ascii="CG Omega" w:hAnsi="CG Omega"/>
        </w:rPr>
        <w:t xml:space="preserve">by 2020 and to 2.8 million persons </w:t>
      </w:r>
      <w:r w:rsidR="00EE67A7" w:rsidRPr="0033425C">
        <w:rPr>
          <w:rFonts w:ascii="CG Omega" w:hAnsi="CG Omega"/>
        </w:rPr>
        <w:t xml:space="preserve">and 1 million households </w:t>
      </w:r>
      <w:r w:rsidR="001C4452" w:rsidRPr="0033425C">
        <w:rPr>
          <w:rFonts w:ascii="CG Omega" w:hAnsi="CG Omega"/>
        </w:rPr>
        <w:t>by 2040.</w:t>
      </w:r>
    </w:p>
    <w:p w:rsidR="00544435" w:rsidRPr="0033425C" w:rsidRDefault="00544435" w:rsidP="00544435">
      <w:pPr>
        <w:jc w:val="both"/>
        <w:rPr>
          <w:rFonts w:ascii="CG Omega" w:hAnsi="CG Omega"/>
          <w:sz w:val="18"/>
          <w:szCs w:val="18"/>
          <w:highlight w:val="yellow"/>
        </w:rPr>
      </w:pPr>
    </w:p>
    <w:p w:rsidR="005646C9" w:rsidRPr="00955C8C" w:rsidRDefault="005646C9" w:rsidP="005646C9">
      <w:pPr>
        <w:jc w:val="both"/>
        <w:rPr>
          <w:rFonts w:ascii="CG Omega" w:hAnsi="CG Omega"/>
          <w:highlight w:val="yellow"/>
        </w:rPr>
      </w:pPr>
      <w:r w:rsidRPr="008A2BA1">
        <w:rPr>
          <w:rFonts w:ascii="CG Omega" w:hAnsi="CG Omega"/>
        </w:rPr>
        <w:t xml:space="preserve">From 1990 through 2013, the labor force in New Mexico, defined as people either working or looking for work, rose from about 712,000 persons to about 935,890 persons.  While during the </w:t>
      </w:r>
      <w:r w:rsidR="0033425C" w:rsidRPr="008A2BA1">
        <w:rPr>
          <w:rFonts w:ascii="CG Omega" w:hAnsi="CG Omega"/>
        </w:rPr>
        <w:t>mid-1990s</w:t>
      </w:r>
      <w:r w:rsidRPr="008A2BA1">
        <w:rPr>
          <w:rFonts w:ascii="CG Omega" w:hAnsi="CG Omega"/>
        </w:rPr>
        <w:t xml:space="preserve"> New Mexico’s unemployment rate was higher than the national rate, during the recession of the last few years the unemployment rate for the state has remained below national levels.  In 2012 the statewide unemployment rate was at 6.9 percent, after having fallen from 7.9 percent in 2010.  In 20</w:t>
      </w:r>
      <w:r>
        <w:rPr>
          <w:rFonts w:ascii="CG Omega" w:hAnsi="CG Omega"/>
        </w:rPr>
        <w:t>13</w:t>
      </w:r>
      <w:r w:rsidRPr="008A2BA1">
        <w:rPr>
          <w:rFonts w:ascii="CG Omega" w:hAnsi="CG Omega"/>
        </w:rPr>
        <w:t xml:space="preserve">, the real average earning per job in New Mexico was $46,673, and real per capita income was $35,682, but both of these figures were below national averages.  </w:t>
      </w:r>
      <w:r w:rsidRPr="002970B3">
        <w:rPr>
          <w:rFonts w:ascii="CG Omega" w:hAnsi="CG Omega"/>
          <w:lang w:val="en"/>
        </w:rPr>
        <w:t>In New Mexico the poverty rate in 2012 was 20.6 percent with 421,123 persons living in poverty; this rate was significantly higher than the national average of 15 percent at that time</w:t>
      </w:r>
      <w:r w:rsidR="00E81D1C">
        <w:rPr>
          <w:rStyle w:val="FootnoteReference"/>
          <w:rFonts w:ascii="CG Omega" w:hAnsi="CG Omega"/>
          <w:lang w:val="en"/>
        </w:rPr>
        <w:footnoteReference w:id="12"/>
      </w:r>
      <w:r w:rsidRPr="002970B3">
        <w:rPr>
          <w:rFonts w:ascii="CG Omega" w:hAnsi="CG Omega"/>
          <w:lang w:val="en"/>
        </w:rPr>
        <w:t xml:space="preserve">. </w:t>
      </w:r>
      <w:r>
        <w:rPr>
          <w:rFonts w:ascii="CG Omega" w:hAnsi="CG Omega"/>
          <w:lang w:val="en"/>
        </w:rPr>
        <w:t>The poverty rate in the state has continued to rise since 2000.</w:t>
      </w:r>
      <w:r w:rsidRPr="002970B3">
        <w:rPr>
          <w:rFonts w:ascii="CG Omega" w:hAnsi="CG Omega"/>
          <w:lang w:val="en"/>
        </w:rPr>
        <w:t xml:space="preserve"> </w:t>
      </w:r>
      <w:r w:rsidRPr="00FB49C7">
        <w:rPr>
          <w:rFonts w:ascii="CG Omega" w:hAnsi="CG Omega"/>
          <w:lang w:val="en"/>
        </w:rPr>
        <w:t>Persons in poverty were also concentrated in select census tracts across the state.</w:t>
      </w:r>
    </w:p>
    <w:p w:rsidR="00C31654" w:rsidRPr="00955C8C" w:rsidRDefault="00C31654" w:rsidP="00B27797">
      <w:pPr>
        <w:pStyle w:val="BodyText"/>
        <w:tabs>
          <w:tab w:val="num" w:pos="360"/>
        </w:tabs>
        <w:rPr>
          <w:rFonts w:ascii="CG Omega" w:hAnsi="CG Omega"/>
          <w:szCs w:val="24"/>
          <w:highlight w:val="yellow"/>
        </w:rPr>
        <w:sectPr w:rsidR="00C31654" w:rsidRPr="00955C8C" w:rsidSect="00BB666B">
          <w:pgSz w:w="12240" w:h="15840"/>
          <w:pgMar w:top="1440" w:right="1440" w:bottom="1440" w:left="1440" w:header="1080" w:footer="720" w:gutter="0"/>
          <w:cols w:space="720"/>
          <w:titlePg/>
          <w:docGrid w:linePitch="360"/>
        </w:sectPr>
      </w:pPr>
    </w:p>
    <w:p w:rsidR="002D5521" w:rsidRPr="00023319" w:rsidRDefault="002D5521" w:rsidP="00BB666B">
      <w:pPr>
        <w:pStyle w:val="FirstHead"/>
      </w:pPr>
      <w:bookmarkStart w:id="56" w:name="_Toc233426577"/>
      <w:bookmarkStart w:id="57" w:name="_Toc233426762"/>
      <w:bookmarkStart w:id="58" w:name="_Toc399834568"/>
      <w:r w:rsidRPr="00023319">
        <w:t>A. Introduction</w:t>
      </w:r>
      <w:bookmarkEnd w:id="56"/>
      <w:bookmarkEnd w:id="57"/>
      <w:bookmarkEnd w:id="58"/>
    </w:p>
    <w:p w:rsidR="002D5521" w:rsidRPr="00955C8C" w:rsidRDefault="002D5521" w:rsidP="002D5521">
      <w:pPr>
        <w:pStyle w:val="BodyText"/>
        <w:tabs>
          <w:tab w:val="num" w:pos="360"/>
        </w:tabs>
        <w:rPr>
          <w:rFonts w:ascii="CG Omega" w:hAnsi="CG Omega"/>
          <w:sz w:val="16"/>
          <w:szCs w:val="16"/>
          <w:highlight w:val="yellow"/>
        </w:rPr>
      </w:pPr>
    </w:p>
    <w:p w:rsidR="002D5521" w:rsidRPr="009F2C37" w:rsidRDefault="002D5521" w:rsidP="002D5521">
      <w:pPr>
        <w:pStyle w:val="BodyText"/>
        <w:tabs>
          <w:tab w:val="num" w:pos="360"/>
        </w:tabs>
        <w:rPr>
          <w:rFonts w:ascii="CG Omega" w:hAnsi="CG Omega"/>
        </w:rPr>
      </w:pPr>
      <w:r w:rsidRPr="009F2C37">
        <w:rPr>
          <w:rFonts w:ascii="CG Omega" w:hAnsi="CG Omega"/>
          <w:szCs w:val="24"/>
        </w:rPr>
        <w:t>The following narrative provides information about the housing market, the supply and demand for housing over time, building p</w:t>
      </w:r>
      <w:r w:rsidR="00B66570" w:rsidRPr="009F2C37">
        <w:rPr>
          <w:rFonts w:ascii="CG Omega" w:hAnsi="CG Omega"/>
          <w:szCs w:val="24"/>
        </w:rPr>
        <w:t>ermit data</w:t>
      </w:r>
      <w:r w:rsidRPr="009F2C37">
        <w:rPr>
          <w:rFonts w:ascii="CG Omega" w:hAnsi="CG Omega"/>
          <w:szCs w:val="24"/>
        </w:rPr>
        <w:t xml:space="preserve"> and related price information for both rental properties and homeownership opportunities in </w:t>
      </w:r>
      <w:r w:rsidR="00514CCF" w:rsidRPr="009F2C37">
        <w:rPr>
          <w:rFonts w:ascii="CG Omega" w:hAnsi="CG Omega"/>
          <w:szCs w:val="24"/>
        </w:rPr>
        <w:t>New Mexico</w:t>
      </w:r>
      <w:r w:rsidRPr="009F2C37">
        <w:rPr>
          <w:rFonts w:ascii="CG Omega" w:hAnsi="CG Omega"/>
          <w:szCs w:val="24"/>
        </w:rPr>
        <w:t>.</w:t>
      </w:r>
      <w:r w:rsidRPr="009F2C37">
        <w:rPr>
          <w:rFonts w:ascii="CG Omega" w:hAnsi="CG Omega"/>
        </w:rPr>
        <w:t xml:space="preserve">  </w:t>
      </w:r>
    </w:p>
    <w:p w:rsidR="00B70DBF" w:rsidRPr="004608D1" w:rsidRDefault="00B70DBF" w:rsidP="00BB666B">
      <w:pPr>
        <w:pStyle w:val="FirstHead"/>
        <w:rPr>
          <w:highlight w:val="yellow"/>
        </w:rPr>
      </w:pPr>
    </w:p>
    <w:p w:rsidR="002D5521" w:rsidRPr="0056183D" w:rsidRDefault="002D5521" w:rsidP="00BB666B">
      <w:pPr>
        <w:pStyle w:val="FirstHead"/>
      </w:pPr>
      <w:bookmarkStart w:id="59" w:name="_Toc233426578"/>
      <w:bookmarkStart w:id="60" w:name="_Toc233426763"/>
      <w:bookmarkStart w:id="61" w:name="_Toc399834569"/>
      <w:r w:rsidRPr="0056183D">
        <w:t>B. Housing Stock</w:t>
      </w:r>
      <w:bookmarkEnd w:id="59"/>
      <w:bookmarkEnd w:id="60"/>
      <w:bookmarkEnd w:id="61"/>
      <w:r w:rsidRPr="0056183D">
        <w:t xml:space="preserve"> </w:t>
      </w:r>
    </w:p>
    <w:tbl>
      <w:tblPr>
        <w:tblpPr w:leftFromText="180" w:rightFromText="180" w:vertAnchor="text" w:tblpXSpec="right" w:tblpY="268"/>
        <w:tblOverlap w:val="never"/>
        <w:tblW w:w="2684" w:type="dxa"/>
        <w:tblLook w:val="04A0" w:firstRow="1" w:lastRow="0" w:firstColumn="1" w:lastColumn="0" w:noHBand="0" w:noVBand="1"/>
      </w:tblPr>
      <w:tblGrid>
        <w:gridCol w:w="710"/>
        <w:gridCol w:w="1974"/>
      </w:tblGrid>
      <w:tr w:rsidR="00302344" w:rsidRPr="00302344" w:rsidTr="007B297A">
        <w:trPr>
          <w:trHeight w:val="990"/>
        </w:trPr>
        <w:tc>
          <w:tcPr>
            <w:tcW w:w="2684" w:type="dxa"/>
            <w:gridSpan w:val="2"/>
            <w:tcBorders>
              <w:top w:val="nil"/>
              <w:left w:val="nil"/>
              <w:right w:val="nil"/>
            </w:tcBorders>
            <w:shd w:val="clear" w:color="auto" w:fill="auto"/>
            <w:noWrap/>
            <w:vAlign w:val="center"/>
            <w:hideMark/>
          </w:tcPr>
          <w:p w:rsidR="00302344" w:rsidRPr="00302344" w:rsidRDefault="00322CDF" w:rsidP="007B297A">
            <w:pPr>
              <w:jc w:val="center"/>
              <w:rPr>
                <w:rFonts w:ascii="Arial" w:hAnsi="Arial" w:cs="Arial"/>
                <w:b/>
                <w:bCs/>
                <w:color w:val="000000"/>
                <w:sz w:val="23"/>
                <w:szCs w:val="23"/>
              </w:rPr>
            </w:pPr>
            <w:r>
              <w:rPr>
                <w:rFonts w:ascii="Arial" w:hAnsi="Arial" w:cs="Arial"/>
                <w:b/>
                <w:bCs/>
                <w:color w:val="000000"/>
                <w:sz w:val="23"/>
                <w:szCs w:val="23"/>
              </w:rPr>
              <w:t xml:space="preserve">Table </w:t>
            </w:r>
            <w:r w:rsidR="00B72905">
              <w:rPr>
                <w:rFonts w:ascii="Arial" w:hAnsi="Arial" w:cs="Arial"/>
                <w:b/>
                <w:bCs/>
                <w:color w:val="000000"/>
                <w:sz w:val="23"/>
                <w:szCs w:val="23"/>
              </w:rPr>
              <w:t>I</w:t>
            </w:r>
            <w:r w:rsidR="00302344" w:rsidRPr="00302344">
              <w:rPr>
                <w:rFonts w:ascii="Arial" w:hAnsi="Arial" w:cs="Arial"/>
                <w:b/>
                <w:bCs/>
                <w:color w:val="000000"/>
                <w:sz w:val="23"/>
                <w:szCs w:val="23"/>
              </w:rPr>
              <w:t>V.1</w:t>
            </w:r>
          </w:p>
          <w:p w:rsidR="00302344" w:rsidRPr="00302344" w:rsidRDefault="00302344" w:rsidP="007B297A">
            <w:pPr>
              <w:jc w:val="center"/>
              <w:rPr>
                <w:rFonts w:ascii="Arial" w:hAnsi="Arial" w:cs="Arial"/>
                <w:b/>
                <w:bCs/>
                <w:color w:val="000000"/>
                <w:sz w:val="20"/>
                <w:szCs w:val="20"/>
              </w:rPr>
            </w:pPr>
            <w:r w:rsidRPr="00302344">
              <w:rPr>
                <w:rFonts w:ascii="Arial" w:hAnsi="Arial" w:cs="Arial"/>
                <w:b/>
                <w:bCs/>
                <w:color w:val="000000"/>
                <w:sz w:val="20"/>
                <w:szCs w:val="20"/>
              </w:rPr>
              <w:t>Housing Unit Estimates</w:t>
            </w:r>
          </w:p>
          <w:p w:rsidR="00302344" w:rsidRPr="00302344" w:rsidRDefault="00302344" w:rsidP="007B297A">
            <w:pPr>
              <w:jc w:val="center"/>
              <w:rPr>
                <w:rFonts w:ascii="Arial" w:hAnsi="Arial" w:cs="Arial"/>
                <w:color w:val="000000"/>
                <w:sz w:val="16"/>
                <w:szCs w:val="16"/>
              </w:rPr>
            </w:pPr>
            <w:r w:rsidRPr="00302344">
              <w:rPr>
                <w:rFonts w:ascii="Arial" w:hAnsi="Arial" w:cs="Arial"/>
                <w:color w:val="000000"/>
                <w:sz w:val="16"/>
                <w:szCs w:val="16"/>
              </w:rPr>
              <w:t>State of New Mexico</w:t>
            </w:r>
          </w:p>
          <w:p w:rsidR="00302344" w:rsidRPr="00302344" w:rsidRDefault="00302344" w:rsidP="007B297A">
            <w:pPr>
              <w:jc w:val="center"/>
              <w:rPr>
                <w:rFonts w:ascii="Arial" w:hAnsi="Arial" w:cs="Arial"/>
                <w:b/>
                <w:bCs/>
                <w:color w:val="000000"/>
                <w:sz w:val="23"/>
                <w:szCs w:val="23"/>
              </w:rPr>
            </w:pPr>
            <w:r w:rsidRPr="00302344">
              <w:rPr>
                <w:rFonts w:ascii="Arial" w:hAnsi="Arial" w:cs="Arial"/>
                <w:color w:val="000000"/>
                <w:sz w:val="16"/>
                <w:szCs w:val="16"/>
              </w:rPr>
              <w:t xml:space="preserve">Census Data, 2000 - 2012 </w:t>
            </w:r>
          </w:p>
        </w:tc>
      </w:tr>
      <w:tr w:rsidR="00302344" w:rsidRPr="00302344" w:rsidTr="007B297A">
        <w:trPr>
          <w:trHeight w:val="300"/>
        </w:trPr>
        <w:tc>
          <w:tcPr>
            <w:tcW w:w="710" w:type="dxa"/>
            <w:tcBorders>
              <w:top w:val="single" w:sz="4" w:space="0" w:color="009900"/>
              <w:left w:val="single" w:sz="4" w:space="0" w:color="009900"/>
              <w:bottom w:val="single" w:sz="4" w:space="0" w:color="009900"/>
              <w:right w:val="nil"/>
            </w:tcBorders>
            <w:shd w:val="clear" w:color="000000" w:fill="FFFFE1"/>
            <w:noWrap/>
            <w:vAlign w:val="center"/>
            <w:hideMark/>
          </w:tcPr>
          <w:p w:rsidR="00302344" w:rsidRPr="00302344" w:rsidRDefault="00302344" w:rsidP="007B297A">
            <w:pPr>
              <w:rPr>
                <w:rFonts w:ascii="Arial" w:hAnsi="Arial" w:cs="Arial"/>
                <w:b/>
                <w:bCs/>
                <w:color w:val="000000"/>
                <w:sz w:val="16"/>
                <w:szCs w:val="16"/>
              </w:rPr>
            </w:pPr>
            <w:r w:rsidRPr="00302344">
              <w:rPr>
                <w:rFonts w:ascii="Arial" w:hAnsi="Arial" w:cs="Arial"/>
                <w:b/>
                <w:bCs/>
                <w:color w:val="000000"/>
                <w:sz w:val="16"/>
                <w:szCs w:val="16"/>
              </w:rPr>
              <w:t>Year</w:t>
            </w:r>
          </w:p>
        </w:tc>
        <w:tc>
          <w:tcPr>
            <w:tcW w:w="1974" w:type="dxa"/>
            <w:tcBorders>
              <w:top w:val="single" w:sz="4" w:space="0" w:color="009900"/>
              <w:left w:val="nil"/>
              <w:bottom w:val="single" w:sz="4" w:space="0" w:color="009900"/>
              <w:right w:val="single" w:sz="4" w:space="0" w:color="009900"/>
            </w:tcBorders>
            <w:shd w:val="clear" w:color="000000" w:fill="FFFFE1"/>
            <w:noWrap/>
            <w:vAlign w:val="center"/>
            <w:hideMark/>
          </w:tcPr>
          <w:p w:rsidR="00302344" w:rsidRPr="00302344" w:rsidRDefault="00302344" w:rsidP="007B297A">
            <w:pPr>
              <w:jc w:val="center"/>
              <w:rPr>
                <w:rFonts w:ascii="Arial" w:hAnsi="Arial" w:cs="Arial"/>
                <w:b/>
                <w:bCs/>
                <w:color w:val="000000"/>
                <w:sz w:val="16"/>
                <w:szCs w:val="16"/>
              </w:rPr>
            </w:pPr>
            <w:r w:rsidRPr="00302344">
              <w:rPr>
                <w:rFonts w:ascii="Arial" w:hAnsi="Arial" w:cs="Arial"/>
                <w:b/>
                <w:bCs/>
                <w:color w:val="000000"/>
                <w:sz w:val="16"/>
                <w:szCs w:val="16"/>
              </w:rPr>
              <w:t>Housing Units</w:t>
            </w:r>
          </w:p>
        </w:tc>
      </w:tr>
      <w:tr w:rsidR="00302344" w:rsidRPr="00302344" w:rsidTr="007B297A">
        <w:trPr>
          <w:trHeight w:val="300"/>
        </w:trPr>
        <w:tc>
          <w:tcPr>
            <w:tcW w:w="710" w:type="dxa"/>
            <w:tcBorders>
              <w:top w:val="nil"/>
              <w:left w:val="single" w:sz="4" w:space="0" w:color="009900"/>
              <w:bottom w:val="nil"/>
              <w:right w:val="nil"/>
            </w:tcBorders>
            <w:shd w:val="clear" w:color="000000" w:fill="FFFFE1"/>
            <w:noWrap/>
            <w:vAlign w:val="center"/>
            <w:hideMark/>
          </w:tcPr>
          <w:p w:rsidR="00302344" w:rsidRPr="00302344" w:rsidRDefault="00302344" w:rsidP="007B297A">
            <w:pPr>
              <w:rPr>
                <w:rFonts w:ascii="Arial" w:hAnsi="Arial" w:cs="Arial"/>
                <w:color w:val="000000"/>
                <w:sz w:val="16"/>
                <w:szCs w:val="16"/>
              </w:rPr>
            </w:pPr>
            <w:r w:rsidRPr="00302344">
              <w:rPr>
                <w:rFonts w:ascii="Arial" w:hAnsi="Arial" w:cs="Arial"/>
                <w:color w:val="000000"/>
                <w:sz w:val="16"/>
                <w:szCs w:val="16"/>
              </w:rPr>
              <w:t>2000</w:t>
            </w:r>
          </w:p>
        </w:tc>
        <w:tc>
          <w:tcPr>
            <w:tcW w:w="1974" w:type="dxa"/>
            <w:tcBorders>
              <w:top w:val="nil"/>
              <w:left w:val="nil"/>
              <w:bottom w:val="nil"/>
              <w:right w:val="single" w:sz="4" w:space="0" w:color="009900"/>
            </w:tcBorders>
            <w:shd w:val="clear" w:color="000000" w:fill="FFFFE1"/>
            <w:noWrap/>
            <w:vAlign w:val="center"/>
            <w:hideMark/>
          </w:tcPr>
          <w:p w:rsidR="00302344" w:rsidRPr="00302344" w:rsidRDefault="00302344" w:rsidP="007B297A">
            <w:pPr>
              <w:jc w:val="center"/>
              <w:rPr>
                <w:rFonts w:ascii="Arial" w:hAnsi="Arial" w:cs="Arial"/>
                <w:color w:val="000000"/>
                <w:sz w:val="16"/>
                <w:szCs w:val="16"/>
              </w:rPr>
            </w:pPr>
            <w:r w:rsidRPr="00302344">
              <w:rPr>
                <w:rFonts w:ascii="Arial" w:hAnsi="Arial" w:cs="Arial"/>
                <w:color w:val="000000"/>
                <w:sz w:val="16"/>
                <w:szCs w:val="16"/>
              </w:rPr>
              <w:t>780,579</w:t>
            </w:r>
          </w:p>
        </w:tc>
      </w:tr>
      <w:tr w:rsidR="00302344" w:rsidRPr="00302344" w:rsidTr="007B297A">
        <w:trPr>
          <w:trHeight w:val="300"/>
        </w:trPr>
        <w:tc>
          <w:tcPr>
            <w:tcW w:w="710" w:type="dxa"/>
            <w:tcBorders>
              <w:top w:val="nil"/>
              <w:left w:val="single" w:sz="4" w:space="0" w:color="009900"/>
              <w:bottom w:val="nil"/>
              <w:right w:val="nil"/>
            </w:tcBorders>
            <w:shd w:val="clear" w:color="000000" w:fill="FFFFE1"/>
            <w:noWrap/>
            <w:vAlign w:val="center"/>
            <w:hideMark/>
          </w:tcPr>
          <w:p w:rsidR="00302344" w:rsidRPr="00302344" w:rsidRDefault="00302344" w:rsidP="007B297A">
            <w:pPr>
              <w:rPr>
                <w:rFonts w:ascii="Arial" w:hAnsi="Arial" w:cs="Arial"/>
                <w:color w:val="000000"/>
                <w:sz w:val="16"/>
                <w:szCs w:val="16"/>
              </w:rPr>
            </w:pPr>
            <w:r w:rsidRPr="00302344">
              <w:rPr>
                <w:rFonts w:ascii="Arial" w:hAnsi="Arial" w:cs="Arial"/>
                <w:color w:val="000000"/>
                <w:sz w:val="16"/>
                <w:szCs w:val="16"/>
              </w:rPr>
              <w:t>2001</w:t>
            </w:r>
          </w:p>
        </w:tc>
        <w:tc>
          <w:tcPr>
            <w:tcW w:w="1974" w:type="dxa"/>
            <w:tcBorders>
              <w:top w:val="nil"/>
              <w:left w:val="nil"/>
              <w:bottom w:val="nil"/>
              <w:right w:val="single" w:sz="4" w:space="0" w:color="009900"/>
            </w:tcBorders>
            <w:shd w:val="clear" w:color="000000" w:fill="FFFFE1"/>
            <w:noWrap/>
            <w:vAlign w:val="center"/>
            <w:hideMark/>
          </w:tcPr>
          <w:p w:rsidR="00302344" w:rsidRPr="00302344" w:rsidRDefault="00302344" w:rsidP="007B297A">
            <w:pPr>
              <w:jc w:val="center"/>
              <w:rPr>
                <w:rFonts w:ascii="Arial" w:hAnsi="Arial" w:cs="Arial"/>
                <w:color w:val="000000"/>
                <w:sz w:val="16"/>
                <w:szCs w:val="16"/>
              </w:rPr>
            </w:pPr>
            <w:r w:rsidRPr="00302344">
              <w:rPr>
                <w:rFonts w:ascii="Arial" w:hAnsi="Arial" w:cs="Arial"/>
                <w:color w:val="000000"/>
                <w:sz w:val="16"/>
                <w:szCs w:val="16"/>
              </w:rPr>
              <w:t>796,510</w:t>
            </w:r>
          </w:p>
        </w:tc>
      </w:tr>
      <w:tr w:rsidR="00302344" w:rsidRPr="00302344" w:rsidTr="007B297A">
        <w:trPr>
          <w:trHeight w:val="300"/>
        </w:trPr>
        <w:tc>
          <w:tcPr>
            <w:tcW w:w="710" w:type="dxa"/>
            <w:tcBorders>
              <w:top w:val="nil"/>
              <w:left w:val="single" w:sz="4" w:space="0" w:color="009900"/>
              <w:bottom w:val="nil"/>
              <w:right w:val="nil"/>
            </w:tcBorders>
            <w:shd w:val="clear" w:color="000000" w:fill="FFFFE1"/>
            <w:noWrap/>
            <w:vAlign w:val="center"/>
            <w:hideMark/>
          </w:tcPr>
          <w:p w:rsidR="00302344" w:rsidRPr="00302344" w:rsidRDefault="00302344" w:rsidP="007B297A">
            <w:pPr>
              <w:rPr>
                <w:rFonts w:ascii="Arial" w:hAnsi="Arial" w:cs="Arial"/>
                <w:color w:val="000000"/>
                <w:sz w:val="16"/>
                <w:szCs w:val="16"/>
              </w:rPr>
            </w:pPr>
            <w:r w:rsidRPr="00302344">
              <w:rPr>
                <w:rFonts w:ascii="Arial" w:hAnsi="Arial" w:cs="Arial"/>
                <w:color w:val="000000"/>
                <w:sz w:val="16"/>
                <w:szCs w:val="16"/>
              </w:rPr>
              <w:t>2002</w:t>
            </w:r>
          </w:p>
        </w:tc>
        <w:tc>
          <w:tcPr>
            <w:tcW w:w="1974" w:type="dxa"/>
            <w:tcBorders>
              <w:top w:val="nil"/>
              <w:left w:val="nil"/>
              <w:bottom w:val="nil"/>
              <w:right w:val="single" w:sz="4" w:space="0" w:color="009900"/>
            </w:tcBorders>
            <w:shd w:val="clear" w:color="000000" w:fill="FFFFE1"/>
            <w:noWrap/>
            <w:vAlign w:val="center"/>
            <w:hideMark/>
          </w:tcPr>
          <w:p w:rsidR="00302344" w:rsidRPr="00302344" w:rsidRDefault="00302344" w:rsidP="007B297A">
            <w:pPr>
              <w:jc w:val="center"/>
              <w:rPr>
                <w:rFonts w:ascii="Arial" w:hAnsi="Arial" w:cs="Arial"/>
                <w:color w:val="000000"/>
                <w:sz w:val="16"/>
                <w:szCs w:val="16"/>
              </w:rPr>
            </w:pPr>
            <w:r w:rsidRPr="00302344">
              <w:rPr>
                <w:rFonts w:ascii="Arial" w:hAnsi="Arial" w:cs="Arial"/>
                <w:color w:val="000000"/>
                <w:sz w:val="16"/>
                <w:szCs w:val="16"/>
              </w:rPr>
              <w:t>808,650</w:t>
            </w:r>
          </w:p>
        </w:tc>
      </w:tr>
      <w:tr w:rsidR="00302344" w:rsidRPr="00302344" w:rsidTr="007B297A">
        <w:trPr>
          <w:trHeight w:val="300"/>
        </w:trPr>
        <w:tc>
          <w:tcPr>
            <w:tcW w:w="710" w:type="dxa"/>
            <w:tcBorders>
              <w:top w:val="nil"/>
              <w:left w:val="single" w:sz="4" w:space="0" w:color="009900"/>
              <w:bottom w:val="nil"/>
              <w:right w:val="nil"/>
            </w:tcBorders>
            <w:shd w:val="clear" w:color="000000" w:fill="FFFFE1"/>
            <w:noWrap/>
            <w:vAlign w:val="center"/>
            <w:hideMark/>
          </w:tcPr>
          <w:p w:rsidR="00302344" w:rsidRPr="00302344" w:rsidRDefault="00302344" w:rsidP="007B297A">
            <w:pPr>
              <w:rPr>
                <w:rFonts w:ascii="Arial" w:hAnsi="Arial" w:cs="Arial"/>
                <w:color w:val="000000"/>
                <w:sz w:val="16"/>
                <w:szCs w:val="16"/>
              </w:rPr>
            </w:pPr>
            <w:r w:rsidRPr="00302344">
              <w:rPr>
                <w:rFonts w:ascii="Arial" w:hAnsi="Arial" w:cs="Arial"/>
                <w:color w:val="000000"/>
                <w:sz w:val="16"/>
                <w:szCs w:val="16"/>
              </w:rPr>
              <w:t>2003</w:t>
            </w:r>
          </w:p>
        </w:tc>
        <w:tc>
          <w:tcPr>
            <w:tcW w:w="1974" w:type="dxa"/>
            <w:tcBorders>
              <w:top w:val="nil"/>
              <w:left w:val="nil"/>
              <w:bottom w:val="nil"/>
              <w:right w:val="single" w:sz="4" w:space="0" w:color="009900"/>
            </w:tcBorders>
            <w:shd w:val="clear" w:color="000000" w:fill="FFFFE1"/>
            <w:noWrap/>
            <w:vAlign w:val="center"/>
            <w:hideMark/>
          </w:tcPr>
          <w:p w:rsidR="00302344" w:rsidRPr="00302344" w:rsidRDefault="00302344" w:rsidP="007B297A">
            <w:pPr>
              <w:jc w:val="center"/>
              <w:rPr>
                <w:rFonts w:ascii="Arial" w:hAnsi="Arial" w:cs="Arial"/>
                <w:color w:val="000000"/>
                <w:sz w:val="16"/>
                <w:szCs w:val="16"/>
              </w:rPr>
            </w:pPr>
            <w:r w:rsidRPr="00302344">
              <w:rPr>
                <w:rFonts w:ascii="Arial" w:hAnsi="Arial" w:cs="Arial"/>
                <w:color w:val="000000"/>
                <w:sz w:val="16"/>
                <w:szCs w:val="16"/>
              </w:rPr>
              <w:t>821,217</w:t>
            </w:r>
          </w:p>
        </w:tc>
      </w:tr>
      <w:tr w:rsidR="00302344" w:rsidRPr="00302344" w:rsidTr="007B297A">
        <w:trPr>
          <w:trHeight w:val="300"/>
        </w:trPr>
        <w:tc>
          <w:tcPr>
            <w:tcW w:w="710" w:type="dxa"/>
            <w:tcBorders>
              <w:top w:val="nil"/>
              <w:left w:val="single" w:sz="4" w:space="0" w:color="009900"/>
              <w:bottom w:val="nil"/>
              <w:right w:val="nil"/>
            </w:tcBorders>
            <w:shd w:val="clear" w:color="000000" w:fill="FFFFE1"/>
            <w:noWrap/>
            <w:vAlign w:val="center"/>
            <w:hideMark/>
          </w:tcPr>
          <w:p w:rsidR="00302344" w:rsidRPr="00302344" w:rsidRDefault="00302344" w:rsidP="007B297A">
            <w:pPr>
              <w:rPr>
                <w:rFonts w:ascii="Arial" w:hAnsi="Arial" w:cs="Arial"/>
                <w:color w:val="000000"/>
                <w:sz w:val="16"/>
                <w:szCs w:val="16"/>
              </w:rPr>
            </w:pPr>
            <w:r w:rsidRPr="00302344">
              <w:rPr>
                <w:rFonts w:ascii="Arial" w:hAnsi="Arial" w:cs="Arial"/>
                <w:color w:val="000000"/>
                <w:sz w:val="16"/>
                <w:szCs w:val="16"/>
              </w:rPr>
              <w:t>2004</w:t>
            </w:r>
          </w:p>
        </w:tc>
        <w:tc>
          <w:tcPr>
            <w:tcW w:w="1974" w:type="dxa"/>
            <w:tcBorders>
              <w:top w:val="nil"/>
              <w:left w:val="nil"/>
              <w:bottom w:val="nil"/>
              <w:right w:val="single" w:sz="4" w:space="0" w:color="009900"/>
            </w:tcBorders>
            <w:shd w:val="clear" w:color="000000" w:fill="FFFFE1"/>
            <w:noWrap/>
            <w:vAlign w:val="center"/>
            <w:hideMark/>
          </w:tcPr>
          <w:p w:rsidR="00302344" w:rsidRPr="00302344" w:rsidRDefault="00302344" w:rsidP="007B297A">
            <w:pPr>
              <w:jc w:val="center"/>
              <w:rPr>
                <w:rFonts w:ascii="Arial" w:hAnsi="Arial" w:cs="Arial"/>
                <w:color w:val="000000"/>
                <w:sz w:val="16"/>
                <w:szCs w:val="16"/>
              </w:rPr>
            </w:pPr>
            <w:r w:rsidRPr="00302344">
              <w:rPr>
                <w:rFonts w:ascii="Arial" w:hAnsi="Arial" w:cs="Arial"/>
                <w:color w:val="000000"/>
                <w:sz w:val="16"/>
                <w:szCs w:val="16"/>
              </w:rPr>
              <w:t>834,468</w:t>
            </w:r>
          </w:p>
        </w:tc>
      </w:tr>
      <w:tr w:rsidR="00302344" w:rsidRPr="00302344" w:rsidTr="007B297A">
        <w:trPr>
          <w:trHeight w:val="300"/>
        </w:trPr>
        <w:tc>
          <w:tcPr>
            <w:tcW w:w="710" w:type="dxa"/>
            <w:tcBorders>
              <w:top w:val="nil"/>
              <w:left w:val="single" w:sz="4" w:space="0" w:color="009900"/>
              <w:bottom w:val="nil"/>
              <w:right w:val="nil"/>
            </w:tcBorders>
            <w:shd w:val="clear" w:color="000000" w:fill="FFFFE1"/>
            <w:noWrap/>
            <w:vAlign w:val="center"/>
            <w:hideMark/>
          </w:tcPr>
          <w:p w:rsidR="00302344" w:rsidRPr="00302344" w:rsidRDefault="00302344" w:rsidP="007B297A">
            <w:pPr>
              <w:rPr>
                <w:rFonts w:ascii="Arial" w:hAnsi="Arial" w:cs="Arial"/>
                <w:color w:val="000000"/>
                <w:sz w:val="16"/>
                <w:szCs w:val="16"/>
              </w:rPr>
            </w:pPr>
            <w:r w:rsidRPr="00302344">
              <w:rPr>
                <w:rFonts w:ascii="Arial" w:hAnsi="Arial" w:cs="Arial"/>
                <w:color w:val="000000"/>
                <w:sz w:val="16"/>
                <w:szCs w:val="16"/>
              </w:rPr>
              <w:t>2005</w:t>
            </w:r>
          </w:p>
        </w:tc>
        <w:tc>
          <w:tcPr>
            <w:tcW w:w="1974" w:type="dxa"/>
            <w:tcBorders>
              <w:top w:val="nil"/>
              <w:left w:val="nil"/>
              <w:bottom w:val="nil"/>
              <w:right w:val="single" w:sz="4" w:space="0" w:color="009900"/>
            </w:tcBorders>
            <w:shd w:val="clear" w:color="000000" w:fill="FFFFE1"/>
            <w:noWrap/>
            <w:vAlign w:val="center"/>
            <w:hideMark/>
          </w:tcPr>
          <w:p w:rsidR="00302344" w:rsidRPr="00302344" w:rsidRDefault="00302344" w:rsidP="007B297A">
            <w:pPr>
              <w:jc w:val="center"/>
              <w:rPr>
                <w:rFonts w:ascii="Arial" w:hAnsi="Arial" w:cs="Arial"/>
                <w:color w:val="000000"/>
                <w:sz w:val="16"/>
                <w:szCs w:val="16"/>
              </w:rPr>
            </w:pPr>
            <w:r w:rsidRPr="00302344">
              <w:rPr>
                <w:rFonts w:ascii="Arial" w:hAnsi="Arial" w:cs="Arial"/>
                <w:color w:val="000000"/>
                <w:sz w:val="16"/>
                <w:szCs w:val="16"/>
              </w:rPr>
              <w:t>849,932</w:t>
            </w:r>
          </w:p>
        </w:tc>
      </w:tr>
      <w:tr w:rsidR="00302344" w:rsidRPr="00302344" w:rsidTr="007B297A">
        <w:trPr>
          <w:trHeight w:val="300"/>
        </w:trPr>
        <w:tc>
          <w:tcPr>
            <w:tcW w:w="710" w:type="dxa"/>
            <w:tcBorders>
              <w:top w:val="nil"/>
              <w:left w:val="single" w:sz="4" w:space="0" w:color="009900"/>
              <w:bottom w:val="nil"/>
              <w:right w:val="nil"/>
            </w:tcBorders>
            <w:shd w:val="clear" w:color="000000" w:fill="FFFFE1"/>
            <w:noWrap/>
            <w:vAlign w:val="center"/>
            <w:hideMark/>
          </w:tcPr>
          <w:p w:rsidR="00302344" w:rsidRPr="00302344" w:rsidRDefault="00302344" w:rsidP="007B297A">
            <w:pPr>
              <w:rPr>
                <w:rFonts w:ascii="Arial" w:hAnsi="Arial" w:cs="Arial"/>
                <w:color w:val="000000"/>
                <w:sz w:val="16"/>
                <w:szCs w:val="16"/>
              </w:rPr>
            </w:pPr>
            <w:r w:rsidRPr="00302344">
              <w:rPr>
                <w:rFonts w:ascii="Arial" w:hAnsi="Arial" w:cs="Arial"/>
                <w:color w:val="000000"/>
                <w:sz w:val="16"/>
                <w:szCs w:val="16"/>
              </w:rPr>
              <w:t>2006</w:t>
            </w:r>
          </w:p>
        </w:tc>
        <w:tc>
          <w:tcPr>
            <w:tcW w:w="1974" w:type="dxa"/>
            <w:tcBorders>
              <w:top w:val="nil"/>
              <w:left w:val="nil"/>
              <w:bottom w:val="nil"/>
              <w:right w:val="single" w:sz="4" w:space="0" w:color="009900"/>
            </w:tcBorders>
            <w:shd w:val="clear" w:color="000000" w:fill="FFFFE1"/>
            <w:noWrap/>
            <w:vAlign w:val="center"/>
            <w:hideMark/>
          </w:tcPr>
          <w:p w:rsidR="00302344" w:rsidRPr="00302344" w:rsidRDefault="00302344" w:rsidP="007B297A">
            <w:pPr>
              <w:jc w:val="center"/>
              <w:rPr>
                <w:rFonts w:ascii="Arial" w:hAnsi="Arial" w:cs="Arial"/>
                <w:color w:val="000000"/>
                <w:sz w:val="16"/>
                <w:szCs w:val="16"/>
              </w:rPr>
            </w:pPr>
            <w:r w:rsidRPr="00302344">
              <w:rPr>
                <w:rFonts w:ascii="Arial" w:hAnsi="Arial" w:cs="Arial"/>
                <w:color w:val="000000"/>
                <w:sz w:val="16"/>
                <w:szCs w:val="16"/>
              </w:rPr>
              <w:t>867,425</w:t>
            </w:r>
          </w:p>
        </w:tc>
      </w:tr>
      <w:tr w:rsidR="00302344" w:rsidRPr="00302344" w:rsidTr="007B297A">
        <w:trPr>
          <w:trHeight w:val="300"/>
        </w:trPr>
        <w:tc>
          <w:tcPr>
            <w:tcW w:w="710" w:type="dxa"/>
            <w:tcBorders>
              <w:top w:val="nil"/>
              <w:left w:val="single" w:sz="4" w:space="0" w:color="009900"/>
              <w:bottom w:val="nil"/>
              <w:right w:val="nil"/>
            </w:tcBorders>
            <w:shd w:val="clear" w:color="000000" w:fill="FFFFE1"/>
            <w:noWrap/>
            <w:vAlign w:val="center"/>
            <w:hideMark/>
          </w:tcPr>
          <w:p w:rsidR="00302344" w:rsidRPr="00302344" w:rsidRDefault="00302344" w:rsidP="007B297A">
            <w:pPr>
              <w:rPr>
                <w:rFonts w:ascii="Arial" w:hAnsi="Arial" w:cs="Arial"/>
                <w:color w:val="000000"/>
                <w:sz w:val="16"/>
                <w:szCs w:val="16"/>
              </w:rPr>
            </w:pPr>
            <w:r w:rsidRPr="00302344">
              <w:rPr>
                <w:rFonts w:ascii="Arial" w:hAnsi="Arial" w:cs="Arial"/>
                <w:color w:val="000000"/>
                <w:sz w:val="16"/>
                <w:szCs w:val="16"/>
              </w:rPr>
              <w:t>2007</w:t>
            </w:r>
          </w:p>
        </w:tc>
        <w:tc>
          <w:tcPr>
            <w:tcW w:w="1974" w:type="dxa"/>
            <w:tcBorders>
              <w:top w:val="nil"/>
              <w:left w:val="nil"/>
              <w:bottom w:val="nil"/>
              <w:right w:val="single" w:sz="4" w:space="0" w:color="009900"/>
            </w:tcBorders>
            <w:shd w:val="clear" w:color="000000" w:fill="FFFFE1"/>
            <w:noWrap/>
            <w:vAlign w:val="center"/>
            <w:hideMark/>
          </w:tcPr>
          <w:p w:rsidR="00302344" w:rsidRPr="00302344" w:rsidRDefault="00302344" w:rsidP="007B297A">
            <w:pPr>
              <w:jc w:val="center"/>
              <w:rPr>
                <w:rFonts w:ascii="Arial" w:hAnsi="Arial" w:cs="Arial"/>
                <w:color w:val="000000"/>
                <w:sz w:val="16"/>
                <w:szCs w:val="16"/>
              </w:rPr>
            </w:pPr>
            <w:r w:rsidRPr="00302344">
              <w:rPr>
                <w:rFonts w:ascii="Arial" w:hAnsi="Arial" w:cs="Arial"/>
                <w:color w:val="000000"/>
                <w:sz w:val="16"/>
                <w:szCs w:val="16"/>
              </w:rPr>
              <w:t>881,499</w:t>
            </w:r>
          </w:p>
        </w:tc>
      </w:tr>
      <w:tr w:rsidR="00302344" w:rsidRPr="00302344" w:rsidTr="007B297A">
        <w:trPr>
          <w:trHeight w:val="300"/>
        </w:trPr>
        <w:tc>
          <w:tcPr>
            <w:tcW w:w="710" w:type="dxa"/>
            <w:tcBorders>
              <w:top w:val="nil"/>
              <w:left w:val="single" w:sz="4" w:space="0" w:color="009900"/>
              <w:bottom w:val="nil"/>
              <w:right w:val="nil"/>
            </w:tcBorders>
            <w:shd w:val="clear" w:color="000000" w:fill="FFFFE1"/>
            <w:noWrap/>
            <w:vAlign w:val="center"/>
            <w:hideMark/>
          </w:tcPr>
          <w:p w:rsidR="00302344" w:rsidRPr="00302344" w:rsidRDefault="00302344" w:rsidP="007B297A">
            <w:pPr>
              <w:rPr>
                <w:rFonts w:ascii="Arial" w:hAnsi="Arial" w:cs="Arial"/>
                <w:color w:val="000000"/>
                <w:sz w:val="16"/>
                <w:szCs w:val="16"/>
              </w:rPr>
            </w:pPr>
            <w:r w:rsidRPr="00302344">
              <w:rPr>
                <w:rFonts w:ascii="Arial" w:hAnsi="Arial" w:cs="Arial"/>
                <w:color w:val="000000"/>
                <w:sz w:val="16"/>
                <w:szCs w:val="16"/>
              </w:rPr>
              <w:t>2008</w:t>
            </w:r>
          </w:p>
        </w:tc>
        <w:tc>
          <w:tcPr>
            <w:tcW w:w="1974" w:type="dxa"/>
            <w:tcBorders>
              <w:top w:val="nil"/>
              <w:left w:val="nil"/>
              <w:bottom w:val="nil"/>
              <w:right w:val="single" w:sz="4" w:space="0" w:color="009900"/>
            </w:tcBorders>
            <w:shd w:val="clear" w:color="000000" w:fill="FFFFE1"/>
            <w:noWrap/>
            <w:vAlign w:val="center"/>
            <w:hideMark/>
          </w:tcPr>
          <w:p w:rsidR="00302344" w:rsidRPr="00302344" w:rsidRDefault="00302344" w:rsidP="007B297A">
            <w:pPr>
              <w:jc w:val="center"/>
              <w:rPr>
                <w:rFonts w:ascii="Arial" w:hAnsi="Arial" w:cs="Arial"/>
                <w:color w:val="000000"/>
                <w:sz w:val="16"/>
                <w:szCs w:val="16"/>
              </w:rPr>
            </w:pPr>
            <w:r w:rsidRPr="00302344">
              <w:rPr>
                <w:rFonts w:ascii="Arial" w:hAnsi="Arial" w:cs="Arial"/>
                <w:color w:val="000000"/>
                <w:sz w:val="16"/>
                <w:szCs w:val="16"/>
              </w:rPr>
              <w:t>891,095</w:t>
            </w:r>
          </w:p>
        </w:tc>
      </w:tr>
      <w:tr w:rsidR="00302344" w:rsidRPr="00302344" w:rsidTr="007B297A">
        <w:trPr>
          <w:trHeight w:val="300"/>
        </w:trPr>
        <w:tc>
          <w:tcPr>
            <w:tcW w:w="710" w:type="dxa"/>
            <w:tcBorders>
              <w:top w:val="nil"/>
              <w:left w:val="single" w:sz="4" w:space="0" w:color="009900"/>
              <w:bottom w:val="nil"/>
              <w:right w:val="nil"/>
            </w:tcBorders>
            <w:shd w:val="clear" w:color="000000" w:fill="FFFFE1"/>
            <w:noWrap/>
            <w:vAlign w:val="center"/>
            <w:hideMark/>
          </w:tcPr>
          <w:p w:rsidR="00302344" w:rsidRPr="00302344" w:rsidRDefault="00302344" w:rsidP="007B297A">
            <w:pPr>
              <w:rPr>
                <w:rFonts w:ascii="Arial" w:hAnsi="Arial" w:cs="Arial"/>
                <w:color w:val="000000"/>
                <w:sz w:val="16"/>
                <w:szCs w:val="16"/>
              </w:rPr>
            </w:pPr>
            <w:r w:rsidRPr="00302344">
              <w:rPr>
                <w:rFonts w:ascii="Arial" w:hAnsi="Arial" w:cs="Arial"/>
                <w:color w:val="000000"/>
                <w:sz w:val="16"/>
                <w:szCs w:val="16"/>
              </w:rPr>
              <w:t>2009</w:t>
            </w:r>
          </w:p>
        </w:tc>
        <w:tc>
          <w:tcPr>
            <w:tcW w:w="1974" w:type="dxa"/>
            <w:tcBorders>
              <w:top w:val="nil"/>
              <w:left w:val="nil"/>
              <w:bottom w:val="nil"/>
              <w:right w:val="single" w:sz="4" w:space="0" w:color="009900"/>
            </w:tcBorders>
            <w:shd w:val="clear" w:color="000000" w:fill="FFFFE1"/>
            <w:noWrap/>
            <w:vAlign w:val="center"/>
            <w:hideMark/>
          </w:tcPr>
          <w:p w:rsidR="00302344" w:rsidRPr="00302344" w:rsidRDefault="00302344" w:rsidP="007B297A">
            <w:pPr>
              <w:jc w:val="center"/>
              <w:rPr>
                <w:rFonts w:ascii="Arial" w:hAnsi="Arial" w:cs="Arial"/>
                <w:color w:val="000000"/>
                <w:sz w:val="16"/>
                <w:szCs w:val="16"/>
              </w:rPr>
            </w:pPr>
            <w:r w:rsidRPr="00302344">
              <w:rPr>
                <w:rFonts w:ascii="Arial" w:hAnsi="Arial" w:cs="Arial"/>
                <w:color w:val="000000"/>
                <w:sz w:val="16"/>
                <w:szCs w:val="16"/>
              </w:rPr>
              <w:t>897,343</w:t>
            </w:r>
          </w:p>
        </w:tc>
      </w:tr>
      <w:tr w:rsidR="00302344" w:rsidRPr="00302344" w:rsidTr="007B297A">
        <w:trPr>
          <w:trHeight w:val="300"/>
        </w:trPr>
        <w:tc>
          <w:tcPr>
            <w:tcW w:w="710" w:type="dxa"/>
            <w:tcBorders>
              <w:top w:val="nil"/>
              <w:left w:val="single" w:sz="4" w:space="0" w:color="009900"/>
              <w:bottom w:val="nil"/>
              <w:right w:val="nil"/>
            </w:tcBorders>
            <w:shd w:val="clear" w:color="000000" w:fill="FFFFE1"/>
            <w:noWrap/>
            <w:vAlign w:val="center"/>
            <w:hideMark/>
          </w:tcPr>
          <w:p w:rsidR="00302344" w:rsidRPr="00302344" w:rsidRDefault="00302344" w:rsidP="007B297A">
            <w:pPr>
              <w:rPr>
                <w:rFonts w:ascii="Arial" w:hAnsi="Arial" w:cs="Arial"/>
                <w:color w:val="000000"/>
                <w:sz w:val="16"/>
                <w:szCs w:val="16"/>
              </w:rPr>
            </w:pPr>
            <w:r w:rsidRPr="00302344">
              <w:rPr>
                <w:rFonts w:ascii="Arial" w:hAnsi="Arial" w:cs="Arial"/>
                <w:color w:val="000000"/>
                <w:sz w:val="16"/>
                <w:szCs w:val="16"/>
              </w:rPr>
              <w:t>2010</w:t>
            </w:r>
          </w:p>
        </w:tc>
        <w:tc>
          <w:tcPr>
            <w:tcW w:w="1974" w:type="dxa"/>
            <w:tcBorders>
              <w:top w:val="nil"/>
              <w:left w:val="nil"/>
              <w:bottom w:val="nil"/>
              <w:right w:val="single" w:sz="4" w:space="0" w:color="009900"/>
            </w:tcBorders>
            <w:shd w:val="clear" w:color="000000" w:fill="FFFFE1"/>
            <w:noWrap/>
            <w:vAlign w:val="center"/>
            <w:hideMark/>
          </w:tcPr>
          <w:p w:rsidR="00302344" w:rsidRPr="00302344" w:rsidRDefault="00302344" w:rsidP="007B297A">
            <w:pPr>
              <w:jc w:val="center"/>
              <w:rPr>
                <w:rFonts w:ascii="Arial" w:hAnsi="Arial" w:cs="Arial"/>
                <w:color w:val="000000"/>
                <w:sz w:val="16"/>
                <w:szCs w:val="16"/>
              </w:rPr>
            </w:pPr>
            <w:r w:rsidRPr="00302344">
              <w:rPr>
                <w:rFonts w:ascii="Arial" w:hAnsi="Arial" w:cs="Arial"/>
                <w:color w:val="000000"/>
                <w:sz w:val="16"/>
                <w:szCs w:val="16"/>
              </w:rPr>
              <w:t>901,388</w:t>
            </w:r>
          </w:p>
        </w:tc>
      </w:tr>
      <w:tr w:rsidR="00302344" w:rsidRPr="00302344" w:rsidTr="007B297A">
        <w:trPr>
          <w:trHeight w:val="300"/>
        </w:trPr>
        <w:tc>
          <w:tcPr>
            <w:tcW w:w="710" w:type="dxa"/>
            <w:tcBorders>
              <w:top w:val="nil"/>
              <w:left w:val="single" w:sz="4" w:space="0" w:color="009900"/>
              <w:bottom w:val="nil"/>
              <w:right w:val="nil"/>
            </w:tcBorders>
            <w:shd w:val="clear" w:color="000000" w:fill="FFFFE1"/>
            <w:noWrap/>
            <w:vAlign w:val="center"/>
            <w:hideMark/>
          </w:tcPr>
          <w:p w:rsidR="00302344" w:rsidRPr="00302344" w:rsidRDefault="00302344" w:rsidP="007B297A">
            <w:pPr>
              <w:rPr>
                <w:rFonts w:ascii="Arial" w:hAnsi="Arial" w:cs="Arial"/>
                <w:color w:val="000000"/>
                <w:sz w:val="16"/>
                <w:szCs w:val="16"/>
              </w:rPr>
            </w:pPr>
            <w:r w:rsidRPr="00302344">
              <w:rPr>
                <w:rFonts w:ascii="Arial" w:hAnsi="Arial" w:cs="Arial"/>
                <w:color w:val="000000"/>
                <w:sz w:val="16"/>
                <w:szCs w:val="16"/>
              </w:rPr>
              <w:t>2011</w:t>
            </w:r>
          </w:p>
        </w:tc>
        <w:tc>
          <w:tcPr>
            <w:tcW w:w="1974" w:type="dxa"/>
            <w:tcBorders>
              <w:top w:val="nil"/>
              <w:left w:val="nil"/>
              <w:bottom w:val="nil"/>
              <w:right w:val="single" w:sz="4" w:space="0" w:color="009900"/>
            </w:tcBorders>
            <w:shd w:val="clear" w:color="000000" w:fill="FFFFE1"/>
            <w:noWrap/>
            <w:vAlign w:val="center"/>
            <w:hideMark/>
          </w:tcPr>
          <w:p w:rsidR="00302344" w:rsidRPr="00302344" w:rsidRDefault="00302344" w:rsidP="007B297A">
            <w:pPr>
              <w:jc w:val="center"/>
              <w:rPr>
                <w:rFonts w:ascii="Arial" w:hAnsi="Arial" w:cs="Arial"/>
                <w:color w:val="000000"/>
                <w:sz w:val="16"/>
                <w:szCs w:val="16"/>
              </w:rPr>
            </w:pPr>
            <w:r w:rsidRPr="00302344">
              <w:rPr>
                <w:rFonts w:ascii="Arial" w:hAnsi="Arial" w:cs="Arial"/>
                <w:color w:val="000000"/>
                <w:sz w:val="16"/>
                <w:szCs w:val="16"/>
              </w:rPr>
              <w:t>904,672</w:t>
            </w:r>
          </w:p>
        </w:tc>
      </w:tr>
      <w:tr w:rsidR="00302344" w:rsidRPr="00302344" w:rsidTr="007B297A">
        <w:trPr>
          <w:trHeight w:val="300"/>
        </w:trPr>
        <w:tc>
          <w:tcPr>
            <w:tcW w:w="710" w:type="dxa"/>
            <w:tcBorders>
              <w:top w:val="nil"/>
              <w:left w:val="single" w:sz="4" w:space="0" w:color="009900"/>
              <w:bottom w:val="single" w:sz="4" w:space="0" w:color="009900"/>
              <w:right w:val="nil"/>
            </w:tcBorders>
            <w:shd w:val="clear" w:color="000000" w:fill="FFFFE1"/>
            <w:noWrap/>
            <w:vAlign w:val="center"/>
            <w:hideMark/>
          </w:tcPr>
          <w:p w:rsidR="00302344" w:rsidRPr="00302344" w:rsidRDefault="00302344" w:rsidP="007B297A">
            <w:pPr>
              <w:rPr>
                <w:rFonts w:ascii="Arial" w:hAnsi="Arial" w:cs="Arial"/>
                <w:color w:val="000000"/>
                <w:sz w:val="16"/>
                <w:szCs w:val="16"/>
              </w:rPr>
            </w:pPr>
            <w:r w:rsidRPr="00302344">
              <w:rPr>
                <w:rFonts w:ascii="Arial" w:hAnsi="Arial" w:cs="Arial"/>
                <w:color w:val="000000"/>
                <w:sz w:val="16"/>
                <w:szCs w:val="16"/>
              </w:rPr>
              <w:t>2012</w:t>
            </w:r>
          </w:p>
        </w:tc>
        <w:tc>
          <w:tcPr>
            <w:tcW w:w="1974" w:type="dxa"/>
            <w:tcBorders>
              <w:top w:val="nil"/>
              <w:left w:val="nil"/>
              <w:bottom w:val="single" w:sz="4" w:space="0" w:color="009900"/>
              <w:right w:val="single" w:sz="4" w:space="0" w:color="009900"/>
            </w:tcBorders>
            <w:shd w:val="clear" w:color="000000" w:fill="FFFFE1"/>
            <w:noWrap/>
            <w:vAlign w:val="center"/>
            <w:hideMark/>
          </w:tcPr>
          <w:p w:rsidR="00302344" w:rsidRPr="00302344" w:rsidRDefault="00302344" w:rsidP="007B297A">
            <w:pPr>
              <w:jc w:val="center"/>
              <w:rPr>
                <w:rFonts w:ascii="Arial" w:hAnsi="Arial" w:cs="Arial"/>
                <w:color w:val="000000"/>
                <w:sz w:val="16"/>
                <w:szCs w:val="16"/>
              </w:rPr>
            </w:pPr>
            <w:r w:rsidRPr="00302344">
              <w:rPr>
                <w:rFonts w:ascii="Arial" w:hAnsi="Arial" w:cs="Arial"/>
                <w:color w:val="000000"/>
                <w:sz w:val="16"/>
                <w:szCs w:val="16"/>
              </w:rPr>
              <w:t>906,802</w:t>
            </w:r>
          </w:p>
        </w:tc>
      </w:tr>
    </w:tbl>
    <w:p w:rsidR="002D5521" w:rsidRPr="004608D1" w:rsidRDefault="002D5521" w:rsidP="002D5521">
      <w:pPr>
        <w:pStyle w:val="BodyText"/>
        <w:tabs>
          <w:tab w:val="num" w:pos="360"/>
        </w:tabs>
        <w:rPr>
          <w:rFonts w:ascii="CG Omega" w:hAnsi="CG Omega"/>
          <w:sz w:val="16"/>
          <w:szCs w:val="16"/>
          <w:highlight w:val="yellow"/>
        </w:rPr>
      </w:pPr>
    </w:p>
    <w:p w:rsidR="009119DD" w:rsidRDefault="00380D59" w:rsidP="002D5521">
      <w:pPr>
        <w:pStyle w:val="BodyText"/>
        <w:tabs>
          <w:tab w:val="num" w:pos="360"/>
        </w:tabs>
        <w:rPr>
          <w:rFonts w:ascii="CG Omega" w:hAnsi="CG Omega"/>
          <w:szCs w:val="24"/>
        </w:rPr>
      </w:pPr>
      <w:r w:rsidRPr="0056183D">
        <w:rPr>
          <w:rFonts w:ascii="CG Omega" w:hAnsi="CG Omega"/>
          <w:szCs w:val="24"/>
        </w:rPr>
        <w:t>In 2000, the Census Bureau r</w:t>
      </w:r>
      <w:r w:rsidR="00F36430" w:rsidRPr="0056183D">
        <w:rPr>
          <w:rFonts w:ascii="CG Omega" w:hAnsi="CG Omega"/>
          <w:szCs w:val="24"/>
        </w:rPr>
        <w:t>eported that</w:t>
      </w:r>
      <w:r w:rsidRPr="0056183D">
        <w:rPr>
          <w:rFonts w:ascii="CG Omega" w:hAnsi="CG Omega"/>
          <w:szCs w:val="24"/>
        </w:rPr>
        <w:t xml:space="preserve"> New Mexico had 780,579 total housing units.  Since that time, the Census Bureau has continued to release estimates of the total number of housing units in the state.  The annual estimates of housing st</w:t>
      </w:r>
      <w:r w:rsidR="0056183D">
        <w:rPr>
          <w:rFonts w:ascii="CG Omega" w:hAnsi="CG Omega"/>
          <w:szCs w:val="24"/>
        </w:rPr>
        <w:t xml:space="preserve">ock </w:t>
      </w:r>
      <w:r w:rsidR="00322CDF">
        <w:rPr>
          <w:rFonts w:ascii="CG Omega" w:hAnsi="CG Omega"/>
          <w:szCs w:val="24"/>
        </w:rPr>
        <w:t xml:space="preserve">are presented in Table </w:t>
      </w:r>
      <w:r w:rsidR="00B72905">
        <w:rPr>
          <w:rFonts w:ascii="CG Omega" w:hAnsi="CG Omega"/>
          <w:szCs w:val="24"/>
        </w:rPr>
        <w:t>I</w:t>
      </w:r>
      <w:r w:rsidR="0056183D">
        <w:rPr>
          <w:rFonts w:ascii="CG Omega" w:hAnsi="CG Omega"/>
          <w:szCs w:val="24"/>
        </w:rPr>
        <w:t>V.1</w:t>
      </w:r>
      <w:r w:rsidR="00F03776">
        <w:rPr>
          <w:rFonts w:ascii="CG Omega" w:hAnsi="CG Omega"/>
          <w:szCs w:val="24"/>
        </w:rPr>
        <w:t>,</w:t>
      </w:r>
      <w:r w:rsidRPr="0056183D">
        <w:rPr>
          <w:rFonts w:ascii="CG Omega" w:hAnsi="CG Omega"/>
          <w:szCs w:val="24"/>
        </w:rPr>
        <w:t xml:space="preserve"> at right.  </w:t>
      </w:r>
      <w:r w:rsidR="0056183D">
        <w:rPr>
          <w:rFonts w:ascii="CG Omega" w:hAnsi="CG Omega"/>
          <w:szCs w:val="24"/>
        </w:rPr>
        <w:t>According to these estimates</w:t>
      </w:r>
      <w:r w:rsidR="00F03776">
        <w:rPr>
          <w:rFonts w:ascii="CG Omega" w:hAnsi="CG Omega"/>
          <w:szCs w:val="24"/>
        </w:rPr>
        <w:t>,</w:t>
      </w:r>
      <w:r w:rsidR="0056183D">
        <w:rPr>
          <w:rFonts w:ascii="CG Omega" w:hAnsi="CG Omega"/>
          <w:szCs w:val="24"/>
        </w:rPr>
        <w:t xml:space="preserve"> the total housing stock of New Mexico increased by about 14,</w:t>
      </w:r>
      <w:r w:rsidR="00F03776">
        <w:rPr>
          <w:rFonts w:ascii="CG Omega" w:hAnsi="CG Omega"/>
          <w:szCs w:val="24"/>
        </w:rPr>
        <w:t>000</w:t>
      </w:r>
      <w:r w:rsidR="0056183D">
        <w:rPr>
          <w:rFonts w:ascii="CG Omega" w:hAnsi="CG Omega"/>
          <w:szCs w:val="24"/>
        </w:rPr>
        <w:t xml:space="preserve"> units per year between 2000 and 2007. However, by 2008 this steady rate of growth began to slacken, </w:t>
      </w:r>
      <w:r w:rsidR="00406E24">
        <w:rPr>
          <w:rFonts w:ascii="CG Omega" w:hAnsi="CG Omega"/>
          <w:szCs w:val="24"/>
        </w:rPr>
        <w:t>and by 2012 the estimated annual rate of growth in the number of housing</w:t>
      </w:r>
      <w:r w:rsidR="00F03776">
        <w:rPr>
          <w:rFonts w:ascii="CG Omega" w:hAnsi="CG Omega"/>
          <w:szCs w:val="24"/>
        </w:rPr>
        <w:t xml:space="preserve"> units had slowed to less than 3</w:t>
      </w:r>
      <w:r w:rsidR="00406E24">
        <w:rPr>
          <w:rFonts w:ascii="CG Omega" w:hAnsi="CG Omega"/>
          <w:szCs w:val="24"/>
        </w:rPr>
        <w:t>,000 units per year.</w:t>
      </w:r>
    </w:p>
    <w:p w:rsidR="0056183D" w:rsidRPr="004608D1" w:rsidRDefault="0056183D" w:rsidP="002D5521">
      <w:pPr>
        <w:pStyle w:val="BodyText"/>
        <w:tabs>
          <w:tab w:val="num" w:pos="360"/>
        </w:tabs>
        <w:rPr>
          <w:rFonts w:ascii="CG Omega" w:hAnsi="CG Omega"/>
          <w:sz w:val="16"/>
          <w:szCs w:val="16"/>
          <w:highlight w:val="yellow"/>
        </w:rPr>
      </w:pPr>
    </w:p>
    <w:p w:rsidR="002B6CE8" w:rsidRPr="00406E24" w:rsidRDefault="001A5FB1" w:rsidP="002D5521">
      <w:pPr>
        <w:pStyle w:val="BodyText"/>
        <w:tabs>
          <w:tab w:val="num" w:pos="360"/>
        </w:tabs>
        <w:rPr>
          <w:rFonts w:ascii="CG Omega" w:hAnsi="CG Omega"/>
          <w:b/>
          <w:bCs/>
          <w:smallCaps/>
          <w:szCs w:val="24"/>
        </w:rPr>
      </w:pPr>
      <w:r w:rsidRPr="00406E24">
        <w:rPr>
          <w:rFonts w:ascii="CG Omega" w:hAnsi="CG Omega"/>
          <w:b/>
          <w:bCs/>
          <w:smallCaps/>
          <w:szCs w:val="24"/>
        </w:rPr>
        <w:t>Type and Tenure</w:t>
      </w:r>
    </w:p>
    <w:p w:rsidR="002B6CE8" w:rsidRPr="004608D1" w:rsidRDefault="002B6CE8" w:rsidP="002D5521">
      <w:pPr>
        <w:pStyle w:val="BodyText"/>
        <w:tabs>
          <w:tab w:val="num" w:pos="360"/>
        </w:tabs>
        <w:rPr>
          <w:rFonts w:ascii="CG Omega" w:hAnsi="CG Omega"/>
          <w:sz w:val="16"/>
          <w:szCs w:val="16"/>
        </w:rPr>
      </w:pPr>
    </w:p>
    <w:p w:rsidR="00A73F51" w:rsidRPr="005338D4" w:rsidRDefault="00127496" w:rsidP="00A73F51">
      <w:pPr>
        <w:pStyle w:val="Default"/>
        <w:jc w:val="both"/>
        <w:rPr>
          <w:rFonts w:ascii="CG Omega" w:hAnsi="CG Omega"/>
        </w:rPr>
      </w:pPr>
      <w:r>
        <w:rPr>
          <w:rFonts w:ascii="CG Omega" w:hAnsi="CG Omega"/>
        </w:rPr>
        <w:t>Over</w:t>
      </w:r>
      <w:r w:rsidR="00A73F51" w:rsidRPr="005338D4">
        <w:rPr>
          <w:rFonts w:ascii="CG Omega" w:hAnsi="CG Omega"/>
        </w:rPr>
        <w:t xml:space="preserve"> 120,000 housing units were added to the New Mexico housing market between the 2000 and 2010 Censuses</w:t>
      </w:r>
      <w:r w:rsidR="00A73F51">
        <w:rPr>
          <w:rFonts w:ascii="CG Omega" w:hAnsi="CG Omega"/>
        </w:rPr>
        <w:t>, as s</w:t>
      </w:r>
      <w:r w:rsidR="00A73F51" w:rsidRPr="005338D4">
        <w:rPr>
          <w:rFonts w:ascii="CG Omega" w:hAnsi="CG Omega"/>
        </w:rPr>
        <w:t>ee</w:t>
      </w:r>
      <w:r w:rsidR="00A73F51">
        <w:rPr>
          <w:rFonts w:ascii="CG Omega" w:hAnsi="CG Omega"/>
        </w:rPr>
        <w:t>n in</w:t>
      </w:r>
      <w:r w:rsidR="00A73F51" w:rsidRPr="005338D4">
        <w:rPr>
          <w:rFonts w:ascii="CG Omega" w:hAnsi="CG Omega"/>
        </w:rPr>
        <w:t xml:space="preserve"> </w:t>
      </w:r>
      <w:r w:rsidR="00A73F51" w:rsidRPr="0051335C">
        <w:rPr>
          <w:rFonts w:ascii="CG Omega" w:hAnsi="CG Omega"/>
          <w:b/>
        </w:rPr>
        <w:t>Table IV.</w:t>
      </w:r>
      <w:r w:rsidR="00321774" w:rsidRPr="0051335C">
        <w:rPr>
          <w:rFonts w:ascii="CG Omega" w:hAnsi="CG Omega"/>
          <w:b/>
        </w:rPr>
        <w:t>2</w:t>
      </w:r>
      <w:r w:rsidR="00A73F51">
        <w:rPr>
          <w:rFonts w:ascii="CG Omega" w:hAnsi="CG Omega"/>
        </w:rPr>
        <w:t>, below</w:t>
      </w:r>
      <w:r w:rsidR="00A73F51" w:rsidRPr="005338D4">
        <w:rPr>
          <w:rFonts w:ascii="CG Omega" w:hAnsi="CG Omega"/>
        </w:rPr>
        <w:t xml:space="preserve">. Growth in the occupied-housing stocks topped 113,000 units, indicating that most of the new units added to the housing markets were matched with occupants during that time. However, more and more of those occupants were choosing to rent, and the share of occupants who were renting their homes grew by 1.5 percent over the decade. By contrast, the share of occupants who owned the homes in which they lived fell by </w:t>
      </w:r>
      <w:r>
        <w:rPr>
          <w:rFonts w:ascii="CG Omega" w:hAnsi="CG Omega"/>
        </w:rPr>
        <w:t>1.5</w:t>
      </w:r>
      <w:r w:rsidR="00A73F51" w:rsidRPr="005338D4">
        <w:rPr>
          <w:rFonts w:ascii="CG Omega" w:hAnsi="CG Omega"/>
        </w:rPr>
        <w:t xml:space="preserve"> percentage points. Though the number of vacant housing units grew </w:t>
      </w:r>
      <w:r w:rsidR="00A73F51">
        <w:rPr>
          <w:rFonts w:ascii="CG Omega" w:hAnsi="CG Omega"/>
        </w:rPr>
        <w:t xml:space="preserve">by 7.2 percent </w:t>
      </w:r>
      <w:r w:rsidR="00A73F51" w:rsidRPr="005338D4">
        <w:rPr>
          <w:rFonts w:ascii="CG Omega" w:hAnsi="CG Omega"/>
        </w:rPr>
        <w:t>during this time, they accounted for a smaller sh</w:t>
      </w:r>
      <w:r>
        <w:rPr>
          <w:rFonts w:ascii="CG Omega" w:hAnsi="CG Omega"/>
        </w:rPr>
        <w:t>are of the total housing stock, 12.2 percent</w:t>
      </w:r>
      <w:r w:rsidR="00A73F51" w:rsidRPr="005338D4">
        <w:rPr>
          <w:rFonts w:ascii="CG Omega" w:hAnsi="CG Omega"/>
        </w:rPr>
        <w:t xml:space="preserve"> in 2010</w:t>
      </w:r>
      <w:r>
        <w:rPr>
          <w:rFonts w:ascii="CG Omega" w:hAnsi="CG Omega"/>
        </w:rPr>
        <w:t>, than they had in 2000 at 13.1 percent</w:t>
      </w:r>
      <w:r w:rsidR="00A73F51" w:rsidRPr="005338D4">
        <w:rPr>
          <w:rFonts w:ascii="CG Omega" w:hAnsi="CG Omega"/>
        </w:rPr>
        <w:t xml:space="preserve">. </w:t>
      </w:r>
    </w:p>
    <w:p w:rsidR="00A73F51" w:rsidRPr="009322FB" w:rsidRDefault="00A73F51" w:rsidP="00A73F51">
      <w:pPr>
        <w:pStyle w:val="BodyText"/>
        <w:tabs>
          <w:tab w:val="num" w:pos="360"/>
        </w:tabs>
        <w:rPr>
          <w:rFonts w:ascii="CG Omega" w:hAnsi="CG Omega"/>
          <w:b/>
          <w:bCs/>
          <w:smallCaps/>
          <w:sz w:val="16"/>
          <w:szCs w:val="16"/>
          <w:highlight w:val="yellow"/>
        </w:rPr>
      </w:pPr>
    </w:p>
    <w:tbl>
      <w:tblPr>
        <w:tblW w:w="0" w:type="auto"/>
        <w:jc w:val="center"/>
        <w:tblLook w:val="04A0" w:firstRow="1" w:lastRow="0" w:firstColumn="1" w:lastColumn="0" w:noHBand="0" w:noVBand="1"/>
      </w:tblPr>
      <w:tblGrid>
        <w:gridCol w:w="2022"/>
        <w:gridCol w:w="1507"/>
        <w:gridCol w:w="1070"/>
        <w:gridCol w:w="1234"/>
        <w:gridCol w:w="1070"/>
        <w:gridCol w:w="1079"/>
      </w:tblGrid>
      <w:tr w:rsidR="00A73F51" w:rsidRPr="00140B4C" w:rsidTr="001857F9">
        <w:trPr>
          <w:trHeight w:val="216"/>
          <w:jc w:val="center"/>
        </w:trPr>
        <w:tc>
          <w:tcPr>
            <w:tcW w:w="7982" w:type="dxa"/>
            <w:gridSpan w:val="6"/>
            <w:tcBorders>
              <w:bottom w:val="single" w:sz="4" w:space="0" w:color="009900"/>
            </w:tcBorders>
            <w:shd w:val="clear" w:color="000000" w:fill="auto"/>
            <w:noWrap/>
            <w:vAlign w:val="center"/>
            <w:hideMark/>
          </w:tcPr>
          <w:p w:rsidR="00A73F51" w:rsidRPr="00140B4C" w:rsidRDefault="00A73F51" w:rsidP="001857F9">
            <w:pPr>
              <w:keepNext/>
              <w:jc w:val="center"/>
              <w:rPr>
                <w:rFonts w:ascii="Arial" w:eastAsia="Calibri" w:hAnsi="Arial"/>
                <w:b/>
                <w:bCs/>
                <w:color w:val="000000"/>
                <w:sz w:val="22"/>
                <w:szCs w:val="18"/>
              </w:rPr>
            </w:pPr>
            <w:r w:rsidRPr="00140B4C">
              <w:rPr>
                <w:rFonts w:ascii="Arial" w:eastAsia="Calibri" w:hAnsi="Arial"/>
                <w:b/>
                <w:bCs/>
                <w:color w:val="000000"/>
                <w:sz w:val="22"/>
                <w:szCs w:val="18"/>
              </w:rPr>
              <w:t>Table I</w:t>
            </w:r>
            <w:r w:rsidR="00321774">
              <w:rPr>
                <w:rFonts w:ascii="Arial" w:eastAsia="Calibri" w:hAnsi="Arial"/>
                <w:b/>
                <w:bCs/>
                <w:color w:val="000000"/>
                <w:sz w:val="22"/>
                <w:szCs w:val="18"/>
              </w:rPr>
              <w:t>V.2</w:t>
            </w:r>
          </w:p>
          <w:p w:rsidR="00A73F51" w:rsidRPr="00140B4C" w:rsidRDefault="00A73F51" w:rsidP="001857F9">
            <w:pPr>
              <w:keepNext/>
              <w:keepLines/>
              <w:suppressAutoHyphens/>
              <w:jc w:val="center"/>
              <w:rPr>
                <w:rFonts w:ascii="Arial" w:eastAsia="Calibri" w:hAnsi="Arial"/>
                <w:b/>
                <w:sz w:val="20"/>
                <w:szCs w:val="23"/>
              </w:rPr>
            </w:pPr>
            <w:r w:rsidRPr="00140B4C">
              <w:rPr>
                <w:rFonts w:ascii="Arial" w:eastAsia="Calibri" w:hAnsi="Arial"/>
                <w:b/>
                <w:sz w:val="20"/>
                <w:szCs w:val="23"/>
              </w:rPr>
              <w:t>Housing Units by Tenure</w:t>
            </w:r>
          </w:p>
          <w:p w:rsidR="00A73F51" w:rsidRPr="00140B4C" w:rsidRDefault="00A73F51" w:rsidP="001857F9">
            <w:pPr>
              <w:suppressAutoHyphens/>
              <w:jc w:val="center"/>
              <w:rPr>
                <w:rFonts w:ascii="Arial" w:eastAsia="Calibri" w:hAnsi="Arial"/>
                <w:sz w:val="16"/>
                <w:szCs w:val="23"/>
              </w:rPr>
            </w:pPr>
            <w:r w:rsidRPr="00140B4C">
              <w:rPr>
                <w:rFonts w:ascii="Arial" w:eastAsia="Calibri" w:hAnsi="Arial"/>
                <w:noProof/>
                <w:sz w:val="16"/>
                <w:szCs w:val="23"/>
              </w:rPr>
              <w:t>State of New Mexico</w:t>
            </w:r>
          </w:p>
          <w:p w:rsidR="00A73F51" w:rsidRPr="00140B4C" w:rsidRDefault="00A73F51" w:rsidP="001857F9">
            <w:pPr>
              <w:suppressAutoHyphens/>
              <w:jc w:val="center"/>
              <w:rPr>
                <w:rFonts w:ascii="Arial" w:eastAsia="Calibri" w:hAnsi="Arial"/>
                <w:b/>
                <w:bCs/>
                <w:sz w:val="16"/>
                <w:szCs w:val="23"/>
              </w:rPr>
            </w:pPr>
            <w:r w:rsidRPr="00140B4C">
              <w:rPr>
                <w:rFonts w:ascii="Arial" w:eastAsia="Calibri" w:hAnsi="Arial"/>
                <w:sz w:val="16"/>
                <w:szCs w:val="23"/>
              </w:rPr>
              <w:t>2000 &amp; 2010 Census SF1 Data</w:t>
            </w:r>
          </w:p>
        </w:tc>
      </w:tr>
      <w:tr w:rsidR="00A73F51" w:rsidRPr="00140B4C" w:rsidTr="001857F9">
        <w:trPr>
          <w:trHeight w:val="216"/>
          <w:jc w:val="center"/>
        </w:trPr>
        <w:tc>
          <w:tcPr>
            <w:tcW w:w="2022" w:type="dxa"/>
            <w:vMerge w:val="restart"/>
            <w:tcBorders>
              <w:top w:val="single" w:sz="4" w:space="0" w:color="009900"/>
              <w:left w:val="single" w:sz="4" w:space="0" w:color="009900"/>
              <w:bottom w:val="single" w:sz="4" w:space="0" w:color="009900"/>
              <w:right w:val="nil"/>
            </w:tcBorders>
            <w:shd w:val="clear" w:color="000000" w:fill="FFFFE1"/>
            <w:noWrap/>
            <w:vAlign w:val="center"/>
            <w:hideMark/>
          </w:tcPr>
          <w:p w:rsidR="00A73F51" w:rsidRPr="00140B4C" w:rsidRDefault="00A73F51" w:rsidP="001857F9">
            <w:pPr>
              <w:suppressAutoHyphens/>
              <w:rPr>
                <w:rFonts w:ascii="Arial" w:eastAsia="Calibri" w:hAnsi="Arial"/>
                <w:b/>
                <w:sz w:val="16"/>
                <w:szCs w:val="23"/>
              </w:rPr>
            </w:pPr>
            <w:r w:rsidRPr="00140B4C">
              <w:rPr>
                <w:rFonts w:ascii="Arial" w:eastAsia="Calibri" w:hAnsi="Arial"/>
                <w:b/>
                <w:sz w:val="16"/>
                <w:szCs w:val="23"/>
              </w:rPr>
              <w:t>Tenure</w:t>
            </w:r>
          </w:p>
        </w:tc>
        <w:tc>
          <w:tcPr>
            <w:tcW w:w="2577" w:type="dxa"/>
            <w:gridSpan w:val="2"/>
            <w:tcBorders>
              <w:top w:val="single" w:sz="4" w:space="0" w:color="009900"/>
              <w:left w:val="nil"/>
              <w:bottom w:val="dotted" w:sz="4" w:space="0" w:color="009900"/>
              <w:right w:val="nil"/>
            </w:tcBorders>
            <w:shd w:val="clear" w:color="000000" w:fill="FFFFE1"/>
            <w:noWrap/>
            <w:vAlign w:val="center"/>
            <w:hideMark/>
          </w:tcPr>
          <w:p w:rsidR="00A73F51" w:rsidRPr="00140B4C" w:rsidRDefault="00A73F51" w:rsidP="001857F9">
            <w:pPr>
              <w:suppressAutoHyphens/>
              <w:jc w:val="center"/>
              <w:rPr>
                <w:rFonts w:ascii="Arial" w:eastAsia="Calibri" w:hAnsi="Arial"/>
                <w:b/>
                <w:sz w:val="16"/>
                <w:szCs w:val="23"/>
              </w:rPr>
            </w:pPr>
            <w:r w:rsidRPr="00140B4C">
              <w:rPr>
                <w:rFonts w:ascii="Arial" w:eastAsia="Calibri" w:hAnsi="Arial"/>
                <w:b/>
                <w:sz w:val="16"/>
                <w:szCs w:val="23"/>
              </w:rPr>
              <w:t>2000 Census</w:t>
            </w:r>
          </w:p>
        </w:tc>
        <w:tc>
          <w:tcPr>
            <w:tcW w:w="2304" w:type="dxa"/>
            <w:gridSpan w:val="2"/>
            <w:tcBorders>
              <w:top w:val="single" w:sz="4" w:space="0" w:color="009900"/>
              <w:left w:val="nil"/>
              <w:bottom w:val="dotted" w:sz="4" w:space="0" w:color="009900"/>
              <w:right w:val="nil"/>
            </w:tcBorders>
            <w:shd w:val="clear" w:color="000000" w:fill="FFFFE1"/>
            <w:noWrap/>
            <w:vAlign w:val="center"/>
            <w:hideMark/>
          </w:tcPr>
          <w:p w:rsidR="00A73F51" w:rsidRPr="00140B4C" w:rsidRDefault="00A73F51" w:rsidP="001857F9">
            <w:pPr>
              <w:suppressAutoHyphens/>
              <w:jc w:val="center"/>
              <w:rPr>
                <w:rFonts w:ascii="Arial" w:eastAsia="Calibri" w:hAnsi="Arial"/>
                <w:b/>
                <w:sz w:val="16"/>
                <w:szCs w:val="23"/>
              </w:rPr>
            </w:pPr>
            <w:r w:rsidRPr="00140B4C">
              <w:rPr>
                <w:rFonts w:ascii="Arial" w:eastAsia="Calibri" w:hAnsi="Arial"/>
                <w:b/>
                <w:sz w:val="16"/>
                <w:szCs w:val="23"/>
              </w:rPr>
              <w:t>2010 Census</w:t>
            </w:r>
          </w:p>
        </w:tc>
        <w:tc>
          <w:tcPr>
            <w:tcW w:w="1079" w:type="dxa"/>
            <w:vMerge w:val="restart"/>
            <w:tcBorders>
              <w:top w:val="single" w:sz="4" w:space="0" w:color="009900"/>
              <w:left w:val="dotted" w:sz="4" w:space="0" w:color="009900"/>
              <w:bottom w:val="single" w:sz="4" w:space="0" w:color="009900"/>
              <w:right w:val="single" w:sz="4" w:space="0" w:color="009900"/>
            </w:tcBorders>
            <w:shd w:val="clear" w:color="000000" w:fill="FFFFE1"/>
            <w:vAlign w:val="center"/>
            <w:hideMark/>
          </w:tcPr>
          <w:p w:rsidR="00A73F51" w:rsidRPr="00140B4C" w:rsidRDefault="00A73F51" w:rsidP="001857F9">
            <w:pPr>
              <w:suppressAutoHyphens/>
              <w:jc w:val="center"/>
              <w:rPr>
                <w:rFonts w:ascii="Arial" w:eastAsia="Calibri" w:hAnsi="Arial"/>
                <w:b/>
                <w:sz w:val="16"/>
                <w:szCs w:val="23"/>
              </w:rPr>
            </w:pPr>
            <w:r w:rsidRPr="00140B4C">
              <w:rPr>
                <w:rFonts w:ascii="Arial" w:eastAsia="Calibri" w:hAnsi="Arial"/>
                <w:b/>
                <w:sz w:val="16"/>
                <w:szCs w:val="23"/>
              </w:rPr>
              <w:t>% Change</w:t>
            </w:r>
          </w:p>
          <w:p w:rsidR="00A73F51" w:rsidRPr="00140B4C" w:rsidRDefault="00A73F51" w:rsidP="001857F9">
            <w:pPr>
              <w:suppressAutoHyphens/>
              <w:jc w:val="center"/>
              <w:rPr>
                <w:rFonts w:ascii="Arial" w:eastAsia="Calibri" w:hAnsi="Arial"/>
                <w:b/>
                <w:sz w:val="16"/>
                <w:szCs w:val="23"/>
              </w:rPr>
            </w:pPr>
            <w:r w:rsidRPr="00140B4C">
              <w:rPr>
                <w:rFonts w:ascii="Arial" w:eastAsia="Calibri" w:hAnsi="Arial"/>
                <w:b/>
                <w:sz w:val="16"/>
                <w:szCs w:val="23"/>
              </w:rPr>
              <w:t xml:space="preserve"> 00–10</w:t>
            </w:r>
          </w:p>
        </w:tc>
      </w:tr>
      <w:tr w:rsidR="00A73F51" w:rsidRPr="00140B4C" w:rsidTr="001857F9">
        <w:trPr>
          <w:trHeight w:val="216"/>
          <w:jc w:val="center"/>
        </w:trPr>
        <w:tc>
          <w:tcPr>
            <w:tcW w:w="2022" w:type="dxa"/>
            <w:vMerge/>
            <w:tcBorders>
              <w:top w:val="nil"/>
              <w:left w:val="single" w:sz="4" w:space="0" w:color="009900"/>
              <w:bottom w:val="single" w:sz="4" w:space="0" w:color="009900"/>
              <w:right w:val="nil"/>
            </w:tcBorders>
            <w:vAlign w:val="center"/>
            <w:hideMark/>
          </w:tcPr>
          <w:p w:rsidR="00A73F51" w:rsidRPr="00140B4C" w:rsidRDefault="00A73F51" w:rsidP="001857F9">
            <w:pPr>
              <w:suppressAutoHyphens/>
              <w:rPr>
                <w:rFonts w:ascii="Arial" w:eastAsia="Calibri" w:hAnsi="Arial"/>
                <w:b/>
                <w:sz w:val="16"/>
                <w:szCs w:val="23"/>
              </w:rPr>
            </w:pPr>
          </w:p>
        </w:tc>
        <w:tc>
          <w:tcPr>
            <w:tcW w:w="1507" w:type="dxa"/>
            <w:tcBorders>
              <w:top w:val="nil"/>
              <w:left w:val="nil"/>
              <w:bottom w:val="single" w:sz="4" w:space="0" w:color="009900"/>
              <w:right w:val="nil"/>
            </w:tcBorders>
            <w:shd w:val="clear" w:color="000000" w:fill="FFFFE1"/>
            <w:noWrap/>
            <w:vAlign w:val="center"/>
            <w:hideMark/>
          </w:tcPr>
          <w:p w:rsidR="00A73F51" w:rsidRPr="00140B4C" w:rsidRDefault="00A73F51" w:rsidP="001857F9">
            <w:pPr>
              <w:suppressAutoHyphens/>
              <w:jc w:val="center"/>
              <w:rPr>
                <w:rFonts w:ascii="Arial" w:eastAsia="Calibri" w:hAnsi="Arial"/>
                <w:b/>
                <w:sz w:val="16"/>
                <w:szCs w:val="23"/>
              </w:rPr>
            </w:pPr>
            <w:r w:rsidRPr="00140B4C">
              <w:rPr>
                <w:rFonts w:ascii="Arial" w:eastAsia="Calibri" w:hAnsi="Arial"/>
                <w:b/>
                <w:sz w:val="16"/>
                <w:szCs w:val="23"/>
              </w:rPr>
              <w:t>Units</w:t>
            </w:r>
          </w:p>
        </w:tc>
        <w:tc>
          <w:tcPr>
            <w:tcW w:w="1070" w:type="dxa"/>
            <w:tcBorders>
              <w:top w:val="nil"/>
              <w:left w:val="nil"/>
              <w:bottom w:val="single" w:sz="4" w:space="0" w:color="009900"/>
              <w:right w:val="nil"/>
            </w:tcBorders>
            <w:shd w:val="clear" w:color="000000" w:fill="FFFFE1"/>
            <w:noWrap/>
            <w:vAlign w:val="center"/>
            <w:hideMark/>
          </w:tcPr>
          <w:p w:rsidR="00A73F51" w:rsidRPr="00140B4C" w:rsidRDefault="00A73F51" w:rsidP="001857F9">
            <w:pPr>
              <w:suppressAutoHyphens/>
              <w:jc w:val="center"/>
              <w:rPr>
                <w:rFonts w:ascii="Arial" w:eastAsia="Calibri" w:hAnsi="Arial"/>
                <w:b/>
                <w:sz w:val="16"/>
                <w:szCs w:val="23"/>
              </w:rPr>
            </w:pPr>
            <w:r w:rsidRPr="00140B4C">
              <w:rPr>
                <w:rFonts w:ascii="Arial" w:eastAsia="Calibri" w:hAnsi="Arial"/>
                <w:b/>
                <w:sz w:val="16"/>
                <w:szCs w:val="23"/>
              </w:rPr>
              <w:t>% of Total</w:t>
            </w:r>
          </w:p>
        </w:tc>
        <w:tc>
          <w:tcPr>
            <w:tcW w:w="1234" w:type="dxa"/>
            <w:tcBorders>
              <w:top w:val="nil"/>
              <w:left w:val="nil"/>
              <w:bottom w:val="single" w:sz="4" w:space="0" w:color="009900"/>
              <w:right w:val="nil"/>
            </w:tcBorders>
            <w:shd w:val="clear" w:color="000000" w:fill="FFFFE1"/>
            <w:noWrap/>
            <w:vAlign w:val="center"/>
            <w:hideMark/>
          </w:tcPr>
          <w:p w:rsidR="00A73F51" w:rsidRPr="00140B4C" w:rsidRDefault="00A73F51" w:rsidP="001857F9">
            <w:pPr>
              <w:suppressAutoHyphens/>
              <w:jc w:val="center"/>
              <w:rPr>
                <w:rFonts w:ascii="Arial" w:eastAsia="Calibri" w:hAnsi="Arial"/>
                <w:b/>
                <w:sz w:val="16"/>
                <w:szCs w:val="23"/>
              </w:rPr>
            </w:pPr>
            <w:r w:rsidRPr="00140B4C">
              <w:rPr>
                <w:rFonts w:ascii="Arial" w:eastAsia="Calibri" w:hAnsi="Arial"/>
                <w:b/>
                <w:sz w:val="16"/>
                <w:szCs w:val="23"/>
              </w:rPr>
              <w:t>Units</w:t>
            </w:r>
          </w:p>
        </w:tc>
        <w:tc>
          <w:tcPr>
            <w:tcW w:w="1070" w:type="dxa"/>
            <w:tcBorders>
              <w:top w:val="nil"/>
              <w:left w:val="nil"/>
              <w:bottom w:val="single" w:sz="4" w:space="0" w:color="009900"/>
              <w:right w:val="nil"/>
            </w:tcBorders>
            <w:shd w:val="clear" w:color="000000" w:fill="FFFFE1"/>
            <w:noWrap/>
            <w:vAlign w:val="center"/>
            <w:hideMark/>
          </w:tcPr>
          <w:p w:rsidR="00A73F51" w:rsidRPr="00140B4C" w:rsidRDefault="00A73F51" w:rsidP="001857F9">
            <w:pPr>
              <w:suppressAutoHyphens/>
              <w:jc w:val="center"/>
              <w:rPr>
                <w:rFonts w:ascii="Arial" w:eastAsia="Calibri" w:hAnsi="Arial"/>
                <w:b/>
                <w:sz w:val="16"/>
                <w:szCs w:val="23"/>
              </w:rPr>
            </w:pPr>
            <w:r w:rsidRPr="00140B4C">
              <w:rPr>
                <w:rFonts w:ascii="Arial" w:eastAsia="Calibri" w:hAnsi="Arial"/>
                <w:b/>
                <w:sz w:val="16"/>
                <w:szCs w:val="23"/>
              </w:rPr>
              <w:t>% of Total</w:t>
            </w:r>
          </w:p>
        </w:tc>
        <w:tc>
          <w:tcPr>
            <w:tcW w:w="1079" w:type="dxa"/>
            <w:vMerge/>
            <w:tcBorders>
              <w:top w:val="nil"/>
              <w:left w:val="dotted" w:sz="4" w:space="0" w:color="009900"/>
              <w:bottom w:val="single" w:sz="4" w:space="0" w:color="009900"/>
              <w:right w:val="single" w:sz="4" w:space="0" w:color="009900"/>
            </w:tcBorders>
            <w:vAlign w:val="center"/>
            <w:hideMark/>
          </w:tcPr>
          <w:p w:rsidR="00A73F51" w:rsidRPr="00140B4C" w:rsidRDefault="00A73F51" w:rsidP="001857F9">
            <w:pPr>
              <w:suppressAutoHyphens/>
              <w:jc w:val="center"/>
              <w:rPr>
                <w:rFonts w:ascii="Arial" w:eastAsia="Calibri" w:hAnsi="Arial"/>
                <w:b/>
                <w:sz w:val="16"/>
                <w:szCs w:val="23"/>
              </w:rPr>
            </w:pPr>
          </w:p>
        </w:tc>
      </w:tr>
      <w:tr w:rsidR="00A73F51" w:rsidRPr="00140B4C" w:rsidTr="001857F9">
        <w:trPr>
          <w:trHeight w:val="216"/>
          <w:jc w:val="center"/>
        </w:trPr>
        <w:tc>
          <w:tcPr>
            <w:tcW w:w="2022" w:type="dxa"/>
            <w:tcBorders>
              <w:top w:val="nil"/>
              <w:left w:val="single" w:sz="4" w:space="0" w:color="009900"/>
              <w:bottom w:val="nil"/>
              <w:right w:val="nil"/>
            </w:tcBorders>
            <w:shd w:val="clear" w:color="000000" w:fill="FFFFE1"/>
            <w:noWrap/>
            <w:vAlign w:val="center"/>
            <w:hideMark/>
          </w:tcPr>
          <w:p w:rsidR="00A73F51" w:rsidRPr="00140B4C" w:rsidRDefault="00A73F51" w:rsidP="001857F9">
            <w:pPr>
              <w:suppressAutoHyphens/>
              <w:rPr>
                <w:rFonts w:ascii="Arial" w:eastAsia="Calibri" w:hAnsi="Arial"/>
                <w:sz w:val="16"/>
                <w:szCs w:val="23"/>
              </w:rPr>
            </w:pPr>
            <w:r w:rsidRPr="00140B4C">
              <w:rPr>
                <w:rFonts w:ascii="Arial" w:eastAsia="Calibri" w:hAnsi="Arial"/>
                <w:sz w:val="16"/>
                <w:szCs w:val="23"/>
              </w:rPr>
              <w:t>Occupied Housing Units</w:t>
            </w:r>
          </w:p>
        </w:tc>
        <w:tc>
          <w:tcPr>
            <w:tcW w:w="1507" w:type="dxa"/>
            <w:tcBorders>
              <w:top w:val="nil"/>
              <w:left w:val="nil"/>
              <w:bottom w:val="nil"/>
              <w:right w:val="nil"/>
            </w:tcBorders>
            <w:shd w:val="clear" w:color="000000" w:fill="FFFFE1"/>
            <w:noWrap/>
            <w:vAlign w:val="center"/>
            <w:hideMark/>
          </w:tcPr>
          <w:p w:rsidR="00A73F51" w:rsidRPr="00140B4C" w:rsidRDefault="00A73F51" w:rsidP="001857F9">
            <w:pPr>
              <w:suppressAutoHyphens/>
              <w:jc w:val="center"/>
              <w:rPr>
                <w:rFonts w:ascii="Arial" w:eastAsia="Calibri" w:hAnsi="Arial"/>
                <w:sz w:val="16"/>
                <w:szCs w:val="23"/>
              </w:rPr>
            </w:pPr>
            <w:r w:rsidRPr="00140B4C">
              <w:rPr>
                <w:rFonts w:ascii="Arial" w:eastAsia="Calibri" w:hAnsi="Arial"/>
                <w:noProof/>
                <w:sz w:val="16"/>
                <w:szCs w:val="23"/>
              </w:rPr>
              <w:t>677,971</w:t>
            </w:r>
          </w:p>
        </w:tc>
        <w:tc>
          <w:tcPr>
            <w:tcW w:w="1070" w:type="dxa"/>
            <w:tcBorders>
              <w:top w:val="nil"/>
              <w:left w:val="nil"/>
              <w:bottom w:val="nil"/>
              <w:right w:val="nil"/>
            </w:tcBorders>
            <w:shd w:val="clear" w:color="000000" w:fill="FFFFE1"/>
            <w:noWrap/>
            <w:vAlign w:val="center"/>
            <w:hideMark/>
          </w:tcPr>
          <w:p w:rsidR="00A73F51" w:rsidRPr="00140B4C" w:rsidRDefault="00A73F51" w:rsidP="001857F9">
            <w:pPr>
              <w:suppressAutoHyphens/>
              <w:jc w:val="center"/>
              <w:rPr>
                <w:rFonts w:ascii="Arial" w:eastAsia="Calibri" w:hAnsi="Arial"/>
                <w:sz w:val="16"/>
                <w:szCs w:val="23"/>
              </w:rPr>
            </w:pPr>
            <w:r w:rsidRPr="00140B4C">
              <w:rPr>
                <w:rFonts w:ascii="Arial" w:eastAsia="Calibri" w:hAnsi="Arial"/>
                <w:noProof/>
                <w:sz w:val="16"/>
                <w:szCs w:val="23"/>
              </w:rPr>
              <w:t>86.9</w:t>
            </w:r>
            <w:r w:rsidRPr="00140B4C">
              <w:rPr>
                <w:rFonts w:ascii="Arial" w:eastAsia="Calibri" w:hAnsi="Arial"/>
                <w:sz w:val="16"/>
                <w:szCs w:val="23"/>
              </w:rPr>
              <w:t>%</w:t>
            </w:r>
          </w:p>
        </w:tc>
        <w:tc>
          <w:tcPr>
            <w:tcW w:w="1234" w:type="dxa"/>
            <w:tcBorders>
              <w:top w:val="nil"/>
              <w:left w:val="nil"/>
              <w:bottom w:val="nil"/>
              <w:right w:val="nil"/>
            </w:tcBorders>
            <w:shd w:val="clear" w:color="000000" w:fill="FFFFE1"/>
            <w:noWrap/>
            <w:vAlign w:val="center"/>
            <w:hideMark/>
          </w:tcPr>
          <w:p w:rsidR="00A73F51" w:rsidRPr="00140B4C" w:rsidRDefault="00A73F51" w:rsidP="001857F9">
            <w:pPr>
              <w:suppressAutoHyphens/>
              <w:jc w:val="center"/>
              <w:rPr>
                <w:rFonts w:ascii="Arial" w:eastAsia="Calibri" w:hAnsi="Arial"/>
                <w:sz w:val="16"/>
                <w:szCs w:val="23"/>
              </w:rPr>
            </w:pPr>
            <w:r w:rsidRPr="00140B4C">
              <w:rPr>
                <w:rFonts w:ascii="Arial" w:eastAsia="Calibri" w:hAnsi="Arial"/>
                <w:noProof/>
                <w:sz w:val="16"/>
                <w:szCs w:val="23"/>
              </w:rPr>
              <w:t>791,395</w:t>
            </w:r>
          </w:p>
        </w:tc>
        <w:tc>
          <w:tcPr>
            <w:tcW w:w="1070" w:type="dxa"/>
            <w:tcBorders>
              <w:top w:val="nil"/>
              <w:left w:val="nil"/>
              <w:bottom w:val="nil"/>
              <w:right w:val="nil"/>
            </w:tcBorders>
            <w:shd w:val="clear" w:color="000000" w:fill="FFFFE1"/>
            <w:noWrap/>
            <w:vAlign w:val="center"/>
            <w:hideMark/>
          </w:tcPr>
          <w:p w:rsidR="00A73F51" w:rsidRPr="00140B4C" w:rsidRDefault="00A73F51" w:rsidP="001857F9">
            <w:pPr>
              <w:suppressAutoHyphens/>
              <w:jc w:val="center"/>
              <w:rPr>
                <w:rFonts w:ascii="Arial" w:eastAsia="Calibri" w:hAnsi="Arial"/>
                <w:sz w:val="16"/>
                <w:szCs w:val="23"/>
              </w:rPr>
            </w:pPr>
            <w:r w:rsidRPr="00140B4C">
              <w:rPr>
                <w:rFonts w:ascii="Arial" w:eastAsia="Calibri" w:hAnsi="Arial"/>
                <w:noProof/>
                <w:sz w:val="16"/>
                <w:szCs w:val="23"/>
              </w:rPr>
              <w:t>87.8</w:t>
            </w:r>
            <w:r w:rsidRPr="00140B4C">
              <w:rPr>
                <w:rFonts w:ascii="Arial" w:eastAsia="Calibri" w:hAnsi="Arial"/>
                <w:sz w:val="16"/>
                <w:szCs w:val="23"/>
              </w:rPr>
              <w:t>%</w:t>
            </w:r>
          </w:p>
        </w:tc>
        <w:tc>
          <w:tcPr>
            <w:tcW w:w="1079" w:type="dxa"/>
            <w:tcBorders>
              <w:top w:val="nil"/>
              <w:left w:val="dotted" w:sz="4" w:space="0" w:color="009900"/>
              <w:bottom w:val="nil"/>
              <w:right w:val="single" w:sz="4" w:space="0" w:color="009900"/>
            </w:tcBorders>
            <w:shd w:val="clear" w:color="000000" w:fill="FFFFE1"/>
            <w:noWrap/>
            <w:vAlign w:val="center"/>
            <w:hideMark/>
          </w:tcPr>
          <w:p w:rsidR="00A73F51" w:rsidRPr="00140B4C" w:rsidRDefault="00A73F51" w:rsidP="001857F9">
            <w:pPr>
              <w:suppressAutoHyphens/>
              <w:jc w:val="center"/>
              <w:rPr>
                <w:rFonts w:ascii="Arial" w:eastAsia="Calibri" w:hAnsi="Arial"/>
                <w:sz w:val="16"/>
                <w:szCs w:val="23"/>
              </w:rPr>
            </w:pPr>
            <w:r w:rsidRPr="00140B4C">
              <w:rPr>
                <w:rFonts w:ascii="Arial" w:eastAsia="Calibri" w:hAnsi="Arial"/>
                <w:noProof/>
                <w:sz w:val="16"/>
                <w:szCs w:val="23"/>
              </w:rPr>
              <w:t>16.7</w:t>
            </w:r>
            <w:r w:rsidRPr="00140B4C">
              <w:rPr>
                <w:rFonts w:ascii="Arial" w:eastAsia="Calibri" w:hAnsi="Arial"/>
                <w:sz w:val="16"/>
                <w:szCs w:val="23"/>
              </w:rPr>
              <w:t>%</w:t>
            </w:r>
          </w:p>
        </w:tc>
      </w:tr>
      <w:tr w:rsidR="00A73F51" w:rsidRPr="00140B4C" w:rsidTr="001857F9">
        <w:trPr>
          <w:trHeight w:val="216"/>
          <w:jc w:val="center"/>
        </w:trPr>
        <w:tc>
          <w:tcPr>
            <w:tcW w:w="2022" w:type="dxa"/>
            <w:tcBorders>
              <w:top w:val="nil"/>
              <w:left w:val="single" w:sz="4" w:space="0" w:color="009900"/>
              <w:bottom w:val="nil"/>
              <w:right w:val="nil"/>
            </w:tcBorders>
            <w:shd w:val="clear" w:color="000000" w:fill="FFFFE1"/>
            <w:noWrap/>
            <w:vAlign w:val="center"/>
            <w:hideMark/>
          </w:tcPr>
          <w:p w:rsidR="00A73F51" w:rsidRPr="00140B4C" w:rsidRDefault="00B71DBB" w:rsidP="001857F9">
            <w:pPr>
              <w:suppressAutoHyphens/>
              <w:ind w:left="201"/>
              <w:rPr>
                <w:rFonts w:ascii="Arial" w:eastAsia="Calibri" w:hAnsi="Arial"/>
                <w:sz w:val="16"/>
                <w:szCs w:val="23"/>
              </w:rPr>
            </w:pPr>
            <w:r>
              <w:rPr>
                <w:rFonts w:ascii="Arial" w:eastAsia="Calibri" w:hAnsi="Arial"/>
                <w:sz w:val="16"/>
                <w:szCs w:val="23"/>
              </w:rPr>
              <w:t>Owner occupied</w:t>
            </w:r>
          </w:p>
        </w:tc>
        <w:tc>
          <w:tcPr>
            <w:tcW w:w="1507" w:type="dxa"/>
            <w:tcBorders>
              <w:top w:val="nil"/>
              <w:left w:val="nil"/>
              <w:bottom w:val="nil"/>
              <w:right w:val="nil"/>
            </w:tcBorders>
            <w:shd w:val="clear" w:color="000000" w:fill="FFFFE1"/>
            <w:noWrap/>
            <w:vAlign w:val="center"/>
            <w:hideMark/>
          </w:tcPr>
          <w:p w:rsidR="00A73F51" w:rsidRPr="00140B4C" w:rsidRDefault="00A73F51" w:rsidP="001857F9">
            <w:pPr>
              <w:suppressAutoHyphens/>
              <w:jc w:val="center"/>
              <w:rPr>
                <w:rFonts w:ascii="Arial" w:eastAsia="Calibri" w:hAnsi="Arial"/>
                <w:sz w:val="16"/>
                <w:szCs w:val="23"/>
              </w:rPr>
            </w:pPr>
            <w:r w:rsidRPr="00140B4C">
              <w:rPr>
                <w:rFonts w:ascii="Arial" w:eastAsia="Calibri" w:hAnsi="Arial"/>
                <w:noProof/>
                <w:sz w:val="16"/>
                <w:szCs w:val="23"/>
              </w:rPr>
              <w:t>474,445</w:t>
            </w:r>
          </w:p>
        </w:tc>
        <w:tc>
          <w:tcPr>
            <w:tcW w:w="1070" w:type="dxa"/>
            <w:tcBorders>
              <w:top w:val="nil"/>
              <w:left w:val="nil"/>
              <w:bottom w:val="nil"/>
              <w:right w:val="nil"/>
            </w:tcBorders>
            <w:shd w:val="clear" w:color="000000" w:fill="FFFFE1"/>
            <w:noWrap/>
            <w:vAlign w:val="center"/>
            <w:hideMark/>
          </w:tcPr>
          <w:p w:rsidR="00A73F51" w:rsidRPr="00140B4C" w:rsidRDefault="00A73F51" w:rsidP="001857F9">
            <w:pPr>
              <w:suppressAutoHyphens/>
              <w:jc w:val="center"/>
              <w:rPr>
                <w:rFonts w:ascii="Arial" w:eastAsia="Calibri" w:hAnsi="Arial"/>
                <w:sz w:val="16"/>
                <w:szCs w:val="23"/>
              </w:rPr>
            </w:pPr>
            <w:r w:rsidRPr="00140B4C">
              <w:rPr>
                <w:rFonts w:ascii="Arial" w:eastAsia="Calibri" w:hAnsi="Arial"/>
                <w:noProof/>
                <w:sz w:val="16"/>
                <w:szCs w:val="23"/>
              </w:rPr>
              <w:t>70.0</w:t>
            </w:r>
            <w:r w:rsidRPr="00140B4C">
              <w:rPr>
                <w:rFonts w:ascii="Arial" w:eastAsia="Calibri" w:hAnsi="Arial"/>
                <w:sz w:val="16"/>
                <w:szCs w:val="23"/>
              </w:rPr>
              <w:t>%</w:t>
            </w:r>
          </w:p>
        </w:tc>
        <w:tc>
          <w:tcPr>
            <w:tcW w:w="1234" w:type="dxa"/>
            <w:tcBorders>
              <w:top w:val="nil"/>
              <w:left w:val="nil"/>
              <w:bottom w:val="nil"/>
              <w:right w:val="nil"/>
            </w:tcBorders>
            <w:shd w:val="clear" w:color="000000" w:fill="FFFFE1"/>
            <w:noWrap/>
            <w:vAlign w:val="center"/>
            <w:hideMark/>
          </w:tcPr>
          <w:p w:rsidR="00A73F51" w:rsidRPr="00140B4C" w:rsidRDefault="00A73F51" w:rsidP="001857F9">
            <w:pPr>
              <w:suppressAutoHyphens/>
              <w:jc w:val="center"/>
              <w:rPr>
                <w:rFonts w:ascii="Arial" w:eastAsia="Calibri" w:hAnsi="Arial"/>
                <w:sz w:val="16"/>
                <w:szCs w:val="23"/>
              </w:rPr>
            </w:pPr>
            <w:r w:rsidRPr="00140B4C">
              <w:rPr>
                <w:rFonts w:ascii="Arial" w:eastAsia="Calibri" w:hAnsi="Arial"/>
                <w:noProof/>
                <w:sz w:val="16"/>
                <w:szCs w:val="23"/>
              </w:rPr>
              <w:t>542,122</w:t>
            </w:r>
          </w:p>
        </w:tc>
        <w:tc>
          <w:tcPr>
            <w:tcW w:w="1070" w:type="dxa"/>
            <w:tcBorders>
              <w:top w:val="nil"/>
              <w:left w:val="nil"/>
              <w:bottom w:val="nil"/>
              <w:right w:val="nil"/>
            </w:tcBorders>
            <w:shd w:val="clear" w:color="000000" w:fill="FFFFE1"/>
            <w:noWrap/>
            <w:vAlign w:val="center"/>
            <w:hideMark/>
          </w:tcPr>
          <w:p w:rsidR="00A73F51" w:rsidRPr="00140B4C" w:rsidRDefault="00A73F51" w:rsidP="001857F9">
            <w:pPr>
              <w:suppressAutoHyphens/>
              <w:jc w:val="center"/>
              <w:rPr>
                <w:rFonts w:ascii="Arial" w:eastAsia="Calibri" w:hAnsi="Arial"/>
                <w:sz w:val="16"/>
                <w:szCs w:val="23"/>
              </w:rPr>
            </w:pPr>
            <w:r w:rsidRPr="00140B4C">
              <w:rPr>
                <w:rFonts w:ascii="Arial" w:eastAsia="Calibri" w:hAnsi="Arial"/>
                <w:noProof/>
                <w:sz w:val="16"/>
                <w:szCs w:val="23"/>
              </w:rPr>
              <w:t>68.5</w:t>
            </w:r>
            <w:r w:rsidRPr="00140B4C">
              <w:rPr>
                <w:rFonts w:ascii="Arial" w:eastAsia="Calibri" w:hAnsi="Arial"/>
                <w:sz w:val="16"/>
                <w:szCs w:val="23"/>
              </w:rPr>
              <w:t>%</w:t>
            </w:r>
          </w:p>
        </w:tc>
        <w:tc>
          <w:tcPr>
            <w:tcW w:w="1079" w:type="dxa"/>
            <w:tcBorders>
              <w:top w:val="nil"/>
              <w:left w:val="dotted" w:sz="4" w:space="0" w:color="009900"/>
              <w:bottom w:val="nil"/>
              <w:right w:val="single" w:sz="4" w:space="0" w:color="009900"/>
            </w:tcBorders>
            <w:shd w:val="clear" w:color="000000" w:fill="FFFFE1"/>
            <w:noWrap/>
            <w:vAlign w:val="center"/>
            <w:hideMark/>
          </w:tcPr>
          <w:p w:rsidR="00A73F51" w:rsidRPr="00140B4C" w:rsidRDefault="00A73F51" w:rsidP="001857F9">
            <w:pPr>
              <w:suppressAutoHyphens/>
              <w:jc w:val="center"/>
              <w:rPr>
                <w:rFonts w:ascii="Arial" w:eastAsia="Calibri" w:hAnsi="Arial"/>
                <w:sz w:val="16"/>
                <w:szCs w:val="23"/>
              </w:rPr>
            </w:pPr>
            <w:r w:rsidRPr="00140B4C">
              <w:rPr>
                <w:rFonts w:ascii="Arial" w:eastAsia="Calibri" w:hAnsi="Arial"/>
                <w:noProof/>
                <w:sz w:val="16"/>
                <w:szCs w:val="23"/>
              </w:rPr>
              <w:t>14.3</w:t>
            </w:r>
            <w:r w:rsidRPr="00140B4C">
              <w:rPr>
                <w:rFonts w:ascii="Arial" w:eastAsia="Calibri" w:hAnsi="Arial"/>
                <w:sz w:val="16"/>
                <w:szCs w:val="23"/>
              </w:rPr>
              <w:t>%</w:t>
            </w:r>
          </w:p>
        </w:tc>
      </w:tr>
      <w:tr w:rsidR="00A73F51" w:rsidRPr="00140B4C" w:rsidTr="001857F9">
        <w:trPr>
          <w:trHeight w:val="216"/>
          <w:jc w:val="center"/>
        </w:trPr>
        <w:tc>
          <w:tcPr>
            <w:tcW w:w="2022" w:type="dxa"/>
            <w:tcBorders>
              <w:top w:val="nil"/>
              <w:left w:val="single" w:sz="4" w:space="0" w:color="009900"/>
              <w:bottom w:val="nil"/>
              <w:right w:val="nil"/>
            </w:tcBorders>
            <w:shd w:val="clear" w:color="000000" w:fill="FFFFE1"/>
            <w:noWrap/>
            <w:vAlign w:val="center"/>
            <w:hideMark/>
          </w:tcPr>
          <w:p w:rsidR="00A73F51" w:rsidRPr="00140B4C" w:rsidRDefault="00A73F51" w:rsidP="001857F9">
            <w:pPr>
              <w:suppressAutoHyphens/>
              <w:ind w:left="201"/>
              <w:rPr>
                <w:rFonts w:ascii="Arial" w:eastAsia="Calibri" w:hAnsi="Arial"/>
                <w:sz w:val="16"/>
                <w:szCs w:val="23"/>
              </w:rPr>
            </w:pPr>
            <w:r w:rsidRPr="00140B4C">
              <w:rPr>
                <w:rFonts w:ascii="Arial" w:eastAsia="Calibri" w:hAnsi="Arial"/>
                <w:sz w:val="16"/>
                <w:szCs w:val="23"/>
              </w:rPr>
              <w:t>Renter-Occupied</w:t>
            </w:r>
          </w:p>
        </w:tc>
        <w:tc>
          <w:tcPr>
            <w:tcW w:w="1507" w:type="dxa"/>
            <w:tcBorders>
              <w:top w:val="nil"/>
              <w:left w:val="nil"/>
              <w:bottom w:val="nil"/>
              <w:right w:val="nil"/>
            </w:tcBorders>
            <w:shd w:val="clear" w:color="000000" w:fill="FFFFE1"/>
            <w:noWrap/>
            <w:vAlign w:val="center"/>
            <w:hideMark/>
          </w:tcPr>
          <w:p w:rsidR="00A73F51" w:rsidRPr="00140B4C" w:rsidRDefault="00A73F51" w:rsidP="001857F9">
            <w:pPr>
              <w:suppressAutoHyphens/>
              <w:jc w:val="center"/>
              <w:rPr>
                <w:rFonts w:ascii="Arial" w:eastAsia="Calibri" w:hAnsi="Arial"/>
                <w:sz w:val="16"/>
                <w:szCs w:val="23"/>
              </w:rPr>
            </w:pPr>
            <w:r w:rsidRPr="00140B4C">
              <w:rPr>
                <w:rFonts w:ascii="Arial" w:eastAsia="Calibri" w:hAnsi="Arial"/>
                <w:noProof/>
                <w:sz w:val="16"/>
                <w:szCs w:val="23"/>
              </w:rPr>
              <w:t>203,526</w:t>
            </w:r>
          </w:p>
        </w:tc>
        <w:tc>
          <w:tcPr>
            <w:tcW w:w="1070" w:type="dxa"/>
            <w:tcBorders>
              <w:top w:val="nil"/>
              <w:left w:val="nil"/>
              <w:bottom w:val="nil"/>
              <w:right w:val="nil"/>
            </w:tcBorders>
            <w:shd w:val="clear" w:color="000000" w:fill="FFFFE1"/>
            <w:noWrap/>
            <w:vAlign w:val="center"/>
            <w:hideMark/>
          </w:tcPr>
          <w:p w:rsidR="00A73F51" w:rsidRPr="00140B4C" w:rsidRDefault="00A73F51" w:rsidP="001857F9">
            <w:pPr>
              <w:suppressAutoHyphens/>
              <w:jc w:val="center"/>
              <w:rPr>
                <w:rFonts w:ascii="Arial" w:eastAsia="Calibri" w:hAnsi="Arial"/>
                <w:sz w:val="16"/>
                <w:szCs w:val="23"/>
              </w:rPr>
            </w:pPr>
            <w:r w:rsidRPr="00140B4C">
              <w:rPr>
                <w:rFonts w:ascii="Arial" w:eastAsia="Calibri" w:hAnsi="Arial"/>
                <w:noProof/>
                <w:sz w:val="16"/>
                <w:szCs w:val="23"/>
              </w:rPr>
              <w:t>30.0</w:t>
            </w:r>
            <w:r w:rsidRPr="00140B4C">
              <w:rPr>
                <w:rFonts w:ascii="Arial" w:eastAsia="Calibri" w:hAnsi="Arial"/>
                <w:sz w:val="16"/>
                <w:szCs w:val="23"/>
              </w:rPr>
              <w:t>%</w:t>
            </w:r>
          </w:p>
        </w:tc>
        <w:tc>
          <w:tcPr>
            <w:tcW w:w="1234" w:type="dxa"/>
            <w:tcBorders>
              <w:top w:val="nil"/>
              <w:left w:val="nil"/>
              <w:bottom w:val="nil"/>
              <w:right w:val="nil"/>
            </w:tcBorders>
            <w:shd w:val="clear" w:color="000000" w:fill="FFFFE1"/>
            <w:noWrap/>
            <w:vAlign w:val="center"/>
            <w:hideMark/>
          </w:tcPr>
          <w:p w:rsidR="00A73F51" w:rsidRPr="00140B4C" w:rsidRDefault="00A73F51" w:rsidP="001857F9">
            <w:pPr>
              <w:suppressAutoHyphens/>
              <w:jc w:val="center"/>
              <w:rPr>
                <w:rFonts w:ascii="Arial" w:eastAsia="Calibri" w:hAnsi="Arial"/>
                <w:sz w:val="16"/>
                <w:szCs w:val="23"/>
              </w:rPr>
            </w:pPr>
            <w:r w:rsidRPr="00140B4C">
              <w:rPr>
                <w:rFonts w:ascii="Arial" w:eastAsia="Calibri" w:hAnsi="Arial"/>
                <w:noProof/>
                <w:sz w:val="16"/>
                <w:szCs w:val="23"/>
              </w:rPr>
              <w:t>249,273</w:t>
            </w:r>
          </w:p>
        </w:tc>
        <w:tc>
          <w:tcPr>
            <w:tcW w:w="1070" w:type="dxa"/>
            <w:tcBorders>
              <w:top w:val="nil"/>
              <w:left w:val="nil"/>
              <w:bottom w:val="nil"/>
              <w:right w:val="nil"/>
            </w:tcBorders>
            <w:shd w:val="clear" w:color="000000" w:fill="FFFFE1"/>
            <w:noWrap/>
            <w:vAlign w:val="center"/>
            <w:hideMark/>
          </w:tcPr>
          <w:p w:rsidR="00A73F51" w:rsidRPr="00140B4C" w:rsidRDefault="00A73F51" w:rsidP="001857F9">
            <w:pPr>
              <w:suppressAutoHyphens/>
              <w:jc w:val="center"/>
              <w:rPr>
                <w:rFonts w:ascii="Arial" w:eastAsia="Calibri" w:hAnsi="Arial"/>
                <w:sz w:val="16"/>
                <w:szCs w:val="23"/>
              </w:rPr>
            </w:pPr>
            <w:r w:rsidRPr="00140B4C">
              <w:rPr>
                <w:rFonts w:ascii="Arial" w:eastAsia="Calibri" w:hAnsi="Arial"/>
                <w:noProof/>
                <w:sz w:val="16"/>
                <w:szCs w:val="23"/>
              </w:rPr>
              <w:t>31.5</w:t>
            </w:r>
            <w:r w:rsidRPr="00140B4C">
              <w:rPr>
                <w:rFonts w:ascii="Arial" w:eastAsia="Calibri" w:hAnsi="Arial"/>
                <w:sz w:val="16"/>
                <w:szCs w:val="23"/>
              </w:rPr>
              <w:t>%</w:t>
            </w:r>
          </w:p>
        </w:tc>
        <w:tc>
          <w:tcPr>
            <w:tcW w:w="1079" w:type="dxa"/>
            <w:tcBorders>
              <w:top w:val="nil"/>
              <w:left w:val="dotted" w:sz="4" w:space="0" w:color="009900"/>
              <w:bottom w:val="nil"/>
              <w:right w:val="single" w:sz="4" w:space="0" w:color="009900"/>
            </w:tcBorders>
            <w:shd w:val="clear" w:color="000000" w:fill="FFFFE1"/>
            <w:noWrap/>
            <w:vAlign w:val="center"/>
            <w:hideMark/>
          </w:tcPr>
          <w:p w:rsidR="00A73F51" w:rsidRPr="00140B4C" w:rsidRDefault="00A73F51" w:rsidP="001857F9">
            <w:pPr>
              <w:suppressAutoHyphens/>
              <w:jc w:val="center"/>
              <w:rPr>
                <w:rFonts w:ascii="Arial" w:eastAsia="Calibri" w:hAnsi="Arial"/>
                <w:sz w:val="16"/>
                <w:szCs w:val="23"/>
              </w:rPr>
            </w:pPr>
            <w:r w:rsidRPr="00140B4C">
              <w:rPr>
                <w:rFonts w:ascii="Arial" w:eastAsia="Calibri" w:hAnsi="Arial"/>
                <w:noProof/>
                <w:sz w:val="16"/>
                <w:szCs w:val="23"/>
              </w:rPr>
              <w:t>22.5</w:t>
            </w:r>
            <w:r w:rsidRPr="00140B4C">
              <w:rPr>
                <w:rFonts w:ascii="Arial" w:eastAsia="Calibri" w:hAnsi="Arial"/>
                <w:sz w:val="16"/>
                <w:szCs w:val="23"/>
              </w:rPr>
              <w:t>%</w:t>
            </w:r>
          </w:p>
        </w:tc>
      </w:tr>
      <w:tr w:rsidR="00A73F51" w:rsidRPr="00140B4C" w:rsidTr="001857F9">
        <w:trPr>
          <w:trHeight w:val="216"/>
          <w:jc w:val="center"/>
        </w:trPr>
        <w:tc>
          <w:tcPr>
            <w:tcW w:w="2022" w:type="dxa"/>
            <w:tcBorders>
              <w:top w:val="nil"/>
              <w:left w:val="single" w:sz="4" w:space="0" w:color="009900"/>
              <w:bottom w:val="nil"/>
              <w:right w:val="nil"/>
            </w:tcBorders>
            <w:shd w:val="clear" w:color="000000" w:fill="FFFFE1"/>
            <w:noWrap/>
            <w:vAlign w:val="center"/>
            <w:hideMark/>
          </w:tcPr>
          <w:p w:rsidR="00A73F51" w:rsidRPr="00140B4C" w:rsidRDefault="00A73F51" w:rsidP="001857F9">
            <w:pPr>
              <w:suppressAutoHyphens/>
              <w:rPr>
                <w:rFonts w:ascii="Arial" w:eastAsia="Calibri" w:hAnsi="Arial"/>
                <w:sz w:val="16"/>
                <w:szCs w:val="23"/>
              </w:rPr>
            </w:pPr>
            <w:r w:rsidRPr="00140B4C">
              <w:rPr>
                <w:rFonts w:ascii="Arial" w:eastAsia="Calibri" w:hAnsi="Arial"/>
                <w:sz w:val="16"/>
                <w:szCs w:val="23"/>
              </w:rPr>
              <w:t>Vacant Housing Units</w:t>
            </w:r>
          </w:p>
        </w:tc>
        <w:tc>
          <w:tcPr>
            <w:tcW w:w="1507" w:type="dxa"/>
            <w:tcBorders>
              <w:top w:val="nil"/>
              <w:left w:val="nil"/>
              <w:bottom w:val="double" w:sz="6" w:space="0" w:color="009900"/>
              <w:right w:val="nil"/>
            </w:tcBorders>
            <w:shd w:val="clear" w:color="000000" w:fill="FFFFE1"/>
            <w:noWrap/>
            <w:vAlign w:val="center"/>
            <w:hideMark/>
          </w:tcPr>
          <w:p w:rsidR="00A73F51" w:rsidRPr="00140B4C" w:rsidRDefault="00A73F51" w:rsidP="001857F9">
            <w:pPr>
              <w:suppressAutoHyphens/>
              <w:jc w:val="center"/>
              <w:rPr>
                <w:rFonts w:ascii="Arial" w:eastAsia="Calibri" w:hAnsi="Arial"/>
                <w:sz w:val="16"/>
                <w:szCs w:val="23"/>
              </w:rPr>
            </w:pPr>
            <w:r w:rsidRPr="00140B4C">
              <w:rPr>
                <w:rFonts w:ascii="Arial" w:eastAsia="Calibri" w:hAnsi="Arial"/>
                <w:noProof/>
                <w:sz w:val="16"/>
                <w:szCs w:val="23"/>
              </w:rPr>
              <w:t>102,608</w:t>
            </w:r>
          </w:p>
        </w:tc>
        <w:tc>
          <w:tcPr>
            <w:tcW w:w="1070" w:type="dxa"/>
            <w:tcBorders>
              <w:top w:val="nil"/>
              <w:left w:val="nil"/>
              <w:bottom w:val="nil"/>
              <w:right w:val="nil"/>
            </w:tcBorders>
            <w:shd w:val="clear" w:color="000000" w:fill="FFFFE1"/>
            <w:noWrap/>
            <w:vAlign w:val="center"/>
            <w:hideMark/>
          </w:tcPr>
          <w:p w:rsidR="00A73F51" w:rsidRPr="00140B4C" w:rsidRDefault="00A73F51" w:rsidP="001857F9">
            <w:pPr>
              <w:suppressAutoHyphens/>
              <w:jc w:val="center"/>
              <w:rPr>
                <w:rFonts w:ascii="Arial" w:eastAsia="Calibri" w:hAnsi="Arial"/>
                <w:sz w:val="16"/>
                <w:szCs w:val="23"/>
              </w:rPr>
            </w:pPr>
            <w:r w:rsidRPr="00140B4C">
              <w:rPr>
                <w:rFonts w:ascii="Arial" w:eastAsia="Calibri" w:hAnsi="Arial"/>
                <w:noProof/>
                <w:sz w:val="16"/>
                <w:szCs w:val="23"/>
              </w:rPr>
              <w:t>13.1</w:t>
            </w:r>
            <w:r w:rsidRPr="00140B4C">
              <w:rPr>
                <w:rFonts w:ascii="Arial" w:eastAsia="Calibri" w:hAnsi="Arial"/>
                <w:sz w:val="16"/>
                <w:szCs w:val="23"/>
              </w:rPr>
              <w:t>%</w:t>
            </w:r>
          </w:p>
        </w:tc>
        <w:tc>
          <w:tcPr>
            <w:tcW w:w="1234" w:type="dxa"/>
            <w:tcBorders>
              <w:top w:val="nil"/>
              <w:left w:val="nil"/>
              <w:bottom w:val="double" w:sz="6" w:space="0" w:color="009900"/>
              <w:right w:val="nil"/>
            </w:tcBorders>
            <w:shd w:val="clear" w:color="000000" w:fill="FFFFE1"/>
            <w:noWrap/>
            <w:vAlign w:val="center"/>
            <w:hideMark/>
          </w:tcPr>
          <w:p w:rsidR="00A73F51" w:rsidRPr="00140B4C" w:rsidRDefault="00A73F51" w:rsidP="001857F9">
            <w:pPr>
              <w:suppressAutoHyphens/>
              <w:jc w:val="center"/>
              <w:rPr>
                <w:rFonts w:ascii="Arial" w:eastAsia="Calibri" w:hAnsi="Arial"/>
                <w:sz w:val="16"/>
                <w:szCs w:val="23"/>
              </w:rPr>
            </w:pPr>
            <w:r w:rsidRPr="00140B4C">
              <w:rPr>
                <w:rFonts w:ascii="Arial" w:eastAsia="Calibri" w:hAnsi="Arial"/>
                <w:noProof/>
                <w:sz w:val="16"/>
                <w:szCs w:val="23"/>
              </w:rPr>
              <w:t>109,993</w:t>
            </w:r>
          </w:p>
        </w:tc>
        <w:tc>
          <w:tcPr>
            <w:tcW w:w="1070" w:type="dxa"/>
            <w:tcBorders>
              <w:top w:val="nil"/>
              <w:left w:val="nil"/>
              <w:bottom w:val="nil"/>
              <w:right w:val="nil"/>
            </w:tcBorders>
            <w:shd w:val="clear" w:color="000000" w:fill="FFFFE1"/>
            <w:noWrap/>
            <w:vAlign w:val="center"/>
            <w:hideMark/>
          </w:tcPr>
          <w:p w:rsidR="00A73F51" w:rsidRPr="00140B4C" w:rsidRDefault="00A73F51" w:rsidP="001857F9">
            <w:pPr>
              <w:suppressAutoHyphens/>
              <w:jc w:val="center"/>
              <w:rPr>
                <w:rFonts w:ascii="Arial" w:eastAsia="Calibri" w:hAnsi="Arial"/>
                <w:sz w:val="16"/>
                <w:szCs w:val="23"/>
              </w:rPr>
            </w:pPr>
            <w:r w:rsidRPr="00140B4C">
              <w:rPr>
                <w:rFonts w:ascii="Arial" w:eastAsia="Calibri" w:hAnsi="Arial"/>
                <w:noProof/>
                <w:sz w:val="16"/>
                <w:szCs w:val="23"/>
              </w:rPr>
              <w:t>12.2</w:t>
            </w:r>
            <w:r w:rsidRPr="00140B4C">
              <w:rPr>
                <w:rFonts w:ascii="Arial" w:eastAsia="Calibri" w:hAnsi="Arial"/>
                <w:sz w:val="16"/>
                <w:szCs w:val="23"/>
              </w:rPr>
              <w:t>%</w:t>
            </w:r>
          </w:p>
        </w:tc>
        <w:tc>
          <w:tcPr>
            <w:tcW w:w="1079" w:type="dxa"/>
            <w:tcBorders>
              <w:top w:val="nil"/>
              <w:left w:val="dotted" w:sz="4" w:space="0" w:color="009900"/>
              <w:bottom w:val="double" w:sz="6" w:space="0" w:color="009900"/>
              <w:right w:val="single" w:sz="4" w:space="0" w:color="009900"/>
            </w:tcBorders>
            <w:shd w:val="clear" w:color="000000" w:fill="FFFFE1"/>
            <w:noWrap/>
            <w:vAlign w:val="center"/>
            <w:hideMark/>
          </w:tcPr>
          <w:p w:rsidR="00A73F51" w:rsidRPr="00140B4C" w:rsidRDefault="00A73F51" w:rsidP="001857F9">
            <w:pPr>
              <w:suppressAutoHyphens/>
              <w:jc w:val="center"/>
              <w:rPr>
                <w:rFonts w:ascii="Arial" w:eastAsia="Calibri" w:hAnsi="Arial"/>
                <w:sz w:val="16"/>
                <w:szCs w:val="23"/>
              </w:rPr>
            </w:pPr>
            <w:r w:rsidRPr="00140B4C">
              <w:rPr>
                <w:rFonts w:ascii="Arial" w:eastAsia="Calibri" w:hAnsi="Arial"/>
                <w:noProof/>
                <w:sz w:val="16"/>
                <w:szCs w:val="23"/>
              </w:rPr>
              <w:t>7.2</w:t>
            </w:r>
            <w:r w:rsidRPr="00140B4C">
              <w:rPr>
                <w:rFonts w:ascii="Arial" w:eastAsia="Calibri" w:hAnsi="Arial"/>
                <w:sz w:val="16"/>
                <w:szCs w:val="23"/>
              </w:rPr>
              <w:t>%</w:t>
            </w:r>
          </w:p>
        </w:tc>
      </w:tr>
      <w:tr w:rsidR="00A73F51" w:rsidRPr="00140B4C" w:rsidTr="001857F9">
        <w:trPr>
          <w:trHeight w:val="216"/>
          <w:jc w:val="center"/>
        </w:trPr>
        <w:tc>
          <w:tcPr>
            <w:tcW w:w="2022" w:type="dxa"/>
            <w:tcBorders>
              <w:top w:val="double" w:sz="6" w:space="0" w:color="009900"/>
              <w:left w:val="single" w:sz="4" w:space="0" w:color="009900"/>
              <w:bottom w:val="single" w:sz="4" w:space="0" w:color="009900"/>
              <w:right w:val="nil"/>
            </w:tcBorders>
            <w:shd w:val="clear" w:color="000000" w:fill="FFFFE1"/>
            <w:noWrap/>
            <w:vAlign w:val="center"/>
            <w:hideMark/>
          </w:tcPr>
          <w:p w:rsidR="00A73F51" w:rsidRPr="00140B4C" w:rsidRDefault="00A73F51" w:rsidP="001857F9">
            <w:pPr>
              <w:suppressAutoHyphens/>
              <w:rPr>
                <w:rFonts w:ascii="Arial" w:eastAsia="Calibri" w:hAnsi="Arial"/>
                <w:b/>
                <w:sz w:val="16"/>
                <w:szCs w:val="23"/>
              </w:rPr>
            </w:pPr>
            <w:r w:rsidRPr="00140B4C">
              <w:rPr>
                <w:rFonts w:ascii="Arial" w:eastAsia="Calibri" w:hAnsi="Arial"/>
                <w:b/>
                <w:sz w:val="16"/>
                <w:szCs w:val="23"/>
              </w:rPr>
              <w:t>Total Housing Units</w:t>
            </w:r>
          </w:p>
        </w:tc>
        <w:tc>
          <w:tcPr>
            <w:tcW w:w="1507" w:type="dxa"/>
            <w:tcBorders>
              <w:top w:val="nil"/>
              <w:left w:val="nil"/>
              <w:bottom w:val="single" w:sz="4" w:space="0" w:color="009900"/>
              <w:right w:val="nil"/>
            </w:tcBorders>
            <w:shd w:val="clear" w:color="000000" w:fill="FFFFE1"/>
            <w:noWrap/>
            <w:vAlign w:val="center"/>
            <w:hideMark/>
          </w:tcPr>
          <w:p w:rsidR="00A73F51" w:rsidRPr="00140B4C" w:rsidRDefault="00A73F51" w:rsidP="001857F9">
            <w:pPr>
              <w:suppressAutoHyphens/>
              <w:jc w:val="center"/>
              <w:rPr>
                <w:rFonts w:ascii="Arial" w:eastAsia="Calibri" w:hAnsi="Arial"/>
                <w:b/>
                <w:bCs/>
                <w:sz w:val="16"/>
                <w:szCs w:val="23"/>
              </w:rPr>
            </w:pPr>
            <w:r w:rsidRPr="00140B4C">
              <w:rPr>
                <w:rFonts w:ascii="Arial" w:eastAsia="Calibri" w:hAnsi="Arial"/>
                <w:b/>
                <w:noProof/>
                <w:sz w:val="16"/>
                <w:szCs w:val="23"/>
              </w:rPr>
              <w:t>780,579</w:t>
            </w:r>
          </w:p>
        </w:tc>
        <w:tc>
          <w:tcPr>
            <w:tcW w:w="1070" w:type="dxa"/>
            <w:tcBorders>
              <w:top w:val="double" w:sz="6" w:space="0" w:color="009900"/>
              <w:left w:val="nil"/>
              <w:bottom w:val="single" w:sz="4" w:space="0" w:color="009900"/>
              <w:right w:val="nil"/>
            </w:tcBorders>
            <w:shd w:val="clear" w:color="000000" w:fill="FFFFE1"/>
            <w:noWrap/>
            <w:vAlign w:val="center"/>
            <w:hideMark/>
          </w:tcPr>
          <w:p w:rsidR="00A73F51" w:rsidRPr="00140B4C" w:rsidRDefault="00A73F51" w:rsidP="001857F9">
            <w:pPr>
              <w:suppressAutoHyphens/>
              <w:jc w:val="center"/>
              <w:rPr>
                <w:rFonts w:ascii="Arial" w:eastAsia="Calibri" w:hAnsi="Arial"/>
                <w:b/>
                <w:sz w:val="16"/>
                <w:szCs w:val="23"/>
              </w:rPr>
            </w:pPr>
            <w:r w:rsidRPr="00140B4C">
              <w:rPr>
                <w:rFonts w:ascii="Arial" w:eastAsia="Calibri" w:hAnsi="Arial"/>
                <w:b/>
                <w:sz w:val="16"/>
                <w:szCs w:val="23"/>
              </w:rPr>
              <w:t>100.0%</w:t>
            </w:r>
          </w:p>
        </w:tc>
        <w:tc>
          <w:tcPr>
            <w:tcW w:w="1234" w:type="dxa"/>
            <w:tcBorders>
              <w:top w:val="nil"/>
              <w:left w:val="nil"/>
              <w:bottom w:val="single" w:sz="4" w:space="0" w:color="009900"/>
              <w:right w:val="nil"/>
            </w:tcBorders>
            <w:shd w:val="clear" w:color="000000" w:fill="FFFFE1"/>
            <w:noWrap/>
            <w:vAlign w:val="center"/>
            <w:hideMark/>
          </w:tcPr>
          <w:p w:rsidR="00A73F51" w:rsidRPr="00140B4C" w:rsidRDefault="00A73F51" w:rsidP="001857F9">
            <w:pPr>
              <w:suppressAutoHyphens/>
              <w:jc w:val="center"/>
              <w:rPr>
                <w:rFonts w:ascii="Arial" w:eastAsia="Calibri" w:hAnsi="Arial"/>
                <w:b/>
                <w:bCs/>
                <w:sz w:val="16"/>
                <w:szCs w:val="23"/>
              </w:rPr>
            </w:pPr>
            <w:r w:rsidRPr="00140B4C">
              <w:rPr>
                <w:rFonts w:ascii="Arial" w:eastAsia="Calibri" w:hAnsi="Arial"/>
                <w:b/>
                <w:noProof/>
                <w:sz w:val="16"/>
                <w:szCs w:val="23"/>
              </w:rPr>
              <w:t>901,388</w:t>
            </w:r>
          </w:p>
        </w:tc>
        <w:tc>
          <w:tcPr>
            <w:tcW w:w="1070" w:type="dxa"/>
            <w:tcBorders>
              <w:top w:val="double" w:sz="6" w:space="0" w:color="009900"/>
              <w:left w:val="nil"/>
              <w:bottom w:val="single" w:sz="4" w:space="0" w:color="009900"/>
              <w:right w:val="nil"/>
            </w:tcBorders>
            <w:shd w:val="clear" w:color="000000" w:fill="FFFFE1"/>
            <w:noWrap/>
            <w:vAlign w:val="center"/>
            <w:hideMark/>
          </w:tcPr>
          <w:p w:rsidR="00A73F51" w:rsidRPr="00140B4C" w:rsidRDefault="00A73F51" w:rsidP="001857F9">
            <w:pPr>
              <w:suppressAutoHyphens/>
              <w:jc w:val="center"/>
              <w:rPr>
                <w:rFonts w:ascii="Arial" w:eastAsia="Calibri" w:hAnsi="Arial"/>
                <w:b/>
                <w:sz w:val="16"/>
                <w:szCs w:val="23"/>
              </w:rPr>
            </w:pPr>
            <w:r w:rsidRPr="00140B4C">
              <w:rPr>
                <w:rFonts w:ascii="Arial" w:eastAsia="Calibri" w:hAnsi="Arial"/>
                <w:b/>
                <w:sz w:val="16"/>
                <w:szCs w:val="23"/>
              </w:rPr>
              <w:t>100.0%</w:t>
            </w:r>
          </w:p>
        </w:tc>
        <w:tc>
          <w:tcPr>
            <w:tcW w:w="1079" w:type="dxa"/>
            <w:tcBorders>
              <w:top w:val="nil"/>
              <w:left w:val="dotted" w:sz="4" w:space="0" w:color="009900"/>
              <w:bottom w:val="single" w:sz="4" w:space="0" w:color="009900"/>
              <w:right w:val="single" w:sz="4" w:space="0" w:color="009900"/>
            </w:tcBorders>
            <w:shd w:val="clear" w:color="000000" w:fill="FFFFE1"/>
            <w:noWrap/>
            <w:vAlign w:val="center"/>
            <w:hideMark/>
          </w:tcPr>
          <w:p w:rsidR="00A73F51" w:rsidRPr="00140B4C" w:rsidRDefault="00A73F51" w:rsidP="001857F9">
            <w:pPr>
              <w:suppressAutoHyphens/>
              <w:jc w:val="center"/>
              <w:rPr>
                <w:rFonts w:ascii="Arial" w:eastAsia="Calibri" w:hAnsi="Arial"/>
                <w:b/>
                <w:bCs/>
                <w:sz w:val="16"/>
                <w:szCs w:val="23"/>
              </w:rPr>
            </w:pPr>
            <w:r w:rsidRPr="00140B4C">
              <w:rPr>
                <w:rFonts w:ascii="Arial" w:eastAsia="Calibri" w:hAnsi="Arial"/>
                <w:b/>
                <w:noProof/>
                <w:sz w:val="16"/>
                <w:szCs w:val="23"/>
              </w:rPr>
              <w:t>15.48</w:t>
            </w:r>
            <w:r w:rsidRPr="00140B4C">
              <w:rPr>
                <w:rFonts w:ascii="Arial" w:eastAsia="Calibri" w:hAnsi="Arial"/>
                <w:b/>
                <w:sz w:val="16"/>
                <w:szCs w:val="23"/>
              </w:rPr>
              <w:t>%</w:t>
            </w:r>
          </w:p>
        </w:tc>
      </w:tr>
    </w:tbl>
    <w:p w:rsidR="00A73F51" w:rsidRDefault="00A73F51" w:rsidP="002D5521">
      <w:pPr>
        <w:pStyle w:val="BodyText"/>
        <w:tabs>
          <w:tab w:val="num" w:pos="360"/>
        </w:tabs>
        <w:rPr>
          <w:rFonts w:ascii="CG Omega" w:hAnsi="CG Omega"/>
          <w:szCs w:val="24"/>
        </w:rPr>
      </w:pPr>
    </w:p>
    <w:p w:rsidR="00861A29" w:rsidRDefault="00BB2854" w:rsidP="002D5521">
      <w:pPr>
        <w:pStyle w:val="BodyText"/>
        <w:tabs>
          <w:tab w:val="num" w:pos="360"/>
        </w:tabs>
        <w:rPr>
          <w:rFonts w:ascii="CG Omega" w:hAnsi="CG Omega"/>
          <w:szCs w:val="24"/>
          <w:highlight w:val="yellow"/>
        </w:rPr>
      </w:pPr>
      <w:r>
        <w:rPr>
          <w:rFonts w:ascii="CG Omega" w:hAnsi="CG Omega"/>
          <w:szCs w:val="24"/>
        </w:rPr>
        <w:t>Single family</w:t>
      </w:r>
      <w:r w:rsidR="00406E24">
        <w:rPr>
          <w:rFonts w:ascii="CG Omega" w:hAnsi="CG Omega"/>
          <w:szCs w:val="24"/>
        </w:rPr>
        <w:t xml:space="preserve"> homes, mobile homes, and apartments together accounted for about 94 percent of New Mexico’s housing stock in 2000 and 2012</w:t>
      </w:r>
      <w:r w:rsidR="00EA4494">
        <w:rPr>
          <w:rFonts w:ascii="CG Omega" w:hAnsi="CG Omega"/>
          <w:szCs w:val="24"/>
        </w:rPr>
        <w:t xml:space="preserve">, as shown in </w:t>
      </w:r>
      <w:r w:rsidR="00EA4494" w:rsidRPr="0051335C">
        <w:rPr>
          <w:rFonts w:ascii="CG Omega" w:hAnsi="CG Omega"/>
          <w:b/>
          <w:szCs w:val="24"/>
        </w:rPr>
        <w:t>Table IV.3</w:t>
      </w:r>
      <w:r w:rsidR="00EA4494">
        <w:rPr>
          <w:rFonts w:ascii="CG Omega" w:hAnsi="CG Omega"/>
          <w:szCs w:val="24"/>
        </w:rPr>
        <w:t xml:space="preserve"> below</w:t>
      </w:r>
      <w:r w:rsidR="00406E24">
        <w:rPr>
          <w:rFonts w:ascii="CG Omega" w:hAnsi="CG Omega"/>
          <w:szCs w:val="24"/>
        </w:rPr>
        <w:t>. However, though this overall proportion did not change considerably between the two years, there were some minor changes in the composition of New Mexico hous</w:t>
      </w:r>
      <w:r w:rsidR="0051335C">
        <w:rPr>
          <w:rFonts w:ascii="CG Omega" w:hAnsi="CG Omega"/>
          <w:szCs w:val="24"/>
        </w:rPr>
        <w:t>ing stock.</w:t>
      </w:r>
      <w:r w:rsidR="00406E24">
        <w:rPr>
          <w:rFonts w:ascii="CG Omega" w:hAnsi="CG Omega"/>
          <w:szCs w:val="24"/>
        </w:rPr>
        <w:t xml:space="preserve"> </w:t>
      </w:r>
      <w:r w:rsidR="0051335C">
        <w:rPr>
          <w:rFonts w:ascii="CG Omega" w:hAnsi="CG Omega"/>
          <w:szCs w:val="24"/>
        </w:rPr>
        <w:t>T</w:t>
      </w:r>
      <w:r w:rsidR="00406E24">
        <w:rPr>
          <w:rFonts w:ascii="CG Omega" w:hAnsi="CG Omega"/>
          <w:szCs w:val="24"/>
        </w:rPr>
        <w:t xml:space="preserve">he share of housing units accounted for by mobile homes fell by over two percentage points and the share of </w:t>
      </w:r>
      <w:r>
        <w:rPr>
          <w:rFonts w:ascii="CG Omega" w:hAnsi="CG Omega"/>
          <w:szCs w:val="24"/>
        </w:rPr>
        <w:t>single family</w:t>
      </w:r>
      <w:r w:rsidR="00406E24">
        <w:rPr>
          <w:rFonts w:ascii="CG Omega" w:hAnsi="CG Omega"/>
          <w:szCs w:val="24"/>
        </w:rPr>
        <w:t xml:space="preserve"> homes grew by nearly three percentage points. By 2012, 68.3 percent of all housing units in the state were </w:t>
      </w:r>
      <w:r>
        <w:rPr>
          <w:rFonts w:ascii="CG Omega" w:hAnsi="CG Omega"/>
          <w:szCs w:val="24"/>
        </w:rPr>
        <w:t>single family</w:t>
      </w:r>
      <w:r w:rsidR="00406E24">
        <w:rPr>
          <w:rFonts w:ascii="CG Omega" w:hAnsi="CG Omega"/>
          <w:szCs w:val="24"/>
        </w:rPr>
        <w:t xml:space="preserve"> homes, 16.6 percent were mobile homes, and 9.3 were apartment units.</w:t>
      </w:r>
      <w:r w:rsidR="009A1E88">
        <w:rPr>
          <w:rFonts w:ascii="CG Omega" w:hAnsi="CG Omega"/>
          <w:szCs w:val="24"/>
        </w:rPr>
        <w:t xml:space="preserve"> </w:t>
      </w:r>
    </w:p>
    <w:p w:rsidR="00140B4C" w:rsidRPr="0051335C" w:rsidRDefault="00140B4C" w:rsidP="002D5521">
      <w:pPr>
        <w:pStyle w:val="BodyText"/>
        <w:tabs>
          <w:tab w:val="num" w:pos="360"/>
        </w:tabs>
        <w:rPr>
          <w:rFonts w:ascii="CG Omega" w:hAnsi="CG Omega"/>
          <w:sz w:val="20"/>
          <w:highlight w:val="yellow"/>
        </w:rPr>
      </w:pPr>
    </w:p>
    <w:tbl>
      <w:tblPr>
        <w:tblW w:w="6918" w:type="dxa"/>
        <w:jc w:val="center"/>
        <w:tblLook w:val="04A0" w:firstRow="1" w:lastRow="0" w:firstColumn="1" w:lastColumn="0" w:noHBand="0" w:noVBand="1"/>
      </w:tblPr>
      <w:tblGrid>
        <w:gridCol w:w="2005"/>
        <w:gridCol w:w="884"/>
        <w:gridCol w:w="1070"/>
        <w:gridCol w:w="1426"/>
        <w:gridCol w:w="1533"/>
      </w:tblGrid>
      <w:tr w:rsidR="00140B4C" w:rsidRPr="00140B4C" w:rsidTr="0051335C">
        <w:trPr>
          <w:trHeight w:val="216"/>
          <w:jc w:val="center"/>
        </w:trPr>
        <w:tc>
          <w:tcPr>
            <w:tcW w:w="6918" w:type="dxa"/>
            <w:gridSpan w:val="5"/>
            <w:tcBorders>
              <w:bottom w:val="single" w:sz="4" w:space="0" w:color="009900"/>
            </w:tcBorders>
            <w:shd w:val="clear" w:color="000000" w:fill="auto"/>
            <w:noWrap/>
            <w:vAlign w:val="center"/>
            <w:hideMark/>
          </w:tcPr>
          <w:p w:rsidR="00140B4C" w:rsidRPr="00140B4C" w:rsidRDefault="00140B4C" w:rsidP="00140B4C">
            <w:pPr>
              <w:keepNext/>
              <w:jc w:val="center"/>
              <w:rPr>
                <w:rFonts w:ascii="Arial" w:eastAsia="Calibri" w:hAnsi="Arial"/>
                <w:b/>
                <w:bCs/>
                <w:color w:val="000000"/>
                <w:sz w:val="22"/>
                <w:szCs w:val="18"/>
              </w:rPr>
            </w:pPr>
            <w:r w:rsidRPr="00140B4C">
              <w:rPr>
                <w:rFonts w:ascii="Arial" w:eastAsia="Calibri" w:hAnsi="Arial"/>
                <w:b/>
                <w:bCs/>
                <w:color w:val="000000"/>
                <w:sz w:val="22"/>
                <w:szCs w:val="18"/>
              </w:rPr>
              <w:br w:type="page"/>
              <w:t xml:space="preserve">Table </w:t>
            </w:r>
            <w:r w:rsidR="00B72905">
              <w:rPr>
                <w:rFonts w:ascii="Arial" w:eastAsia="Calibri" w:hAnsi="Arial"/>
                <w:b/>
                <w:bCs/>
                <w:color w:val="000000"/>
                <w:sz w:val="22"/>
                <w:szCs w:val="18"/>
              </w:rPr>
              <w:t>I</w:t>
            </w:r>
            <w:r w:rsidR="00321774">
              <w:rPr>
                <w:rFonts w:ascii="Arial" w:eastAsia="Calibri" w:hAnsi="Arial"/>
                <w:b/>
                <w:bCs/>
                <w:color w:val="000000"/>
                <w:sz w:val="22"/>
                <w:szCs w:val="18"/>
              </w:rPr>
              <w:t>V.3</w:t>
            </w:r>
          </w:p>
          <w:p w:rsidR="00140B4C" w:rsidRPr="00140B4C" w:rsidRDefault="00140B4C" w:rsidP="00140B4C">
            <w:pPr>
              <w:keepNext/>
              <w:keepLines/>
              <w:suppressAutoHyphens/>
              <w:jc w:val="center"/>
              <w:rPr>
                <w:rFonts w:ascii="Arial" w:eastAsia="Calibri" w:hAnsi="Arial"/>
                <w:b/>
                <w:sz w:val="20"/>
                <w:szCs w:val="23"/>
              </w:rPr>
            </w:pPr>
            <w:r w:rsidRPr="00140B4C">
              <w:rPr>
                <w:rFonts w:ascii="Arial" w:eastAsia="Calibri" w:hAnsi="Arial"/>
                <w:b/>
                <w:sz w:val="20"/>
                <w:szCs w:val="23"/>
              </w:rPr>
              <w:t>Housing Units by Type</w:t>
            </w:r>
          </w:p>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State of New Mexico</w:t>
            </w:r>
          </w:p>
          <w:p w:rsidR="00140B4C" w:rsidRPr="00140B4C" w:rsidRDefault="00140B4C" w:rsidP="00140B4C">
            <w:pPr>
              <w:suppressAutoHyphens/>
              <w:jc w:val="center"/>
              <w:rPr>
                <w:rFonts w:ascii="Arial" w:eastAsia="Calibri" w:hAnsi="Arial"/>
                <w:b/>
                <w:bCs/>
                <w:sz w:val="16"/>
                <w:szCs w:val="23"/>
              </w:rPr>
            </w:pPr>
            <w:r w:rsidRPr="00140B4C">
              <w:rPr>
                <w:rFonts w:ascii="Arial" w:eastAsia="Calibri" w:hAnsi="Arial"/>
                <w:sz w:val="16"/>
                <w:szCs w:val="23"/>
              </w:rPr>
              <w:t>2000 Census SF3 &amp; 2012 Five-Year ACS Data</w:t>
            </w:r>
          </w:p>
        </w:tc>
      </w:tr>
      <w:tr w:rsidR="00140B4C" w:rsidRPr="00140B4C" w:rsidTr="0051335C">
        <w:trPr>
          <w:trHeight w:val="216"/>
          <w:jc w:val="center"/>
        </w:trPr>
        <w:tc>
          <w:tcPr>
            <w:tcW w:w="2005" w:type="dxa"/>
            <w:vMerge w:val="restart"/>
            <w:tcBorders>
              <w:top w:val="single" w:sz="4" w:space="0" w:color="009900"/>
              <w:left w:val="single" w:sz="4" w:space="0" w:color="009900"/>
              <w:bottom w:val="single" w:sz="4" w:space="0" w:color="009900"/>
              <w:right w:val="nil"/>
            </w:tcBorders>
            <w:shd w:val="clear" w:color="000000" w:fill="FFFFE1"/>
            <w:noWrap/>
            <w:vAlign w:val="center"/>
            <w:hideMark/>
          </w:tcPr>
          <w:p w:rsidR="00140B4C" w:rsidRPr="00140B4C" w:rsidRDefault="00140B4C" w:rsidP="00140B4C">
            <w:pPr>
              <w:suppressAutoHyphens/>
              <w:rPr>
                <w:rFonts w:ascii="Arial" w:eastAsia="Calibri" w:hAnsi="Arial"/>
                <w:b/>
                <w:sz w:val="16"/>
                <w:szCs w:val="23"/>
              </w:rPr>
            </w:pPr>
            <w:r w:rsidRPr="00140B4C">
              <w:rPr>
                <w:rFonts w:ascii="Arial" w:eastAsia="Calibri" w:hAnsi="Arial"/>
                <w:b/>
                <w:sz w:val="16"/>
                <w:szCs w:val="23"/>
              </w:rPr>
              <w:t>Unit Type</w:t>
            </w:r>
          </w:p>
        </w:tc>
        <w:tc>
          <w:tcPr>
            <w:tcW w:w="1954" w:type="dxa"/>
            <w:gridSpan w:val="2"/>
            <w:tcBorders>
              <w:top w:val="single" w:sz="4" w:space="0" w:color="009900"/>
              <w:left w:val="nil"/>
              <w:bottom w:val="dotted" w:sz="4" w:space="0" w:color="009900"/>
              <w:right w:val="nil"/>
            </w:tcBorders>
            <w:shd w:val="clear" w:color="000000" w:fill="FFFFE1"/>
            <w:noWrap/>
            <w:vAlign w:val="center"/>
            <w:hideMark/>
          </w:tcPr>
          <w:p w:rsidR="00140B4C" w:rsidRPr="00140B4C" w:rsidRDefault="00140B4C" w:rsidP="00140B4C">
            <w:pPr>
              <w:suppressAutoHyphens/>
              <w:jc w:val="center"/>
              <w:rPr>
                <w:rFonts w:ascii="Arial" w:eastAsia="Calibri" w:hAnsi="Arial"/>
                <w:b/>
                <w:sz w:val="16"/>
                <w:szCs w:val="23"/>
              </w:rPr>
            </w:pPr>
            <w:r w:rsidRPr="00140B4C">
              <w:rPr>
                <w:rFonts w:ascii="Arial" w:eastAsia="Calibri" w:hAnsi="Arial"/>
                <w:b/>
                <w:sz w:val="16"/>
                <w:szCs w:val="23"/>
              </w:rPr>
              <w:t>2000 Census</w:t>
            </w:r>
          </w:p>
        </w:tc>
        <w:tc>
          <w:tcPr>
            <w:tcW w:w="2959" w:type="dxa"/>
            <w:gridSpan w:val="2"/>
            <w:tcBorders>
              <w:top w:val="single" w:sz="4" w:space="0" w:color="009900"/>
              <w:left w:val="nil"/>
              <w:bottom w:val="dotted" w:sz="4" w:space="0" w:color="009900"/>
              <w:right w:val="single" w:sz="4" w:space="0" w:color="009900"/>
            </w:tcBorders>
            <w:shd w:val="clear" w:color="000000" w:fill="FFFFE1"/>
            <w:noWrap/>
            <w:vAlign w:val="center"/>
            <w:hideMark/>
          </w:tcPr>
          <w:p w:rsidR="00140B4C" w:rsidRPr="00140B4C" w:rsidRDefault="00140B4C" w:rsidP="00140B4C">
            <w:pPr>
              <w:suppressAutoHyphens/>
              <w:jc w:val="center"/>
              <w:rPr>
                <w:rFonts w:ascii="Arial" w:eastAsia="Calibri" w:hAnsi="Arial"/>
                <w:b/>
                <w:sz w:val="16"/>
                <w:szCs w:val="23"/>
              </w:rPr>
            </w:pPr>
            <w:r w:rsidRPr="00140B4C">
              <w:rPr>
                <w:rFonts w:ascii="Arial" w:eastAsia="Calibri" w:hAnsi="Arial"/>
                <w:b/>
                <w:sz w:val="16"/>
                <w:szCs w:val="23"/>
              </w:rPr>
              <w:t>2012 Five-Year ACS</w:t>
            </w:r>
          </w:p>
        </w:tc>
      </w:tr>
      <w:tr w:rsidR="00140B4C" w:rsidRPr="00140B4C" w:rsidTr="0051335C">
        <w:trPr>
          <w:trHeight w:val="216"/>
          <w:jc w:val="center"/>
        </w:trPr>
        <w:tc>
          <w:tcPr>
            <w:tcW w:w="2005" w:type="dxa"/>
            <w:vMerge/>
            <w:tcBorders>
              <w:top w:val="single" w:sz="4" w:space="0" w:color="009900"/>
              <w:left w:val="single" w:sz="4" w:space="0" w:color="009900"/>
              <w:bottom w:val="single" w:sz="4" w:space="0" w:color="009900"/>
              <w:right w:val="nil"/>
            </w:tcBorders>
            <w:vAlign w:val="center"/>
            <w:hideMark/>
          </w:tcPr>
          <w:p w:rsidR="00140B4C" w:rsidRPr="00140B4C" w:rsidRDefault="00140B4C" w:rsidP="00140B4C">
            <w:pPr>
              <w:suppressAutoHyphens/>
              <w:rPr>
                <w:rFonts w:ascii="Arial" w:eastAsia="Calibri" w:hAnsi="Arial"/>
                <w:b/>
                <w:sz w:val="16"/>
                <w:szCs w:val="23"/>
              </w:rPr>
            </w:pPr>
          </w:p>
        </w:tc>
        <w:tc>
          <w:tcPr>
            <w:tcW w:w="884" w:type="dxa"/>
            <w:tcBorders>
              <w:top w:val="nil"/>
              <w:left w:val="nil"/>
              <w:bottom w:val="single" w:sz="4" w:space="0" w:color="009900"/>
              <w:right w:val="nil"/>
            </w:tcBorders>
            <w:shd w:val="clear" w:color="000000" w:fill="FFFFE1"/>
            <w:noWrap/>
            <w:vAlign w:val="center"/>
            <w:hideMark/>
          </w:tcPr>
          <w:p w:rsidR="00140B4C" w:rsidRPr="00140B4C" w:rsidRDefault="00140B4C" w:rsidP="00140B4C">
            <w:pPr>
              <w:suppressAutoHyphens/>
              <w:jc w:val="center"/>
              <w:rPr>
                <w:rFonts w:ascii="Arial" w:eastAsia="Calibri" w:hAnsi="Arial"/>
                <w:b/>
                <w:sz w:val="16"/>
                <w:szCs w:val="23"/>
              </w:rPr>
            </w:pPr>
            <w:r w:rsidRPr="00140B4C">
              <w:rPr>
                <w:rFonts w:ascii="Arial" w:eastAsia="Calibri" w:hAnsi="Arial"/>
                <w:b/>
                <w:sz w:val="16"/>
                <w:szCs w:val="23"/>
              </w:rPr>
              <w:t>Units</w:t>
            </w:r>
          </w:p>
        </w:tc>
        <w:tc>
          <w:tcPr>
            <w:tcW w:w="1070" w:type="dxa"/>
            <w:tcBorders>
              <w:top w:val="nil"/>
              <w:left w:val="nil"/>
              <w:bottom w:val="single" w:sz="4" w:space="0" w:color="009900"/>
              <w:right w:val="nil"/>
            </w:tcBorders>
            <w:shd w:val="clear" w:color="000000" w:fill="FFFFE1"/>
            <w:noWrap/>
            <w:vAlign w:val="center"/>
            <w:hideMark/>
          </w:tcPr>
          <w:p w:rsidR="00140B4C" w:rsidRPr="00140B4C" w:rsidRDefault="00140B4C" w:rsidP="00140B4C">
            <w:pPr>
              <w:suppressAutoHyphens/>
              <w:jc w:val="center"/>
              <w:rPr>
                <w:rFonts w:ascii="Arial" w:eastAsia="Calibri" w:hAnsi="Arial"/>
                <w:b/>
                <w:sz w:val="16"/>
                <w:szCs w:val="23"/>
              </w:rPr>
            </w:pPr>
            <w:r w:rsidRPr="00140B4C">
              <w:rPr>
                <w:rFonts w:ascii="Arial" w:eastAsia="Calibri" w:hAnsi="Arial"/>
                <w:b/>
                <w:sz w:val="16"/>
                <w:szCs w:val="23"/>
              </w:rPr>
              <w:t>% of Total</w:t>
            </w:r>
          </w:p>
        </w:tc>
        <w:tc>
          <w:tcPr>
            <w:tcW w:w="1426" w:type="dxa"/>
            <w:tcBorders>
              <w:top w:val="nil"/>
              <w:left w:val="nil"/>
              <w:bottom w:val="single" w:sz="4" w:space="0" w:color="009900"/>
              <w:right w:val="nil"/>
            </w:tcBorders>
            <w:shd w:val="clear" w:color="000000" w:fill="FFFFE1"/>
            <w:noWrap/>
            <w:vAlign w:val="center"/>
            <w:hideMark/>
          </w:tcPr>
          <w:p w:rsidR="00140B4C" w:rsidRPr="00140B4C" w:rsidRDefault="00140B4C" w:rsidP="00140B4C">
            <w:pPr>
              <w:suppressAutoHyphens/>
              <w:jc w:val="center"/>
              <w:rPr>
                <w:rFonts w:ascii="Arial" w:eastAsia="Calibri" w:hAnsi="Arial"/>
                <w:b/>
                <w:sz w:val="16"/>
                <w:szCs w:val="23"/>
              </w:rPr>
            </w:pPr>
            <w:r w:rsidRPr="00140B4C">
              <w:rPr>
                <w:rFonts w:ascii="Arial" w:eastAsia="Calibri" w:hAnsi="Arial"/>
                <w:b/>
                <w:sz w:val="16"/>
                <w:szCs w:val="23"/>
              </w:rPr>
              <w:t>Units</w:t>
            </w:r>
          </w:p>
        </w:tc>
        <w:tc>
          <w:tcPr>
            <w:tcW w:w="1533" w:type="dxa"/>
            <w:tcBorders>
              <w:top w:val="nil"/>
              <w:left w:val="nil"/>
              <w:bottom w:val="single" w:sz="4" w:space="0" w:color="009900"/>
              <w:right w:val="single" w:sz="4" w:space="0" w:color="009900"/>
            </w:tcBorders>
            <w:shd w:val="clear" w:color="000000" w:fill="FFFFE1"/>
            <w:noWrap/>
            <w:vAlign w:val="center"/>
            <w:hideMark/>
          </w:tcPr>
          <w:p w:rsidR="00140B4C" w:rsidRPr="00140B4C" w:rsidRDefault="00140B4C" w:rsidP="00140B4C">
            <w:pPr>
              <w:suppressAutoHyphens/>
              <w:jc w:val="center"/>
              <w:rPr>
                <w:rFonts w:ascii="Arial" w:eastAsia="Calibri" w:hAnsi="Arial"/>
                <w:b/>
                <w:sz w:val="16"/>
                <w:szCs w:val="23"/>
              </w:rPr>
            </w:pPr>
            <w:r w:rsidRPr="00140B4C">
              <w:rPr>
                <w:rFonts w:ascii="Arial" w:eastAsia="Calibri" w:hAnsi="Arial"/>
                <w:b/>
                <w:sz w:val="16"/>
                <w:szCs w:val="23"/>
              </w:rPr>
              <w:t>% of Total</w:t>
            </w:r>
          </w:p>
        </w:tc>
      </w:tr>
      <w:tr w:rsidR="00140B4C" w:rsidRPr="00140B4C" w:rsidTr="0051335C">
        <w:trPr>
          <w:trHeight w:val="216"/>
          <w:jc w:val="center"/>
        </w:trPr>
        <w:tc>
          <w:tcPr>
            <w:tcW w:w="2005" w:type="dxa"/>
            <w:tcBorders>
              <w:top w:val="nil"/>
              <w:left w:val="single" w:sz="4" w:space="0" w:color="009900"/>
              <w:bottom w:val="nil"/>
              <w:right w:val="nil"/>
            </w:tcBorders>
            <w:shd w:val="clear" w:color="000000" w:fill="FFFFE1"/>
            <w:noWrap/>
            <w:vAlign w:val="center"/>
            <w:hideMark/>
          </w:tcPr>
          <w:p w:rsidR="00140B4C" w:rsidRPr="00140B4C" w:rsidRDefault="00BB2854" w:rsidP="00140B4C">
            <w:pPr>
              <w:suppressAutoHyphens/>
              <w:rPr>
                <w:rFonts w:ascii="Arial" w:eastAsia="Calibri" w:hAnsi="Arial"/>
                <w:sz w:val="16"/>
                <w:szCs w:val="23"/>
              </w:rPr>
            </w:pPr>
            <w:r>
              <w:rPr>
                <w:rFonts w:ascii="Arial" w:eastAsia="Calibri" w:hAnsi="Arial"/>
                <w:sz w:val="16"/>
                <w:szCs w:val="23"/>
              </w:rPr>
              <w:t>Single family</w:t>
            </w:r>
            <w:r w:rsidR="00140B4C" w:rsidRPr="00140B4C">
              <w:rPr>
                <w:rFonts w:ascii="Arial" w:eastAsia="Calibri" w:hAnsi="Arial"/>
                <w:sz w:val="16"/>
                <w:szCs w:val="23"/>
              </w:rPr>
              <w:t xml:space="preserve"> </w:t>
            </w:r>
          </w:p>
        </w:tc>
        <w:tc>
          <w:tcPr>
            <w:tcW w:w="884" w:type="dxa"/>
            <w:tcBorders>
              <w:top w:val="nil"/>
              <w:left w:val="nil"/>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cs="Arial"/>
                <w:sz w:val="16"/>
                <w:szCs w:val="16"/>
              </w:rPr>
            </w:pPr>
            <w:r w:rsidRPr="00140B4C">
              <w:rPr>
                <w:rFonts w:ascii="Arial" w:eastAsia="Calibri" w:hAnsi="Arial"/>
                <w:noProof/>
                <w:sz w:val="16"/>
                <w:szCs w:val="23"/>
              </w:rPr>
              <w:t>511,283</w:t>
            </w:r>
          </w:p>
        </w:tc>
        <w:tc>
          <w:tcPr>
            <w:tcW w:w="1070" w:type="dxa"/>
            <w:tcBorders>
              <w:top w:val="nil"/>
              <w:left w:val="nil"/>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cs="Arial"/>
                <w:sz w:val="16"/>
                <w:szCs w:val="16"/>
              </w:rPr>
            </w:pPr>
            <w:r w:rsidRPr="00140B4C">
              <w:rPr>
                <w:rFonts w:ascii="Arial" w:eastAsia="Calibri" w:hAnsi="Arial"/>
                <w:noProof/>
                <w:sz w:val="16"/>
                <w:szCs w:val="23"/>
              </w:rPr>
              <w:t>65.5</w:t>
            </w:r>
            <w:r w:rsidRPr="00140B4C">
              <w:rPr>
                <w:rFonts w:ascii="Arial" w:eastAsia="Calibri" w:hAnsi="Arial" w:cs="Arial"/>
                <w:sz w:val="16"/>
                <w:szCs w:val="16"/>
              </w:rPr>
              <w:t>%</w:t>
            </w:r>
          </w:p>
        </w:tc>
        <w:tc>
          <w:tcPr>
            <w:tcW w:w="1426" w:type="dxa"/>
            <w:tcBorders>
              <w:top w:val="nil"/>
              <w:left w:val="nil"/>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cs="Arial"/>
                <w:sz w:val="16"/>
                <w:szCs w:val="16"/>
              </w:rPr>
            </w:pPr>
            <w:r w:rsidRPr="00140B4C">
              <w:rPr>
                <w:rFonts w:ascii="Arial" w:eastAsia="Calibri" w:hAnsi="Arial" w:cs="Arial"/>
                <w:noProof/>
                <w:sz w:val="16"/>
                <w:szCs w:val="16"/>
              </w:rPr>
              <w:t>615,159</w:t>
            </w:r>
          </w:p>
        </w:tc>
        <w:tc>
          <w:tcPr>
            <w:tcW w:w="1533" w:type="dxa"/>
            <w:tcBorders>
              <w:top w:val="nil"/>
              <w:left w:val="nil"/>
              <w:bottom w:val="nil"/>
              <w:right w:val="single" w:sz="4" w:space="0" w:color="009900"/>
            </w:tcBorders>
            <w:shd w:val="clear" w:color="000000" w:fill="FFFFE1"/>
            <w:noWrap/>
            <w:vAlign w:val="center"/>
            <w:hideMark/>
          </w:tcPr>
          <w:p w:rsidR="00140B4C" w:rsidRPr="00140B4C" w:rsidRDefault="00140B4C" w:rsidP="00140B4C">
            <w:pPr>
              <w:suppressAutoHyphens/>
              <w:jc w:val="center"/>
              <w:rPr>
                <w:rFonts w:ascii="Arial" w:eastAsia="Calibri" w:hAnsi="Arial" w:cs="Arial"/>
                <w:sz w:val="16"/>
                <w:szCs w:val="16"/>
              </w:rPr>
            </w:pPr>
            <w:r w:rsidRPr="00140B4C">
              <w:rPr>
                <w:rFonts w:ascii="Arial" w:eastAsia="Calibri" w:hAnsi="Arial" w:cs="Arial"/>
                <w:noProof/>
                <w:sz w:val="16"/>
                <w:szCs w:val="16"/>
              </w:rPr>
              <w:t>68.3</w:t>
            </w:r>
            <w:r w:rsidRPr="00140B4C">
              <w:rPr>
                <w:rFonts w:ascii="Arial" w:eastAsia="Calibri" w:hAnsi="Arial" w:cs="Arial"/>
                <w:sz w:val="16"/>
                <w:szCs w:val="16"/>
              </w:rPr>
              <w:t>%</w:t>
            </w:r>
          </w:p>
        </w:tc>
      </w:tr>
      <w:tr w:rsidR="00140B4C" w:rsidRPr="00140B4C" w:rsidTr="0051335C">
        <w:trPr>
          <w:trHeight w:val="216"/>
          <w:jc w:val="center"/>
        </w:trPr>
        <w:tc>
          <w:tcPr>
            <w:tcW w:w="2005" w:type="dxa"/>
            <w:tcBorders>
              <w:top w:val="nil"/>
              <w:left w:val="single" w:sz="4" w:space="0" w:color="009900"/>
              <w:bottom w:val="nil"/>
              <w:right w:val="nil"/>
            </w:tcBorders>
            <w:shd w:val="clear" w:color="000000" w:fill="FFFFE1"/>
            <w:noWrap/>
            <w:vAlign w:val="center"/>
            <w:hideMark/>
          </w:tcPr>
          <w:p w:rsidR="00140B4C" w:rsidRPr="00140B4C" w:rsidRDefault="00140B4C" w:rsidP="00140B4C">
            <w:pPr>
              <w:suppressAutoHyphens/>
              <w:rPr>
                <w:rFonts w:ascii="Arial" w:eastAsia="Calibri" w:hAnsi="Arial"/>
                <w:sz w:val="16"/>
                <w:szCs w:val="23"/>
              </w:rPr>
            </w:pPr>
            <w:r w:rsidRPr="00140B4C">
              <w:rPr>
                <w:rFonts w:ascii="Arial" w:eastAsia="Calibri" w:hAnsi="Arial"/>
                <w:sz w:val="16"/>
                <w:szCs w:val="23"/>
              </w:rPr>
              <w:t>Duplex</w:t>
            </w:r>
          </w:p>
        </w:tc>
        <w:tc>
          <w:tcPr>
            <w:tcW w:w="884" w:type="dxa"/>
            <w:tcBorders>
              <w:top w:val="nil"/>
              <w:left w:val="nil"/>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cs="Arial"/>
                <w:sz w:val="16"/>
                <w:szCs w:val="16"/>
              </w:rPr>
            </w:pPr>
            <w:r w:rsidRPr="00140B4C">
              <w:rPr>
                <w:rFonts w:ascii="Arial" w:eastAsia="Calibri" w:hAnsi="Arial"/>
                <w:noProof/>
                <w:sz w:val="16"/>
                <w:szCs w:val="23"/>
              </w:rPr>
              <w:t>15,300</w:t>
            </w:r>
          </w:p>
        </w:tc>
        <w:tc>
          <w:tcPr>
            <w:tcW w:w="1070" w:type="dxa"/>
            <w:tcBorders>
              <w:top w:val="nil"/>
              <w:left w:val="nil"/>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cs="Arial"/>
                <w:sz w:val="16"/>
                <w:szCs w:val="16"/>
              </w:rPr>
            </w:pPr>
            <w:r w:rsidRPr="00140B4C">
              <w:rPr>
                <w:rFonts w:ascii="Arial" w:eastAsia="Calibri" w:hAnsi="Arial"/>
                <w:noProof/>
                <w:sz w:val="16"/>
                <w:szCs w:val="23"/>
              </w:rPr>
              <w:t>2.0</w:t>
            </w:r>
            <w:r w:rsidRPr="00140B4C">
              <w:rPr>
                <w:rFonts w:ascii="Arial" w:eastAsia="Calibri" w:hAnsi="Arial" w:cs="Arial"/>
                <w:sz w:val="16"/>
                <w:szCs w:val="16"/>
              </w:rPr>
              <w:t>%</w:t>
            </w:r>
          </w:p>
        </w:tc>
        <w:tc>
          <w:tcPr>
            <w:tcW w:w="1426" w:type="dxa"/>
            <w:tcBorders>
              <w:top w:val="nil"/>
              <w:left w:val="nil"/>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cs="Arial"/>
                <w:sz w:val="16"/>
                <w:szCs w:val="16"/>
              </w:rPr>
            </w:pPr>
            <w:r w:rsidRPr="00140B4C">
              <w:rPr>
                <w:rFonts w:ascii="Arial" w:eastAsia="Calibri" w:hAnsi="Arial" w:cs="Arial"/>
                <w:noProof/>
                <w:sz w:val="16"/>
                <w:szCs w:val="16"/>
              </w:rPr>
              <w:t>17,760</w:t>
            </w:r>
          </w:p>
        </w:tc>
        <w:tc>
          <w:tcPr>
            <w:tcW w:w="1533" w:type="dxa"/>
            <w:tcBorders>
              <w:top w:val="nil"/>
              <w:left w:val="nil"/>
              <w:bottom w:val="nil"/>
              <w:right w:val="single" w:sz="4" w:space="0" w:color="009900"/>
            </w:tcBorders>
            <w:shd w:val="clear" w:color="000000" w:fill="FFFFE1"/>
            <w:noWrap/>
            <w:vAlign w:val="center"/>
            <w:hideMark/>
          </w:tcPr>
          <w:p w:rsidR="00140B4C" w:rsidRPr="00140B4C" w:rsidRDefault="00140B4C" w:rsidP="00140B4C">
            <w:pPr>
              <w:suppressAutoHyphens/>
              <w:jc w:val="center"/>
              <w:rPr>
                <w:rFonts w:ascii="Arial" w:eastAsia="Calibri" w:hAnsi="Arial" w:cs="Arial"/>
                <w:sz w:val="16"/>
                <w:szCs w:val="16"/>
              </w:rPr>
            </w:pPr>
            <w:r w:rsidRPr="00140B4C">
              <w:rPr>
                <w:rFonts w:ascii="Arial" w:eastAsia="Calibri" w:hAnsi="Arial" w:cs="Arial"/>
                <w:noProof/>
                <w:sz w:val="16"/>
                <w:szCs w:val="16"/>
              </w:rPr>
              <w:t>2.0</w:t>
            </w:r>
            <w:r w:rsidRPr="00140B4C">
              <w:rPr>
                <w:rFonts w:ascii="Arial" w:eastAsia="Calibri" w:hAnsi="Arial" w:cs="Arial"/>
                <w:sz w:val="16"/>
                <w:szCs w:val="16"/>
              </w:rPr>
              <w:t>%</w:t>
            </w:r>
          </w:p>
        </w:tc>
      </w:tr>
      <w:tr w:rsidR="00140B4C" w:rsidRPr="00140B4C" w:rsidTr="0051335C">
        <w:trPr>
          <w:trHeight w:val="216"/>
          <w:jc w:val="center"/>
        </w:trPr>
        <w:tc>
          <w:tcPr>
            <w:tcW w:w="2005" w:type="dxa"/>
            <w:tcBorders>
              <w:top w:val="nil"/>
              <w:left w:val="single" w:sz="4" w:space="0" w:color="009900"/>
              <w:bottom w:val="nil"/>
              <w:right w:val="nil"/>
            </w:tcBorders>
            <w:shd w:val="clear" w:color="000000" w:fill="FFFFE1"/>
            <w:noWrap/>
            <w:vAlign w:val="center"/>
            <w:hideMark/>
          </w:tcPr>
          <w:p w:rsidR="00140B4C" w:rsidRPr="00140B4C" w:rsidRDefault="00140B4C" w:rsidP="00140B4C">
            <w:pPr>
              <w:suppressAutoHyphens/>
              <w:rPr>
                <w:rFonts w:ascii="Arial" w:eastAsia="Calibri" w:hAnsi="Arial"/>
                <w:sz w:val="16"/>
                <w:szCs w:val="23"/>
              </w:rPr>
            </w:pPr>
            <w:r w:rsidRPr="00140B4C">
              <w:rPr>
                <w:rFonts w:ascii="Arial" w:eastAsia="Calibri" w:hAnsi="Arial"/>
                <w:sz w:val="16"/>
                <w:szCs w:val="23"/>
              </w:rPr>
              <w:t>Tri- or Four-Plex</w:t>
            </w:r>
          </w:p>
        </w:tc>
        <w:tc>
          <w:tcPr>
            <w:tcW w:w="884" w:type="dxa"/>
            <w:tcBorders>
              <w:top w:val="nil"/>
              <w:left w:val="nil"/>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cs="Arial"/>
                <w:sz w:val="16"/>
                <w:szCs w:val="16"/>
              </w:rPr>
            </w:pPr>
            <w:r w:rsidRPr="00140B4C">
              <w:rPr>
                <w:rFonts w:ascii="Arial" w:eastAsia="Calibri" w:hAnsi="Arial"/>
                <w:noProof/>
                <w:sz w:val="16"/>
                <w:szCs w:val="23"/>
              </w:rPr>
              <w:t>27,436</w:t>
            </w:r>
          </w:p>
        </w:tc>
        <w:tc>
          <w:tcPr>
            <w:tcW w:w="1070" w:type="dxa"/>
            <w:tcBorders>
              <w:top w:val="nil"/>
              <w:left w:val="nil"/>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cs="Arial"/>
                <w:sz w:val="16"/>
                <w:szCs w:val="16"/>
              </w:rPr>
            </w:pPr>
            <w:r w:rsidRPr="00140B4C">
              <w:rPr>
                <w:rFonts w:ascii="Arial" w:eastAsia="Calibri" w:hAnsi="Arial"/>
                <w:noProof/>
                <w:sz w:val="16"/>
                <w:szCs w:val="23"/>
              </w:rPr>
              <w:t>3.5</w:t>
            </w:r>
            <w:r w:rsidRPr="00140B4C">
              <w:rPr>
                <w:rFonts w:ascii="Arial" w:eastAsia="Calibri" w:hAnsi="Arial" w:cs="Arial"/>
                <w:sz w:val="16"/>
                <w:szCs w:val="16"/>
              </w:rPr>
              <w:t>%</w:t>
            </w:r>
          </w:p>
        </w:tc>
        <w:tc>
          <w:tcPr>
            <w:tcW w:w="1426" w:type="dxa"/>
            <w:tcBorders>
              <w:top w:val="nil"/>
              <w:left w:val="nil"/>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cs="Arial"/>
                <w:sz w:val="16"/>
                <w:szCs w:val="16"/>
              </w:rPr>
            </w:pPr>
            <w:r w:rsidRPr="00140B4C">
              <w:rPr>
                <w:rFonts w:ascii="Arial" w:eastAsia="Calibri" w:hAnsi="Arial" w:cs="Arial"/>
                <w:noProof/>
                <w:sz w:val="16"/>
                <w:szCs w:val="16"/>
              </w:rPr>
              <w:t>33,293</w:t>
            </w:r>
          </w:p>
        </w:tc>
        <w:tc>
          <w:tcPr>
            <w:tcW w:w="1533" w:type="dxa"/>
            <w:tcBorders>
              <w:top w:val="nil"/>
              <w:left w:val="nil"/>
              <w:bottom w:val="nil"/>
              <w:right w:val="single" w:sz="4" w:space="0" w:color="009900"/>
            </w:tcBorders>
            <w:shd w:val="clear" w:color="000000" w:fill="FFFFE1"/>
            <w:noWrap/>
            <w:vAlign w:val="center"/>
            <w:hideMark/>
          </w:tcPr>
          <w:p w:rsidR="00140B4C" w:rsidRPr="00140B4C" w:rsidRDefault="00140B4C" w:rsidP="00140B4C">
            <w:pPr>
              <w:suppressAutoHyphens/>
              <w:jc w:val="center"/>
              <w:rPr>
                <w:rFonts w:ascii="Arial" w:eastAsia="Calibri" w:hAnsi="Arial" w:cs="Arial"/>
                <w:sz w:val="16"/>
                <w:szCs w:val="16"/>
              </w:rPr>
            </w:pPr>
            <w:r w:rsidRPr="00140B4C">
              <w:rPr>
                <w:rFonts w:ascii="Arial" w:eastAsia="Calibri" w:hAnsi="Arial" w:cs="Arial"/>
                <w:noProof/>
                <w:sz w:val="16"/>
                <w:szCs w:val="16"/>
              </w:rPr>
              <w:t>3.7</w:t>
            </w:r>
            <w:r w:rsidRPr="00140B4C">
              <w:rPr>
                <w:rFonts w:ascii="Arial" w:eastAsia="Calibri" w:hAnsi="Arial" w:cs="Arial"/>
                <w:sz w:val="16"/>
                <w:szCs w:val="16"/>
              </w:rPr>
              <w:t>%</w:t>
            </w:r>
          </w:p>
        </w:tc>
      </w:tr>
      <w:tr w:rsidR="00140B4C" w:rsidRPr="00140B4C" w:rsidTr="0051335C">
        <w:trPr>
          <w:trHeight w:val="216"/>
          <w:jc w:val="center"/>
        </w:trPr>
        <w:tc>
          <w:tcPr>
            <w:tcW w:w="2005" w:type="dxa"/>
            <w:tcBorders>
              <w:top w:val="nil"/>
              <w:left w:val="single" w:sz="4" w:space="0" w:color="009900"/>
              <w:bottom w:val="nil"/>
              <w:right w:val="nil"/>
            </w:tcBorders>
            <w:shd w:val="clear" w:color="000000" w:fill="FFFFE1"/>
            <w:noWrap/>
            <w:vAlign w:val="center"/>
            <w:hideMark/>
          </w:tcPr>
          <w:p w:rsidR="00140B4C" w:rsidRPr="00140B4C" w:rsidRDefault="00140B4C" w:rsidP="00140B4C">
            <w:pPr>
              <w:suppressAutoHyphens/>
              <w:rPr>
                <w:rFonts w:ascii="Arial" w:eastAsia="Calibri" w:hAnsi="Arial"/>
                <w:sz w:val="16"/>
                <w:szCs w:val="23"/>
              </w:rPr>
            </w:pPr>
            <w:r w:rsidRPr="00140B4C">
              <w:rPr>
                <w:rFonts w:ascii="Arial" w:eastAsia="Calibri" w:hAnsi="Arial"/>
                <w:sz w:val="16"/>
                <w:szCs w:val="23"/>
              </w:rPr>
              <w:t>Apartment</w:t>
            </w:r>
          </w:p>
        </w:tc>
        <w:tc>
          <w:tcPr>
            <w:tcW w:w="884" w:type="dxa"/>
            <w:tcBorders>
              <w:top w:val="nil"/>
              <w:left w:val="nil"/>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cs="Arial"/>
                <w:sz w:val="16"/>
                <w:szCs w:val="16"/>
              </w:rPr>
            </w:pPr>
            <w:r w:rsidRPr="00140B4C">
              <w:rPr>
                <w:rFonts w:ascii="Arial" w:eastAsia="Calibri" w:hAnsi="Arial"/>
                <w:noProof/>
                <w:sz w:val="16"/>
                <w:szCs w:val="23"/>
              </w:rPr>
              <w:t>77,034</w:t>
            </w:r>
          </w:p>
        </w:tc>
        <w:tc>
          <w:tcPr>
            <w:tcW w:w="1070" w:type="dxa"/>
            <w:tcBorders>
              <w:top w:val="nil"/>
              <w:left w:val="nil"/>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cs="Arial"/>
                <w:sz w:val="16"/>
                <w:szCs w:val="16"/>
              </w:rPr>
            </w:pPr>
            <w:r w:rsidRPr="00140B4C">
              <w:rPr>
                <w:rFonts w:ascii="Arial" w:eastAsia="Calibri" w:hAnsi="Arial"/>
                <w:noProof/>
                <w:sz w:val="16"/>
                <w:szCs w:val="23"/>
              </w:rPr>
              <w:t>9.9</w:t>
            </w:r>
            <w:r w:rsidRPr="00140B4C">
              <w:rPr>
                <w:rFonts w:ascii="Arial" w:eastAsia="Calibri" w:hAnsi="Arial" w:cs="Arial"/>
                <w:sz w:val="16"/>
                <w:szCs w:val="16"/>
              </w:rPr>
              <w:t>%</w:t>
            </w:r>
          </w:p>
        </w:tc>
        <w:tc>
          <w:tcPr>
            <w:tcW w:w="1426" w:type="dxa"/>
            <w:tcBorders>
              <w:top w:val="nil"/>
              <w:left w:val="nil"/>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cs="Arial"/>
                <w:sz w:val="16"/>
                <w:szCs w:val="16"/>
              </w:rPr>
            </w:pPr>
            <w:r w:rsidRPr="00140B4C">
              <w:rPr>
                <w:rFonts w:ascii="Arial" w:eastAsia="Calibri" w:hAnsi="Arial" w:cs="Arial"/>
                <w:noProof/>
                <w:sz w:val="16"/>
                <w:szCs w:val="16"/>
              </w:rPr>
              <w:t>83,797</w:t>
            </w:r>
          </w:p>
        </w:tc>
        <w:tc>
          <w:tcPr>
            <w:tcW w:w="1533" w:type="dxa"/>
            <w:tcBorders>
              <w:top w:val="nil"/>
              <w:left w:val="nil"/>
              <w:bottom w:val="nil"/>
              <w:right w:val="single" w:sz="4" w:space="0" w:color="009900"/>
            </w:tcBorders>
            <w:shd w:val="clear" w:color="000000" w:fill="FFFFE1"/>
            <w:noWrap/>
            <w:vAlign w:val="center"/>
            <w:hideMark/>
          </w:tcPr>
          <w:p w:rsidR="00140B4C" w:rsidRPr="00140B4C" w:rsidRDefault="00140B4C" w:rsidP="00140B4C">
            <w:pPr>
              <w:suppressAutoHyphens/>
              <w:jc w:val="center"/>
              <w:rPr>
                <w:rFonts w:ascii="Arial" w:eastAsia="Calibri" w:hAnsi="Arial" w:cs="Arial"/>
                <w:sz w:val="16"/>
                <w:szCs w:val="16"/>
              </w:rPr>
            </w:pPr>
            <w:r w:rsidRPr="00140B4C">
              <w:rPr>
                <w:rFonts w:ascii="Arial" w:eastAsia="Calibri" w:hAnsi="Arial" w:cs="Arial"/>
                <w:noProof/>
                <w:sz w:val="16"/>
                <w:szCs w:val="16"/>
              </w:rPr>
              <w:t>9.3</w:t>
            </w:r>
            <w:r w:rsidRPr="00140B4C">
              <w:rPr>
                <w:rFonts w:ascii="Arial" w:eastAsia="Calibri" w:hAnsi="Arial" w:cs="Arial"/>
                <w:sz w:val="16"/>
                <w:szCs w:val="16"/>
              </w:rPr>
              <w:t>%</w:t>
            </w:r>
          </w:p>
        </w:tc>
      </w:tr>
      <w:tr w:rsidR="00140B4C" w:rsidRPr="00140B4C" w:rsidTr="0051335C">
        <w:trPr>
          <w:trHeight w:val="216"/>
          <w:jc w:val="center"/>
        </w:trPr>
        <w:tc>
          <w:tcPr>
            <w:tcW w:w="2005" w:type="dxa"/>
            <w:tcBorders>
              <w:top w:val="nil"/>
              <w:left w:val="single" w:sz="4" w:space="0" w:color="009900"/>
              <w:bottom w:val="nil"/>
              <w:right w:val="nil"/>
            </w:tcBorders>
            <w:shd w:val="clear" w:color="000000" w:fill="FFFFE1"/>
            <w:noWrap/>
            <w:vAlign w:val="center"/>
            <w:hideMark/>
          </w:tcPr>
          <w:p w:rsidR="00140B4C" w:rsidRPr="00140B4C" w:rsidRDefault="00140B4C" w:rsidP="00140B4C">
            <w:pPr>
              <w:suppressAutoHyphens/>
              <w:rPr>
                <w:rFonts w:ascii="Arial" w:eastAsia="Calibri" w:hAnsi="Arial"/>
                <w:sz w:val="16"/>
                <w:szCs w:val="23"/>
              </w:rPr>
            </w:pPr>
            <w:r w:rsidRPr="00140B4C">
              <w:rPr>
                <w:rFonts w:ascii="Arial" w:eastAsia="Calibri" w:hAnsi="Arial"/>
                <w:sz w:val="16"/>
                <w:szCs w:val="23"/>
              </w:rPr>
              <w:t>Mobile Home</w:t>
            </w:r>
          </w:p>
        </w:tc>
        <w:tc>
          <w:tcPr>
            <w:tcW w:w="884" w:type="dxa"/>
            <w:tcBorders>
              <w:top w:val="nil"/>
              <w:left w:val="nil"/>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cs="Arial"/>
                <w:sz w:val="16"/>
                <w:szCs w:val="16"/>
              </w:rPr>
            </w:pPr>
            <w:r w:rsidRPr="00140B4C">
              <w:rPr>
                <w:rFonts w:ascii="Arial" w:eastAsia="Calibri" w:hAnsi="Arial"/>
                <w:noProof/>
                <w:sz w:val="16"/>
                <w:szCs w:val="23"/>
              </w:rPr>
              <w:t>145,087</w:t>
            </w:r>
          </w:p>
        </w:tc>
        <w:tc>
          <w:tcPr>
            <w:tcW w:w="1070" w:type="dxa"/>
            <w:tcBorders>
              <w:top w:val="nil"/>
              <w:left w:val="nil"/>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cs="Arial"/>
                <w:sz w:val="16"/>
                <w:szCs w:val="16"/>
              </w:rPr>
            </w:pPr>
            <w:r w:rsidRPr="00140B4C">
              <w:rPr>
                <w:rFonts w:ascii="Arial" w:eastAsia="Calibri" w:hAnsi="Arial"/>
                <w:noProof/>
                <w:sz w:val="16"/>
                <w:szCs w:val="23"/>
              </w:rPr>
              <w:t>18.6</w:t>
            </w:r>
            <w:r w:rsidRPr="00140B4C">
              <w:rPr>
                <w:rFonts w:ascii="Arial" w:eastAsia="Calibri" w:hAnsi="Arial" w:cs="Arial"/>
                <w:sz w:val="16"/>
                <w:szCs w:val="16"/>
              </w:rPr>
              <w:t>%</w:t>
            </w:r>
          </w:p>
        </w:tc>
        <w:tc>
          <w:tcPr>
            <w:tcW w:w="1426" w:type="dxa"/>
            <w:tcBorders>
              <w:top w:val="nil"/>
              <w:left w:val="nil"/>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cs="Arial"/>
                <w:sz w:val="16"/>
                <w:szCs w:val="16"/>
              </w:rPr>
            </w:pPr>
            <w:r w:rsidRPr="00140B4C">
              <w:rPr>
                <w:rFonts w:ascii="Arial" w:eastAsia="Calibri" w:hAnsi="Arial" w:cs="Arial"/>
                <w:noProof/>
                <w:sz w:val="16"/>
                <w:szCs w:val="16"/>
              </w:rPr>
              <w:t>149,074</w:t>
            </w:r>
          </w:p>
        </w:tc>
        <w:tc>
          <w:tcPr>
            <w:tcW w:w="1533" w:type="dxa"/>
            <w:tcBorders>
              <w:top w:val="nil"/>
              <w:left w:val="nil"/>
              <w:bottom w:val="nil"/>
              <w:right w:val="single" w:sz="4" w:space="0" w:color="009900"/>
            </w:tcBorders>
            <w:shd w:val="clear" w:color="000000" w:fill="FFFFE1"/>
            <w:noWrap/>
            <w:vAlign w:val="center"/>
            <w:hideMark/>
          </w:tcPr>
          <w:p w:rsidR="00140B4C" w:rsidRPr="00140B4C" w:rsidRDefault="00140B4C" w:rsidP="00140B4C">
            <w:pPr>
              <w:suppressAutoHyphens/>
              <w:jc w:val="center"/>
              <w:rPr>
                <w:rFonts w:ascii="Arial" w:eastAsia="Calibri" w:hAnsi="Arial" w:cs="Arial"/>
                <w:sz w:val="16"/>
                <w:szCs w:val="16"/>
              </w:rPr>
            </w:pPr>
            <w:r w:rsidRPr="00140B4C">
              <w:rPr>
                <w:rFonts w:ascii="Arial" w:eastAsia="Calibri" w:hAnsi="Arial" w:cs="Arial"/>
                <w:noProof/>
                <w:sz w:val="16"/>
                <w:szCs w:val="16"/>
              </w:rPr>
              <w:t>16.6</w:t>
            </w:r>
            <w:r w:rsidRPr="00140B4C">
              <w:rPr>
                <w:rFonts w:ascii="Arial" w:eastAsia="Calibri" w:hAnsi="Arial" w:cs="Arial"/>
                <w:sz w:val="16"/>
                <w:szCs w:val="16"/>
              </w:rPr>
              <w:t>%</w:t>
            </w:r>
          </w:p>
        </w:tc>
      </w:tr>
      <w:tr w:rsidR="00140B4C" w:rsidRPr="00140B4C" w:rsidTr="0051335C">
        <w:trPr>
          <w:trHeight w:val="216"/>
          <w:jc w:val="center"/>
        </w:trPr>
        <w:tc>
          <w:tcPr>
            <w:tcW w:w="2005" w:type="dxa"/>
            <w:tcBorders>
              <w:top w:val="nil"/>
              <w:left w:val="single" w:sz="4" w:space="0" w:color="009900"/>
              <w:bottom w:val="nil"/>
              <w:right w:val="nil"/>
            </w:tcBorders>
            <w:shd w:val="clear" w:color="000000" w:fill="FFFFE1"/>
            <w:noWrap/>
            <w:vAlign w:val="center"/>
            <w:hideMark/>
          </w:tcPr>
          <w:p w:rsidR="00140B4C" w:rsidRPr="00140B4C" w:rsidRDefault="00140B4C" w:rsidP="00140B4C">
            <w:pPr>
              <w:suppressAutoHyphens/>
              <w:rPr>
                <w:rFonts w:ascii="Arial" w:eastAsia="Calibri" w:hAnsi="Arial"/>
                <w:sz w:val="16"/>
                <w:szCs w:val="23"/>
              </w:rPr>
            </w:pPr>
            <w:r w:rsidRPr="00140B4C">
              <w:rPr>
                <w:rFonts w:ascii="Arial" w:eastAsia="Calibri" w:hAnsi="Arial"/>
                <w:sz w:val="16"/>
                <w:szCs w:val="23"/>
              </w:rPr>
              <w:t>Boat, RV, Van, Etc.</w:t>
            </w:r>
          </w:p>
        </w:tc>
        <w:tc>
          <w:tcPr>
            <w:tcW w:w="884" w:type="dxa"/>
            <w:tcBorders>
              <w:top w:val="nil"/>
              <w:left w:val="nil"/>
              <w:bottom w:val="double" w:sz="6" w:space="0" w:color="009900"/>
              <w:right w:val="nil"/>
            </w:tcBorders>
            <w:shd w:val="clear" w:color="000000" w:fill="FFFFE1"/>
            <w:noWrap/>
            <w:vAlign w:val="center"/>
            <w:hideMark/>
          </w:tcPr>
          <w:p w:rsidR="00140B4C" w:rsidRPr="00140B4C" w:rsidRDefault="00140B4C" w:rsidP="00140B4C">
            <w:pPr>
              <w:suppressAutoHyphens/>
              <w:jc w:val="center"/>
              <w:rPr>
                <w:rFonts w:ascii="Arial" w:eastAsia="Calibri" w:hAnsi="Arial" w:cs="Arial"/>
                <w:sz w:val="16"/>
                <w:szCs w:val="16"/>
              </w:rPr>
            </w:pPr>
            <w:r w:rsidRPr="00140B4C">
              <w:rPr>
                <w:rFonts w:ascii="Arial" w:eastAsia="Calibri" w:hAnsi="Arial"/>
                <w:noProof/>
                <w:sz w:val="16"/>
                <w:szCs w:val="23"/>
              </w:rPr>
              <w:t>4,439</w:t>
            </w:r>
          </w:p>
        </w:tc>
        <w:tc>
          <w:tcPr>
            <w:tcW w:w="1070" w:type="dxa"/>
            <w:tcBorders>
              <w:top w:val="nil"/>
              <w:left w:val="nil"/>
              <w:bottom w:val="double" w:sz="6" w:space="0" w:color="009900"/>
              <w:right w:val="nil"/>
            </w:tcBorders>
            <w:shd w:val="clear" w:color="000000" w:fill="FFFFE1"/>
            <w:noWrap/>
            <w:vAlign w:val="center"/>
            <w:hideMark/>
          </w:tcPr>
          <w:p w:rsidR="00140B4C" w:rsidRPr="00140B4C" w:rsidRDefault="00140B4C" w:rsidP="00140B4C">
            <w:pPr>
              <w:suppressAutoHyphens/>
              <w:jc w:val="center"/>
              <w:rPr>
                <w:rFonts w:ascii="Arial" w:eastAsia="Calibri" w:hAnsi="Arial" w:cs="Arial"/>
                <w:sz w:val="16"/>
                <w:szCs w:val="16"/>
              </w:rPr>
            </w:pPr>
            <w:r w:rsidRPr="00140B4C">
              <w:rPr>
                <w:rFonts w:ascii="Arial" w:eastAsia="Calibri" w:hAnsi="Arial"/>
                <w:sz w:val="16"/>
                <w:szCs w:val="23"/>
              </w:rPr>
              <w:t>0</w:t>
            </w:r>
            <w:r w:rsidRPr="00140B4C">
              <w:rPr>
                <w:rFonts w:ascii="Arial" w:eastAsia="Calibri" w:hAnsi="Arial"/>
                <w:noProof/>
                <w:sz w:val="16"/>
                <w:szCs w:val="23"/>
              </w:rPr>
              <w:t>.6</w:t>
            </w:r>
            <w:r w:rsidRPr="00140B4C">
              <w:rPr>
                <w:rFonts w:ascii="Arial" w:eastAsia="Calibri" w:hAnsi="Arial" w:cs="Arial"/>
                <w:sz w:val="16"/>
                <w:szCs w:val="16"/>
              </w:rPr>
              <w:t>%</w:t>
            </w:r>
          </w:p>
        </w:tc>
        <w:tc>
          <w:tcPr>
            <w:tcW w:w="1426" w:type="dxa"/>
            <w:tcBorders>
              <w:top w:val="nil"/>
              <w:left w:val="nil"/>
              <w:bottom w:val="double" w:sz="6" w:space="0" w:color="009900"/>
              <w:right w:val="nil"/>
            </w:tcBorders>
            <w:shd w:val="clear" w:color="000000" w:fill="FFFFE1"/>
            <w:noWrap/>
            <w:vAlign w:val="center"/>
            <w:hideMark/>
          </w:tcPr>
          <w:p w:rsidR="00140B4C" w:rsidRPr="00140B4C" w:rsidRDefault="00140B4C" w:rsidP="00140B4C">
            <w:pPr>
              <w:suppressAutoHyphens/>
              <w:jc w:val="center"/>
              <w:rPr>
                <w:rFonts w:ascii="Arial" w:eastAsia="Calibri" w:hAnsi="Arial" w:cs="Arial"/>
                <w:sz w:val="16"/>
                <w:szCs w:val="16"/>
              </w:rPr>
            </w:pPr>
            <w:r w:rsidRPr="00140B4C">
              <w:rPr>
                <w:rFonts w:ascii="Arial" w:eastAsia="Calibri" w:hAnsi="Arial" w:cs="Arial"/>
                <w:noProof/>
                <w:sz w:val="16"/>
                <w:szCs w:val="16"/>
              </w:rPr>
              <w:t>1,421</w:t>
            </w:r>
          </w:p>
        </w:tc>
        <w:tc>
          <w:tcPr>
            <w:tcW w:w="1533" w:type="dxa"/>
            <w:tcBorders>
              <w:top w:val="nil"/>
              <w:left w:val="nil"/>
              <w:bottom w:val="double" w:sz="6" w:space="0" w:color="009900"/>
              <w:right w:val="single" w:sz="4" w:space="0" w:color="009900"/>
            </w:tcBorders>
            <w:shd w:val="clear" w:color="000000" w:fill="FFFFE1"/>
            <w:noWrap/>
            <w:vAlign w:val="center"/>
            <w:hideMark/>
          </w:tcPr>
          <w:p w:rsidR="00140B4C" w:rsidRPr="00140B4C" w:rsidRDefault="00140B4C" w:rsidP="00140B4C">
            <w:pPr>
              <w:suppressAutoHyphens/>
              <w:jc w:val="center"/>
              <w:rPr>
                <w:rFonts w:ascii="Arial" w:eastAsia="Calibri" w:hAnsi="Arial" w:cs="Arial"/>
                <w:sz w:val="16"/>
                <w:szCs w:val="16"/>
              </w:rPr>
            </w:pPr>
            <w:r w:rsidRPr="00140B4C">
              <w:rPr>
                <w:rFonts w:ascii="Arial" w:eastAsia="Calibri" w:hAnsi="Arial"/>
                <w:sz w:val="16"/>
                <w:szCs w:val="23"/>
              </w:rPr>
              <w:t>0</w:t>
            </w:r>
            <w:r w:rsidRPr="00140B4C">
              <w:rPr>
                <w:rFonts w:ascii="Arial" w:eastAsia="Calibri" w:hAnsi="Arial" w:cs="Arial"/>
                <w:noProof/>
                <w:sz w:val="16"/>
                <w:szCs w:val="16"/>
              </w:rPr>
              <w:t>.2</w:t>
            </w:r>
            <w:r w:rsidRPr="00140B4C">
              <w:rPr>
                <w:rFonts w:ascii="Arial" w:eastAsia="Calibri" w:hAnsi="Arial" w:cs="Arial"/>
                <w:sz w:val="16"/>
                <w:szCs w:val="16"/>
              </w:rPr>
              <w:t>%</w:t>
            </w:r>
          </w:p>
        </w:tc>
      </w:tr>
      <w:tr w:rsidR="00140B4C" w:rsidRPr="00140B4C" w:rsidTr="0051335C">
        <w:trPr>
          <w:trHeight w:val="216"/>
          <w:jc w:val="center"/>
        </w:trPr>
        <w:tc>
          <w:tcPr>
            <w:tcW w:w="2005" w:type="dxa"/>
            <w:tcBorders>
              <w:top w:val="double" w:sz="6" w:space="0" w:color="009900"/>
              <w:left w:val="single" w:sz="4" w:space="0" w:color="009900"/>
              <w:bottom w:val="single" w:sz="4" w:space="0" w:color="009900"/>
              <w:right w:val="nil"/>
            </w:tcBorders>
            <w:shd w:val="clear" w:color="000000" w:fill="FFFFE1"/>
            <w:noWrap/>
            <w:vAlign w:val="center"/>
            <w:hideMark/>
          </w:tcPr>
          <w:p w:rsidR="00140B4C" w:rsidRPr="00140B4C" w:rsidRDefault="00140B4C" w:rsidP="00140B4C">
            <w:pPr>
              <w:suppressAutoHyphens/>
              <w:rPr>
                <w:rFonts w:ascii="Arial" w:eastAsia="Calibri" w:hAnsi="Arial"/>
                <w:b/>
                <w:sz w:val="16"/>
                <w:szCs w:val="23"/>
              </w:rPr>
            </w:pPr>
            <w:r w:rsidRPr="00140B4C">
              <w:rPr>
                <w:rFonts w:ascii="Arial" w:eastAsia="Calibri" w:hAnsi="Arial"/>
                <w:b/>
                <w:sz w:val="16"/>
                <w:szCs w:val="23"/>
              </w:rPr>
              <w:t>Total</w:t>
            </w:r>
          </w:p>
        </w:tc>
        <w:tc>
          <w:tcPr>
            <w:tcW w:w="884" w:type="dxa"/>
            <w:tcBorders>
              <w:top w:val="nil"/>
              <w:left w:val="nil"/>
              <w:bottom w:val="single" w:sz="4" w:space="0" w:color="009900"/>
              <w:right w:val="nil"/>
            </w:tcBorders>
            <w:shd w:val="clear" w:color="000000" w:fill="FFFFE1"/>
            <w:noWrap/>
            <w:vAlign w:val="center"/>
            <w:hideMark/>
          </w:tcPr>
          <w:p w:rsidR="00140B4C" w:rsidRPr="00140B4C" w:rsidRDefault="00140B4C" w:rsidP="00140B4C">
            <w:pPr>
              <w:suppressAutoHyphens/>
              <w:jc w:val="center"/>
              <w:rPr>
                <w:rFonts w:ascii="Arial" w:eastAsia="Calibri" w:hAnsi="Arial" w:cs="Arial"/>
                <w:b/>
                <w:bCs/>
                <w:sz w:val="16"/>
                <w:szCs w:val="16"/>
              </w:rPr>
            </w:pPr>
            <w:r w:rsidRPr="00140B4C">
              <w:rPr>
                <w:rFonts w:ascii="Arial" w:eastAsia="Calibri" w:hAnsi="Arial"/>
                <w:b/>
                <w:noProof/>
                <w:sz w:val="16"/>
                <w:szCs w:val="23"/>
              </w:rPr>
              <w:t>780,579</w:t>
            </w:r>
          </w:p>
        </w:tc>
        <w:tc>
          <w:tcPr>
            <w:tcW w:w="1070" w:type="dxa"/>
            <w:tcBorders>
              <w:top w:val="nil"/>
              <w:left w:val="nil"/>
              <w:bottom w:val="single" w:sz="4" w:space="0" w:color="009900"/>
              <w:right w:val="nil"/>
            </w:tcBorders>
            <w:shd w:val="clear" w:color="000000" w:fill="FFFFE1"/>
            <w:noWrap/>
            <w:vAlign w:val="center"/>
            <w:hideMark/>
          </w:tcPr>
          <w:p w:rsidR="00140B4C" w:rsidRPr="00140B4C" w:rsidRDefault="00140B4C" w:rsidP="00140B4C">
            <w:pPr>
              <w:suppressAutoHyphens/>
              <w:jc w:val="center"/>
              <w:rPr>
                <w:rFonts w:ascii="Arial" w:eastAsia="Calibri" w:hAnsi="Arial"/>
                <w:b/>
                <w:sz w:val="16"/>
                <w:szCs w:val="23"/>
              </w:rPr>
            </w:pPr>
            <w:r w:rsidRPr="00140B4C">
              <w:rPr>
                <w:rFonts w:ascii="Arial" w:eastAsia="Calibri" w:hAnsi="Arial"/>
                <w:b/>
                <w:sz w:val="16"/>
                <w:szCs w:val="23"/>
              </w:rPr>
              <w:t>100.0%</w:t>
            </w:r>
          </w:p>
        </w:tc>
        <w:tc>
          <w:tcPr>
            <w:tcW w:w="1426" w:type="dxa"/>
            <w:tcBorders>
              <w:top w:val="nil"/>
              <w:left w:val="nil"/>
              <w:bottom w:val="single" w:sz="4" w:space="0" w:color="009900"/>
              <w:right w:val="nil"/>
            </w:tcBorders>
            <w:shd w:val="clear" w:color="000000" w:fill="FFFFE1"/>
            <w:noWrap/>
            <w:vAlign w:val="center"/>
            <w:hideMark/>
          </w:tcPr>
          <w:p w:rsidR="00140B4C" w:rsidRPr="00140B4C" w:rsidRDefault="00140B4C" w:rsidP="00140B4C">
            <w:pPr>
              <w:suppressAutoHyphens/>
              <w:jc w:val="center"/>
              <w:rPr>
                <w:rFonts w:ascii="Arial" w:eastAsia="Calibri" w:hAnsi="Arial" w:cs="Arial"/>
                <w:b/>
                <w:sz w:val="16"/>
                <w:szCs w:val="16"/>
              </w:rPr>
            </w:pPr>
            <w:r w:rsidRPr="00140B4C">
              <w:rPr>
                <w:rFonts w:ascii="Arial" w:eastAsia="Calibri" w:hAnsi="Arial" w:cs="Arial"/>
                <w:b/>
                <w:noProof/>
                <w:sz w:val="16"/>
                <w:szCs w:val="16"/>
              </w:rPr>
              <w:t>900,504</w:t>
            </w:r>
          </w:p>
        </w:tc>
        <w:tc>
          <w:tcPr>
            <w:tcW w:w="1533" w:type="dxa"/>
            <w:tcBorders>
              <w:top w:val="nil"/>
              <w:left w:val="nil"/>
              <w:bottom w:val="single" w:sz="4" w:space="0" w:color="009900"/>
              <w:right w:val="single" w:sz="4" w:space="0" w:color="009900"/>
            </w:tcBorders>
            <w:shd w:val="clear" w:color="000000" w:fill="FFFFE1"/>
            <w:noWrap/>
            <w:vAlign w:val="center"/>
            <w:hideMark/>
          </w:tcPr>
          <w:p w:rsidR="00140B4C" w:rsidRPr="00140B4C" w:rsidRDefault="00140B4C" w:rsidP="00140B4C">
            <w:pPr>
              <w:suppressAutoHyphens/>
              <w:jc w:val="center"/>
              <w:rPr>
                <w:rFonts w:ascii="Arial" w:eastAsia="Calibri" w:hAnsi="Arial"/>
                <w:b/>
                <w:sz w:val="16"/>
                <w:szCs w:val="23"/>
              </w:rPr>
            </w:pPr>
            <w:r w:rsidRPr="00140B4C">
              <w:rPr>
                <w:rFonts w:ascii="Arial" w:eastAsia="Calibri" w:hAnsi="Arial"/>
                <w:b/>
                <w:sz w:val="16"/>
                <w:szCs w:val="23"/>
              </w:rPr>
              <w:t>100.0%</w:t>
            </w:r>
          </w:p>
        </w:tc>
      </w:tr>
    </w:tbl>
    <w:p w:rsidR="00A73F51" w:rsidRPr="0051335C" w:rsidRDefault="00A73F51" w:rsidP="00FE468A">
      <w:pPr>
        <w:pStyle w:val="BodyText"/>
        <w:tabs>
          <w:tab w:val="num" w:pos="360"/>
        </w:tabs>
        <w:rPr>
          <w:rFonts w:ascii="CG Omega" w:hAnsi="CG Omega"/>
          <w:b/>
          <w:bCs/>
          <w:smallCaps/>
          <w:sz w:val="20"/>
          <w:highlight w:val="yellow"/>
        </w:rPr>
      </w:pPr>
    </w:p>
    <w:p w:rsidR="007E0909" w:rsidRPr="007E0909" w:rsidRDefault="00965C11" w:rsidP="007E0909">
      <w:pPr>
        <w:pStyle w:val="NoSpacing"/>
        <w:jc w:val="both"/>
        <w:rPr>
          <w:rFonts w:ascii="Arial" w:hAnsi="Arial" w:cs="Arial"/>
          <w:sz w:val="24"/>
          <w:szCs w:val="24"/>
        </w:rPr>
      </w:pPr>
      <w:r w:rsidRPr="007E0909">
        <w:rPr>
          <w:rFonts w:ascii="CG Omega" w:hAnsi="CG Omega"/>
          <w:bCs/>
          <w:sz w:val="24"/>
          <w:szCs w:val="24"/>
        </w:rPr>
        <w:t>The Census Bureau estimates homeownership rates annually.  These</w:t>
      </w:r>
      <w:r w:rsidR="006023CD" w:rsidRPr="007E0909">
        <w:rPr>
          <w:rFonts w:ascii="CG Omega" w:hAnsi="CG Omega"/>
          <w:bCs/>
          <w:sz w:val="24"/>
          <w:szCs w:val="24"/>
        </w:rPr>
        <w:t xml:space="preserve"> data on homeownership rates are presented in Diagram </w:t>
      </w:r>
      <w:r w:rsidR="00B72905">
        <w:rPr>
          <w:rFonts w:ascii="CG Omega" w:hAnsi="CG Omega"/>
          <w:bCs/>
          <w:sz w:val="24"/>
          <w:szCs w:val="24"/>
        </w:rPr>
        <w:t>IV.1</w:t>
      </w:r>
      <w:r w:rsidR="00EA4494">
        <w:rPr>
          <w:rFonts w:ascii="CG Omega" w:hAnsi="CG Omega"/>
          <w:bCs/>
          <w:sz w:val="24"/>
          <w:szCs w:val="24"/>
        </w:rPr>
        <w:t xml:space="preserve"> below</w:t>
      </w:r>
      <w:r w:rsidR="006023CD" w:rsidRPr="007E0909">
        <w:rPr>
          <w:rFonts w:ascii="CG Omega" w:hAnsi="CG Omega"/>
          <w:bCs/>
          <w:sz w:val="24"/>
          <w:szCs w:val="24"/>
        </w:rPr>
        <w:t>.  This diagram compares homeownership rates for New Mexico and the U</w:t>
      </w:r>
      <w:r w:rsidR="0051335C">
        <w:rPr>
          <w:rFonts w:ascii="CG Omega" w:hAnsi="CG Omega"/>
          <w:bCs/>
          <w:sz w:val="24"/>
          <w:szCs w:val="24"/>
        </w:rPr>
        <w:t xml:space="preserve">nited </w:t>
      </w:r>
      <w:r w:rsidR="006023CD" w:rsidRPr="007E0909">
        <w:rPr>
          <w:rFonts w:ascii="CG Omega" w:hAnsi="CG Omega"/>
          <w:bCs/>
          <w:sz w:val="24"/>
          <w:szCs w:val="24"/>
        </w:rPr>
        <w:t>S</w:t>
      </w:r>
      <w:r w:rsidR="0051335C">
        <w:rPr>
          <w:rFonts w:ascii="CG Omega" w:hAnsi="CG Omega"/>
          <w:bCs/>
          <w:sz w:val="24"/>
          <w:szCs w:val="24"/>
        </w:rPr>
        <w:t>tates</w:t>
      </w:r>
      <w:r w:rsidR="006023CD" w:rsidRPr="007E0909">
        <w:rPr>
          <w:rFonts w:ascii="CG Omega" w:hAnsi="CG Omega"/>
          <w:bCs/>
          <w:sz w:val="24"/>
          <w:szCs w:val="24"/>
        </w:rPr>
        <w:t xml:space="preserve"> from 1984 through 20</w:t>
      </w:r>
      <w:r w:rsidR="007E0909" w:rsidRPr="007E0909">
        <w:rPr>
          <w:rFonts w:ascii="CG Omega" w:hAnsi="CG Omega"/>
          <w:bCs/>
          <w:sz w:val="24"/>
          <w:szCs w:val="24"/>
        </w:rPr>
        <w:t>13</w:t>
      </w:r>
      <w:r w:rsidR="002942AF" w:rsidRPr="007E0909">
        <w:rPr>
          <w:rFonts w:ascii="CG Omega" w:hAnsi="CG Omega"/>
          <w:bCs/>
          <w:sz w:val="24"/>
          <w:szCs w:val="24"/>
        </w:rPr>
        <w:t xml:space="preserve"> and shows that New Mexico</w:t>
      </w:r>
      <w:r w:rsidR="006023CD" w:rsidRPr="007E0909">
        <w:rPr>
          <w:rFonts w:ascii="CG Omega" w:hAnsi="CG Omega"/>
          <w:bCs/>
          <w:sz w:val="24"/>
          <w:szCs w:val="24"/>
        </w:rPr>
        <w:t xml:space="preserve"> had consistently higher homeownership rates over this time as compared to national figures.  </w:t>
      </w:r>
    </w:p>
    <w:p w:rsidR="00C56BF4" w:rsidRPr="009322FB" w:rsidRDefault="00C56BF4" w:rsidP="007E0909">
      <w:pPr>
        <w:pStyle w:val="NoSpacing"/>
        <w:jc w:val="center"/>
        <w:rPr>
          <w:rFonts w:ascii="Arial" w:hAnsi="Arial" w:cs="Arial"/>
          <w:b/>
          <w:sz w:val="16"/>
          <w:szCs w:val="16"/>
        </w:rPr>
      </w:pPr>
    </w:p>
    <w:p w:rsidR="007E0909" w:rsidRPr="00671A7C" w:rsidRDefault="007E0909" w:rsidP="007E0909">
      <w:pPr>
        <w:pStyle w:val="NoSpacing"/>
        <w:jc w:val="center"/>
        <w:rPr>
          <w:rFonts w:ascii="Arial" w:hAnsi="Arial" w:cs="Arial"/>
          <w:b/>
        </w:rPr>
      </w:pPr>
      <w:r w:rsidRPr="00671A7C">
        <w:rPr>
          <w:rFonts w:ascii="Arial" w:hAnsi="Arial" w:cs="Arial"/>
          <w:b/>
        </w:rPr>
        <w:t xml:space="preserve">Diagram </w:t>
      </w:r>
      <w:r w:rsidR="00B72905">
        <w:rPr>
          <w:rFonts w:ascii="Arial" w:hAnsi="Arial" w:cs="Arial"/>
          <w:b/>
        </w:rPr>
        <w:t>IV.1</w:t>
      </w:r>
    </w:p>
    <w:p w:rsidR="007E0909" w:rsidRPr="00671A7C" w:rsidRDefault="007E0909" w:rsidP="007E0909">
      <w:pPr>
        <w:pStyle w:val="NoSpacing"/>
        <w:jc w:val="center"/>
        <w:rPr>
          <w:rFonts w:ascii="Arial" w:hAnsi="Arial" w:cs="Arial"/>
          <w:b/>
          <w:sz w:val="20"/>
          <w:szCs w:val="20"/>
        </w:rPr>
      </w:pPr>
      <w:r>
        <w:rPr>
          <w:rFonts w:ascii="Arial" w:hAnsi="Arial" w:cs="Arial"/>
          <w:b/>
          <w:sz w:val="20"/>
          <w:szCs w:val="20"/>
        </w:rPr>
        <w:t>Homeownership Rates</w:t>
      </w:r>
    </w:p>
    <w:p w:rsidR="007E0909" w:rsidRPr="00671A7C" w:rsidRDefault="007E0909" w:rsidP="007E0909">
      <w:pPr>
        <w:pStyle w:val="NoSpacing"/>
        <w:jc w:val="center"/>
        <w:rPr>
          <w:rFonts w:ascii="Arial" w:hAnsi="Arial" w:cs="Arial"/>
          <w:sz w:val="16"/>
          <w:szCs w:val="16"/>
        </w:rPr>
      </w:pPr>
      <w:r w:rsidRPr="00671A7C">
        <w:rPr>
          <w:rFonts w:ascii="Arial" w:hAnsi="Arial" w:cs="Arial"/>
          <w:sz w:val="16"/>
          <w:szCs w:val="16"/>
        </w:rPr>
        <w:t>State of New Mexico</w:t>
      </w:r>
    </w:p>
    <w:p w:rsidR="006023CD" w:rsidRPr="00A73F51" w:rsidRDefault="007E0909" w:rsidP="00A73F51">
      <w:pPr>
        <w:pStyle w:val="NoSpacing"/>
        <w:jc w:val="center"/>
        <w:rPr>
          <w:rFonts w:ascii="Arial" w:hAnsi="Arial" w:cs="Arial"/>
          <w:sz w:val="16"/>
          <w:szCs w:val="16"/>
        </w:rPr>
      </w:pPr>
      <w:r>
        <w:rPr>
          <w:rFonts w:ascii="Arial" w:hAnsi="Arial" w:cs="Arial"/>
          <w:sz w:val="16"/>
          <w:szCs w:val="16"/>
        </w:rPr>
        <w:t>Census Data, 1984 - 2014</w:t>
      </w:r>
    </w:p>
    <w:p w:rsidR="006023CD" w:rsidRPr="009322FB" w:rsidRDefault="007E0909" w:rsidP="009322FB">
      <w:pPr>
        <w:pStyle w:val="BodyText"/>
        <w:tabs>
          <w:tab w:val="num" w:pos="360"/>
        </w:tabs>
        <w:jc w:val="center"/>
        <w:rPr>
          <w:rFonts w:ascii="CG Omega" w:hAnsi="CG Omega"/>
          <w:bCs/>
          <w:szCs w:val="24"/>
          <w:highlight w:val="yellow"/>
        </w:rPr>
      </w:pPr>
      <w:bookmarkStart w:id="62" w:name="_MON_1341658412"/>
      <w:bookmarkStart w:id="63" w:name="_MON_1341658321"/>
      <w:bookmarkEnd w:id="62"/>
      <w:bookmarkEnd w:id="63"/>
      <w:r>
        <w:rPr>
          <w:noProof/>
        </w:rPr>
        <w:drawing>
          <wp:inline distT="0" distB="0" distL="0" distR="0" wp14:anchorId="04160E69" wp14:editId="5D3387F1">
            <wp:extent cx="5200650" cy="2638425"/>
            <wp:effectExtent l="0" t="0" r="0" b="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F6144F" w:rsidRPr="005A4232" w:rsidRDefault="00F6144F" w:rsidP="00F6144F">
      <w:pPr>
        <w:pStyle w:val="BodyText"/>
        <w:tabs>
          <w:tab w:val="num" w:pos="360"/>
        </w:tabs>
        <w:rPr>
          <w:rFonts w:ascii="CG Omega" w:hAnsi="CG Omega"/>
          <w:szCs w:val="24"/>
        </w:rPr>
      </w:pPr>
      <w:r w:rsidRPr="005A4232">
        <w:rPr>
          <w:rFonts w:ascii="CG Omega" w:hAnsi="CG Omega"/>
          <w:b/>
          <w:bCs/>
          <w:smallCaps/>
          <w:szCs w:val="24"/>
        </w:rPr>
        <w:t>Vacant Housing</w:t>
      </w:r>
    </w:p>
    <w:p w:rsidR="005A5E72" w:rsidRPr="005471FD" w:rsidRDefault="005A5E72" w:rsidP="005A5E72">
      <w:pPr>
        <w:jc w:val="both"/>
        <w:rPr>
          <w:rFonts w:ascii="CG Omega" w:hAnsi="CG Omega"/>
          <w:sz w:val="18"/>
          <w:szCs w:val="18"/>
        </w:rPr>
      </w:pPr>
    </w:p>
    <w:p w:rsidR="00140B4C" w:rsidRPr="0051335C" w:rsidRDefault="000F1974" w:rsidP="005A5E72">
      <w:pPr>
        <w:jc w:val="both"/>
        <w:rPr>
          <w:rFonts w:ascii="CG Omega" w:hAnsi="CG Omega"/>
        </w:rPr>
      </w:pPr>
      <w:r w:rsidRPr="0051335C">
        <w:rPr>
          <w:rFonts w:ascii="CG Omega" w:hAnsi="CG Omega"/>
        </w:rPr>
        <w:t>Growth</w:t>
      </w:r>
      <w:r w:rsidR="0044489E" w:rsidRPr="0051335C">
        <w:rPr>
          <w:rFonts w:ascii="CG Omega" w:hAnsi="CG Omega"/>
        </w:rPr>
        <w:t xml:space="preserve"> in the vacant housing stock between 2000 and 2010 was driven largely by an increase in the number of units classified as “o</w:t>
      </w:r>
      <w:r w:rsidR="009F2C37" w:rsidRPr="0051335C">
        <w:rPr>
          <w:rFonts w:ascii="CG Omega" w:hAnsi="CG Omega"/>
        </w:rPr>
        <w:t>ther vacant”</w:t>
      </w:r>
      <w:r w:rsidR="00EA4494" w:rsidRPr="0051335C">
        <w:rPr>
          <w:rFonts w:ascii="CG Omega" w:hAnsi="CG Omega"/>
        </w:rPr>
        <w:t xml:space="preserve">, as shown in </w:t>
      </w:r>
      <w:r w:rsidR="00EA4494" w:rsidRPr="0051335C">
        <w:rPr>
          <w:rFonts w:ascii="CG Omega" w:hAnsi="CG Omega"/>
          <w:b/>
        </w:rPr>
        <w:t>Table IV.4</w:t>
      </w:r>
      <w:r w:rsidR="00EA4494" w:rsidRPr="0051335C">
        <w:rPr>
          <w:rFonts w:ascii="CG Omega" w:hAnsi="CG Omega"/>
        </w:rPr>
        <w:t xml:space="preserve"> below</w:t>
      </w:r>
      <w:r w:rsidR="009F2C37" w:rsidRPr="0051335C">
        <w:rPr>
          <w:rFonts w:ascii="CG Omega" w:hAnsi="CG Omega"/>
        </w:rPr>
        <w:t>. These</w:t>
      </w:r>
      <w:r w:rsidR="0044489E" w:rsidRPr="0051335C">
        <w:rPr>
          <w:rFonts w:ascii="CG Omega" w:hAnsi="CG Omega"/>
        </w:rPr>
        <w:t xml:space="preserve"> units are</w:t>
      </w:r>
      <w:r w:rsidR="009F2C37" w:rsidRPr="0051335C">
        <w:rPr>
          <w:rFonts w:ascii="CG Omega" w:hAnsi="CG Omega"/>
        </w:rPr>
        <w:t xml:space="preserve"> typically the most problematic, as they are not available to the market place</w:t>
      </w:r>
      <w:r w:rsidR="0044489E" w:rsidRPr="0051335C">
        <w:rPr>
          <w:rFonts w:ascii="CG Omega" w:hAnsi="CG Omega"/>
        </w:rPr>
        <w:t>.</w:t>
      </w:r>
      <w:r w:rsidR="009F2C37" w:rsidRPr="0051335C">
        <w:rPr>
          <w:rFonts w:ascii="CG Omega" w:hAnsi="CG Omega"/>
        </w:rPr>
        <w:t xml:space="preserve"> Where such units are grouped in close proximity to each other, a blighting influence may be created.</w:t>
      </w:r>
      <w:r w:rsidR="00574AE1" w:rsidRPr="0051335C">
        <w:rPr>
          <w:rFonts w:ascii="CG Omega" w:hAnsi="CG Omega"/>
        </w:rPr>
        <w:t xml:space="preserve"> There were over 8,000 more “other vacant” units in 2010 than there had been in 2000, and these units accounted for 33.2 percent of all vacant units at the end of the decade. By contrast, there were 17</w:t>
      </w:r>
      <w:r w:rsidR="00472E10" w:rsidRPr="0051335C">
        <w:rPr>
          <w:rFonts w:ascii="CG Omega" w:hAnsi="CG Omega"/>
        </w:rPr>
        <w:t>.03</w:t>
      </w:r>
      <w:r w:rsidR="00574AE1" w:rsidRPr="0051335C">
        <w:rPr>
          <w:rFonts w:ascii="CG Omega" w:hAnsi="CG Omega"/>
        </w:rPr>
        <w:t xml:space="preserve"> percent fewer vacant units available for rent and 27</w:t>
      </w:r>
      <w:r w:rsidR="00472E10" w:rsidRPr="0051335C">
        <w:rPr>
          <w:rFonts w:ascii="CG Omega" w:hAnsi="CG Omega"/>
        </w:rPr>
        <w:t>.27</w:t>
      </w:r>
      <w:r w:rsidR="00574AE1" w:rsidRPr="0051335C">
        <w:rPr>
          <w:rFonts w:ascii="CG Omega" w:hAnsi="CG Omega"/>
        </w:rPr>
        <w:t xml:space="preserve"> percent </w:t>
      </w:r>
      <w:r w:rsidR="009322FB" w:rsidRPr="0051335C">
        <w:rPr>
          <w:rFonts w:ascii="CG Omega" w:hAnsi="CG Omega"/>
        </w:rPr>
        <w:t xml:space="preserve">fewer </w:t>
      </w:r>
      <w:r w:rsidR="00574AE1" w:rsidRPr="0051335C">
        <w:rPr>
          <w:rFonts w:ascii="CG Omega" w:hAnsi="CG Omega"/>
        </w:rPr>
        <w:t>that were r</w:t>
      </w:r>
      <w:r w:rsidRPr="0051335C">
        <w:rPr>
          <w:rFonts w:ascii="CG Omega" w:hAnsi="CG Omega"/>
        </w:rPr>
        <w:t>ented or sold but not occupied.</w:t>
      </w:r>
    </w:p>
    <w:p w:rsidR="00140B4C" w:rsidRPr="005471FD" w:rsidRDefault="00140B4C" w:rsidP="005A5E72">
      <w:pPr>
        <w:jc w:val="both"/>
        <w:rPr>
          <w:rFonts w:ascii="CG Omega" w:hAnsi="CG Omega"/>
          <w:sz w:val="18"/>
          <w:szCs w:val="18"/>
          <w:highlight w:val="yellow"/>
        </w:rPr>
      </w:pPr>
    </w:p>
    <w:tbl>
      <w:tblPr>
        <w:tblW w:w="8429" w:type="dxa"/>
        <w:jc w:val="center"/>
        <w:tblLook w:val="04A0" w:firstRow="1" w:lastRow="0" w:firstColumn="1" w:lastColumn="0" w:noHBand="0" w:noVBand="1"/>
      </w:tblPr>
      <w:tblGrid>
        <w:gridCol w:w="3640"/>
        <w:gridCol w:w="900"/>
        <w:gridCol w:w="990"/>
        <w:gridCol w:w="900"/>
        <w:gridCol w:w="990"/>
        <w:gridCol w:w="1009"/>
      </w:tblGrid>
      <w:tr w:rsidR="00140B4C" w:rsidRPr="00140B4C" w:rsidTr="006458D4">
        <w:trPr>
          <w:trHeight w:val="216"/>
          <w:jc w:val="center"/>
        </w:trPr>
        <w:tc>
          <w:tcPr>
            <w:tcW w:w="8429" w:type="dxa"/>
            <w:gridSpan w:val="6"/>
            <w:tcBorders>
              <w:bottom w:val="single" w:sz="4" w:space="0" w:color="009900"/>
            </w:tcBorders>
            <w:shd w:val="clear" w:color="000000" w:fill="auto"/>
            <w:noWrap/>
            <w:vAlign w:val="center"/>
            <w:hideMark/>
          </w:tcPr>
          <w:p w:rsidR="00140B4C" w:rsidRPr="00140B4C" w:rsidRDefault="00140B4C" w:rsidP="00140B4C">
            <w:pPr>
              <w:keepNext/>
              <w:jc w:val="center"/>
              <w:rPr>
                <w:rFonts w:ascii="Arial" w:eastAsia="Calibri" w:hAnsi="Arial"/>
                <w:b/>
                <w:bCs/>
                <w:color w:val="000000"/>
                <w:sz w:val="22"/>
                <w:szCs w:val="18"/>
              </w:rPr>
            </w:pPr>
            <w:r w:rsidRPr="00140B4C">
              <w:rPr>
                <w:rFonts w:ascii="Arial" w:eastAsia="Calibri" w:hAnsi="Arial"/>
                <w:b/>
                <w:bCs/>
                <w:color w:val="000000"/>
                <w:sz w:val="22"/>
                <w:szCs w:val="18"/>
              </w:rPr>
              <w:t>Table I</w:t>
            </w:r>
            <w:r w:rsidR="00B72905">
              <w:rPr>
                <w:rFonts w:ascii="Arial" w:eastAsia="Calibri" w:hAnsi="Arial"/>
                <w:b/>
                <w:bCs/>
                <w:color w:val="000000"/>
                <w:sz w:val="22"/>
                <w:szCs w:val="18"/>
              </w:rPr>
              <w:t>V.4</w:t>
            </w:r>
          </w:p>
          <w:p w:rsidR="00140B4C" w:rsidRPr="00140B4C" w:rsidRDefault="00140B4C" w:rsidP="00140B4C">
            <w:pPr>
              <w:keepNext/>
              <w:keepLines/>
              <w:suppressAutoHyphens/>
              <w:jc w:val="center"/>
              <w:rPr>
                <w:rFonts w:ascii="Arial" w:eastAsia="Calibri" w:hAnsi="Arial"/>
                <w:b/>
                <w:sz w:val="20"/>
                <w:szCs w:val="23"/>
              </w:rPr>
            </w:pPr>
            <w:r w:rsidRPr="00140B4C">
              <w:rPr>
                <w:rFonts w:ascii="Arial" w:eastAsia="Calibri" w:hAnsi="Arial"/>
                <w:b/>
                <w:sz w:val="20"/>
                <w:szCs w:val="23"/>
              </w:rPr>
              <w:t>Disposition of Vacant Housing Units</w:t>
            </w:r>
          </w:p>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State of New Mexico</w:t>
            </w:r>
          </w:p>
          <w:p w:rsidR="00140B4C" w:rsidRPr="00140B4C" w:rsidRDefault="00140B4C" w:rsidP="00140B4C">
            <w:pPr>
              <w:suppressAutoHyphens/>
              <w:jc w:val="center"/>
              <w:rPr>
                <w:rFonts w:ascii="Arial" w:eastAsia="Calibri" w:hAnsi="Arial"/>
                <w:b/>
                <w:bCs/>
                <w:sz w:val="16"/>
                <w:szCs w:val="23"/>
              </w:rPr>
            </w:pPr>
            <w:r w:rsidRPr="00140B4C">
              <w:rPr>
                <w:rFonts w:ascii="Arial" w:eastAsia="Calibri" w:hAnsi="Arial"/>
                <w:sz w:val="16"/>
                <w:szCs w:val="23"/>
              </w:rPr>
              <w:t>2000 &amp; 2010 Census SF1 Data</w:t>
            </w:r>
          </w:p>
        </w:tc>
      </w:tr>
      <w:tr w:rsidR="00140B4C" w:rsidRPr="00140B4C" w:rsidTr="006458D4">
        <w:trPr>
          <w:trHeight w:val="216"/>
          <w:jc w:val="center"/>
        </w:trPr>
        <w:tc>
          <w:tcPr>
            <w:tcW w:w="3640" w:type="dxa"/>
            <w:vMerge w:val="restart"/>
            <w:tcBorders>
              <w:top w:val="single" w:sz="4" w:space="0" w:color="009900"/>
              <w:left w:val="single" w:sz="4" w:space="0" w:color="009900"/>
              <w:bottom w:val="single" w:sz="4" w:space="0" w:color="009900"/>
              <w:right w:val="nil"/>
            </w:tcBorders>
            <w:shd w:val="clear" w:color="000000" w:fill="FFFFE1"/>
            <w:noWrap/>
            <w:vAlign w:val="center"/>
            <w:hideMark/>
          </w:tcPr>
          <w:p w:rsidR="00140B4C" w:rsidRPr="00140B4C" w:rsidRDefault="00140B4C" w:rsidP="00140B4C">
            <w:pPr>
              <w:suppressAutoHyphens/>
              <w:rPr>
                <w:rFonts w:ascii="Arial" w:eastAsia="Calibri" w:hAnsi="Arial"/>
                <w:b/>
                <w:sz w:val="16"/>
                <w:szCs w:val="23"/>
              </w:rPr>
            </w:pPr>
            <w:r w:rsidRPr="00140B4C">
              <w:rPr>
                <w:rFonts w:ascii="Arial" w:eastAsia="Calibri" w:hAnsi="Arial"/>
                <w:b/>
                <w:sz w:val="16"/>
                <w:szCs w:val="23"/>
              </w:rPr>
              <w:t>Disposition</w:t>
            </w:r>
          </w:p>
        </w:tc>
        <w:tc>
          <w:tcPr>
            <w:tcW w:w="1890" w:type="dxa"/>
            <w:gridSpan w:val="2"/>
            <w:tcBorders>
              <w:top w:val="single" w:sz="4" w:space="0" w:color="009900"/>
              <w:left w:val="nil"/>
              <w:bottom w:val="dotted" w:sz="4" w:space="0" w:color="009900"/>
              <w:right w:val="nil"/>
            </w:tcBorders>
            <w:shd w:val="clear" w:color="000000" w:fill="FFFFE1"/>
            <w:noWrap/>
            <w:vAlign w:val="center"/>
            <w:hideMark/>
          </w:tcPr>
          <w:p w:rsidR="00140B4C" w:rsidRPr="00140B4C" w:rsidRDefault="00140B4C" w:rsidP="00140B4C">
            <w:pPr>
              <w:suppressAutoHyphens/>
              <w:jc w:val="center"/>
              <w:rPr>
                <w:rFonts w:ascii="Arial" w:eastAsia="Calibri" w:hAnsi="Arial"/>
                <w:b/>
                <w:sz w:val="16"/>
                <w:szCs w:val="23"/>
              </w:rPr>
            </w:pPr>
            <w:r w:rsidRPr="00140B4C">
              <w:rPr>
                <w:rFonts w:ascii="Arial" w:eastAsia="Calibri" w:hAnsi="Arial"/>
                <w:b/>
                <w:sz w:val="16"/>
                <w:szCs w:val="23"/>
              </w:rPr>
              <w:t>2000 Census</w:t>
            </w:r>
          </w:p>
        </w:tc>
        <w:tc>
          <w:tcPr>
            <w:tcW w:w="1890" w:type="dxa"/>
            <w:gridSpan w:val="2"/>
            <w:tcBorders>
              <w:top w:val="single" w:sz="4" w:space="0" w:color="009900"/>
              <w:left w:val="nil"/>
              <w:bottom w:val="dotted" w:sz="4" w:space="0" w:color="009900"/>
              <w:right w:val="nil"/>
            </w:tcBorders>
            <w:shd w:val="clear" w:color="000000" w:fill="FFFFE1"/>
            <w:noWrap/>
            <w:vAlign w:val="center"/>
            <w:hideMark/>
          </w:tcPr>
          <w:p w:rsidR="00140B4C" w:rsidRPr="00140B4C" w:rsidRDefault="00140B4C" w:rsidP="00140B4C">
            <w:pPr>
              <w:suppressAutoHyphens/>
              <w:jc w:val="center"/>
              <w:rPr>
                <w:rFonts w:ascii="Arial" w:eastAsia="Calibri" w:hAnsi="Arial"/>
                <w:b/>
                <w:sz w:val="16"/>
                <w:szCs w:val="23"/>
              </w:rPr>
            </w:pPr>
            <w:r w:rsidRPr="00140B4C">
              <w:rPr>
                <w:rFonts w:ascii="Arial" w:eastAsia="Calibri" w:hAnsi="Arial"/>
                <w:b/>
                <w:sz w:val="16"/>
                <w:szCs w:val="23"/>
              </w:rPr>
              <w:t>2010 Census</w:t>
            </w:r>
          </w:p>
        </w:tc>
        <w:tc>
          <w:tcPr>
            <w:tcW w:w="1009" w:type="dxa"/>
            <w:vMerge w:val="restart"/>
            <w:tcBorders>
              <w:top w:val="single" w:sz="4" w:space="0" w:color="009900"/>
              <w:left w:val="dotted" w:sz="4" w:space="0" w:color="009900"/>
              <w:bottom w:val="single" w:sz="4" w:space="0" w:color="009900"/>
              <w:right w:val="single" w:sz="4" w:space="0" w:color="009900"/>
            </w:tcBorders>
            <w:shd w:val="clear" w:color="000000" w:fill="FFFFE1"/>
            <w:vAlign w:val="center"/>
            <w:hideMark/>
          </w:tcPr>
          <w:p w:rsidR="00140B4C" w:rsidRPr="00140B4C" w:rsidRDefault="00140B4C" w:rsidP="00140B4C">
            <w:pPr>
              <w:suppressAutoHyphens/>
              <w:jc w:val="center"/>
              <w:rPr>
                <w:rFonts w:ascii="Arial" w:eastAsia="Calibri" w:hAnsi="Arial"/>
                <w:b/>
                <w:sz w:val="16"/>
                <w:szCs w:val="23"/>
              </w:rPr>
            </w:pPr>
            <w:r w:rsidRPr="00140B4C">
              <w:rPr>
                <w:rFonts w:ascii="Arial" w:eastAsia="Calibri" w:hAnsi="Arial"/>
                <w:b/>
                <w:sz w:val="16"/>
                <w:szCs w:val="23"/>
              </w:rPr>
              <w:t>% Change 00–10</w:t>
            </w:r>
          </w:p>
        </w:tc>
      </w:tr>
      <w:tr w:rsidR="00140B4C" w:rsidRPr="00140B4C" w:rsidTr="006458D4">
        <w:trPr>
          <w:trHeight w:val="216"/>
          <w:jc w:val="center"/>
        </w:trPr>
        <w:tc>
          <w:tcPr>
            <w:tcW w:w="3640" w:type="dxa"/>
            <w:vMerge/>
            <w:tcBorders>
              <w:top w:val="nil"/>
              <w:left w:val="single" w:sz="4" w:space="0" w:color="009900"/>
              <w:bottom w:val="single" w:sz="4" w:space="0" w:color="009900"/>
              <w:right w:val="nil"/>
            </w:tcBorders>
            <w:vAlign w:val="center"/>
            <w:hideMark/>
          </w:tcPr>
          <w:p w:rsidR="00140B4C" w:rsidRPr="00140B4C" w:rsidRDefault="00140B4C" w:rsidP="00140B4C">
            <w:pPr>
              <w:suppressAutoHyphens/>
              <w:rPr>
                <w:rFonts w:ascii="Arial" w:eastAsia="Calibri" w:hAnsi="Arial"/>
                <w:b/>
                <w:sz w:val="16"/>
                <w:szCs w:val="23"/>
              </w:rPr>
            </w:pPr>
          </w:p>
        </w:tc>
        <w:tc>
          <w:tcPr>
            <w:tcW w:w="900" w:type="dxa"/>
            <w:tcBorders>
              <w:top w:val="nil"/>
              <w:left w:val="nil"/>
              <w:bottom w:val="single" w:sz="4" w:space="0" w:color="009900"/>
              <w:right w:val="nil"/>
            </w:tcBorders>
            <w:shd w:val="clear" w:color="000000" w:fill="FFFFE1"/>
            <w:noWrap/>
            <w:vAlign w:val="center"/>
            <w:hideMark/>
          </w:tcPr>
          <w:p w:rsidR="00140B4C" w:rsidRPr="00140B4C" w:rsidRDefault="00140B4C" w:rsidP="00140B4C">
            <w:pPr>
              <w:suppressAutoHyphens/>
              <w:jc w:val="center"/>
              <w:rPr>
                <w:rFonts w:ascii="Arial" w:eastAsia="Calibri" w:hAnsi="Arial"/>
                <w:b/>
                <w:sz w:val="16"/>
                <w:szCs w:val="23"/>
              </w:rPr>
            </w:pPr>
            <w:r w:rsidRPr="00140B4C">
              <w:rPr>
                <w:rFonts w:ascii="Arial" w:eastAsia="Calibri" w:hAnsi="Arial"/>
                <w:b/>
                <w:sz w:val="16"/>
                <w:szCs w:val="23"/>
              </w:rPr>
              <w:t>Units</w:t>
            </w:r>
          </w:p>
        </w:tc>
        <w:tc>
          <w:tcPr>
            <w:tcW w:w="990" w:type="dxa"/>
            <w:tcBorders>
              <w:top w:val="nil"/>
              <w:left w:val="nil"/>
              <w:bottom w:val="single" w:sz="4" w:space="0" w:color="009900"/>
              <w:right w:val="nil"/>
            </w:tcBorders>
            <w:shd w:val="clear" w:color="000000" w:fill="FFFFE1"/>
            <w:noWrap/>
            <w:vAlign w:val="center"/>
            <w:hideMark/>
          </w:tcPr>
          <w:p w:rsidR="00140B4C" w:rsidRPr="00140B4C" w:rsidRDefault="00140B4C" w:rsidP="00140B4C">
            <w:pPr>
              <w:suppressAutoHyphens/>
              <w:jc w:val="center"/>
              <w:rPr>
                <w:rFonts w:ascii="Arial" w:eastAsia="Calibri" w:hAnsi="Arial"/>
                <w:b/>
                <w:sz w:val="16"/>
                <w:szCs w:val="23"/>
              </w:rPr>
            </w:pPr>
            <w:r w:rsidRPr="00140B4C">
              <w:rPr>
                <w:rFonts w:ascii="Arial" w:eastAsia="Calibri" w:hAnsi="Arial"/>
                <w:b/>
                <w:sz w:val="16"/>
                <w:szCs w:val="23"/>
              </w:rPr>
              <w:t>% of Total</w:t>
            </w:r>
          </w:p>
        </w:tc>
        <w:tc>
          <w:tcPr>
            <w:tcW w:w="900" w:type="dxa"/>
            <w:tcBorders>
              <w:top w:val="nil"/>
              <w:left w:val="nil"/>
              <w:bottom w:val="single" w:sz="4" w:space="0" w:color="009900"/>
              <w:right w:val="nil"/>
            </w:tcBorders>
            <w:shd w:val="clear" w:color="000000" w:fill="FFFFE1"/>
            <w:noWrap/>
            <w:vAlign w:val="center"/>
            <w:hideMark/>
          </w:tcPr>
          <w:p w:rsidR="00140B4C" w:rsidRPr="00140B4C" w:rsidRDefault="00140B4C" w:rsidP="00140B4C">
            <w:pPr>
              <w:suppressAutoHyphens/>
              <w:jc w:val="center"/>
              <w:rPr>
                <w:rFonts w:ascii="Arial" w:eastAsia="Calibri" w:hAnsi="Arial"/>
                <w:b/>
                <w:sz w:val="16"/>
                <w:szCs w:val="23"/>
              </w:rPr>
            </w:pPr>
            <w:r w:rsidRPr="00140B4C">
              <w:rPr>
                <w:rFonts w:ascii="Arial" w:eastAsia="Calibri" w:hAnsi="Arial"/>
                <w:b/>
                <w:sz w:val="16"/>
                <w:szCs w:val="23"/>
              </w:rPr>
              <w:t>Units</w:t>
            </w:r>
          </w:p>
        </w:tc>
        <w:tc>
          <w:tcPr>
            <w:tcW w:w="990" w:type="dxa"/>
            <w:tcBorders>
              <w:top w:val="nil"/>
              <w:left w:val="nil"/>
              <w:bottom w:val="single" w:sz="4" w:space="0" w:color="009900"/>
              <w:right w:val="nil"/>
            </w:tcBorders>
            <w:shd w:val="clear" w:color="000000" w:fill="FFFFE1"/>
            <w:noWrap/>
            <w:vAlign w:val="center"/>
            <w:hideMark/>
          </w:tcPr>
          <w:p w:rsidR="00140B4C" w:rsidRPr="00140B4C" w:rsidRDefault="00140B4C" w:rsidP="00140B4C">
            <w:pPr>
              <w:suppressAutoHyphens/>
              <w:jc w:val="center"/>
              <w:rPr>
                <w:rFonts w:ascii="Arial" w:eastAsia="Calibri" w:hAnsi="Arial"/>
                <w:b/>
                <w:sz w:val="16"/>
                <w:szCs w:val="23"/>
              </w:rPr>
            </w:pPr>
            <w:r w:rsidRPr="00140B4C">
              <w:rPr>
                <w:rFonts w:ascii="Arial" w:eastAsia="Calibri" w:hAnsi="Arial"/>
                <w:b/>
                <w:sz w:val="16"/>
                <w:szCs w:val="23"/>
              </w:rPr>
              <w:t>% of Total</w:t>
            </w:r>
          </w:p>
        </w:tc>
        <w:tc>
          <w:tcPr>
            <w:tcW w:w="1009" w:type="dxa"/>
            <w:vMerge/>
            <w:tcBorders>
              <w:top w:val="nil"/>
              <w:left w:val="dotted" w:sz="4" w:space="0" w:color="009900"/>
              <w:bottom w:val="single" w:sz="4" w:space="0" w:color="009900"/>
              <w:right w:val="single" w:sz="4" w:space="0" w:color="009900"/>
            </w:tcBorders>
            <w:vAlign w:val="center"/>
            <w:hideMark/>
          </w:tcPr>
          <w:p w:rsidR="00140B4C" w:rsidRPr="00140B4C" w:rsidRDefault="00140B4C" w:rsidP="00140B4C">
            <w:pPr>
              <w:suppressAutoHyphens/>
              <w:jc w:val="center"/>
              <w:rPr>
                <w:rFonts w:ascii="Arial" w:eastAsia="Calibri" w:hAnsi="Arial"/>
                <w:b/>
                <w:sz w:val="16"/>
                <w:szCs w:val="23"/>
              </w:rPr>
            </w:pPr>
          </w:p>
        </w:tc>
      </w:tr>
      <w:tr w:rsidR="00140B4C" w:rsidRPr="00140B4C" w:rsidTr="006458D4">
        <w:trPr>
          <w:trHeight w:val="216"/>
          <w:jc w:val="center"/>
        </w:trPr>
        <w:tc>
          <w:tcPr>
            <w:tcW w:w="3640" w:type="dxa"/>
            <w:tcBorders>
              <w:top w:val="nil"/>
              <w:left w:val="single" w:sz="4" w:space="0" w:color="009900"/>
              <w:bottom w:val="nil"/>
              <w:right w:val="nil"/>
            </w:tcBorders>
            <w:shd w:val="clear" w:color="000000" w:fill="FFFFE1"/>
            <w:noWrap/>
            <w:vAlign w:val="center"/>
            <w:hideMark/>
          </w:tcPr>
          <w:p w:rsidR="00140B4C" w:rsidRPr="00140B4C" w:rsidRDefault="00140B4C" w:rsidP="00140B4C">
            <w:pPr>
              <w:ind w:left="180" w:hanging="180"/>
              <w:rPr>
                <w:rFonts w:ascii="Arial" w:eastAsia="Calibri" w:hAnsi="Arial"/>
                <w:sz w:val="16"/>
                <w:szCs w:val="16"/>
              </w:rPr>
            </w:pPr>
            <w:r w:rsidRPr="00140B4C">
              <w:rPr>
                <w:rFonts w:ascii="Arial" w:eastAsia="Calibri" w:hAnsi="Arial"/>
                <w:sz w:val="16"/>
                <w:szCs w:val="16"/>
              </w:rPr>
              <w:t xml:space="preserve">For Rent </w:t>
            </w:r>
          </w:p>
        </w:tc>
        <w:tc>
          <w:tcPr>
            <w:tcW w:w="900" w:type="dxa"/>
            <w:tcBorders>
              <w:top w:val="nil"/>
              <w:left w:val="nil"/>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26,697</w:t>
            </w:r>
          </w:p>
        </w:tc>
        <w:tc>
          <w:tcPr>
            <w:tcW w:w="990" w:type="dxa"/>
            <w:tcBorders>
              <w:top w:val="nil"/>
              <w:left w:val="nil"/>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26.0</w:t>
            </w:r>
            <w:r w:rsidRPr="00140B4C">
              <w:rPr>
                <w:rFonts w:ascii="Arial" w:eastAsia="Calibri" w:hAnsi="Arial"/>
                <w:sz w:val="16"/>
                <w:szCs w:val="23"/>
              </w:rPr>
              <w:t>%</w:t>
            </w:r>
          </w:p>
        </w:tc>
        <w:tc>
          <w:tcPr>
            <w:tcW w:w="900" w:type="dxa"/>
            <w:tcBorders>
              <w:top w:val="nil"/>
              <w:left w:val="nil"/>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22,150</w:t>
            </w:r>
          </w:p>
        </w:tc>
        <w:tc>
          <w:tcPr>
            <w:tcW w:w="990" w:type="dxa"/>
            <w:tcBorders>
              <w:top w:val="nil"/>
              <w:left w:val="nil"/>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20.1</w:t>
            </w:r>
            <w:r w:rsidRPr="00140B4C">
              <w:rPr>
                <w:rFonts w:ascii="Arial" w:eastAsia="Calibri" w:hAnsi="Arial"/>
                <w:sz w:val="16"/>
                <w:szCs w:val="23"/>
              </w:rPr>
              <w:t>%</w:t>
            </w:r>
          </w:p>
        </w:tc>
        <w:tc>
          <w:tcPr>
            <w:tcW w:w="1009" w:type="dxa"/>
            <w:tcBorders>
              <w:top w:val="nil"/>
              <w:left w:val="dotted" w:sz="4" w:space="0" w:color="009900"/>
              <w:bottom w:val="nil"/>
              <w:right w:val="single" w:sz="4" w:space="0" w:color="009900"/>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-17.03</w:t>
            </w:r>
            <w:r w:rsidRPr="00140B4C">
              <w:rPr>
                <w:rFonts w:ascii="Arial" w:eastAsia="Calibri" w:hAnsi="Arial"/>
                <w:sz w:val="16"/>
                <w:szCs w:val="23"/>
              </w:rPr>
              <w:t>%</w:t>
            </w:r>
          </w:p>
        </w:tc>
      </w:tr>
      <w:tr w:rsidR="00140B4C" w:rsidRPr="00140B4C" w:rsidTr="006458D4">
        <w:trPr>
          <w:trHeight w:val="216"/>
          <w:jc w:val="center"/>
        </w:trPr>
        <w:tc>
          <w:tcPr>
            <w:tcW w:w="3640" w:type="dxa"/>
            <w:tcBorders>
              <w:top w:val="nil"/>
              <w:left w:val="single" w:sz="4" w:space="0" w:color="009900"/>
              <w:bottom w:val="nil"/>
              <w:right w:val="nil"/>
            </w:tcBorders>
            <w:shd w:val="clear" w:color="000000" w:fill="FFFFE1"/>
            <w:noWrap/>
            <w:vAlign w:val="center"/>
            <w:hideMark/>
          </w:tcPr>
          <w:p w:rsidR="00140B4C" w:rsidRPr="00140B4C" w:rsidRDefault="00140B4C" w:rsidP="00140B4C">
            <w:pPr>
              <w:ind w:left="180" w:hanging="180"/>
              <w:rPr>
                <w:rFonts w:ascii="Arial" w:eastAsia="Calibri" w:hAnsi="Arial"/>
                <w:sz w:val="16"/>
                <w:szCs w:val="16"/>
              </w:rPr>
            </w:pPr>
            <w:r w:rsidRPr="00140B4C">
              <w:rPr>
                <w:rFonts w:ascii="Arial" w:eastAsia="Calibri" w:hAnsi="Arial"/>
                <w:sz w:val="16"/>
                <w:szCs w:val="16"/>
              </w:rPr>
              <w:t>For Sale</w:t>
            </w:r>
          </w:p>
        </w:tc>
        <w:tc>
          <w:tcPr>
            <w:tcW w:w="900" w:type="dxa"/>
            <w:tcBorders>
              <w:top w:val="nil"/>
              <w:left w:val="nil"/>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10,693</w:t>
            </w:r>
          </w:p>
        </w:tc>
        <w:tc>
          <w:tcPr>
            <w:tcW w:w="990" w:type="dxa"/>
            <w:tcBorders>
              <w:top w:val="nil"/>
              <w:left w:val="nil"/>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10.4</w:t>
            </w:r>
            <w:r w:rsidRPr="00140B4C">
              <w:rPr>
                <w:rFonts w:ascii="Arial" w:eastAsia="Calibri" w:hAnsi="Arial"/>
                <w:sz w:val="16"/>
                <w:szCs w:val="23"/>
              </w:rPr>
              <w:t>%</w:t>
            </w:r>
          </w:p>
        </w:tc>
        <w:tc>
          <w:tcPr>
            <w:tcW w:w="900" w:type="dxa"/>
            <w:tcBorders>
              <w:top w:val="nil"/>
              <w:left w:val="nil"/>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11,050</w:t>
            </w:r>
          </w:p>
        </w:tc>
        <w:tc>
          <w:tcPr>
            <w:tcW w:w="990" w:type="dxa"/>
            <w:tcBorders>
              <w:top w:val="nil"/>
              <w:left w:val="nil"/>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10.0</w:t>
            </w:r>
            <w:r w:rsidRPr="00140B4C">
              <w:rPr>
                <w:rFonts w:ascii="Arial" w:eastAsia="Calibri" w:hAnsi="Arial"/>
                <w:sz w:val="16"/>
                <w:szCs w:val="23"/>
              </w:rPr>
              <w:t>%</w:t>
            </w:r>
          </w:p>
        </w:tc>
        <w:tc>
          <w:tcPr>
            <w:tcW w:w="1009" w:type="dxa"/>
            <w:tcBorders>
              <w:top w:val="nil"/>
              <w:left w:val="dotted" w:sz="4" w:space="0" w:color="009900"/>
              <w:bottom w:val="nil"/>
              <w:right w:val="single" w:sz="4" w:space="0" w:color="009900"/>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3.34</w:t>
            </w:r>
            <w:r w:rsidRPr="00140B4C">
              <w:rPr>
                <w:rFonts w:ascii="Arial" w:eastAsia="Calibri" w:hAnsi="Arial"/>
                <w:sz w:val="16"/>
                <w:szCs w:val="23"/>
              </w:rPr>
              <w:t>%</w:t>
            </w:r>
          </w:p>
        </w:tc>
      </w:tr>
      <w:tr w:rsidR="00140B4C" w:rsidRPr="00140B4C" w:rsidTr="006458D4">
        <w:trPr>
          <w:trHeight w:val="216"/>
          <w:jc w:val="center"/>
        </w:trPr>
        <w:tc>
          <w:tcPr>
            <w:tcW w:w="3640" w:type="dxa"/>
            <w:tcBorders>
              <w:top w:val="nil"/>
              <w:left w:val="single" w:sz="4" w:space="0" w:color="009900"/>
              <w:bottom w:val="nil"/>
              <w:right w:val="nil"/>
            </w:tcBorders>
            <w:shd w:val="clear" w:color="000000" w:fill="FFFFE1"/>
            <w:noWrap/>
            <w:vAlign w:val="center"/>
            <w:hideMark/>
          </w:tcPr>
          <w:p w:rsidR="00140B4C" w:rsidRPr="00140B4C" w:rsidRDefault="00140B4C" w:rsidP="00140B4C">
            <w:pPr>
              <w:ind w:left="180" w:hanging="180"/>
              <w:rPr>
                <w:rFonts w:ascii="Arial" w:eastAsia="Calibri" w:hAnsi="Arial"/>
                <w:sz w:val="16"/>
                <w:szCs w:val="16"/>
              </w:rPr>
            </w:pPr>
            <w:r w:rsidRPr="00140B4C">
              <w:rPr>
                <w:rFonts w:ascii="Arial" w:eastAsia="Calibri" w:hAnsi="Arial"/>
                <w:sz w:val="16"/>
                <w:szCs w:val="16"/>
              </w:rPr>
              <w:t>Rented or Sold, Not Occupied</w:t>
            </w:r>
          </w:p>
        </w:tc>
        <w:tc>
          <w:tcPr>
            <w:tcW w:w="900" w:type="dxa"/>
            <w:tcBorders>
              <w:top w:val="nil"/>
              <w:left w:val="nil"/>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4,738</w:t>
            </w:r>
          </w:p>
        </w:tc>
        <w:tc>
          <w:tcPr>
            <w:tcW w:w="990" w:type="dxa"/>
            <w:tcBorders>
              <w:top w:val="nil"/>
              <w:left w:val="nil"/>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4.6</w:t>
            </w:r>
            <w:r w:rsidRPr="00140B4C">
              <w:rPr>
                <w:rFonts w:ascii="Arial" w:eastAsia="Calibri" w:hAnsi="Arial"/>
                <w:sz w:val="16"/>
                <w:szCs w:val="23"/>
              </w:rPr>
              <w:t>%</w:t>
            </w:r>
          </w:p>
        </w:tc>
        <w:tc>
          <w:tcPr>
            <w:tcW w:w="900" w:type="dxa"/>
            <w:tcBorders>
              <w:top w:val="nil"/>
              <w:left w:val="nil"/>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3,446</w:t>
            </w:r>
          </w:p>
        </w:tc>
        <w:tc>
          <w:tcPr>
            <w:tcW w:w="990" w:type="dxa"/>
            <w:tcBorders>
              <w:top w:val="nil"/>
              <w:left w:val="nil"/>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3.1</w:t>
            </w:r>
            <w:r w:rsidRPr="00140B4C">
              <w:rPr>
                <w:rFonts w:ascii="Arial" w:eastAsia="Calibri" w:hAnsi="Arial"/>
                <w:sz w:val="16"/>
                <w:szCs w:val="23"/>
              </w:rPr>
              <w:t>%</w:t>
            </w:r>
          </w:p>
        </w:tc>
        <w:tc>
          <w:tcPr>
            <w:tcW w:w="1009" w:type="dxa"/>
            <w:tcBorders>
              <w:top w:val="nil"/>
              <w:left w:val="dotted" w:sz="4" w:space="0" w:color="009900"/>
              <w:bottom w:val="nil"/>
              <w:right w:val="single" w:sz="4" w:space="0" w:color="009900"/>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-27.27</w:t>
            </w:r>
            <w:r w:rsidRPr="00140B4C">
              <w:rPr>
                <w:rFonts w:ascii="Arial" w:eastAsia="Calibri" w:hAnsi="Arial"/>
                <w:sz w:val="16"/>
                <w:szCs w:val="23"/>
              </w:rPr>
              <w:t>%</w:t>
            </w:r>
          </w:p>
        </w:tc>
      </w:tr>
      <w:tr w:rsidR="00140B4C" w:rsidRPr="00140B4C" w:rsidTr="006458D4">
        <w:trPr>
          <w:trHeight w:val="216"/>
          <w:jc w:val="center"/>
        </w:trPr>
        <w:tc>
          <w:tcPr>
            <w:tcW w:w="3640" w:type="dxa"/>
            <w:tcBorders>
              <w:top w:val="nil"/>
              <w:left w:val="single" w:sz="4" w:space="0" w:color="009900"/>
              <w:bottom w:val="nil"/>
              <w:right w:val="nil"/>
            </w:tcBorders>
            <w:shd w:val="clear" w:color="000000" w:fill="FFFFE1"/>
            <w:noWrap/>
            <w:vAlign w:val="center"/>
            <w:hideMark/>
          </w:tcPr>
          <w:p w:rsidR="00140B4C" w:rsidRPr="00140B4C" w:rsidRDefault="00140B4C" w:rsidP="00140B4C">
            <w:pPr>
              <w:ind w:left="180" w:hanging="180"/>
              <w:rPr>
                <w:rFonts w:ascii="Arial" w:eastAsia="Calibri" w:hAnsi="Arial"/>
                <w:sz w:val="16"/>
                <w:szCs w:val="16"/>
              </w:rPr>
            </w:pPr>
            <w:r w:rsidRPr="00140B4C">
              <w:rPr>
                <w:rFonts w:ascii="Arial" w:eastAsia="Calibri" w:hAnsi="Arial"/>
                <w:sz w:val="16"/>
                <w:szCs w:val="16"/>
              </w:rPr>
              <w:t>For Seasonal, Recreational, or Occasional Use</w:t>
            </w:r>
          </w:p>
        </w:tc>
        <w:tc>
          <w:tcPr>
            <w:tcW w:w="900" w:type="dxa"/>
            <w:tcBorders>
              <w:top w:val="nil"/>
              <w:left w:val="nil"/>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31,990</w:t>
            </w:r>
          </w:p>
        </w:tc>
        <w:tc>
          <w:tcPr>
            <w:tcW w:w="990" w:type="dxa"/>
            <w:tcBorders>
              <w:top w:val="nil"/>
              <w:left w:val="nil"/>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31.2</w:t>
            </w:r>
            <w:r w:rsidRPr="00140B4C">
              <w:rPr>
                <w:rFonts w:ascii="Arial" w:eastAsia="Calibri" w:hAnsi="Arial"/>
                <w:sz w:val="16"/>
                <w:szCs w:val="23"/>
              </w:rPr>
              <w:t>%</w:t>
            </w:r>
          </w:p>
        </w:tc>
        <w:tc>
          <w:tcPr>
            <w:tcW w:w="900" w:type="dxa"/>
            <w:tcBorders>
              <w:top w:val="nil"/>
              <w:left w:val="nil"/>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36,612</w:t>
            </w:r>
          </w:p>
        </w:tc>
        <w:tc>
          <w:tcPr>
            <w:tcW w:w="990" w:type="dxa"/>
            <w:tcBorders>
              <w:top w:val="nil"/>
              <w:left w:val="nil"/>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33.3</w:t>
            </w:r>
            <w:r w:rsidRPr="00140B4C">
              <w:rPr>
                <w:rFonts w:ascii="Arial" w:eastAsia="Calibri" w:hAnsi="Arial"/>
                <w:sz w:val="16"/>
                <w:szCs w:val="23"/>
              </w:rPr>
              <w:t>%</w:t>
            </w:r>
          </w:p>
        </w:tc>
        <w:tc>
          <w:tcPr>
            <w:tcW w:w="1009" w:type="dxa"/>
            <w:tcBorders>
              <w:top w:val="nil"/>
              <w:left w:val="dotted" w:sz="4" w:space="0" w:color="009900"/>
              <w:bottom w:val="nil"/>
              <w:right w:val="single" w:sz="4" w:space="0" w:color="009900"/>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14.45</w:t>
            </w:r>
            <w:r w:rsidRPr="00140B4C">
              <w:rPr>
                <w:rFonts w:ascii="Arial" w:eastAsia="Calibri" w:hAnsi="Arial"/>
                <w:sz w:val="16"/>
                <w:szCs w:val="23"/>
              </w:rPr>
              <w:t>%</w:t>
            </w:r>
          </w:p>
        </w:tc>
      </w:tr>
      <w:tr w:rsidR="00140B4C" w:rsidRPr="00140B4C" w:rsidTr="006458D4">
        <w:trPr>
          <w:trHeight w:val="216"/>
          <w:jc w:val="center"/>
        </w:trPr>
        <w:tc>
          <w:tcPr>
            <w:tcW w:w="3640" w:type="dxa"/>
            <w:tcBorders>
              <w:top w:val="nil"/>
              <w:left w:val="single" w:sz="4" w:space="0" w:color="009900"/>
              <w:bottom w:val="nil"/>
              <w:right w:val="nil"/>
            </w:tcBorders>
            <w:shd w:val="clear" w:color="000000" w:fill="FFFFE1"/>
            <w:noWrap/>
            <w:vAlign w:val="center"/>
            <w:hideMark/>
          </w:tcPr>
          <w:p w:rsidR="00140B4C" w:rsidRPr="00140B4C" w:rsidRDefault="00140B4C" w:rsidP="00140B4C">
            <w:pPr>
              <w:ind w:left="180" w:hanging="180"/>
              <w:rPr>
                <w:rFonts w:ascii="Arial" w:eastAsia="Calibri" w:hAnsi="Arial"/>
                <w:sz w:val="16"/>
                <w:szCs w:val="16"/>
              </w:rPr>
            </w:pPr>
            <w:r w:rsidRPr="00140B4C">
              <w:rPr>
                <w:rFonts w:ascii="Arial" w:eastAsia="Calibri" w:hAnsi="Arial"/>
                <w:sz w:val="16"/>
                <w:szCs w:val="16"/>
              </w:rPr>
              <w:t>For Migrant Workers</w:t>
            </w:r>
          </w:p>
        </w:tc>
        <w:tc>
          <w:tcPr>
            <w:tcW w:w="900" w:type="dxa"/>
            <w:tcBorders>
              <w:top w:val="nil"/>
              <w:left w:val="nil"/>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332</w:t>
            </w:r>
          </w:p>
        </w:tc>
        <w:tc>
          <w:tcPr>
            <w:tcW w:w="990" w:type="dxa"/>
            <w:tcBorders>
              <w:top w:val="nil"/>
              <w:left w:val="nil"/>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sz w:val="16"/>
                <w:szCs w:val="23"/>
              </w:rPr>
              <w:t>0</w:t>
            </w:r>
            <w:r w:rsidRPr="00140B4C">
              <w:rPr>
                <w:rFonts w:ascii="Arial" w:eastAsia="Calibri" w:hAnsi="Arial"/>
                <w:noProof/>
                <w:sz w:val="16"/>
                <w:szCs w:val="23"/>
              </w:rPr>
              <w:t>.3</w:t>
            </w:r>
            <w:r w:rsidRPr="00140B4C">
              <w:rPr>
                <w:rFonts w:ascii="Arial" w:eastAsia="Calibri" w:hAnsi="Arial"/>
                <w:sz w:val="16"/>
                <w:szCs w:val="23"/>
              </w:rPr>
              <w:t>%</w:t>
            </w:r>
          </w:p>
        </w:tc>
        <w:tc>
          <w:tcPr>
            <w:tcW w:w="900" w:type="dxa"/>
            <w:tcBorders>
              <w:top w:val="nil"/>
              <w:left w:val="nil"/>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229</w:t>
            </w:r>
            <w:r w:rsidRPr="00140B4C">
              <w:rPr>
                <w:rFonts w:ascii="Arial" w:eastAsia="Calibri" w:hAnsi="Arial"/>
                <w:sz w:val="16"/>
                <w:szCs w:val="23"/>
              </w:rPr>
              <w:t>  </w:t>
            </w:r>
          </w:p>
        </w:tc>
        <w:tc>
          <w:tcPr>
            <w:tcW w:w="990" w:type="dxa"/>
            <w:tcBorders>
              <w:top w:val="nil"/>
              <w:left w:val="nil"/>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sz w:val="16"/>
                <w:szCs w:val="23"/>
              </w:rPr>
              <w:t>0</w:t>
            </w:r>
            <w:r w:rsidRPr="00140B4C">
              <w:rPr>
                <w:rFonts w:ascii="Arial" w:eastAsia="Calibri" w:hAnsi="Arial"/>
                <w:noProof/>
                <w:sz w:val="16"/>
                <w:szCs w:val="23"/>
              </w:rPr>
              <w:t>.2</w:t>
            </w:r>
            <w:r w:rsidRPr="00140B4C">
              <w:rPr>
                <w:rFonts w:ascii="Arial" w:eastAsia="Calibri" w:hAnsi="Arial"/>
                <w:sz w:val="16"/>
                <w:szCs w:val="23"/>
              </w:rPr>
              <w:t>%</w:t>
            </w:r>
          </w:p>
        </w:tc>
        <w:tc>
          <w:tcPr>
            <w:tcW w:w="1009" w:type="dxa"/>
            <w:tcBorders>
              <w:top w:val="nil"/>
              <w:left w:val="dotted" w:sz="4" w:space="0" w:color="009900"/>
              <w:bottom w:val="nil"/>
              <w:right w:val="single" w:sz="4" w:space="0" w:color="009900"/>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-31.02</w:t>
            </w:r>
            <w:r w:rsidRPr="00140B4C">
              <w:rPr>
                <w:rFonts w:ascii="Arial" w:eastAsia="Calibri" w:hAnsi="Arial"/>
                <w:sz w:val="16"/>
                <w:szCs w:val="23"/>
              </w:rPr>
              <w:t>%</w:t>
            </w:r>
          </w:p>
        </w:tc>
      </w:tr>
      <w:tr w:rsidR="00140B4C" w:rsidRPr="00140B4C" w:rsidTr="006458D4">
        <w:trPr>
          <w:trHeight w:val="216"/>
          <w:jc w:val="center"/>
        </w:trPr>
        <w:tc>
          <w:tcPr>
            <w:tcW w:w="3640" w:type="dxa"/>
            <w:tcBorders>
              <w:top w:val="nil"/>
              <w:left w:val="single" w:sz="4" w:space="0" w:color="009900"/>
              <w:bottom w:val="nil"/>
              <w:right w:val="nil"/>
            </w:tcBorders>
            <w:shd w:val="clear" w:color="000000" w:fill="FFFFE1"/>
            <w:noWrap/>
            <w:vAlign w:val="center"/>
            <w:hideMark/>
          </w:tcPr>
          <w:p w:rsidR="00140B4C" w:rsidRPr="00140B4C" w:rsidRDefault="00140B4C" w:rsidP="00140B4C">
            <w:pPr>
              <w:ind w:left="180" w:hanging="180"/>
              <w:rPr>
                <w:rFonts w:ascii="Arial" w:eastAsia="Calibri" w:hAnsi="Arial"/>
                <w:sz w:val="16"/>
                <w:szCs w:val="16"/>
              </w:rPr>
            </w:pPr>
            <w:r w:rsidRPr="00140B4C">
              <w:rPr>
                <w:rFonts w:ascii="Arial" w:eastAsia="Calibri" w:hAnsi="Arial"/>
                <w:sz w:val="16"/>
                <w:szCs w:val="16"/>
              </w:rPr>
              <w:t>Other Vacant</w:t>
            </w:r>
          </w:p>
        </w:tc>
        <w:tc>
          <w:tcPr>
            <w:tcW w:w="900" w:type="dxa"/>
            <w:tcBorders>
              <w:top w:val="nil"/>
              <w:left w:val="nil"/>
              <w:bottom w:val="double" w:sz="6" w:space="0" w:color="009900"/>
              <w:right w:val="nil"/>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28,158</w:t>
            </w:r>
          </w:p>
        </w:tc>
        <w:tc>
          <w:tcPr>
            <w:tcW w:w="990" w:type="dxa"/>
            <w:tcBorders>
              <w:top w:val="nil"/>
              <w:left w:val="nil"/>
              <w:bottom w:val="double" w:sz="6" w:space="0" w:color="009900"/>
              <w:right w:val="nil"/>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27.4</w:t>
            </w:r>
            <w:r w:rsidRPr="00140B4C">
              <w:rPr>
                <w:rFonts w:ascii="Arial" w:eastAsia="Calibri" w:hAnsi="Arial"/>
                <w:sz w:val="16"/>
                <w:szCs w:val="23"/>
              </w:rPr>
              <w:t>%</w:t>
            </w:r>
          </w:p>
        </w:tc>
        <w:tc>
          <w:tcPr>
            <w:tcW w:w="900" w:type="dxa"/>
            <w:tcBorders>
              <w:top w:val="nil"/>
              <w:left w:val="nil"/>
              <w:bottom w:val="double" w:sz="6" w:space="0" w:color="009900"/>
              <w:right w:val="nil"/>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36,506</w:t>
            </w:r>
            <w:r w:rsidRPr="00140B4C">
              <w:rPr>
                <w:rFonts w:ascii="Arial" w:eastAsia="Calibri" w:hAnsi="Arial"/>
                <w:sz w:val="16"/>
                <w:szCs w:val="23"/>
              </w:rPr>
              <w:t> </w:t>
            </w:r>
          </w:p>
        </w:tc>
        <w:tc>
          <w:tcPr>
            <w:tcW w:w="990" w:type="dxa"/>
            <w:tcBorders>
              <w:top w:val="nil"/>
              <w:left w:val="nil"/>
              <w:bottom w:val="double" w:sz="6" w:space="0" w:color="009900"/>
              <w:right w:val="nil"/>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33.2</w:t>
            </w:r>
            <w:r w:rsidRPr="00140B4C">
              <w:rPr>
                <w:rFonts w:ascii="Arial" w:eastAsia="Calibri" w:hAnsi="Arial"/>
                <w:sz w:val="16"/>
                <w:szCs w:val="23"/>
              </w:rPr>
              <w:t>%</w:t>
            </w:r>
          </w:p>
        </w:tc>
        <w:tc>
          <w:tcPr>
            <w:tcW w:w="1009" w:type="dxa"/>
            <w:tcBorders>
              <w:top w:val="nil"/>
              <w:left w:val="dotted" w:sz="4" w:space="0" w:color="009900"/>
              <w:bottom w:val="nil"/>
              <w:right w:val="single" w:sz="4" w:space="0" w:color="009900"/>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29.65</w:t>
            </w:r>
            <w:r w:rsidRPr="00140B4C">
              <w:rPr>
                <w:rFonts w:ascii="Arial" w:eastAsia="Calibri" w:hAnsi="Arial"/>
                <w:sz w:val="16"/>
                <w:szCs w:val="23"/>
              </w:rPr>
              <w:t>%</w:t>
            </w:r>
          </w:p>
        </w:tc>
      </w:tr>
      <w:tr w:rsidR="00140B4C" w:rsidRPr="00140B4C" w:rsidTr="006458D4">
        <w:trPr>
          <w:trHeight w:val="216"/>
          <w:jc w:val="center"/>
        </w:trPr>
        <w:tc>
          <w:tcPr>
            <w:tcW w:w="3640" w:type="dxa"/>
            <w:tcBorders>
              <w:top w:val="double" w:sz="6" w:space="0" w:color="009900"/>
              <w:left w:val="single" w:sz="4" w:space="0" w:color="009900"/>
              <w:bottom w:val="single" w:sz="4" w:space="0" w:color="009900"/>
              <w:right w:val="nil"/>
            </w:tcBorders>
            <w:shd w:val="clear" w:color="000000" w:fill="FFFFE1"/>
            <w:noWrap/>
            <w:vAlign w:val="center"/>
            <w:hideMark/>
          </w:tcPr>
          <w:p w:rsidR="00140B4C" w:rsidRPr="00140B4C" w:rsidRDefault="00140B4C" w:rsidP="00140B4C">
            <w:pPr>
              <w:suppressAutoHyphens/>
              <w:rPr>
                <w:rFonts w:ascii="Arial" w:eastAsia="Calibri" w:hAnsi="Arial"/>
                <w:b/>
                <w:sz w:val="16"/>
                <w:szCs w:val="23"/>
              </w:rPr>
            </w:pPr>
            <w:r w:rsidRPr="00140B4C">
              <w:rPr>
                <w:rFonts w:ascii="Arial" w:eastAsia="Calibri" w:hAnsi="Arial"/>
                <w:b/>
                <w:sz w:val="16"/>
                <w:szCs w:val="23"/>
              </w:rPr>
              <w:t>Total</w:t>
            </w:r>
          </w:p>
        </w:tc>
        <w:tc>
          <w:tcPr>
            <w:tcW w:w="900" w:type="dxa"/>
            <w:tcBorders>
              <w:top w:val="nil"/>
              <w:left w:val="nil"/>
              <w:bottom w:val="single" w:sz="4" w:space="0" w:color="009900"/>
              <w:right w:val="nil"/>
            </w:tcBorders>
            <w:shd w:val="clear" w:color="000000" w:fill="FFFFE1"/>
            <w:noWrap/>
            <w:vAlign w:val="center"/>
            <w:hideMark/>
          </w:tcPr>
          <w:p w:rsidR="00140B4C" w:rsidRPr="00140B4C" w:rsidRDefault="00140B4C" w:rsidP="00140B4C">
            <w:pPr>
              <w:suppressAutoHyphens/>
              <w:jc w:val="center"/>
              <w:rPr>
                <w:rFonts w:ascii="Arial" w:eastAsia="Calibri" w:hAnsi="Arial"/>
                <w:b/>
                <w:bCs/>
                <w:sz w:val="16"/>
                <w:szCs w:val="23"/>
              </w:rPr>
            </w:pPr>
            <w:r w:rsidRPr="00140B4C">
              <w:rPr>
                <w:rFonts w:ascii="Arial" w:eastAsia="Calibri" w:hAnsi="Arial"/>
                <w:b/>
                <w:noProof/>
                <w:sz w:val="16"/>
                <w:szCs w:val="23"/>
              </w:rPr>
              <w:t>102,608</w:t>
            </w:r>
          </w:p>
        </w:tc>
        <w:tc>
          <w:tcPr>
            <w:tcW w:w="990" w:type="dxa"/>
            <w:tcBorders>
              <w:top w:val="nil"/>
              <w:left w:val="nil"/>
              <w:bottom w:val="single" w:sz="4" w:space="0" w:color="009900"/>
              <w:right w:val="nil"/>
            </w:tcBorders>
            <w:shd w:val="clear" w:color="000000" w:fill="FFFFE1"/>
            <w:noWrap/>
            <w:vAlign w:val="center"/>
            <w:hideMark/>
          </w:tcPr>
          <w:p w:rsidR="00140B4C" w:rsidRPr="00140B4C" w:rsidRDefault="00140B4C" w:rsidP="00140B4C">
            <w:pPr>
              <w:suppressAutoHyphens/>
              <w:jc w:val="center"/>
              <w:rPr>
                <w:rFonts w:ascii="Arial" w:eastAsia="Calibri" w:hAnsi="Arial"/>
                <w:b/>
                <w:sz w:val="16"/>
                <w:szCs w:val="23"/>
              </w:rPr>
            </w:pPr>
            <w:r w:rsidRPr="00140B4C">
              <w:rPr>
                <w:rFonts w:ascii="Arial" w:eastAsia="Calibri" w:hAnsi="Arial"/>
                <w:b/>
                <w:sz w:val="16"/>
                <w:szCs w:val="23"/>
              </w:rPr>
              <w:t>100.0%</w:t>
            </w:r>
          </w:p>
        </w:tc>
        <w:tc>
          <w:tcPr>
            <w:tcW w:w="900" w:type="dxa"/>
            <w:tcBorders>
              <w:top w:val="nil"/>
              <w:left w:val="nil"/>
              <w:bottom w:val="single" w:sz="4" w:space="0" w:color="009900"/>
              <w:right w:val="nil"/>
            </w:tcBorders>
            <w:shd w:val="clear" w:color="000000" w:fill="FFFFE1"/>
            <w:noWrap/>
            <w:vAlign w:val="center"/>
            <w:hideMark/>
          </w:tcPr>
          <w:p w:rsidR="00140B4C" w:rsidRPr="00140B4C" w:rsidRDefault="00140B4C" w:rsidP="00140B4C">
            <w:pPr>
              <w:suppressAutoHyphens/>
              <w:jc w:val="center"/>
              <w:rPr>
                <w:rFonts w:ascii="Arial" w:eastAsia="Calibri" w:hAnsi="Arial"/>
                <w:b/>
                <w:bCs/>
                <w:sz w:val="16"/>
                <w:szCs w:val="23"/>
              </w:rPr>
            </w:pPr>
            <w:r w:rsidRPr="00140B4C">
              <w:rPr>
                <w:rFonts w:ascii="Arial" w:eastAsia="Calibri" w:hAnsi="Arial"/>
                <w:b/>
                <w:noProof/>
                <w:sz w:val="16"/>
                <w:szCs w:val="23"/>
              </w:rPr>
              <w:t>109,993</w:t>
            </w:r>
            <w:r w:rsidRPr="00140B4C">
              <w:rPr>
                <w:rFonts w:ascii="Arial" w:eastAsia="Calibri" w:hAnsi="Arial"/>
                <w:b/>
                <w:sz w:val="16"/>
                <w:szCs w:val="23"/>
              </w:rPr>
              <w:t> </w:t>
            </w:r>
          </w:p>
        </w:tc>
        <w:tc>
          <w:tcPr>
            <w:tcW w:w="990" w:type="dxa"/>
            <w:tcBorders>
              <w:top w:val="nil"/>
              <w:left w:val="nil"/>
              <w:bottom w:val="single" w:sz="4" w:space="0" w:color="009900"/>
              <w:right w:val="nil"/>
            </w:tcBorders>
            <w:shd w:val="clear" w:color="000000" w:fill="FFFFE1"/>
            <w:noWrap/>
            <w:vAlign w:val="center"/>
            <w:hideMark/>
          </w:tcPr>
          <w:p w:rsidR="00140B4C" w:rsidRPr="00140B4C" w:rsidRDefault="00140B4C" w:rsidP="00140B4C">
            <w:pPr>
              <w:suppressAutoHyphens/>
              <w:jc w:val="center"/>
              <w:rPr>
                <w:rFonts w:ascii="Arial" w:eastAsia="Calibri" w:hAnsi="Arial"/>
                <w:b/>
                <w:sz w:val="16"/>
                <w:szCs w:val="23"/>
              </w:rPr>
            </w:pPr>
            <w:r w:rsidRPr="00140B4C">
              <w:rPr>
                <w:rFonts w:ascii="Arial" w:eastAsia="Calibri" w:hAnsi="Arial"/>
                <w:b/>
                <w:sz w:val="16"/>
                <w:szCs w:val="23"/>
              </w:rPr>
              <w:t>100.0%</w:t>
            </w:r>
          </w:p>
        </w:tc>
        <w:tc>
          <w:tcPr>
            <w:tcW w:w="1009" w:type="dxa"/>
            <w:tcBorders>
              <w:top w:val="double" w:sz="6" w:space="0" w:color="009900"/>
              <w:left w:val="dotted" w:sz="4" w:space="0" w:color="009900"/>
              <w:bottom w:val="single" w:sz="4" w:space="0" w:color="009900"/>
              <w:right w:val="single" w:sz="4" w:space="0" w:color="009900"/>
            </w:tcBorders>
            <w:shd w:val="clear" w:color="000000" w:fill="FFFFE1"/>
            <w:noWrap/>
            <w:vAlign w:val="center"/>
            <w:hideMark/>
          </w:tcPr>
          <w:p w:rsidR="00140B4C" w:rsidRPr="00140B4C" w:rsidRDefault="00140B4C" w:rsidP="00140B4C">
            <w:pPr>
              <w:suppressAutoHyphens/>
              <w:jc w:val="center"/>
              <w:rPr>
                <w:rFonts w:ascii="Arial" w:eastAsia="Calibri" w:hAnsi="Arial"/>
                <w:b/>
                <w:bCs/>
                <w:sz w:val="16"/>
                <w:szCs w:val="23"/>
              </w:rPr>
            </w:pPr>
            <w:r w:rsidRPr="00140B4C">
              <w:rPr>
                <w:rFonts w:ascii="Arial" w:eastAsia="Calibri" w:hAnsi="Arial"/>
                <w:b/>
                <w:noProof/>
                <w:sz w:val="16"/>
                <w:szCs w:val="23"/>
              </w:rPr>
              <w:t>7.2</w:t>
            </w:r>
            <w:r w:rsidRPr="00140B4C">
              <w:rPr>
                <w:rFonts w:ascii="Arial" w:eastAsia="Calibri" w:hAnsi="Arial"/>
                <w:b/>
                <w:sz w:val="16"/>
                <w:szCs w:val="23"/>
              </w:rPr>
              <w:t>%</w:t>
            </w:r>
          </w:p>
        </w:tc>
      </w:tr>
    </w:tbl>
    <w:p w:rsidR="005471FD" w:rsidRPr="005471FD" w:rsidRDefault="005471FD" w:rsidP="00B27797">
      <w:pPr>
        <w:pStyle w:val="BodyText"/>
        <w:tabs>
          <w:tab w:val="num" w:pos="360"/>
        </w:tabs>
        <w:rPr>
          <w:rFonts w:ascii="CG Omega" w:hAnsi="CG Omega"/>
          <w:sz w:val="18"/>
          <w:szCs w:val="18"/>
        </w:rPr>
      </w:pPr>
    </w:p>
    <w:p w:rsidR="002913C2" w:rsidRDefault="006023CD" w:rsidP="00B27797">
      <w:pPr>
        <w:pStyle w:val="BodyText"/>
        <w:tabs>
          <w:tab w:val="num" w:pos="360"/>
        </w:tabs>
        <w:rPr>
          <w:rFonts w:ascii="CG Omega" w:hAnsi="CG Omega"/>
          <w:szCs w:val="24"/>
        </w:rPr>
      </w:pPr>
      <w:r w:rsidRPr="008D62B1">
        <w:rPr>
          <w:rFonts w:ascii="CG Omega" w:hAnsi="CG Omega"/>
          <w:szCs w:val="24"/>
        </w:rPr>
        <w:t>More recent information on housing vacancy</w:t>
      </w:r>
      <w:r w:rsidR="00646D77" w:rsidRPr="008D62B1">
        <w:rPr>
          <w:rFonts w:ascii="CG Omega" w:hAnsi="CG Omega"/>
          <w:szCs w:val="24"/>
        </w:rPr>
        <w:t xml:space="preserve"> rates</w:t>
      </w:r>
      <w:r w:rsidR="00965C11" w:rsidRPr="008D62B1">
        <w:rPr>
          <w:rFonts w:ascii="CG Omega" w:hAnsi="CG Omega"/>
          <w:szCs w:val="24"/>
        </w:rPr>
        <w:t>, as drawn from annual Census Bureau surveys,</w:t>
      </w:r>
      <w:r w:rsidR="00646D77" w:rsidRPr="008D62B1">
        <w:rPr>
          <w:rFonts w:ascii="CG Omega" w:hAnsi="CG Omega"/>
          <w:szCs w:val="24"/>
        </w:rPr>
        <w:t xml:space="preserve"> is presented on the following page in </w:t>
      </w:r>
      <w:r w:rsidR="00646D77" w:rsidRPr="005471FD">
        <w:rPr>
          <w:rFonts w:ascii="CG Omega" w:hAnsi="CG Omega"/>
          <w:b/>
          <w:szCs w:val="24"/>
        </w:rPr>
        <w:t xml:space="preserve">Diagram </w:t>
      </w:r>
      <w:r w:rsidR="00B72905" w:rsidRPr="005471FD">
        <w:rPr>
          <w:rFonts w:ascii="CG Omega" w:hAnsi="CG Omega"/>
          <w:b/>
          <w:szCs w:val="24"/>
        </w:rPr>
        <w:t>IV</w:t>
      </w:r>
      <w:r w:rsidR="00646D77" w:rsidRPr="005471FD">
        <w:rPr>
          <w:rFonts w:ascii="CG Omega" w:hAnsi="CG Omega"/>
          <w:b/>
          <w:szCs w:val="24"/>
        </w:rPr>
        <w:t>.</w:t>
      </w:r>
      <w:r w:rsidR="00B72905" w:rsidRPr="005471FD">
        <w:rPr>
          <w:rFonts w:ascii="CG Omega" w:hAnsi="CG Omega"/>
          <w:b/>
          <w:szCs w:val="24"/>
        </w:rPr>
        <w:t>2</w:t>
      </w:r>
      <w:r w:rsidR="00B72905" w:rsidRPr="00B72905">
        <w:rPr>
          <w:rFonts w:ascii="CG Omega" w:hAnsi="CG Omega"/>
          <w:szCs w:val="24"/>
        </w:rPr>
        <w:t>.</w:t>
      </w:r>
      <w:r w:rsidR="00646D77" w:rsidRPr="00B72905">
        <w:rPr>
          <w:rFonts w:ascii="CG Omega" w:hAnsi="CG Omega"/>
          <w:szCs w:val="24"/>
        </w:rPr>
        <w:t xml:space="preserve">  </w:t>
      </w:r>
      <w:r w:rsidR="00646D77" w:rsidRPr="008D62B1">
        <w:rPr>
          <w:rFonts w:ascii="CG Omega" w:hAnsi="CG Omega"/>
          <w:szCs w:val="24"/>
        </w:rPr>
        <w:t xml:space="preserve">This diagram shows that vacancy rates for </w:t>
      </w:r>
      <w:r w:rsidR="00BB2854">
        <w:rPr>
          <w:rFonts w:ascii="CG Omega" w:hAnsi="CG Omega"/>
          <w:szCs w:val="24"/>
        </w:rPr>
        <w:t>owner occupied</w:t>
      </w:r>
      <w:r w:rsidR="00646D77" w:rsidRPr="008D62B1">
        <w:rPr>
          <w:rFonts w:ascii="CG Omega" w:hAnsi="CG Omega"/>
          <w:szCs w:val="24"/>
        </w:rPr>
        <w:t xml:space="preserve"> housing have fluctuated greatly in the last 25 years, sometimes exceeding and sometimes falling lower than national rates. </w:t>
      </w:r>
      <w:r w:rsidR="008D62B1" w:rsidRPr="008D62B1">
        <w:rPr>
          <w:rFonts w:ascii="CG Omega" w:hAnsi="CG Omega"/>
          <w:szCs w:val="24"/>
        </w:rPr>
        <w:t>Between</w:t>
      </w:r>
      <w:r w:rsidR="00646D77" w:rsidRPr="008D62B1">
        <w:rPr>
          <w:rFonts w:ascii="CG Omega" w:hAnsi="CG Omega"/>
          <w:szCs w:val="24"/>
        </w:rPr>
        <w:t xml:space="preserve"> 2007</w:t>
      </w:r>
      <w:r w:rsidR="008D62B1" w:rsidRPr="008D62B1">
        <w:rPr>
          <w:rFonts w:ascii="CG Omega" w:hAnsi="CG Omega"/>
          <w:szCs w:val="24"/>
        </w:rPr>
        <w:t xml:space="preserve"> and </w:t>
      </w:r>
      <w:r w:rsidR="008D62B1">
        <w:rPr>
          <w:rFonts w:ascii="CG Omega" w:hAnsi="CG Omega"/>
          <w:szCs w:val="24"/>
        </w:rPr>
        <w:t>2011</w:t>
      </w:r>
      <w:r w:rsidR="00646D77" w:rsidRPr="008D62B1">
        <w:rPr>
          <w:rFonts w:ascii="CG Omega" w:hAnsi="CG Omega"/>
          <w:szCs w:val="24"/>
        </w:rPr>
        <w:t xml:space="preserve">, New Mexico </w:t>
      </w:r>
      <w:r w:rsidR="00BB2854">
        <w:rPr>
          <w:rFonts w:ascii="CG Omega" w:hAnsi="CG Omega"/>
          <w:szCs w:val="24"/>
        </w:rPr>
        <w:t>owner occupied</w:t>
      </w:r>
      <w:r w:rsidR="00646D77" w:rsidRPr="008D62B1">
        <w:rPr>
          <w:rFonts w:ascii="CG Omega" w:hAnsi="CG Omega"/>
          <w:szCs w:val="24"/>
        </w:rPr>
        <w:t xml:space="preserve"> home vacancy rates ha</w:t>
      </w:r>
      <w:r w:rsidR="008D62B1" w:rsidRPr="008D62B1">
        <w:rPr>
          <w:rFonts w:ascii="CG Omega" w:hAnsi="CG Omega"/>
          <w:szCs w:val="24"/>
        </w:rPr>
        <w:t>d</w:t>
      </w:r>
      <w:r w:rsidR="00646D77" w:rsidRPr="008D62B1">
        <w:rPr>
          <w:rFonts w:ascii="CG Omega" w:hAnsi="CG Omega"/>
          <w:szCs w:val="24"/>
        </w:rPr>
        <w:t xml:space="preserve"> falle</w:t>
      </w:r>
      <w:r w:rsidR="008D62B1" w:rsidRPr="008D62B1">
        <w:rPr>
          <w:rFonts w:ascii="CG Omega" w:hAnsi="CG Omega"/>
          <w:szCs w:val="24"/>
        </w:rPr>
        <w:t>n while national rates had</w:t>
      </w:r>
      <w:r w:rsidR="002942AF" w:rsidRPr="008D62B1">
        <w:rPr>
          <w:rFonts w:ascii="CG Omega" w:hAnsi="CG Omega"/>
          <w:szCs w:val="24"/>
        </w:rPr>
        <w:t xml:space="preserve"> remain</w:t>
      </w:r>
      <w:r w:rsidR="00646D77" w:rsidRPr="008D62B1">
        <w:rPr>
          <w:rFonts w:ascii="CG Omega" w:hAnsi="CG Omega"/>
          <w:szCs w:val="24"/>
        </w:rPr>
        <w:t xml:space="preserve">ed steady. </w:t>
      </w:r>
      <w:r w:rsidR="008D62B1">
        <w:rPr>
          <w:rFonts w:ascii="CG Omega" w:hAnsi="CG Omega"/>
          <w:szCs w:val="24"/>
        </w:rPr>
        <w:t xml:space="preserve">In 2012, this reversed as New Mexico’s </w:t>
      </w:r>
      <w:r w:rsidR="009322FB">
        <w:rPr>
          <w:rFonts w:ascii="CG Omega" w:hAnsi="CG Omega"/>
          <w:szCs w:val="24"/>
        </w:rPr>
        <w:t>homeowner vacancy rates rose as</w:t>
      </w:r>
      <w:r w:rsidR="008D62B1">
        <w:rPr>
          <w:rFonts w:ascii="CG Omega" w:hAnsi="CG Omega"/>
          <w:szCs w:val="24"/>
        </w:rPr>
        <w:t xml:space="preserve"> national rates fell.</w:t>
      </w:r>
    </w:p>
    <w:p w:rsidR="008D62B1" w:rsidRDefault="008D62B1" w:rsidP="00B27797">
      <w:pPr>
        <w:pStyle w:val="BodyText"/>
        <w:tabs>
          <w:tab w:val="num" w:pos="360"/>
        </w:tabs>
        <w:rPr>
          <w:rFonts w:ascii="CG Omega" w:hAnsi="CG Omega"/>
          <w:sz w:val="16"/>
          <w:szCs w:val="16"/>
          <w:highlight w:val="yellow"/>
        </w:rPr>
      </w:pPr>
    </w:p>
    <w:p w:rsidR="008D62B1" w:rsidRPr="00671A7C" w:rsidRDefault="008D62B1" w:rsidP="008D62B1">
      <w:pPr>
        <w:pStyle w:val="NoSpacing"/>
        <w:jc w:val="center"/>
        <w:rPr>
          <w:rFonts w:ascii="Arial" w:hAnsi="Arial" w:cs="Arial"/>
          <w:b/>
        </w:rPr>
      </w:pPr>
      <w:r w:rsidRPr="00671A7C">
        <w:rPr>
          <w:rFonts w:ascii="Arial" w:hAnsi="Arial" w:cs="Arial"/>
          <w:b/>
        </w:rPr>
        <w:t xml:space="preserve">Diagram </w:t>
      </w:r>
      <w:r w:rsidR="00B72905">
        <w:rPr>
          <w:rFonts w:ascii="Arial" w:hAnsi="Arial" w:cs="Arial"/>
          <w:b/>
        </w:rPr>
        <w:t>IV.2</w:t>
      </w:r>
    </w:p>
    <w:p w:rsidR="008D62B1" w:rsidRPr="00671A7C" w:rsidRDefault="008D62B1" w:rsidP="008D62B1">
      <w:pPr>
        <w:pStyle w:val="NoSpacing"/>
        <w:jc w:val="center"/>
        <w:rPr>
          <w:rFonts w:ascii="Arial" w:hAnsi="Arial" w:cs="Arial"/>
          <w:b/>
          <w:sz w:val="20"/>
          <w:szCs w:val="20"/>
        </w:rPr>
      </w:pPr>
      <w:r>
        <w:rPr>
          <w:rFonts w:ascii="Arial" w:hAnsi="Arial" w:cs="Arial"/>
          <w:b/>
          <w:sz w:val="20"/>
          <w:szCs w:val="20"/>
        </w:rPr>
        <w:t>Homeowner Vacancy Rate</w:t>
      </w:r>
    </w:p>
    <w:p w:rsidR="008D62B1" w:rsidRPr="00671A7C" w:rsidRDefault="008D62B1" w:rsidP="008D62B1">
      <w:pPr>
        <w:pStyle w:val="NoSpacing"/>
        <w:jc w:val="center"/>
        <w:rPr>
          <w:rFonts w:ascii="Arial" w:hAnsi="Arial" w:cs="Arial"/>
          <w:sz w:val="16"/>
          <w:szCs w:val="16"/>
        </w:rPr>
      </w:pPr>
      <w:r w:rsidRPr="00671A7C">
        <w:rPr>
          <w:rFonts w:ascii="Arial" w:hAnsi="Arial" w:cs="Arial"/>
          <w:sz w:val="16"/>
          <w:szCs w:val="16"/>
        </w:rPr>
        <w:t>State of New Mexico</w:t>
      </w:r>
    </w:p>
    <w:p w:rsidR="00646D77" w:rsidRPr="008D62B1" w:rsidRDefault="008D62B1" w:rsidP="008D62B1">
      <w:pPr>
        <w:pStyle w:val="NoSpacing"/>
        <w:jc w:val="center"/>
        <w:rPr>
          <w:rFonts w:ascii="Arial" w:hAnsi="Arial" w:cs="Arial"/>
          <w:sz w:val="16"/>
          <w:szCs w:val="16"/>
        </w:rPr>
      </w:pPr>
      <w:r>
        <w:rPr>
          <w:rFonts w:ascii="Arial" w:hAnsi="Arial" w:cs="Arial"/>
          <w:sz w:val="16"/>
          <w:szCs w:val="16"/>
        </w:rPr>
        <w:t>Census Data, 1984 - 2014</w:t>
      </w:r>
    </w:p>
    <w:p w:rsidR="00D8786B" w:rsidRPr="00D8786B" w:rsidRDefault="008D62B1" w:rsidP="00D8786B">
      <w:pPr>
        <w:pStyle w:val="BodyText"/>
        <w:tabs>
          <w:tab w:val="num" w:pos="360"/>
        </w:tabs>
        <w:jc w:val="center"/>
        <w:rPr>
          <w:rFonts w:ascii="CG Omega" w:hAnsi="CG Omega"/>
          <w:sz w:val="8"/>
          <w:szCs w:val="8"/>
        </w:rPr>
      </w:pPr>
      <w:r>
        <w:rPr>
          <w:noProof/>
        </w:rPr>
        <w:drawing>
          <wp:inline distT="0" distB="0" distL="0" distR="0" wp14:anchorId="1CF3126D" wp14:editId="3416AC53">
            <wp:extent cx="4638675" cy="2133600"/>
            <wp:effectExtent l="0" t="0" r="0" b="0"/>
            <wp:docPr id="255" name="Chart 255"/>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646D77" w:rsidRPr="00955C8C" w:rsidRDefault="00646D77" w:rsidP="00D8786B">
      <w:pPr>
        <w:pStyle w:val="BodyText"/>
        <w:tabs>
          <w:tab w:val="num" w:pos="360"/>
        </w:tabs>
        <w:rPr>
          <w:rFonts w:ascii="CG Omega" w:hAnsi="CG Omega"/>
          <w:szCs w:val="24"/>
          <w:highlight w:val="yellow"/>
        </w:rPr>
      </w:pPr>
      <w:r w:rsidRPr="008D62B1">
        <w:rPr>
          <w:rFonts w:ascii="CG Omega" w:hAnsi="CG Omega"/>
          <w:szCs w:val="24"/>
        </w:rPr>
        <w:t>Census data regarding rental vacancy rates</w:t>
      </w:r>
      <w:r w:rsidR="00965C11" w:rsidRPr="008D62B1">
        <w:rPr>
          <w:rFonts w:ascii="CG Omega" w:hAnsi="CG Omega"/>
          <w:szCs w:val="24"/>
        </w:rPr>
        <w:t>, as drawn from the annual surveys conducted by the Census Bureau,</w:t>
      </w:r>
      <w:r w:rsidRPr="008D62B1">
        <w:rPr>
          <w:rFonts w:ascii="CG Omega" w:hAnsi="CG Omega"/>
          <w:szCs w:val="24"/>
        </w:rPr>
        <w:t xml:space="preserve"> were also examined.  As shown in </w:t>
      </w:r>
      <w:r w:rsidRPr="005471FD">
        <w:rPr>
          <w:rFonts w:ascii="CG Omega" w:hAnsi="CG Omega"/>
          <w:b/>
          <w:szCs w:val="24"/>
        </w:rPr>
        <w:t xml:space="preserve">Diagram </w:t>
      </w:r>
      <w:r w:rsidR="00B72905" w:rsidRPr="005471FD">
        <w:rPr>
          <w:rFonts w:ascii="CG Omega" w:hAnsi="CG Omega"/>
          <w:b/>
          <w:szCs w:val="24"/>
        </w:rPr>
        <w:t>IV.3</w:t>
      </w:r>
      <w:r w:rsidR="00662801">
        <w:rPr>
          <w:rFonts w:ascii="CG Omega" w:hAnsi="CG Omega"/>
          <w:szCs w:val="24"/>
        </w:rPr>
        <w:t>,</w:t>
      </w:r>
      <w:r w:rsidRPr="008D62B1">
        <w:rPr>
          <w:rFonts w:ascii="CG Omega" w:hAnsi="CG Omega"/>
          <w:szCs w:val="24"/>
        </w:rPr>
        <w:t xml:space="preserve"> </w:t>
      </w:r>
      <w:r w:rsidR="00E002ED" w:rsidRPr="008D62B1">
        <w:rPr>
          <w:rFonts w:ascii="CG Omega" w:hAnsi="CG Omega"/>
          <w:szCs w:val="24"/>
        </w:rPr>
        <w:t>some patterns seen in homeownership vacancy rates in the 1986 through 20</w:t>
      </w:r>
      <w:r w:rsidR="008D62B1" w:rsidRPr="008D62B1">
        <w:rPr>
          <w:rFonts w:ascii="CG Omega" w:hAnsi="CG Omega"/>
          <w:szCs w:val="24"/>
        </w:rPr>
        <w:t>13</w:t>
      </w:r>
      <w:r w:rsidR="00E002ED" w:rsidRPr="008D62B1">
        <w:rPr>
          <w:rFonts w:ascii="CG Omega" w:hAnsi="CG Omega"/>
          <w:szCs w:val="24"/>
        </w:rPr>
        <w:t xml:space="preserve"> time period were also seen in rental vacancy rates in the same time period.  For example, periods of higher rates seen in the early 1990s and early 2000s were followed by periods of lower rates in the </w:t>
      </w:r>
      <w:r w:rsidR="005471FD" w:rsidRPr="008D62B1">
        <w:rPr>
          <w:rFonts w:ascii="CG Omega" w:hAnsi="CG Omega"/>
          <w:szCs w:val="24"/>
        </w:rPr>
        <w:t>mid-1990s</w:t>
      </w:r>
      <w:r w:rsidR="00E002ED" w:rsidRPr="008D62B1">
        <w:rPr>
          <w:rFonts w:ascii="CG Omega" w:hAnsi="CG Omega"/>
          <w:szCs w:val="24"/>
        </w:rPr>
        <w:t xml:space="preserve"> and </w:t>
      </w:r>
      <w:r w:rsidR="005471FD">
        <w:rPr>
          <w:rFonts w:ascii="CG Omega" w:hAnsi="CG Omega"/>
          <w:szCs w:val="24"/>
        </w:rPr>
        <w:t>mid-2000s</w:t>
      </w:r>
      <w:r w:rsidR="00E002ED" w:rsidRPr="008D62B1">
        <w:rPr>
          <w:rFonts w:ascii="CG Omega" w:hAnsi="CG Omega"/>
          <w:szCs w:val="24"/>
        </w:rPr>
        <w:t xml:space="preserve">.  However, </w:t>
      </w:r>
      <w:r w:rsidR="00CD4FBC" w:rsidRPr="008D62B1">
        <w:rPr>
          <w:rFonts w:ascii="CG Omega" w:hAnsi="CG Omega"/>
          <w:szCs w:val="24"/>
        </w:rPr>
        <w:t xml:space="preserve">after 2003, both state and national rates evened out, although state rates </w:t>
      </w:r>
      <w:r w:rsidR="008D62B1" w:rsidRPr="008D62B1">
        <w:rPr>
          <w:rFonts w:ascii="CG Omega" w:hAnsi="CG Omega"/>
          <w:szCs w:val="24"/>
        </w:rPr>
        <w:t>rose above national rates in 2013.</w:t>
      </w:r>
    </w:p>
    <w:p w:rsidR="0006718B" w:rsidRPr="005471FD" w:rsidRDefault="0006718B" w:rsidP="008D62B1">
      <w:pPr>
        <w:pStyle w:val="NoSpacing"/>
        <w:jc w:val="center"/>
        <w:rPr>
          <w:rFonts w:ascii="Arial" w:hAnsi="Arial" w:cs="Arial"/>
          <w:sz w:val="24"/>
          <w:szCs w:val="24"/>
        </w:rPr>
      </w:pPr>
    </w:p>
    <w:p w:rsidR="008D62B1" w:rsidRPr="00671A7C" w:rsidRDefault="008D62B1" w:rsidP="008D62B1">
      <w:pPr>
        <w:pStyle w:val="NoSpacing"/>
        <w:jc w:val="center"/>
        <w:rPr>
          <w:rFonts w:ascii="Arial" w:hAnsi="Arial" w:cs="Arial"/>
          <w:b/>
        </w:rPr>
      </w:pPr>
      <w:r w:rsidRPr="00671A7C">
        <w:rPr>
          <w:rFonts w:ascii="Arial" w:hAnsi="Arial" w:cs="Arial"/>
          <w:b/>
        </w:rPr>
        <w:t xml:space="preserve">Diagram </w:t>
      </w:r>
      <w:r w:rsidR="00B72905">
        <w:rPr>
          <w:rFonts w:ascii="Arial" w:hAnsi="Arial" w:cs="Arial"/>
          <w:b/>
        </w:rPr>
        <w:t>IV.3</w:t>
      </w:r>
    </w:p>
    <w:p w:rsidR="008D62B1" w:rsidRPr="00671A7C" w:rsidRDefault="008D62B1" w:rsidP="008D62B1">
      <w:pPr>
        <w:pStyle w:val="NoSpacing"/>
        <w:jc w:val="center"/>
        <w:rPr>
          <w:rFonts w:ascii="Arial" w:hAnsi="Arial" w:cs="Arial"/>
          <w:b/>
          <w:sz w:val="20"/>
          <w:szCs w:val="20"/>
        </w:rPr>
      </w:pPr>
      <w:r>
        <w:rPr>
          <w:rFonts w:ascii="Arial" w:hAnsi="Arial" w:cs="Arial"/>
          <w:b/>
          <w:sz w:val="20"/>
          <w:szCs w:val="20"/>
        </w:rPr>
        <w:t>Rental Vacancy Rate</w:t>
      </w:r>
    </w:p>
    <w:p w:rsidR="008D62B1" w:rsidRPr="00671A7C" w:rsidRDefault="008D62B1" w:rsidP="008D62B1">
      <w:pPr>
        <w:pStyle w:val="NoSpacing"/>
        <w:jc w:val="center"/>
        <w:rPr>
          <w:rFonts w:ascii="Arial" w:hAnsi="Arial" w:cs="Arial"/>
          <w:sz w:val="16"/>
          <w:szCs w:val="16"/>
        </w:rPr>
      </w:pPr>
      <w:r w:rsidRPr="00671A7C">
        <w:rPr>
          <w:rFonts w:ascii="Arial" w:hAnsi="Arial" w:cs="Arial"/>
          <w:sz w:val="16"/>
          <w:szCs w:val="16"/>
        </w:rPr>
        <w:t>State of New Mexico</w:t>
      </w:r>
    </w:p>
    <w:p w:rsidR="00CD4FBC" w:rsidRPr="006E0B0A" w:rsidRDefault="008D62B1" w:rsidP="006E0B0A">
      <w:pPr>
        <w:pStyle w:val="NoSpacing"/>
        <w:jc w:val="center"/>
        <w:rPr>
          <w:rFonts w:ascii="Arial" w:hAnsi="Arial" w:cs="Arial"/>
          <w:sz w:val="16"/>
          <w:szCs w:val="16"/>
        </w:rPr>
      </w:pPr>
      <w:r>
        <w:rPr>
          <w:rFonts w:ascii="Arial" w:hAnsi="Arial" w:cs="Arial"/>
          <w:sz w:val="16"/>
          <w:szCs w:val="16"/>
        </w:rPr>
        <w:t>Census Data, 1984 - 20</w:t>
      </w:r>
      <w:bookmarkStart w:id="64" w:name="_MON_1341659055"/>
      <w:bookmarkEnd w:id="64"/>
      <w:r w:rsidR="006E0B0A">
        <w:rPr>
          <w:rFonts w:ascii="Arial" w:hAnsi="Arial" w:cs="Arial"/>
          <w:sz w:val="16"/>
          <w:szCs w:val="16"/>
        </w:rPr>
        <w:t>14</w:t>
      </w:r>
      <w:r>
        <w:rPr>
          <w:noProof/>
        </w:rPr>
        <w:drawing>
          <wp:inline distT="0" distB="0" distL="0" distR="0" wp14:anchorId="64DDC5FD" wp14:editId="2B0172F2">
            <wp:extent cx="5676900" cy="3371850"/>
            <wp:effectExtent l="0" t="0" r="0" b="0"/>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5471FD" w:rsidRDefault="005471FD" w:rsidP="00592A54">
      <w:pPr>
        <w:pStyle w:val="BodyText"/>
        <w:tabs>
          <w:tab w:val="num" w:pos="360"/>
        </w:tabs>
        <w:rPr>
          <w:rFonts w:ascii="CG Omega" w:hAnsi="CG Omega"/>
          <w:b/>
          <w:bCs/>
          <w:smallCaps/>
          <w:szCs w:val="24"/>
        </w:rPr>
      </w:pPr>
    </w:p>
    <w:p w:rsidR="00592A54" w:rsidRPr="00C54317" w:rsidRDefault="00592A54" w:rsidP="00592A54">
      <w:pPr>
        <w:pStyle w:val="BodyText"/>
        <w:tabs>
          <w:tab w:val="num" w:pos="360"/>
        </w:tabs>
        <w:rPr>
          <w:rFonts w:ascii="CG Omega" w:hAnsi="CG Omega"/>
          <w:szCs w:val="24"/>
        </w:rPr>
      </w:pPr>
      <w:r w:rsidRPr="00C54317">
        <w:rPr>
          <w:rFonts w:ascii="CG Omega" w:hAnsi="CG Omega"/>
          <w:b/>
          <w:bCs/>
          <w:smallCaps/>
          <w:szCs w:val="24"/>
        </w:rPr>
        <w:t xml:space="preserve">Age </w:t>
      </w:r>
      <w:r w:rsidR="00C47022" w:rsidRPr="00C54317">
        <w:rPr>
          <w:rFonts w:ascii="CG Omega" w:hAnsi="CG Omega"/>
          <w:b/>
          <w:bCs/>
          <w:smallCaps/>
          <w:szCs w:val="24"/>
        </w:rPr>
        <w:t>of the Housing Stock</w:t>
      </w:r>
    </w:p>
    <w:p w:rsidR="00592A54" w:rsidRPr="005471FD" w:rsidRDefault="00592A54" w:rsidP="00FE468A">
      <w:pPr>
        <w:jc w:val="both"/>
        <w:rPr>
          <w:rFonts w:ascii="CG Omega" w:hAnsi="CG Omega"/>
          <w:highlight w:val="yellow"/>
        </w:rPr>
      </w:pPr>
    </w:p>
    <w:p w:rsidR="00C47022" w:rsidRPr="005471FD" w:rsidRDefault="00C47022" w:rsidP="00FE468A">
      <w:pPr>
        <w:jc w:val="both"/>
        <w:rPr>
          <w:rFonts w:ascii="CG Omega" w:hAnsi="CG Omega"/>
          <w:highlight w:val="yellow"/>
        </w:rPr>
      </w:pPr>
      <w:r w:rsidRPr="005471FD">
        <w:rPr>
          <w:rFonts w:ascii="CG Omega" w:hAnsi="CG Omega"/>
        </w:rPr>
        <w:t xml:space="preserve">The age of the housing stock is also reported in the </w:t>
      </w:r>
      <w:r w:rsidR="00C54317" w:rsidRPr="005471FD">
        <w:rPr>
          <w:rFonts w:ascii="CG Omega" w:hAnsi="CG Omega"/>
        </w:rPr>
        <w:t>2012 American Community Survey</w:t>
      </w:r>
      <w:r w:rsidR="009C3A2C" w:rsidRPr="005471FD">
        <w:rPr>
          <w:rFonts w:ascii="CG Omega" w:hAnsi="CG Omega"/>
        </w:rPr>
        <w:t>.  The age of the housing stock has</w:t>
      </w:r>
      <w:r w:rsidRPr="005471FD">
        <w:rPr>
          <w:rFonts w:ascii="CG Omega" w:hAnsi="CG Omega"/>
        </w:rPr>
        <w:t xml:space="preserve"> been grouped into nine categories</w:t>
      </w:r>
      <w:r w:rsidR="009C3A2C" w:rsidRPr="005471FD">
        <w:rPr>
          <w:rFonts w:ascii="CG Omega" w:hAnsi="CG Omega"/>
        </w:rPr>
        <w:t>, ranging f</w:t>
      </w:r>
      <w:r w:rsidR="00C54317" w:rsidRPr="005471FD">
        <w:rPr>
          <w:rFonts w:ascii="CG Omega" w:hAnsi="CG Omega"/>
        </w:rPr>
        <w:t>rom 1939 or earlier through 2005 or later</w:t>
      </w:r>
      <w:r w:rsidRPr="005471FD">
        <w:rPr>
          <w:rFonts w:ascii="CG Omega" w:hAnsi="CG Omega"/>
        </w:rPr>
        <w:t>.</w:t>
      </w:r>
      <w:r w:rsidR="002C02D6" w:rsidRPr="005471FD">
        <w:rPr>
          <w:rFonts w:ascii="CG Omega" w:hAnsi="CG Omega"/>
        </w:rPr>
        <w:t xml:space="preserve">  </w:t>
      </w:r>
      <w:r w:rsidR="00C54317" w:rsidRPr="005471FD">
        <w:rPr>
          <w:rFonts w:ascii="CG Omega" w:hAnsi="CG Omega"/>
          <w:b/>
        </w:rPr>
        <w:t>Table IV.</w:t>
      </w:r>
      <w:r w:rsidR="00B72905" w:rsidRPr="005471FD">
        <w:rPr>
          <w:rFonts w:ascii="CG Omega" w:hAnsi="CG Omega"/>
          <w:b/>
        </w:rPr>
        <w:t>5</w:t>
      </w:r>
      <w:r w:rsidR="005471FD">
        <w:rPr>
          <w:rFonts w:ascii="CG Omega" w:hAnsi="CG Omega"/>
        </w:rPr>
        <w:t>, on the following page,</w:t>
      </w:r>
      <w:r w:rsidR="002C02D6" w:rsidRPr="005471FD">
        <w:rPr>
          <w:rFonts w:ascii="CG Omega" w:hAnsi="CG Omega"/>
        </w:rPr>
        <w:t xml:space="preserve"> shows that substantial numbers of housing units were added to the stock in the 1970s, </w:t>
      </w:r>
      <w:r w:rsidR="006E0B0A" w:rsidRPr="005471FD">
        <w:rPr>
          <w:rFonts w:ascii="CG Omega" w:hAnsi="CG Omega"/>
        </w:rPr>
        <w:t>accounting for 18.5 percent of the housing stock in 2012</w:t>
      </w:r>
      <w:r w:rsidR="00C54317" w:rsidRPr="005471FD">
        <w:rPr>
          <w:rFonts w:ascii="CG Omega" w:hAnsi="CG Omega"/>
        </w:rPr>
        <w:t>, and in the 199</w:t>
      </w:r>
      <w:r w:rsidR="002C02D6" w:rsidRPr="005471FD">
        <w:rPr>
          <w:rFonts w:ascii="CG Omega" w:hAnsi="CG Omega"/>
        </w:rPr>
        <w:t xml:space="preserve">0s, </w:t>
      </w:r>
      <w:r w:rsidR="006E0B0A" w:rsidRPr="005471FD">
        <w:rPr>
          <w:rFonts w:ascii="CG Omega" w:hAnsi="CG Omega"/>
        </w:rPr>
        <w:t>accounting for 18.2 percent of the housing stock in 2012</w:t>
      </w:r>
      <w:r w:rsidR="002C02D6" w:rsidRPr="005471FD">
        <w:rPr>
          <w:rFonts w:ascii="CG Omega" w:hAnsi="CG Omega"/>
        </w:rPr>
        <w:t xml:space="preserve">.  </w:t>
      </w:r>
    </w:p>
    <w:p w:rsidR="005471FD" w:rsidRDefault="005471FD">
      <w:pPr>
        <w:rPr>
          <w:rFonts w:ascii="CG Omega" w:hAnsi="CG Omega"/>
          <w:highlight w:val="yellow"/>
        </w:rPr>
      </w:pPr>
      <w:r>
        <w:rPr>
          <w:rFonts w:ascii="CG Omega" w:hAnsi="CG Omega"/>
          <w:highlight w:val="yellow"/>
        </w:rPr>
        <w:br w:type="page"/>
      </w:r>
    </w:p>
    <w:p w:rsidR="002C02D6" w:rsidRPr="005471FD" w:rsidRDefault="002C02D6" w:rsidP="00FE468A">
      <w:pPr>
        <w:jc w:val="both"/>
        <w:rPr>
          <w:rFonts w:ascii="CG Omega" w:hAnsi="CG Omega"/>
          <w:highlight w:val="yellow"/>
        </w:rPr>
      </w:pPr>
    </w:p>
    <w:tbl>
      <w:tblPr>
        <w:tblW w:w="5966" w:type="dxa"/>
        <w:jc w:val="center"/>
        <w:tblLook w:val="04A0" w:firstRow="1" w:lastRow="0" w:firstColumn="1" w:lastColumn="0" w:noHBand="0" w:noVBand="1"/>
      </w:tblPr>
      <w:tblGrid>
        <w:gridCol w:w="1342"/>
        <w:gridCol w:w="1225"/>
        <w:gridCol w:w="1039"/>
        <w:gridCol w:w="1274"/>
        <w:gridCol w:w="1086"/>
      </w:tblGrid>
      <w:tr w:rsidR="00C54317" w:rsidRPr="00AF0F26" w:rsidTr="00815780">
        <w:trPr>
          <w:trHeight w:val="216"/>
          <w:jc w:val="center"/>
        </w:trPr>
        <w:tc>
          <w:tcPr>
            <w:tcW w:w="5966" w:type="dxa"/>
            <w:gridSpan w:val="5"/>
            <w:tcBorders>
              <w:bottom w:val="single" w:sz="4" w:space="0" w:color="009900"/>
            </w:tcBorders>
            <w:shd w:val="clear" w:color="000000" w:fill="auto"/>
            <w:noWrap/>
            <w:vAlign w:val="center"/>
            <w:hideMark/>
          </w:tcPr>
          <w:p w:rsidR="00C54317" w:rsidRPr="00C54317" w:rsidRDefault="00C54317" w:rsidP="00C54317">
            <w:pPr>
              <w:pStyle w:val="Caption"/>
              <w:spacing w:after="0"/>
              <w:jc w:val="center"/>
              <w:rPr>
                <w:rFonts w:ascii="Arial" w:hAnsi="Arial" w:cs="Arial"/>
                <w:sz w:val="24"/>
                <w:szCs w:val="24"/>
              </w:rPr>
            </w:pPr>
            <w:bookmarkStart w:id="65" w:name="_MON_1341660148"/>
            <w:bookmarkStart w:id="66" w:name="_MON_1341380278"/>
            <w:bookmarkEnd w:id="65"/>
            <w:bookmarkEnd w:id="66"/>
            <w:r w:rsidRPr="00B72905">
              <w:rPr>
                <w:rFonts w:ascii="Arial" w:hAnsi="Arial" w:cs="Arial"/>
                <w:sz w:val="24"/>
                <w:szCs w:val="24"/>
              </w:rPr>
              <w:t>Table IV.</w:t>
            </w:r>
            <w:r w:rsidR="00B72905">
              <w:rPr>
                <w:rFonts w:ascii="Arial" w:hAnsi="Arial" w:cs="Arial"/>
                <w:sz w:val="24"/>
                <w:szCs w:val="24"/>
              </w:rPr>
              <w:t>5</w:t>
            </w:r>
          </w:p>
          <w:p w:rsidR="00C54317" w:rsidRPr="00AF0F26" w:rsidRDefault="00C54317" w:rsidP="00815780">
            <w:pPr>
              <w:pStyle w:val="ObjectSubtitle"/>
            </w:pPr>
            <w:r w:rsidRPr="00AF0F26">
              <w:t>Households by Year Home Built</w:t>
            </w:r>
          </w:p>
          <w:p w:rsidR="00C54317" w:rsidRPr="00751D0F" w:rsidRDefault="00C54317" w:rsidP="00815780">
            <w:pPr>
              <w:pStyle w:val="ObjectAreaData"/>
            </w:pPr>
            <w:r w:rsidRPr="00550301">
              <w:rPr>
                <w:noProof/>
              </w:rPr>
              <w:t>State of New Mexico</w:t>
            </w:r>
          </w:p>
          <w:p w:rsidR="00C54317" w:rsidRPr="00AF0F26" w:rsidRDefault="00C54317" w:rsidP="00815780">
            <w:pPr>
              <w:pStyle w:val="ObjectAreaData"/>
              <w:rPr>
                <w:b/>
                <w:bCs/>
              </w:rPr>
            </w:pPr>
            <w:r w:rsidRPr="00AF0F26">
              <w:t>2000 Census SF3 &amp; 201</w:t>
            </w:r>
            <w:r>
              <w:t>2</w:t>
            </w:r>
            <w:r w:rsidRPr="00AF0F26">
              <w:t xml:space="preserve"> Five-Year ACS Data</w:t>
            </w:r>
          </w:p>
        </w:tc>
      </w:tr>
      <w:tr w:rsidR="00C54317" w:rsidRPr="002E5098" w:rsidTr="00815780">
        <w:trPr>
          <w:trHeight w:val="216"/>
          <w:jc w:val="center"/>
        </w:trPr>
        <w:tc>
          <w:tcPr>
            <w:tcW w:w="1342" w:type="dxa"/>
            <w:vMerge w:val="restart"/>
            <w:tcBorders>
              <w:top w:val="single" w:sz="4" w:space="0" w:color="009900"/>
              <w:left w:val="single" w:sz="4" w:space="0" w:color="009900"/>
              <w:bottom w:val="single" w:sz="4" w:space="0" w:color="009900"/>
              <w:right w:val="nil"/>
            </w:tcBorders>
            <w:shd w:val="clear" w:color="000000" w:fill="FFFFE1"/>
            <w:noWrap/>
            <w:vAlign w:val="center"/>
            <w:hideMark/>
          </w:tcPr>
          <w:p w:rsidR="00C54317" w:rsidRPr="002E5098" w:rsidRDefault="00C54317" w:rsidP="00815780">
            <w:pPr>
              <w:pStyle w:val="ObjectAreaData"/>
              <w:jc w:val="left"/>
              <w:rPr>
                <w:b/>
              </w:rPr>
            </w:pPr>
            <w:r w:rsidRPr="002E5098">
              <w:rPr>
                <w:b/>
              </w:rPr>
              <w:t>Year Built</w:t>
            </w:r>
          </w:p>
        </w:tc>
        <w:tc>
          <w:tcPr>
            <w:tcW w:w="2264" w:type="dxa"/>
            <w:gridSpan w:val="2"/>
            <w:tcBorders>
              <w:top w:val="single" w:sz="4" w:space="0" w:color="009900"/>
              <w:left w:val="nil"/>
              <w:bottom w:val="dotted" w:sz="4" w:space="0" w:color="009900"/>
              <w:right w:val="nil"/>
            </w:tcBorders>
            <w:shd w:val="clear" w:color="000000" w:fill="FFFFE1"/>
            <w:noWrap/>
            <w:vAlign w:val="center"/>
            <w:hideMark/>
          </w:tcPr>
          <w:p w:rsidR="00C54317" w:rsidRPr="002E5098" w:rsidRDefault="00C54317" w:rsidP="00815780">
            <w:pPr>
              <w:pStyle w:val="ObjectAreaData"/>
              <w:rPr>
                <w:b/>
              </w:rPr>
            </w:pPr>
            <w:r w:rsidRPr="002E5098">
              <w:rPr>
                <w:b/>
              </w:rPr>
              <w:t>2000 Census</w:t>
            </w:r>
          </w:p>
        </w:tc>
        <w:tc>
          <w:tcPr>
            <w:tcW w:w="2360" w:type="dxa"/>
            <w:gridSpan w:val="2"/>
            <w:tcBorders>
              <w:top w:val="single" w:sz="4" w:space="0" w:color="009900"/>
              <w:left w:val="nil"/>
              <w:bottom w:val="dotted" w:sz="4" w:space="0" w:color="009900"/>
              <w:right w:val="single" w:sz="4" w:space="0" w:color="009900"/>
            </w:tcBorders>
            <w:shd w:val="clear" w:color="000000" w:fill="FFFFE1"/>
            <w:noWrap/>
            <w:vAlign w:val="center"/>
            <w:hideMark/>
          </w:tcPr>
          <w:p w:rsidR="00C54317" w:rsidRPr="002E5098" w:rsidRDefault="00C54317" w:rsidP="00815780">
            <w:pPr>
              <w:pStyle w:val="ObjectAreaData"/>
              <w:rPr>
                <w:b/>
              </w:rPr>
            </w:pPr>
            <w:r>
              <w:rPr>
                <w:b/>
              </w:rPr>
              <w:t>2012 Five</w:t>
            </w:r>
            <w:r w:rsidRPr="002E5098">
              <w:rPr>
                <w:b/>
              </w:rPr>
              <w:t>-Year ACS</w:t>
            </w:r>
          </w:p>
        </w:tc>
      </w:tr>
      <w:tr w:rsidR="00C54317" w:rsidRPr="002E5098" w:rsidTr="00815780">
        <w:trPr>
          <w:trHeight w:val="216"/>
          <w:jc w:val="center"/>
        </w:trPr>
        <w:tc>
          <w:tcPr>
            <w:tcW w:w="1342" w:type="dxa"/>
            <w:vMerge/>
            <w:tcBorders>
              <w:top w:val="nil"/>
              <w:left w:val="single" w:sz="4" w:space="0" w:color="009900"/>
              <w:bottom w:val="single" w:sz="4" w:space="0" w:color="009900"/>
              <w:right w:val="nil"/>
            </w:tcBorders>
            <w:vAlign w:val="center"/>
            <w:hideMark/>
          </w:tcPr>
          <w:p w:rsidR="00C54317" w:rsidRPr="002E5098" w:rsidRDefault="00C54317" w:rsidP="00815780">
            <w:pPr>
              <w:pStyle w:val="ObjectAreaData"/>
              <w:jc w:val="left"/>
              <w:rPr>
                <w:b/>
              </w:rPr>
            </w:pPr>
          </w:p>
        </w:tc>
        <w:tc>
          <w:tcPr>
            <w:tcW w:w="1225" w:type="dxa"/>
            <w:tcBorders>
              <w:top w:val="nil"/>
              <w:left w:val="nil"/>
              <w:bottom w:val="single" w:sz="4" w:space="0" w:color="009900"/>
              <w:right w:val="nil"/>
            </w:tcBorders>
            <w:shd w:val="clear" w:color="000000" w:fill="FFFFE1"/>
            <w:noWrap/>
            <w:vAlign w:val="center"/>
            <w:hideMark/>
          </w:tcPr>
          <w:p w:rsidR="00C54317" w:rsidRPr="002E5098" w:rsidRDefault="00C54317" w:rsidP="00815780">
            <w:pPr>
              <w:pStyle w:val="ObjectAreaData"/>
              <w:rPr>
                <w:b/>
              </w:rPr>
            </w:pPr>
            <w:r w:rsidRPr="002E5098">
              <w:rPr>
                <w:b/>
              </w:rPr>
              <w:t>Households</w:t>
            </w:r>
          </w:p>
        </w:tc>
        <w:tc>
          <w:tcPr>
            <w:tcW w:w="1039" w:type="dxa"/>
            <w:tcBorders>
              <w:top w:val="nil"/>
              <w:left w:val="nil"/>
              <w:bottom w:val="single" w:sz="4" w:space="0" w:color="009900"/>
              <w:right w:val="nil"/>
            </w:tcBorders>
            <w:shd w:val="clear" w:color="000000" w:fill="FFFFE1"/>
            <w:noWrap/>
            <w:vAlign w:val="center"/>
            <w:hideMark/>
          </w:tcPr>
          <w:p w:rsidR="00C54317" w:rsidRPr="002E5098" w:rsidRDefault="00C54317" w:rsidP="00815780">
            <w:pPr>
              <w:pStyle w:val="ObjectAreaData"/>
              <w:rPr>
                <w:b/>
              </w:rPr>
            </w:pPr>
            <w:r w:rsidRPr="002E5098">
              <w:rPr>
                <w:b/>
              </w:rPr>
              <w:t>% of Total</w:t>
            </w:r>
          </w:p>
        </w:tc>
        <w:tc>
          <w:tcPr>
            <w:tcW w:w="1274" w:type="dxa"/>
            <w:tcBorders>
              <w:top w:val="nil"/>
              <w:left w:val="nil"/>
              <w:bottom w:val="single" w:sz="4" w:space="0" w:color="009900"/>
              <w:right w:val="nil"/>
            </w:tcBorders>
            <w:shd w:val="clear" w:color="000000" w:fill="FFFFE1"/>
            <w:noWrap/>
            <w:vAlign w:val="center"/>
            <w:hideMark/>
          </w:tcPr>
          <w:p w:rsidR="00C54317" w:rsidRPr="002E5098" w:rsidRDefault="00C54317" w:rsidP="00815780">
            <w:pPr>
              <w:pStyle w:val="ObjectAreaData"/>
              <w:rPr>
                <w:b/>
              </w:rPr>
            </w:pPr>
            <w:r w:rsidRPr="002E5098">
              <w:rPr>
                <w:b/>
              </w:rPr>
              <w:t>Households</w:t>
            </w:r>
          </w:p>
        </w:tc>
        <w:tc>
          <w:tcPr>
            <w:tcW w:w="1086" w:type="dxa"/>
            <w:tcBorders>
              <w:top w:val="nil"/>
              <w:left w:val="nil"/>
              <w:bottom w:val="single" w:sz="4" w:space="0" w:color="009900"/>
              <w:right w:val="single" w:sz="4" w:space="0" w:color="009900"/>
            </w:tcBorders>
            <w:shd w:val="clear" w:color="000000" w:fill="FFFFE1"/>
            <w:noWrap/>
            <w:vAlign w:val="center"/>
            <w:hideMark/>
          </w:tcPr>
          <w:p w:rsidR="00C54317" w:rsidRPr="002E5098" w:rsidRDefault="00C54317" w:rsidP="00815780">
            <w:pPr>
              <w:pStyle w:val="ObjectAreaData"/>
              <w:rPr>
                <w:b/>
              </w:rPr>
            </w:pPr>
            <w:r w:rsidRPr="002E5098">
              <w:rPr>
                <w:b/>
              </w:rPr>
              <w:t>% of Total</w:t>
            </w:r>
          </w:p>
        </w:tc>
      </w:tr>
      <w:tr w:rsidR="00C54317" w:rsidRPr="00AF0F26" w:rsidTr="00815780">
        <w:trPr>
          <w:trHeight w:val="216"/>
          <w:jc w:val="center"/>
        </w:trPr>
        <w:tc>
          <w:tcPr>
            <w:tcW w:w="1342" w:type="dxa"/>
            <w:tcBorders>
              <w:top w:val="nil"/>
              <w:left w:val="single" w:sz="4" w:space="0" w:color="009900"/>
              <w:bottom w:val="nil"/>
              <w:right w:val="nil"/>
            </w:tcBorders>
            <w:shd w:val="clear" w:color="000000" w:fill="FFFFE1"/>
            <w:noWrap/>
            <w:vAlign w:val="center"/>
            <w:hideMark/>
          </w:tcPr>
          <w:p w:rsidR="00C54317" w:rsidRPr="00AF0F26" w:rsidRDefault="00C54317" w:rsidP="00815780">
            <w:pPr>
              <w:pStyle w:val="ObjectAreaData"/>
              <w:jc w:val="left"/>
            </w:pPr>
            <w:r w:rsidRPr="00AF0F26">
              <w:t>1939 or Earlier</w:t>
            </w:r>
          </w:p>
        </w:tc>
        <w:tc>
          <w:tcPr>
            <w:tcW w:w="1225" w:type="dxa"/>
            <w:tcBorders>
              <w:top w:val="nil"/>
              <w:left w:val="nil"/>
              <w:bottom w:val="nil"/>
              <w:right w:val="nil"/>
            </w:tcBorders>
            <w:shd w:val="clear" w:color="000000" w:fill="FFFFE1"/>
            <w:noWrap/>
            <w:vAlign w:val="center"/>
            <w:hideMark/>
          </w:tcPr>
          <w:p w:rsidR="00C54317" w:rsidRPr="00AF0F26" w:rsidRDefault="00C54317" w:rsidP="00815780">
            <w:pPr>
              <w:pStyle w:val="ObjectAreaData"/>
              <w:rPr>
                <w:rFonts w:cs="Arial"/>
                <w:szCs w:val="16"/>
              </w:rPr>
            </w:pPr>
            <w:r w:rsidRPr="00550301">
              <w:rPr>
                <w:noProof/>
              </w:rPr>
              <w:t>38,999</w:t>
            </w:r>
          </w:p>
        </w:tc>
        <w:tc>
          <w:tcPr>
            <w:tcW w:w="1039" w:type="dxa"/>
            <w:tcBorders>
              <w:top w:val="nil"/>
              <w:left w:val="nil"/>
              <w:bottom w:val="nil"/>
              <w:right w:val="nil"/>
            </w:tcBorders>
            <w:shd w:val="clear" w:color="000000" w:fill="FFFFE1"/>
            <w:noWrap/>
            <w:vAlign w:val="center"/>
            <w:hideMark/>
          </w:tcPr>
          <w:p w:rsidR="00C54317" w:rsidRPr="00AF0F26" w:rsidRDefault="00C54317" w:rsidP="00815780">
            <w:pPr>
              <w:pStyle w:val="ObjectAreaData"/>
              <w:rPr>
                <w:rFonts w:cs="Arial"/>
                <w:szCs w:val="16"/>
              </w:rPr>
            </w:pPr>
            <w:r w:rsidRPr="00550301">
              <w:rPr>
                <w:noProof/>
              </w:rPr>
              <w:t>5.8</w:t>
            </w:r>
            <w:r w:rsidRPr="00AF0F26">
              <w:rPr>
                <w:rFonts w:cs="Arial"/>
                <w:szCs w:val="16"/>
              </w:rPr>
              <w:t>%</w:t>
            </w:r>
          </w:p>
        </w:tc>
        <w:tc>
          <w:tcPr>
            <w:tcW w:w="1274" w:type="dxa"/>
            <w:tcBorders>
              <w:top w:val="nil"/>
              <w:left w:val="nil"/>
              <w:bottom w:val="nil"/>
              <w:right w:val="nil"/>
            </w:tcBorders>
            <w:shd w:val="clear" w:color="000000" w:fill="FFFFE1"/>
            <w:noWrap/>
            <w:vAlign w:val="center"/>
            <w:hideMark/>
          </w:tcPr>
          <w:p w:rsidR="00C54317" w:rsidRPr="00AF0F26" w:rsidRDefault="00C54317" w:rsidP="00815780">
            <w:pPr>
              <w:pStyle w:val="ObjectAreaData"/>
              <w:rPr>
                <w:rFonts w:cs="Arial"/>
                <w:szCs w:val="16"/>
              </w:rPr>
            </w:pPr>
            <w:r w:rsidRPr="00261FA5">
              <w:rPr>
                <w:rFonts w:cs="Arial"/>
                <w:noProof/>
                <w:szCs w:val="16"/>
              </w:rPr>
              <w:t>36,835</w:t>
            </w:r>
          </w:p>
        </w:tc>
        <w:tc>
          <w:tcPr>
            <w:tcW w:w="1086" w:type="dxa"/>
            <w:tcBorders>
              <w:top w:val="nil"/>
              <w:left w:val="nil"/>
              <w:bottom w:val="nil"/>
              <w:right w:val="single" w:sz="4" w:space="0" w:color="009900"/>
            </w:tcBorders>
            <w:shd w:val="clear" w:color="000000" w:fill="FFFFE1"/>
            <w:noWrap/>
            <w:vAlign w:val="center"/>
            <w:hideMark/>
          </w:tcPr>
          <w:p w:rsidR="00C54317" w:rsidRPr="00AF0F26" w:rsidRDefault="00C54317" w:rsidP="00815780">
            <w:pPr>
              <w:pStyle w:val="ObjectAreaData"/>
              <w:rPr>
                <w:rFonts w:cs="Arial"/>
                <w:szCs w:val="16"/>
              </w:rPr>
            </w:pPr>
            <w:r w:rsidRPr="00261FA5">
              <w:rPr>
                <w:rFonts w:cs="Arial"/>
                <w:noProof/>
                <w:szCs w:val="16"/>
              </w:rPr>
              <w:t>4.8</w:t>
            </w:r>
            <w:r w:rsidRPr="00AF0F26">
              <w:rPr>
                <w:rFonts w:cs="Arial"/>
                <w:szCs w:val="16"/>
              </w:rPr>
              <w:t>%</w:t>
            </w:r>
          </w:p>
        </w:tc>
      </w:tr>
      <w:tr w:rsidR="00C54317" w:rsidRPr="00AF0F26" w:rsidTr="00815780">
        <w:trPr>
          <w:trHeight w:val="216"/>
          <w:jc w:val="center"/>
        </w:trPr>
        <w:tc>
          <w:tcPr>
            <w:tcW w:w="1342" w:type="dxa"/>
            <w:tcBorders>
              <w:top w:val="nil"/>
              <w:left w:val="single" w:sz="4" w:space="0" w:color="009900"/>
              <w:bottom w:val="nil"/>
              <w:right w:val="nil"/>
            </w:tcBorders>
            <w:shd w:val="clear" w:color="000000" w:fill="FFFFE1"/>
            <w:noWrap/>
            <w:vAlign w:val="center"/>
            <w:hideMark/>
          </w:tcPr>
          <w:p w:rsidR="00C54317" w:rsidRPr="00AF0F26" w:rsidRDefault="00C54317" w:rsidP="00815780">
            <w:pPr>
              <w:pStyle w:val="ObjectAreaData"/>
              <w:jc w:val="left"/>
            </w:pPr>
            <w:r w:rsidRPr="00AF0F26">
              <w:t>1940 to 1949</w:t>
            </w:r>
          </w:p>
        </w:tc>
        <w:tc>
          <w:tcPr>
            <w:tcW w:w="1225" w:type="dxa"/>
            <w:tcBorders>
              <w:top w:val="nil"/>
              <w:left w:val="nil"/>
              <w:bottom w:val="nil"/>
              <w:right w:val="nil"/>
            </w:tcBorders>
            <w:shd w:val="clear" w:color="000000" w:fill="FFFFE1"/>
            <w:noWrap/>
            <w:vAlign w:val="center"/>
            <w:hideMark/>
          </w:tcPr>
          <w:p w:rsidR="00C54317" w:rsidRPr="00AF0F26" w:rsidRDefault="00C54317" w:rsidP="00815780">
            <w:pPr>
              <w:pStyle w:val="ObjectAreaData"/>
              <w:rPr>
                <w:rFonts w:cs="Arial"/>
                <w:szCs w:val="16"/>
              </w:rPr>
            </w:pPr>
            <w:r w:rsidRPr="00550301">
              <w:rPr>
                <w:noProof/>
              </w:rPr>
              <w:t>37,818</w:t>
            </w:r>
          </w:p>
        </w:tc>
        <w:tc>
          <w:tcPr>
            <w:tcW w:w="1039" w:type="dxa"/>
            <w:tcBorders>
              <w:top w:val="nil"/>
              <w:left w:val="nil"/>
              <w:bottom w:val="nil"/>
              <w:right w:val="nil"/>
            </w:tcBorders>
            <w:shd w:val="clear" w:color="000000" w:fill="FFFFE1"/>
            <w:noWrap/>
            <w:vAlign w:val="center"/>
            <w:hideMark/>
          </w:tcPr>
          <w:p w:rsidR="00C54317" w:rsidRPr="00AF0F26" w:rsidRDefault="00C54317" w:rsidP="00815780">
            <w:pPr>
              <w:pStyle w:val="ObjectAreaData"/>
              <w:rPr>
                <w:rFonts w:cs="Arial"/>
                <w:szCs w:val="16"/>
              </w:rPr>
            </w:pPr>
            <w:r w:rsidRPr="00550301">
              <w:rPr>
                <w:noProof/>
              </w:rPr>
              <w:t>5.6</w:t>
            </w:r>
            <w:r w:rsidRPr="00AF0F26">
              <w:rPr>
                <w:rFonts w:cs="Arial"/>
                <w:szCs w:val="16"/>
              </w:rPr>
              <w:t>%</w:t>
            </w:r>
          </w:p>
        </w:tc>
        <w:tc>
          <w:tcPr>
            <w:tcW w:w="1274" w:type="dxa"/>
            <w:tcBorders>
              <w:top w:val="nil"/>
              <w:left w:val="nil"/>
              <w:bottom w:val="nil"/>
              <w:right w:val="nil"/>
            </w:tcBorders>
            <w:shd w:val="clear" w:color="000000" w:fill="FFFFE1"/>
            <w:noWrap/>
            <w:vAlign w:val="center"/>
            <w:hideMark/>
          </w:tcPr>
          <w:p w:rsidR="00C54317" w:rsidRPr="00AF0F26" w:rsidRDefault="00C54317" w:rsidP="00815780">
            <w:pPr>
              <w:pStyle w:val="ObjectAreaData"/>
              <w:rPr>
                <w:rFonts w:cs="Arial"/>
                <w:szCs w:val="16"/>
              </w:rPr>
            </w:pPr>
            <w:r w:rsidRPr="00261FA5">
              <w:rPr>
                <w:rFonts w:cs="Arial"/>
                <w:noProof/>
                <w:szCs w:val="16"/>
              </w:rPr>
              <w:t>32,003</w:t>
            </w:r>
          </w:p>
        </w:tc>
        <w:tc>
          <w:tcPr>
            <w:tcW w:w="1086" w:type="dxa"/>
            <w:tcBorders>
              <w:top w:val="nil"/>
              <w:left w:val="nil"/>
              <w:bottom w:val="nil"/>
              <w:right w:val="single" w:sz="4" w:space="0" w:color="009900"/>
            </w:tcBorders>
            <w:shd w:val="clear" w:color="000000" w:fill="FFFFE1"/>
            <w:noWrap/>
            <w:vAlign w:val="center"/>
            <w:hideMark/>
          </w:tcPr>
          <w:p w:rsidR="00C54317" w:rsidRPr="00AF0F26" w:rsidRDefault="00C54317" w:rsidP="00815780">
            <w:pPr>
              <w:pStyle w:val="ObjectAreaData"/>
              <w:rPr>
                <w:rFonts w:cs="Arial"/>
                <w:szCs w:val="16"/>
              </w:rPr>
            </w:pPr>
            <w:r w:rsidRPr="00261FA5">
              <w:rPr>
                <w:rFonts w:cs="Arial"/>
                <w:noProof/>
                <w:szCs w:val="16"/>
              </w:rPr>
              <w:t>4.2</w:t>
            </w:r>
            <w:r w:rsidRPr="00AF0F26">
              <w:rPr>
                <w:rFonts w:cs="Arial"/>
                <w:szCs w:val="16"/>
              </w:rPr>
              <w:t>%</w:t>
            </w:r>
          </w:p>
        </w:tc>
      </w:tr>
      <w:tr w:rsidR="00C54317" w:rsidRPr="00AF0F26" w:rsidTr="00815780">
        <w:trPr>
          <w:trHeight w:val="216"/>
          <w:jc w:val="center"/>
        </w:trPr>
        <w:tc>
          <w:tcPr>
            <w:tcW w:w="1342" w:type="dxa"/>
            <w:tcBorders>
              <w:top w:val="nil"/>
              <w:left w:val="single" w:sz="4" w:space="0" w:color="009900"/>
              <w:bottom w:val="nil"/>
              <w:right w:val="nil"/>
            </w:tcBorders>
            <w:shd w:val="clear" w:color="000000" w:fill="FFFFE1"/>
            <w:noWrap/>
            <w:vAlign w:val="center"/>
            <w:hideMark/>
          </w:tcPr>
          <w:p w:rsidR="00C54317" w:rsidRPr="00AF0F26" w:rsidRDefault="00C54317" w:rsidP="00815780">
            <w:pPr>
              <w:pStyle w:val="ObjectAreaData"/>
              <w:jc w:val="left"/>
            </w:pPr>
            <w:r w:rsidRPr="00AF0F26">
              <w:t>1950 to 1959</w:t>
            </w:r>
          </w:p>
        </w:tc>
        <w:tc>
          <w:tcPr>
            <w:tcW w:w="1225" w:type="dxa"/>
            <w:tcBorders>
              <w:top w:val="nil"/>
              <w:left w:val="nil"/>
              <w:bottom w:val="nil"/>
              <w:right w:val="nil"/>
            </w:tcBorders>
            <w:shd w:val="clear" w:color="000000" w:fill="FFFFE1"/>
            <w:noWrap/>
            <w:vAlign w:val="center"/>
            <w:hideMark/>
          </w:tcPr>
          <w:p w:rsidR="00C54317" w:rsidRPr="00AF0F26" w:rsidRDefault="00C54317" w:rsidP="00815780">
            <w:pPr>
              <w:pStyle w:val="ObjectAreaData"/>
              <w:rPr>
                <w:rFonts w:cs="Arial"/>
                <w:szCs w:val="16"/>
              </w:rPr>
            </w:pPr>
            <w:r w:rsidRPr="00550301">
              <w:rPr>
                <w:noProof/>
              </w:rPr>
              <w:t>79,955</w:t>
            </w:r>
          </w:p>
        </w:tc>
        <w:tc>
          <w:tcPr>
            <w:tcW w:w="1039" w:type="dxa"/>
            <w:tcBorders>
              <w:top w:val="nil"/>
              <w:left w:val="nil"/>
              <w:bottom w:val="nil"/>
              <w:right w:val="nil"/>
            </w:tcBorders>
            <w:shd w:val="clear" w:color="000000" w:fill="FFFFE1"/>
            <w:noWrap/>
            <w:vAlign w:val="center"/>
            <w:hideMark/>
          </w:tcPr>
          <w:p w:rsidR="00C54317" w:rsidRPr="00AF0F26" w:rsidRDefault="00C54317" w:rsidP="00815780">
            <w:pPr>
              <w:pStyle w:val="ObjectAreaData"/>
              <w:rPr>
                <w:rFonts w:cs="Arial"/>
                <w:szCs w:val="16"/>
              </w:rPr>
            </w:pPr>
            <w:r w:rsidRPr="00550301">
              <w:rPr>
                <w:noProof/>
              </w:rPr>
              <w:t>11.8</w:t>
            </w:r>
            <w:r w:rsidRPr="00AF0F26">
              <w:rPr>
                <w:rFonts w:cs="Arial"/>
                <w:szCs w:val="16"/>
              </w:rPr>
              <w:t>%</w:t>
            </w:r>
          </w:p>
        </w:tc>
        <w:tc>
          <w:tcPr>
            <w:tcW w:w="1274" w:type="dxa"/>
            <w:tcBorders>
              <w:top w:val="nil"/>
              <w:left w:val="nil"/>
              <w:bottom w:val="nil"/>
              <w:right w:val="nil"/>
            </w:tcBorders>
            <w:shd w:val="clear" w:color="000000" w:fill="FFFFE1"/>
            <w:noWrap/>
            <w:vAlign w:val="center"/>
            <w:hideMark/>
          </w:tcPr>
          <w:p w:rsidR="00C54317" w:rsidRPr="00AF0F26" w:rsidRDefault="00C54317" w:rsidP="00815780">
            <w:pPr>
              <w:pStyle w:val="ObjectAreaData"/>
              <w:rPr>
                <w:rFonts w:cs="Arial"/>
                <w:szCs w:val="16"/>
              </w:rPr>
            </w:pPr>
            <w:r w:rsidRPr="00261FA5">
              <w:rPr>
                <w:rFonts w:cs="Arial"/>
                <w:noProof/>
                <w:szCs w:val="16"/>
              </w:rPr>
              <w:t>81,074</w:t>
            </w:r>
          </w:p>
        </w:tc>
        <w:tc>
          <w:tcPr>
            <w:tcW w:w="1086" w:type="dxa"/>
            <w:tcBorders>
              <w:top w:val="nil"/>
              <w:left w:val="nil"/>
              <w:bottom w:val="nil"/>
              <w:right w:val="single" w:sz="4" w:space="0" w:color="009900"/>
            </w:tcBorders>
            <w:shd w:val="clear" w:color="000000" w:fill="FFFFE1"/>
            <w:noWrap/>
            <w:vAlign w:val="center"/>
            <w:hideMark/>
          </w:tcPr>
          <w:p w:rsidR="00C54317" w:rsidRPr="00AF0F26" w:rsidRDefault="00C54317" w:rsidP="00815780">
            <w:pPr>
              <w:pStyle w:val="ObjectAreaData"/>
              <w:rPr>
                <w:rFonts w:cs="Arial"/>
                <w:szCs w:val="16"/>
              </w:rPr>
            </w:pPr>
            <w:r w:rsidRPr="00261FA5">
              <w:rPr>
                <w:rFonts w:cs="Arial"/>
                <w:noProof/>
                <w:szCs w:val="16"/>
              </w:rPr>
              <w:t>10.6</w:t>
            </w:r>
            <w:r w:rsidRPr="00AF0F26">
              <w:rPr>
                <w:rFonts w:cs="Arial"/>
                <w:szCs w:val="16"/>
              </w:rPr>
              <w:t>%</w:t>
            </w:r>
          </w:p>
        </w:tc>
      </w:tr>
      <w:tr w:rsidR="00C54317" w:rsidRPr="00AF0F26" w:rsidTr="00815780">
        <w:trPr>
          <w:trHeight w:val="216"/>
          <w:jc w:val="center"/>
        </w:trPr>
        <w:tc>
          <w:tcPr>
            <w:tcW w:w="1342" w:type="dxa"/>
            <w:tcBorders>
              <w:top w:val="nil"/>
              <w:left w:val="single" w:sz="4" w:space="0" w:color="009900"/>
              <w:bottom w:val="nil"/>
              <w:right w:val="nil"/>
            </w:tcBorders>
            <w:shd w:val="clear" w:color="000000" w:fill="FFFFE1"/>
            <w:noWrap/>
            <w:vAlign w:val="center"/>
            <w:hideMark/>
          </w:tcPr>
          <w:p w:rsidR="00C54317" w:rsidRPr="00AF0F26" w:rsidRDefault="00C54317" w:rsidP="00815780">
            <w:pPr>
              <w:pStyle w:val="ObjectAreaData"/>
              <w:jc w:val="left"/>
            </w:pPr>
            <w:r w:rsidRPr="00AF0F26">
              <w:t>1960 to 1969</w:t>
            </w:r>
          </w:p>
        </w:tc>
        <w:tc>
          <w:tcPr>
            <w:tcW w:w="1225" w:type="dxa"/>
            <w:tcBorders>
              <w:top w:val="nil"/>
              <w:left w:val="nil"/>
              <w:bottom w:val="nil"/>
              <w:right w:val="nil"/>
            </w:tcBorders>
            <w:shd w:val="clear" w:color="000000" w:fill="FFFFE1"/>
            <w:noWrap/>
            <w:vAlign w:val="center"/>
            <w:hideMark/>
          </w:tcPr>
          <w:p w:rsidR="00C54317" w:rsidRPr="00AF0F26" w:rsidRDefault="00C54317" w:rsidP="00815780">
            <w:pPr>
              <w:pStyle w:val="ObjectAreaData"/>
              <w:rPr>
                <w:rFonts w:cs="Arial"/>
                <w:szCs w:val="16"/>
              </w:rPr>
            </w:pPr>
            <w:r w:rsidRPr="00550301">
              <w:rPr>
                <w:noProof/>
              </w:rPr>
              <w:t>85,134</w:t>
            </w:r>
          </w:p>
        </w:tc>
        <w:tc>
          <w:tcPr>
            <w:tcW w:w="1039" w:type="dxa"/>
            <w:tcBorders>
              <w:top w:val="nil"/>
              <w:left w:val="nil"/>
              <w:bottom w:val="nil"/>
              <w:right w:val="nil"/>
            </w:tcBorders>
            <w:shd w:val="clear" w:color="000000" w:fill="FFFFE1"/>
            <w:noWrap/>
            <w:vAlign w:val="center"/>
            <w:hideMark/>
          </w:tcPr>
          <w:p w:rsidR="00C54317" w:rsidRPr="00AF0F26" w:rsidRDefault="00C54317" w:rsidP="00815780">
            <w:pPr>
              <w:pStyle w:val="ObjectAreaData"/>
              <w:rPr>
                <w:rFonts w:cs="Arial"/>
                <w:szCs w:val="16"/>
              </w:rPr>
            </w:pPr>
            <w:r w:rsidRPr="00550301">
              <w:rPr>
                <w:noProof/>
              </w:rPr>
              <w:t>12.6</w:t>
            </w:r>
            <w:r w:rsidRPr="00AF0F26">
              <w:rPr>
                <w:rFonts w:cs="Arial"/>
                <w:szCs w:val="16"/>
              </w:rPr>
              <w:t>%</w:t>
            </w:r>
          </w:p>
        </w:tc>
        <w:tc>
          <w:tcPr>
            <w:tcW w:w="1274" w:type="dxa"/>
            <w:tcBorders>
              <w:top w:val="nil"/>
              <w:left w:val="nil"/>
              <w:bottom w:val="nil"/>
              <w:right w:val="nil"/>
            </w:tcBorders>
            <w:shd w:val="clear" w:color="000000" w:fill="FFFFE1"/>
            <w:noWrap/>
            <w:vAlign w:val="center"/>
            <w:hideMark/>
          </w:tcPr>
          <w:p w:rsidR="00C54317" w:rsidRPr="00AF0F26" w:rsidRDefault="00C54317" w:rsidP="00815780">
            <w:pPr>
              <w:pStyle w:val="ObjectAreaData"/>
              <w:rPr>
                <w:rFonts w:cs="Arial"/>
                <w:szCs w:val="16"/>
              </w:rPr>
            </w:pPr>
            <w:r w:rsidRPr="00261FA5">
              <w:rPr>
                <w:rFonts w:cs="Arial"/>
                <w:noProof/>
                <w:szCs w:val="16"/>
              </w:rPr>
              <w:t>77,104</w:t>
            </w:r>
          </w:p>
        </w:tc>
        <w:tc>
          <w:tcPr>
            <w:tcW w:w="1086" w:type="dxa"/>
            <w:tcBorders>
              <w:top w:val="nil"/>
              <w:left w:val="nil"/>
              <w:bottom w:val="nil"/>
              <w:right w:val="single" w:sz="4" w:space="0" w:color="009900"/>
            </w:tcBorders>
            <w:shd w:val="clear" w:color="000000" w:fill="FFFFE1"/>
            <w:noWrap/>
            <w:vAlign w:val="center"/>
            <w:hideMark/>
          </w:tcPr>
          <w:p w:rsidR="00C54317" w:rsidRPr="00AF0F26" w:rsidRDefault="00C54317" w:rsidP="00815780">
            <w:pPr>
              <w:pStyle w:val="ObjectAreaData"/>
              <w:rPr>
                <w:rFonts w:cs="Arial"/>
                <w:szCs w:val="16"/>
              </w:rPr>
            </w:pPr>
            <w:r w:rsidRPr="00261FA5">
              <w:rPr>
                <w:rFonts w:cs="Arial"/>
                <w:noProof/>
                <w:szCs w:val="16"/>
              </w:rPr>
              <w:t>10.1</w:t>
            </w:r>
            <w:r w:rsidRPr="00AF0F26">
              <w:rPr>
                <w:rFonts w:cs="Arial"/>
                <w:szCs w:val="16"/>
              </w:rPr>
              <w:t>%</w:t>
            </w:r>
          </w:p>
        </w:tc>
      </w:tr>
      <w:tr w:rsidR="00C54317" w:rsidRPr="00AF0F26" w:rsidTr="00815780">
        <w:trPr>
          <w:trHeight w:val="216"/>
          <w:jc w:val="center"/>
        </w:trPr>
        <w:tc>
          <w:tcPr>
            <w:tcW w:w="1342" w:type="dxa"/>
            <w:tcBorders>
              <w:top w:val="nil"/>
              <w:left w:val="single" w:sz="4" w:space="0" w:color="009900"/>
              <w:bottom w:val="nil"/>
              <w:right w:val="nil"/>
            </w:tcBorders>
            <w:shd w:val="clear" w:color="000000" w:fill="FFFFE1"/>
            <w:noWrap/>
            <w:vAlign w:val="center"/>
            <w:hideMark/>
          </w:tcPr>
          <w:p w:rsidR="00C54317" w:rsidRPr="00AF0F26" w:rsidRDefault="00C54317" w:rsidP="00815780">
            <w:pPr>
              <w:pStyle w:val="ObjectAreaData"/>
              <w:jc w:val="left"/>
            </w:pPr>
            <w:r w:rsidRPr="00AF0F26">
              <w:t>1970 to 1979</w:t>
            </w:r>
          </w:p>
        </w:tc>
        <w:tc>
          <w:tcPr>
            <w:tcW w:w="1225" w:type="dxa"/>
            <w:tcBorders>
              <w:top w:val="nil"/>
              <w:left w:val="nil"/>
              <w:bottom w:val="nil"/>
              <w:right w:val="nil"/>
            </w:tcBorders>
            <w:shd w:val="clear" w:color="000000" w:fill="FFFFE1"/>
            <w:noWrap/>
            <w:vAlign w:val="center"/>
            <w:hideMark/>
          </w:tcPr>
          <w:p w:rsidR="00C54317" w:rsidRPr="00AF0F26" w:rsidRDefault="00C54317" w:rsidP="00815780">
            <w:pPr>
              <w:pStyle w:val="ObjectAreaData"/>
              <w:rPr>
                <w:rFonts w:cs="Arial"/>
                <w:szCs w:val="16"/>
              </w:rPr>
            </w:pPr>
            <w:r w:rsidRPr="00550301">
              <w:rPr>
                <w:noProof/>
              </w:rPr>
              <w:t>143,909</w:t>
            </w:r>
          </w:p>
        </w:tc>
        <w:tc>
          <w:tcPr>
            <w:tcW w:w="1039" w:type="dxa"/>
            <w:tcBorders>
              <w:top w:val="nil"/>
              <w:left w:val="nil"/>
              <w:bottom w:val="nil"/>
              <w:right w:val="nil"/>
            </w:tcBorders>
            <w:shd w:val="clear" w:color="000000" w:fill="FFFFE1"/>
            <w:noWrap/>
            <w:vAlign w:val="center"/>
            <w:hideMark/>
          </w:tcPr>
          <w:p w:rsidR="00C54317" w:rsidRPr="00AF0F26" w:rsidRDefault="00C54317" w:rsidP="00815780">
            <w:pPr>
              <w:pStyle w:val="ObjectAreaData"/>
              <w:rPr>
                <w:rFonts w:cs="Arial"/>
                <w:szCs w:val="16"/>
              </w:rPr>
            </w:pPr>
            <w:r w:rsidRPr="00550301">
              <w:rPr>
                <w:noProof/>
              </w:rPr>
              <w:t>21.2</w:t>
            </w:r>
            <w:r w:rsidRPr="00AF0F26">
              <w:rPr>
                <w:rFonts w:cs="Arial"/>
                <w:szCs w:val="16"/>
              </w:rPr>
              <w:t>%</w:t>
            </w:r>
          </w:p>
        </w:tc>
        <w:tc>
          <w:tcPr>
            <w:tcW w:w="1274" w:type="dxa"/>
            <w:tcBorders>
              <w:top w:val="nil"/>
              <w:left w:val="nil"/>
              <w:bottom w:val="nil"/>
              <w:right w:val="nil"/>
            </w:tcBorders>
            <w:shd w:val="clear" w:color="000000" w:fill="FFFFE1"/>
            <w:noWrap/>
            <w:vAlign w:val="center"/>
            <w:hideMark/>
          </w:tcPr>
          <w:p w:rsidR="00C54317" w:rsidRPr="00AF0F26" w:rsidRDefault="00C54317" w:rsidP="00815780">
            <w:pPr>
              <w:pStyle w:val="ObjectAreaData"/>
              <w:rPr>
                <w:rFonts w:cs="Arial"/>
                <w:szCs w:val="16"/>
              </w:rPr>
            </w:pPr>
            <w:r w:rsidRPr="00261FA5">
              <w:rPr>
                <w:rFonts w:cs="Arial"/>
                <w:noProof/>
                <w:szCs w:val="16"/>
              </w:rPr>
              <w:t>141,103</w:t>
            </w:r>
          </w:p>
        </w:tc>
        <w:tc>
          <w:tcPr>
            <w:tcW w:w="1086" w:type="dxa"/>
            <w:tcBorders>
              <w:top w:val="nil"/>
              <w:left w:val="nil"/>
              <w:bottom w:val="nil"/>
              <w:right w:val="single" w:sz="4" w:space="0" w:color="009900"/>
            </w:tcBorders>
            <w:shd w:val="clear" w:color="000000" w:fill="FFFFE1"/>
            <w:noWrap/>
            <w:vAlign w:val="center"/>
            <w:hideMark/>
          </w:tcPr>
          <w:p w:rsidR="00C54317" w:rsidRPr="00AF0F26" w:rsidRDefault="00C54317" w:rsidP="00815780">
            <w:pPr>
              <w:pStyle w:val="ObjectAreaData"/>
              <w:rPr>
                <w:rFonts w:cs="Arial"/>
                <w:szCs w:val="16"/>
              </w:rPr>
            </w:pPr>
            <w:r w:rsidRPr="00261FA5">
              <w:rPr>
                <w:rFonts w:cs="Arial"/>
                <w:noProof/>
                <w:szCs w:val="16"/>
              </w:rPr>
              <w:t>18.5</w:t>
            </w:r>
            <w:r w:rsidRPr="00AF0F26">
              <w:rPr>
                <w:rFonts w:cs="Arial"/>
                <w:szCs w:val="16"/>
              </w:rPr>
              <w:t>%</w:t>
            </w:r>
          </w:p>
        </w:tc>
      </w:tr>
      <w:tr w:rsidR="00C54317" w:rsidRPr="00AF0F26" w:rsidTr="00815780">
        <w:trPr>
          <w:trHeight w:val="216"/>
          <w:jc w:val="center"/>
        </w:trPr>
        <w:tc>
          <w:tcPr>
            <w:tcW w:w="1342" w:type="dxa"/>
            <w:tcBorders>
              <w:top w:val="nil"/>
              <w:left w:val="single" w:sz="4" w:space="0" w:color="009900"/>
              <w:bottom w:val="nil"/>
              <w:right w:val="nil"/>
            </w:tcBorders>
            <w:shd w:val="clear" w:color="000000" w:fill="FFFFE1"/>
            <w:noWrap/>
            <w:vAlign w:val="center"/>
            <w:hideMark/>
          </w:tcPr>
          <w:p w:rsidR="00C54317" w:rsidRPr="00AF0F26" w:rsidRDefault="00C54317" w:rsidP="00815780">
            <w:pPr>
              <w:pStyle w:val="ObjectAreaData"/>
              <w:jc w:val="left"/>
            </w:pPr>
            <w:r w:rsidRPr="00AF0F26">
              <w:t>1980 to 1989</w:t>
            </w:r>
          </w:p>
        </w:tc>
        <w:tc>
          <w:tcPr>
            <w:tcW w:w="1225" w:type="dxa"/>
            <w:tcBorders>
              <w:top w:val="nil"/>
              <w:left w:val="nil"/>
              <w:bottom w:val="nil"/>
              <w:right w:val="nil"/>
            </w:tcBorders>
            <w:shd w:val="clear" w:color="000000" w:fill="FFFFE1"/>
            <w:noWrap/>
            <w:vAlign w:val="center"/>
            <w:hideMark/>
          </w:tcPr>
          <w:p w:rsidR="00C54317" w:rsidRPr="00AF0F26" w:rsidRDefault="00C54317" w:rsidP="00815780">
            <w:pPr>
              <w:pStyle w:val="ObjectAreaData"/>
              <w:rPr>
                <w:rFonts w:cs="Arial"/>
                <w:szCs w:val="16"/>
              </w:rPr>
            </w:pPr>
            <w:r w:rsidRPr="00550301">
              <w:rPr>
                <w:noProof/>
              </w:rPr>
              <w:t>136,134</w:t>
            </w:r>
          </w:p>
        </w:tc>
        <w:tc>
          <w:tcPr>
            <w:tcW w:w="1039" w:type="dxa"/>
            <w:tcBorders>
              <w:top w:val="nil"/>
              <w:left w:val="nil"/>
              <w:bottom w:val="nil"/>
              <w:right w:val="nil"/>
            </w:tcBorders>
            <w:shd w:val="clear" w:color="000000" w:fill="FFFFE1"/>
            <w:noWrap/>
            <w:vAlign w:val="center"/>
            <w:hideMark/>
          </w:tcPr>
          <w:p w:rsidR="00C54317" w:rsidRPr="00AF0F26" w:rsidRDefault="00C54317" w:rsidP="00815780">
            <w:pPr>
              <w:pStyle w:val="ObjectAreaData"/>
              <w:rPr>
                <w:rFonts w:cs="Arial"/>
                <w:szCs w:val="16"/>
              </w:rPr>
            </w:pPr>
            <w:r w:rsidRPr="00550301">
              <w:rPr>
                <w:noProof/>
              </w:rPr>
              <w:t>20.1</w:t>
            </w:r>
            <w:r w:rsidRPr="00AF0F26">
              <w:rPr>
                <w:rFonts w:cs="Arial"/>
                <w:szCs w:val="16"/>
              </w:rPr>
              <w:t>%</w:t>
            </w:r>
          </w:p>
        </w:tc>
        <w:tc>
          <w:tcPr>
            <w:tcW w:w="1274" w:type="dxa"/>
            <w:tcBorders>
              <w:top w:val="nil"/>
              <w:left w:val="nil"/>
              <w:bottom w:val="nil"/>
              <w:right w:val="nil"/>
            </w:tcBorders>
            <w:shd w:val="clear" w:color="000000" w:fill="FFFFE1"/>
            <w:noWrap/>
            <w:vAlign w:val="center"/>
            <w:hideMark/>
          </w:tcPr>
          <w:p w:rsidR="00C54317" w:rsidRPr="00AF0F26" w:rsidRDefault="00C54317" w:rsidP="00815780">
            <w:pPr>
              <w:pStyle w:val="ObjectAreaData"/>
              <w:rPr>
                <w:rFonts w:cs="Arial"/>
                <w:szCs w:val="16"/>
              </w:rPr>
            </w:pPr>
            <w:r w:rsidRPr="00261FA5">
              <w:rPr>
                <w:rFonts w:cs="Arial"/>
                <w:noProof/>
                <w:szCs w:val="16"/>
              </w:rPr>
              <w:t>133,018</w:t>
            </w:r>
          </w:p>
        </w:tc>
        <w:tc>
          <w:tcPr>
            <w:tcW w:w="1086" w:type="dxa"/>
            <w:tcBorders>
              <w:top w:val="nil"/>
              <w:left w:val="nil"/>
              <w:bottom w:val="nil"/>
              <w:right w:val="single" w:sz="4" w:space="0" w:color="009900"/>
            </w:tcBorders>
            <w:shd w:val="clear" w:color="000000" w:fill="FFFFE1"/>
            <w:noWrap/>
            <w:vAlign w:val="center"/>
            <w:hideMark/>
          </w:tcPr>
          <w:p w:rsidR="00C54317" w:rsidRPr="00AF0F26" w:rsidRDefault="00C54317" w:rsidP="00815780">
            <w:pPr>
              <w:pStyle w:val="ObjectAreaData"/>
              <w:rPr>
                <w:rFonts w:cs="Arial"/>
                <w:szCs w:val="16"/>
              </w:rPr>
            </w:pPr>
            <w:r w:rsidRPr="00261FA5">
              <w:rPr>
                <w:rFonts w:cs="Arial"/>
                <w:noProof/>
                <w:szCs w:val="16"/>
              </w:rPr>
              <w:t>17.4</w:t>
            </w:r>
            <w:r w:rsidRPr="00AF0F26">
              <w:rPr>
                <w:rFonts w:cs="Arial"/>
                <w:szCs w:val="16"/>
              </w:rPr>
              <w:t>%</w:t>
            </w:r>
          </w:p>
        </w:tc>
      </w:tr>
      <w:tr w:rsidR="00C54317" w:rsidRPr="00AF0F26" w:rsidTr="00815780">
        <w:trPr>
          <w:trHeight w:val="216"/>
          <w:jc w:val="center"/>
        </w:trPr>
        <w:tc>
          <w:tcPr>
            <w:tcW w:w="1342" w:type="dxa"/>
            <w:tcBorders>
              <w:top w:val="nil"/>
              <w:left w:val="single" w:sz="4" w:space="0" w:color="009900"/>
              <w:bottom w:val="nil"/>
              <w:right w:val="nil"/>
            </w:tcBorders>
            <w:shd w:val="clear" w:color="000000" w:fill="FFFFE1"/>
            <w:noWrap/>
            <w:vAlign w:val="center"/>
            <w:hideMark/>
          </w:tcPr>
          <w:p w:rsidR="00C54317" w:rsidRPr="00AF0F26" w:rsidRDefault="00C54317" w:rsidP="00815780">
            <w:pPr>
              <w:pStyle w:val="ObjectAreaData"/>
              <w:jc w:val="left"/>
            </w:pPr>
            <w:r w:rsidRPr="00AF0F26">
              <w:t>1990 to 1999</w:t>
            </w:r>
          </w:p>
        </w:tc>
        <w:tc>
          <w:tcPr>
            <w:tcW w:w="1225" w:type="dxa"/>
            <w:tcBorders>
              <w:top w:val="nil"/>
              <w:left w:val="nil"/>
              <w:bottom w:val="nil"/>
              <w:right w:val="nil"/>
            </w:tcBorders>
            <w:shd w:val="clear" w:color="000000" w:fill="FFFFE1"/>
            <w:noWrap/>
            <w:vAlign w:val="center"/>
            <w:hideMark/>
          </w:tcPr>
          <w:p w:rsidR="00C54317" w:rsidRPr="00AF0F26" w:rsidRDefault="00C54317" w:rsidP="00815780">
            <w:pPr>
              <w:pStyle w:val="ObjectAreaData"/>
              <w:rPr>
                <w:rFonts w:cs="Arial"/>
                <w:szCs w:val="16"/>
              </w:rPr>
            </w:pPr>
            <w:r w:rsidRPr="00550301">
              <w:rPr>
                <w:noProof/>
              </w:rPr>
              <w:t>156,022</w:t>
            </w:r>
          </w:p>
        </w:tc>
        <w:tc>
          <w:tcPr>
            <w:tcW w:w="1039" w:type="dxa"/>
            <w:tcBorders>
              <w:top w:val="nil"/>
              <w:left w:val="nil"/>
              <w:bottom w:val="nil"/>
              <w:right w:val="nil"/>
            </w:tcBorders>
            <w:shd w:val="clear" w:color="000000" w:fill="FFFFE1"/>
            <w:noWrap/>
            <w:vAlign w:val="center"/>
            <w:hideMark/>
          </w:tcPr>
          <w:p w:rsidR="00C54317" w:rsidRPr="00AF0F26" w:rsidRDefault="00C54317" w:rsidP="00815780">
            <w:pPr>
              <w:pStyle w:val="ObjectAreaData"/>
              <w:rPr>
                <w:rFonts w:cs="Arial"/>
                <w:szCs w:val="16"/>
              </w:rPr>
            </w:pPr>
            <w:r w:rsidRPr="00550301">
              <w:rPr>
                <w:noProof/>
              </w:rPr>
              <w:t>23.0</w:t>
            </w:r>
            <w:r w:rsidRPr="00AF0F26">
              <w:rPr>
                <w:rFonts w:cs="Arial"/>
                <w:szCs w:val="16"/>
              </w:rPr>
              <w:t>%</w:t>
            </w:r>
          </w:p>
        </w:tc>
        <w:tc>
          <w:tcPr>
            <w:tcW w:w="1274" w:type="dxa"/>
            <w:tcBorders>
              <w:top w:val="nil"/>
              <w:left w:val="nil"/>
              <w:bottom w:val="nil"/>
              <w:right w:val="nil"/>
            </w:tcBorders>
            <w:shd w:val="clear" w:color="000000" w:fill="FFFFE1"/>
            <w:noWrap/>
            <w:vAlign w:val="center"/>
            <w:hideMark/>
          </w:tcPr>
          <w:p w:rsidR="00C54317" w:rsidRPr="00AF0F26" w:rsidRDefault="00C54317" w:rsidP="00815780">
            <w:pPr>
              <w:pStyle w:val="ObjectAreaData"/>
              <w:rPr>
                <w:rFonts w:cs="Arial"/>
                <w:szCs w:val="16"/>
              </w:rPr>
            </w:pPr>
            <w:r w:rsidRPr="00261FA5">
              <w:rPr>
                <w:rFonts w:cs="Arial"/>
                <w:noProof/>
                <w:szCs w:val="16"/>
              </w:rPr>
              <w:t>139,401</w:t>
            </w:r>
          </w:p>
        </w:tc>
        <w:tc>
          <w:tcPr>
            <w:tcW w:w="1086" w:type="dxa"/>
            <w:tcBorders>
              <w:top w:val="nil"/>
              <w:left w:val="nil"/>
              <w:bottom w:val="nil"/>
              <w:right w:val="single" w:sz="4" w:space="0" w:color="009900"/>
            </w:tcBorders>
            <w:shd w:val="clear" w:color="000000" w:fill="FFFFE1"/>
            <w:noWrap/>
            <w:vAlign w:val="center"/>
            <w:hideMark/>
          </w:tcPr>
          <w:p w:rsidR="00C54317" w:rsidRPr="00AF0F26" w:rsidRDefault="00C54317" w:rsidP="00815780">
            <w:pPr>
              <w:pStyle w:val="ObjectAreaData"/>
              <w:rPr>
                <w:rFonts w:cs="Arial"/>
                <w:szCs w:val="16"/>
              </w:rPr>
            </w:pPr>
            <w:r w:rsidRPr="00261FA5">
              <w:rPr>
                <w:rFonts w:cs="Arial"/>
                <w:noProof/>
                <w:szCs w:val="16"/>
              </w:rPr>
              <w:t>18.2</w:t>
            </w:r>
            <w:r w:rsidRPr="00AF0F26">
              <w:rPr>
                <w:rFonts w:cs="Arial"/>
                <w:szCs w:val="16"/>
              </w:rPr>
              <w:t>%</w:t>
            </w:r>
          </w:p>
        </w:tc>
      </w:tr>
      <w:tr w:rsidR="00C54317" w:rsidRPr="00AF0F26" w:rsidTr="00815780">
        <w:trPr>
          <w:trHeight w:val="216"/>
          <w:jc w:val="center"/>
        </w:trPr>
        <w:tc>
          <w:tcPr>
            <w:tcW w:w="1342" w:type="dxa"/>
            <w:tcBorders>
              <w:top w:val="nil"/>
              <w:left w:val="single" w:sz="4" w:space="0" w:color="009900"/>
              <w:bottom w:val="nil"/>
              <w:right w:val="nil"/>
            </w:tcBorders>
            <w:shd w:val="clear" w:color="000000" w:fill="FFFFE1"/>
            <w:noWrap/>
            <w:vAlign w:val="center"/>
            <w:hideMark/>
          </w:tcPr>
          <w:p w:rsidR="00C54317" w:rsidRPr="00AF0F26" w:rsidRDefault="00C54317" w:rsidP="00815780">
            <w:pPr>
              <w:pStyle w:val="ObjectAreaData"/>
              <w:jc w:val="left"/>
            </w:pPr>
            <w:r w:rsidRPr="00AF0F26">
              <w:t>2000 to 2004</w:t>
            </w:r>
          </w:p>
        </w:tc>
        <w:tc>
          <w:tcPr>
            <w:tcW w:w="1225" w:type="dxa"/>
            <w:tcBorders>
              <w:top w:val="nil"/>
              <w:left w:val="nil"/>
              <w:bottom w:val="nil"/>
              <w:right w:val="nil"/>
            </w:tcBorders>
            <w:shd w:val="clear" w:color="000000" w:fill="FFFFE1"/>
            <w:noWrap/>
            <w:vAlign w:val="center"/>
            <w:hideMark/>
          </w:tcPr>
          <w:p w:rsidR="00C54317" w:rsidRPr="00AF0F26" w:rsidRDefault="00C54317" w:rsidP="00815780">
            <w:pPr>
              <w:pStyle w:val="ObjectAreaData"/>
            </w:pPr>
            <w:r w:rsidRPr="00AF0F26">
              <w:t>.</w:t>
            </w:r>
          </w:p>
        </w:tc>
        <w:tc>
          <w:tcPr>
            <w:tcW w:w="1039" w:type="dxa"/>
            <w:tcBorders>
              <w:top w:val="nil"/>
              <w:left w:val="nil"/>
              <w:bottom w:val="nil"/>
              <w:right w:val="nil"/>
            </w:tcBorders>
            <w:shd w:val="clear" w:color="000000" w:fill="FFFFE1"/>
            <w:noWrap/>
            <w:vAlign w:val="center"/>
            <w:hideMark/>
          </w:tcPr>
          <w:p w:rsidR="00C54317" w:rsidRPr="00AF0F26" w:rsidRDefault="00C54317" w:rsidP="00815780">
            <w:pPr>
              <w:pStyle w:val="ObjectAreaData"/>
            </w:pPr>
            <w:r w:rsidRPr="00AF0F26">
              <w:t>.</w:t>
            </w:r>
          </w:p>
        </w:tc>
        <w:tc>
          <w:tcPr>
            <w:tcW w:w="1274" w:type="dxa"/>
            <w:tcBorders>
              <w:top w:val="nil"/>
              <w:left w:val="nil"/>
              <w:bottom w:val="nil"/>
              <w:right w:val="nil"/>
            </w:tcBorders>
            <w:shd w:val="clear" w:color="000000" w:fill="FFFFE1"/>
            <w:noWrap/>
            <w:vAlign w:val="center"/>
            <w:hideMark/>
          </w:tcPr>
          <w:p w:rsidR="00C54317" w:rsidRPr="00AF0F26" w:rsidRDefault="00C54317" w:rsidP="00815780">
            <w:pPr>
              <w:pStyle w:val="ObjectAreaData"/>
              <w:rPr>
                <w:rFonts w:cs="Arial"/>
                <w:szCs w:val="16"/>
              </w:rPr>
            </w:pPr>
            <w:r w:rsidRPr="00261FA5">
              <w:rPr>
                <w:rFonts w:cs="Arial"/>
                <w:noProof/>
                <w:szCs w:val="16"/>
              </w:rPr>
              <w:t>120,645</w:t>
            </w:r>
          </w:p>
        </w:tc>
        <w:tc>
          <w:tcPr>
            <w:tcW w:w="1086" w:type="dxa"/>
            <w:tcBorders>
              <w:top w:val="nil"/>
              <w:left w:val="nil"/>
              <w:bottom w:val="nil"/>
              <w:right w:val="single" w:sz="4" w:space="0" w:color="009900"/>
            </w:tcBorders>
            <w:shd w:val="clear" w:color="000000" w:fill="FFFFE1"/>
            <w:noWrap/>
            <w:vAlign w:val="center"/>
            <w:hideMark/>
          </w:tcPr>
          <w:p w:rsidR="00C54317" w:rsidRPr="00AF0F26" w:rsidRDefault="00C54317" w:rsidP="00815780">
            <w:pPr>
              <w:pStyle w:val="ObjectAreaData"/>
              <w:rPr>
                <w:rFonts w:cs="Arial"/>
                <w:szCs w:val="16"/>
              </w:rPr>
            </w:pPr>
            <w:r w:rsidRPr="00261FA5">
              <w:rPr>
                <w:rFonts w:cs="Arial"/>
                <w:noProof/>
                <w:szCs w:val="16"/>
              </w:rPr>
              <w:t>15.8</w:t>
            </w:r>
            <w:r w:rsidRPr="00AF0F26">
              <w:rPr>
                <w:rFonts w:cs="Arial"/>
                <w:szCs w:val="16"/>
              </w:rPr>
              <w:t>%</w:t>
            </w:r>
          </w:p>
        </w:tc>
      </w:tr>
      <w:tr w:rsidR="00C54317" w:rsidRPr="00AF0F26" w:rsidTr="00815780">
        <w:trPr>
          <w:trHeight w:val="216"/>
          <w:jc w:val="center"/>
        </w:trPr>
        <w:tc>
          <w:tcPr>
            <w:tcW w:w="1342" w:type="dxa"/>
            <w:tcBorders>
              <w:top w:val="nil"/>
              <w:left w:val="single" w:sz="4" w:space="0" w:color="009900"/>
              <w:bottom w:val="nil"/>
              <w:right w:val="nil"/>
            </w:tcBorders>
            <w:shd w:val="clear" w:color="000000" w:fill="FFFFE1"/>
            <w:noWrap/>
            <w:vAlign w:val="center"/>
            <w:hideMark/>
          </w:tcPr>
          <w:p w:rsidR="00C54317" w:rsidRPr="00AF0F26" w:rsidRDefault="00C54317" w:rsidP="00815780">
            <w:pPr>
              <w:pStyle w:val="ObjectAreaData"/>
              <w:jc w:val="left"/>
            </w:pPr>
            <w:r w:rsidRPr="00AF0F26">
              <w:t>2005 or Later</w:t>
            </w:r>
          </w:p>
        </w:tc>
        <w:tc>
          <w:tcPr>
            <w:tcW w:w="1225" w:type="dxa"/>
            <w:tcBorders>
              <w:top w:val="nil"/>
              <w:left w:val="nil"/>
              <w:bottom w:val="nil"/>
              <w:right w:val="nil"/>
            </w:tcBorders>
            <w:shd w:val="clear" w:color="000000" w:fill="FFFFE1"/>
            <w:noWrap/>
            <w:vAlign w:val="center"/>
            <w:hideMark/>
          </w:tcPr>
          <w:p w:rsidR="00C54317" w:rsidRPr="00AF0F26" w:rsidRDefault="00C54317" w:rsidP="00815780">
            <w:pPr>
              <w:pStyle w:val="ObjectAreaData"/>
            </w:pPr>
            <w:r w:rsidRPr="00AF0F26">
              <w:t>.</w:t>
            </w:r>
          </w:p>
        </w:tc>
        <w:tc>
          <w:tcPr>
            <w:tcW w:w="1039" w:type="dxa"/>
            <w:tcBorders>
              <w:top w:val="nil"/>
              <w:left w:val="nil"/>
              <w:bottom w:val="nil"/>
              <w:right w:val="nil"/>
            </w:tcBorders>
            <w:shd w:val="clear" w:color="000000" w:fill="FFFFE1"/>
            <w:noWrap/>
            <w:vAlign w:val="center"/>
            <w:hideMark/>
          </w:tcPr>
          <w:p w:rsidR="00C54317" w:rsidRPr="00AF0F26" w:rsidRDefault="00C54317" w:rsidP="00815780">
            <w:pPr>
              <w:pStyle w:val="ObjectAreaData"/>
            </w:pPr>
            <w:r w:rsidRPr="00AF0F26">
              <w:t>.</w:t>
            </w:r>
          </w:p>
        </w:tc>
        <w:tc>
          <w:tcPr>
            <w:tcW w:w="1274" w:type="dxa"/>
            <w:tcBorders>
              <w:top w:val="nil"/>
              <w:left w:val="nil"/>
              <w:bottom w:val="nil"/>
              <w:right w:val="nil"/>
            </w:tcBorders>
            <w:shd w:val="clear" w:color="000000" w:fill="FFFFE1"/>
            <w:noWrap/>
            <w:vAlign w:val="center"/>
            <w:hideMark/>
          </w:tcPr>
          <w:p w:rsidR="00C54317" w:rsidRPr="00AF0F26" w:rsidRDefault="00C54317" w:rsidP="00815780">
            <w:pPr>
              <w:pStyle w:val="ObjectAreaData"/>
              <w:rPr>
                <w:rFonts w:cs="Arial"/>
                <w:szCs w:val="16"/>
              </w:rPr>
            </w:pPr>
            <w:r w:rsidRPr="00261FA5">
              <w:rPr>
                <w:rFonts w:cs="Arial"/>
                <w:noProof/>
                <w:szCs w:val="16"/>
              </w:rPr>
              <w:t>2,661</w:t>
            </w:r>
          </w:p>
        </w:tc>
        <w:tc>
          <w:tcPr>
            <w:tcW w:w="1086" w:type="dxa"/>
            <w:tcBorders>
              <w:top w:val="nil"/>
              <w:left w:val="nil"/>
              <w:bottom w:val="double" w:sz="6" w:space="0" w:color="009900"/>
              <w:right w:val="single" w:sz="4" w:space="0" w:color="009900"/>
            </w:tcBorders>
            <w:shd w:val="clear" w:color="000000" w:fill="FFFFE1"/>
            <w:noWrap/>
            <w:vAlign w:val="center"/>
            <w:hideMark/>
          </w:tcPr>
          <w:p w:rsidR="00C54317" w:rsidRPr="00AF0F26" w:rsidRDefault="00C54317" w:rsidP="00815780">
            <w:pPr>
              <w:pStyle w:val="ObjectAreaData"/>
              <w:rPr>
                <w:rFonts w:cs="Arial"/>
                <w:szCs w:val="16"/>
              </w:rPr>
            </w:pPr>
            <w:r w:rsidRPr="00261FA5">
              <w:rPr>
                <w:rFonts w:cs="Arial"/>
                <w:noProof/>
                <w:szCs w:val="16"/>
              </w:rPr>
              <w:t>.</w:t>
            </w:r>
            <w:r w:rsidRPr="00550301">
              <w:rPr>
                <w:noProof/>
              </w:rPr>
              <w:t>3</w:t>
            </w:r>
            <w:r w:rsidRPr="00AF0F26">
              <w:rPr>
                <w:rFonts w:cs="Arial"/>
                <w:szCs w:val="16"/>
              </w:rPr>
              <w:t>%</w:t>
            </w:r>
          </w:p>
        </w:tc>
      </w:tr>
      <w:tr w:rsidR="00C54317" w:rsidRPr="002E5098" w:rsidTr="00815780">
        <w:trPr>
          <w:trHeight w:val="216"/>
          <w:jc w:val="center"/>
        </w:trPr>
        <w:tc>
          <w:tcPr>
            <w:tcW w:w="1342" w:type="dxa"/>
            <w:tcBorders>
              <w:top w:val="double" w:sz="6" w:space="0" w:color="009900"/>
              <w:left w:val="single" w:sz="4" w:space="0" w:color="009900"/>
              <w:bottom w:val="single" w:sz="4" w:space="0" w:color="009900"/>
              <w:right w:val="nil"/>
            </w:tcBorders>
            <w:shd w:val="clear" w:color="000000" w:fill="FFFFE1"/>
            <w:noWrap/>
            <w:vAlign w:val="center"/>
            <w:hideMark/>
          </w:tcPr>
          <w:p w:rsidR="00C54317" w:rsidRPr="002E5098" w:rsidRDefault="00C54317" w:rsidP="00815780">
            <w:pPr>
              <w:pStyle w:val="ObjectAreaData"/>
              <w:jc w:val="left"/>
              <w:rPr>
                <w:b/>
              </w:rPr>
            </w:pPr>
            <w:r w:rsidRPr="002E5098">
              <w:rPr>
                <w:b/>
              </w:rPr>
              <w:t>Total</w:t>
            </w:r>
          </w:p>
        </w:tc>
        <w:tc>
          <w:tcPr>
            <w:tcW w:w="1225" w:type="dxa"/>
            <w:tcBorders>
              <w:top w:val="double" w:sz="6" w:space="0" w:color="009900"/>
              <w:left w:val="nil"/>
              <w:bottom w:val="single" w:sz="4" w:space="0" w:color="009900"/>
              <w:right w:val="nil"/>
            </w:tcBorders>
            <w:shd w:val="clear" w:color="000000" w:fill="FFFFE1"/>
            <w:noWrap/>
            <w:vAlign w:val="center"/>
            <w:hideMark/>
          </w:tcPr>
          <w:p w:rsidR="00C54317" w:rsidRPr="002E5098" w:rsidRDefault="00C54317" w:rsidP="00815780">
            <w:pPr>
              <w:pStyle w:val="ObjectAreaData"/>
              <w:rPr>
                <w:rFonts w:cs="Arial"/>
                <w:b/>
                <w:bCs/>
                <w:szCs w:val="16"/>
              </w:rPr>
            </w:pPr>
            <w:r w:rsidRPr="00550301">
              <w:rPr>
                <w:b/>
                <w:noProof/>
              </w:rPr>
              <w:t>677,971</w:t>
            </w:r>
          </w:p>
        </w:tc>
        <w:tc>
          <w:tcPr>
            <w:tcW w:w="1039" w:type="dxa"/>
            <w:tcBorders>
              <w:top w:val="double" w:sz="6" w:space="0" w:color="009900"/>
              <w:left w:val="nil"/>
              <w:bottom w:val="single" w:sz="4" w:space="0" w:color="009900"/>
              <w:right w:val="nil"/>
            </w:tcBorders>
            <w:shd w:val="clear" w:color="000000" w:fill="FFFFE1"/>
            <w:noWrap/>
            <w:vAlign w:val="center"/>
            <w:hideMark/>
          </w:tcPr>
          <w:p w:rsidR="00C54317" w:rsidRPr="002E5098" w:rsidRDefault="00C54317" w:rsidP="00815780">
            <w:pPr>
              <w:pStyle w:val="ObjectAreaData"/>
              <w:rPr>
                <w:b/>
              </w:rPr>
            </w:pPr>
            <w:r w:rsidRPr="002E5098">
              <w:rPr>
                <w:b/>
              </w:rPr>
              <w:t>100.0%</w:t>
            </w:r>
          </w:p>
        </w:tc>
        <w:tc>
          <w:tcPr>
            <w:tcW w:w="1274" w:type="dxa"/>
            <w:tcBorders>
              <w:top w:val="double" w:sz="6" w:space="0" w:color="009900"/>
              <w:left w:val="nil"/>
              <w:bottom w:val="single" w:sz="4" w:space="0" w:color="009900"/>
              <w:right w:val="nil"/>
            </w:tcBorders>
            <w:shd w:val="clear" w:color="000000" w:fill="FFFFE1"/>
            <w:noWrap/>
            <w:vAlign w:val="center"/>
            <w:hideMark/>
          </w:tcPr>
          <w:p w:rsidR="00C54317" w:rsidRPr="002E5098" w:rsidRDefault="00C54317" w:rsidP="00815780">
            <w:pPr>
              <w:pStyle w:val="ObjectAreaData"/>
              <w:rPr>
                <w:rFonts w:cs="Arial"/>
                <w:b/>
                <w:bCs/>
                <w:szCs w:val="16"/>
              </w:rPr>
            </w:pPr>
            <w:r w:rsidRPr="00261FA5">
              <w:rPr>
                <w:rFonts w:cs="Arial"/>
                <w:b/>
                <w:noProof/>
                <w:szCs w:val="16"/>
              </w:rPr>
              <w:t>763,844</w:t>
            </w:r>
          </w:p>
        </w:tc>
        <w:tc>
          <w:tcPr>
            <w:tcW w:w="1086" w:type="dxa"/>
            <w:tcBorders>
              <w:top w:val="nil"/>
              <w:left w:val="nil"/>
              <w:bottom w:val="single" w:sz="4" w:space="0" w:color="009900"/>
              <w:right w:val="single" w:sz="4" w:space="0" w:color="009900"/>
            </w:tcBorders>
            <w:shd w:val="clear" w:color="000000" w:fill="FFFFE1"/>
            <w:noWrap/>
            <w:vAlign w:val="center"/>
            <w:hideMark/>
          </w:tcPr>
          <w:p w:rsidR="00C54317" w:rsidRPr="002E5098" w:rsidRDefault="00C54317" w:rsidP="00815780">
            <w:pPr>
              <w:pStyle w:val="ObjectAreaData"/>
              <w:rPr>
                <w:b/>
              </w:rPr>
            </w:pPr>
            <w:r w:rsidRPr="002E5098">
              <w:rPr>
                <w:b/>
              </w:rPr>
              <w:t>100.0%</w:t>
            </w:r>
          </w:p>
        </w:tc>
      </w:tr>
    </w:tbl>
    <w:p w:rsidR="005471FD" w:rsidRDefault="005471FD" w:rsidP="00BB666B">
      <w:pPr>
        <w:pStyle w:val="FirstHead"/>
      </w:pPr>
      <w:bookmarkStart w:id="67" w:name="_Toc233426579"/>
      <w:bookmarkStart w:id="68" w:name="_Toc233426764"/>
    </w:p>
    <w:p w:rsidR="005471FD" w:rsidRDefault="005471FD" w:rsidP="00BB666B">
      <w:pPr>
        <w:pStyle w:val="FirstHead"/>
      </w:pPr>
    </w:p>
    <w:p w:rsidR="00B32AA7" w:rsidRPr="0002137F" w:rsidRDefault="002B6CE8" w:rsidP="00BB666B">
      <w:pPr>
        <w:pStyle w:val="FirstHead"/>
      </w:pPr>
      <w:bookmarkStart w:id="69" w:name="_Toc399834570"/>
      <w:r w:rsidRPr="0002137F">
        <w:t>C. Housing Production</w:t>
      </w:r>
      <w:bookmarkEnd w:id="67"/>
      <w:bookmarkEnd w:id="68"/>
      <w:r w:rsidR="00307BB1" w:rsidRPr="0002137F">
        <w:t xml:space="preserve"> and Affordability</w:t>
      </w:r>
      <w:bookmarkEnd w:id="69"/>
    </w:p>
    <w:p w:rsidR="00451F4D" w:rsidRPr="005471FD" w:rsidRDefault="00451F4D" w:rsidP="00451F4D">
      <w:pPr>
        <w:rPr>
          <w:rFonts w:ascii="CG Omega" w:hAnsi="CG Omega"/>
          <w:sz w:val="22"/>
          <w:szCs w:val="22"/>
        </w:rPr>
      </w:pPr>
    </w:p>
    <w:p w:rsidR="00C31654" w:rsidRPr="0002137F" w:rsidRDefault="00373013" w:rsidP="00B27797">
      <w:pPr>
        <w:pStyle w:val="BodyText"/>
        <w:tabs>
          <w:tab w:val="num" w:pos="360"/>
        </w:tabs>
        <w:rPr>
          <w:rFonts w:ascii="CG Omega" w:hAnsi="CG Omega"/>
          <w:sz w:val="26"/>
          <w:szCs w:val="26"/>
        </w:rPr>
      </w:pPr>
      <w:r w:rsidRPr="0002137F">
        <w:rPr>
          <w:rFonts w:ascii="CG Omega" w:hAnsi="CG Omega"/>
          <w:b/>
          <w:bCs/>
          <w:smallCaps/>
          <w:sz w:val="26"/>
          <w:szCs w:val="26"/>
        </w:rPr>
        <w:t>Housing Production</w:t>
      </w:r>
    </w:p>
    <w:p w:rsidR="00C31654" w:rsidRPr="005471FD" w:rsidRDefault="00C31654" w:rsidP="00B27797">
      <w:pPr>
        <w:pStyle w:val="BodyText"/>
        <w:tabs>
          <w:tab w:val="num" w:pos="360"/>
        </w:tabs>
        <w:rPr>
          <w:rFonts w:ascii="CG Omega" w:hAnsi="CG Omega"/>
          <w:szCs w:val="24"/>
          <w:highlight w:val="yellow"/>
        </w:rPr>
      </w:pPr>
    </w:p>
    <w:p w:rsidR="00451F4D" w:rsidRPr="005471FD" w:rsidRDefault="00373013" w:rsidP="00E51C89">
      <w:pPr>
        <w:pStyle w:val="BodyText"/>
        <w:tabs>
          <w:tab w:val="num" w:pos="360"/>
        </w:tabs>
        <w:rPr>
          <w:rFonts w:ascii="CG Omega" w:hAnsi="CG Omega"/>
          <w:szCs w:val="24"/>
        </w:rPr>
      </w:pPr>
      <w:r w:rsidRPr="005471FD">
        <w:rPr>
          <w:rFonts w:ascii="CG Omega" w:hAnsi="CG Omega"/>
          <w:bCs/>
          <w:szCs w:val="24"/>
        </w:rPr>
        <w:t xml:space="preserve">The Census Bureau reports the number of residential building </w:t>
      </w:r>
      <w:r w:rsidR="00965C11" w:rsidRPr="005471FD">
        <w:rPr>
          <w:rFonts w:ascii="CG Omega" w:hAnsi="CG Omega"/>
          <w:bCs/>
          <w:szCs w:val="24"/>
        </w:rPr>
        <w:t>permits issued each year for</w:t>
      </w:r>
      <w:r w:rsidRPr="005471FD">
        <w:rPr>
          <w:rFonts w:ascii="CG Omega" w:hAnsi="CG Omega"/>
          <w:bCs/>
          <w:szCs w:val="24"/>
        </w:rPr>
        <w:t xml:space="preserve"> permit issuing places</w:t>
      </w:r>
      <w:r w:rsidR="00C45042" w:rsidRPr="005471FD">
        <w:rPr>
          <w:rFonts w:ascii="CG Omega" w:hAnsi="CG Omega"/>
          <w:bCs/>
          <w:szCs w:val="24"/>
        </w:rPr>
        <w:t xml:space="preserve">, including </w:t>
      </w:r>
      <w:r w:rsidR="00965C11" w:rsidRPr="005471FD">
        <w:rPr>
          <w:rFonts w:ascii="CG Omega" w:hAnsi="CG Omega"/>
          <w:bCs/>
          <w:szCs w:val="24"/>
        </w:rPr>
        <w:t xml:space="preserve">those in </w:t>
      </w:r>
      <w:r w:rsidR="00C45042" w:rsidRPr="005471FD">
        <w:rPr>
          <w:rFonts w:ascii="CG Omega" w:hAnsi="CG Omega"/>
          <w:bCs/>
          <w:szCs w:val="24"/>
        </w:rPr>
        <w:t xml:space="preserve">the </w:t>
      </w:r>
      <w:r w:rsidR="00B05793" w:rsidRPr="005471FD">
        <w:rPr>
          <w:rFonts w:ascii="CG Omega" w:hAnsi="CG Omega"/>
          <w:bCs/>
          <w:szCs w:val="24"/>
        </w:rPr>
        <w:t>s</w:t>
      </w:r>
      <w:r w:rsidR="00C45042" w:rsidRPr="005471FD">
        <w:rPr>
          <w:rFonts w:ascii="CG Omega" w:hAnsi="CG Omega"/>
          <w:bCs/>
          <w:szCs w:val="24"/>
        </w:rPr>
        <w:t>tate of New Mexico</w:t>
      </w:r>
      <w:r w:rsidR="00485C5F" w:rsidRPr="005471FD">
        <w:rPr>
          <w:rFonts w:ascii="CG Omega" w:hAnsi="CG Omega"/>
          <w:bCs/>
          <w:szCs w:val="24"/>
        </w:rPr>
        <w:t xml:space="preserve">.  </w:t>
      </w:r>
      <w:r w:rsidR="001A3513" w:rsidRPr="005471FD">
        <w:rPr>
          <w:rFonts w:ascii="CG Omega" w:hAnsi="CG Omega"/>
          <w:szCs w:val="24"/>
        </w:rPr>
        <w:t>Reported data are single family units, duplexes, and tri- and four-plex units and all units within facilities comprising five or more units.</w:t>
      </w:r>
      <w:r w:rsidR="00E51C89" w:rsidRPr="005471FD">
        <w:rPr>
          <w:rFonts w:ascii="CG Omega" w:hAnsi="CG Omega"/>
          <w:szCs w:val="24"/>
        </w:rPr>
        <w:t xml:space="preserve"> </w:t>
      </w:r>
      <w:r w:rsidR="001A3513" w:rsidRPr="005471FD">
        <w:rPr>
          <w:rFonts w:ascii="CG Omega" w:hAnsi="CG Omega"/>
          <w:szCs w:val="24"/>
        </w:rPr>
        <w:t xml:space="preserve">  </w:t>
      </w:r>
    </w:p>
    <w:p w:rsidR="001A3513" w:rsidRPr="005471FD" w:rsidRDefault="001A3513" w:rsidP="00E51C89">
      <w:pPr>
        <w:pStyle w:val="BodyText"/>
        <w:tabs>
          <w:tab w:val="num" w:pos="360"/>
        </w:tabs>
        <w:rPr>
          <w:rFonts w:ascii="CG Omega" w:hAnsi="CG Omega"/>
          <w:szCs w:val="24"/>
        </w:rPr>
      </w:pPr>
    </w:p>
    <w:p w:rsidR="00CA2AAD" w:rsidRDefault="00E222F1" w:rsidP="0002137F">
      <w:pPr>
        <w:pStyle w:val="BodyText"/>
        <w:tabs>
          <w:tab w:val="num" w:pos="360"/>
        </w:tabs>
        <w:rPr>
          <w:rFonts w:ascii="Arial" w:eastAsia="Arial" w:hAnsi="Arial" w:cs="Arial"/>
          <w:b/>
          <w:bCs/>
          <w:color w:val="000000"/>
          <w:kern w:val="24"/>
          <w:sz w:val="22"/>
          <w:szCs w:val="22"/>
        </w:rPr>
      </w:pPr>
      <w:r w:rsidRPr="003B6AD4">
        <w:rPr>
          <w:rFonts w:ascii="CG Omega" w:hAnsi="CG Omega"/>
          <w:bCs/>
        </w:rPr>
        <w:t xml:space="preserve">The number of </w:t>
      </w:r>
      <w:r w:rsidR="00BB2854">
        <w:rPr>
          <w:rFonts w:ascii="CG Omega" w:hAnsi="CG Omega"/>
          <w:bCs/>
        </w:rPr>
        <w:t>single family</w:t>
      </w:r>
      <w:r w:rsidRPr="003B6AD4">
        <w:rPr>
          <w:rFonts w:ascii="CG Omega" w:hAnsi="CG Omega"/>
          <w:bCs/>
        </w:rPr>
        <w:t xml:space="preserve"> and </w:t>
      </w:r>
      <w:r w:rsidR="00BB2854">
        <w:rPr>
          <w:rFonts w:ascii="CG Omega" w:hAnsi="CG Omega"/>
          <w:bCs/>
        </w:rPr>
        <w:t>multifamily</w:t>
      </w:r>
      <w:r w:rsidRPr="003B6AD4">
        <w:rPr>
          <w:rFonts w:ascii="CG Omega" w:hAnsi="CG Omega"/>
          <w:bCs/>
        </w:rPr>
        <w:t xml:space="preserve"> units permitted in the State of New Mexico has varied considerably by year between 1980 and the present</w:t>
      </w:r>
      <w:r w:rsidR="00EA4494">
        <w:rPr>
          <w:rFonts w:ascii="CG Omega" w:hAnsi="CG Omega"/>
          <w:bCs/>
        </w:rPr>
        <w:t xml:space="preserve">, as shown in </w:t>
      </w:r>
      <w:r w:rsidR="00EA4494" w:rsidRPr="005471FD">
        <w:rPr>
          <w:rFonts w:ascii="CG Omega" w:hAnsi="CG Omega"/>
          <w:b/>
          <w:bCs/>
        </w:rPr>
        <w:t>Table IV.4</w:t>
      </w:r>
      <w:r w:rsidR="00EA4494">
        <w:rPr>
          <w:rFonts w:ascii="CG Omega" w:hAnsi="CG Omega"/>
          <w:bCs/>
        </w:rPr>
        <w:t xml:space="preserve"> </w:t>
      </w:r>
      <w:r w:rsidR="005471FD">
        <w:rPr>
          <w:rFonts w:ascii="CG Omega" w:hAnsi="CG Omega"/>
          <w:bCs/>
        </w:rPr>
        <w:t>on the following page</w:t>
      </w:r>
      <w:r w:rsidRPr="003B6AD4">
        <w:rPr>
          <w:rFonts w:ascii="CG Omega" w:hAnsi="CG Omega"/>
          <w:bCs/>
        </w:rPr>
        <w:t xml:space="preserve">. Housing production in the 1980s peaked in the middle of the decade, and nearly 16,000 new units were permitted in 1984. Unusually, production of </w:t>
      </w:r>
      <w:r w:rsidR="00BB2854">
        <w:rPr>
          <w:rFonts w:ascii="CG Omega" w:hAnsi="CG Omega"/>
          <w:bCs/>
        </w:rPr>
        <w:t>single family</w:t>
      </w:r>
      <w:r w:rsidRPr="003B6AD4">
        <w:rPr>
          <w:rFonts w:ascii="CG Omega" w:hAnsi="CG Omega"/>
          <w:bCs/>
        </w:rPr>
        <w:t xml:space="preserve"> and </w:t>
      </w:r>
      <w:r w:rsidR="00BB2854">
        <w:rPr>
          <w:rFonts w:ascii="CG Omega" w:hAnsi="CG Omega"/>
          <w:bCs/>
        </w:rPr>
        <w:t>multifamily</w:t>
      </w:r>
      <w:r w:rsidRPr="003B6AD4">
        <w:rPr>
          <w:rFonts w:ascii="CG Omega" w:hAnsi="CG Omega"/>
          <w:bCs/>
        </w:rPr>
        <w:t xml:space="preserve"> units reached near parity in that year as the former accounted for about 48 percent </w:t>
      </w:r>
      <w:r w:rsidR="003B6AD4" w:rsidRPr="003B6AD4">
        <w:rPr>
          <w:rFonts w:ascii="CG Omega" w:hAnsi="CG Omega"/>
          <w:bCs/>
        </w:rPr>
        <w:t xml:space="preserve">of new units and the latter for 46.7 percent. In general, permits for new </w:t>
      </w:r>
      <w:r w:rsidR="00BB2854">
        <w:rPr>
          <w:rFonts w:ascii="CG Omega" w:hAnsi="CG Omega"/>
          <w:bCs/>
        </w:rPr>
        <w:t>single family</w:t>
      </w:r>
      <w:r w:rsidR="003B6AD4" w:rsidRPr="003B6AD4">
        <w:rPr>
          <w:rFonts w:ascii="CG Omega" w:hAnsi="CG Omega"/>
          <w:bCs/>
        </w:rPr>
        <w:t xml:space="preserve"> units outnumbe</w:t>
      </w:r>
      <w:r w:rsidR="004421C6">
        <w:rPr>
          <w:rFonts w:ascii="CG Omega" w:hAnsi="CG Omega"/>
          <w:bCs/>
        </w:rPr>
        <w:t>r permits for multi</w:t>
      </w:r>
      <w:r w:rsidR="003B6AD4" w:rsidRPr="003B6AD4">
        <w:rPr>
          <w:rFonts w:ascii="CG Omega" w:hAnsi="CG Omega"/>
          <w:bCs/>
        </w:rPr>
        <w:t xml:space="preserve">family units by a wide margin, a tendency which has become more pronounced since the 1980s. </w:t>
      </w:r>
      <w:r w:rsidR="003B6AD4" w:rsidRPr="00AE295A">
        <w:rPr>
          <w:rFonts w:ascii="CG Omega" w:hAnsi="CG Omega"/>
          <w:bCs/>
        </w:rPr>
        <w:t xml:space="preserve">The beginning of the 1990s came toward the end of a period of relatively slow housing </w:t>
      </w:r>
      <w:r w:rsidR="00AE295A" w:rsidRPr="00AE295A">
        <w:rPr>
          <w:rFonts w:ascii="CG Omega" w:hAnsi="CG Omega"/>
          <w:bCs/>
        </w:rPr>
        <w:t>production</w:t>
      </w:r>
      <w:r w:rsidR="004827A8">
        <w:rPr>
          <w:rFonts w:ascii="CG Omega" w:hAnsi="CG Omega"/>
          <w:bCs/>
        </w:rPr>
        <w:t xml:space="preserve"> when </w:t>
      </w:r>
      <w:r w:rsidR="00AE295A">
        <w:rPr>
          <w:rFonts w:ascii="CG Omega" w:hAnsi="CG Omega"/>
          <w:bCs/>
        </w:rPr>
        <w:t xml:space="preserve">the permitting of new units had fallen to around </w:t>
      </w:r>
      <w:r w:rsidR="001078C1">
        <w:rPr>
          <w:rFonts w:ascii="CG Omega" w:hAnsi="CG Omega"/>
          <w:bCs/>
        </w:rPr>
        <w:t>6,000 per year.</w:t>
      </w:r>
      <w:r w:rsidR="004827A8">
        <w:rPr>
          <w:rFonts w:ascii="CG Omega" w:hAnsi="CG Omega"/>
          <w:bCs/>
        </w:rPr>
        <w:t xml:space="preserve"> </w:t>
      </w:r>
      <w:r w:rsidR="001078C1">
        <w:rPr>
          <w:rFonts w:ascii="CG Omega" w:hAnsi="CG Omega"/>
          <w:bCs/>
        </w:rPr>
        <w:t>However, housing production accelerated quickly in the early years of the 1990s, and though it declined moderately throug</w:t>
      </w:r>
      <w:r w:rsidR="00BA58E2">
        <w:rPr>
          <w:rFonts w:ascii="CG Omega" w:hAnsi="CG Omega"/>
          <w:bCs/>
        </w:rPr>
        <w:t>h the second half of the decade;</w:t>
      </w:r>
      <w:r w:rsidR="001078C1">
        <w:rPr>
          <w:rFonts w:ascii="CG Omega" w:hAnsi="CG Omega"/>
          <w:bCs/>
        </w:rPr>
        <w:t xml:space="preserve"> housing production accelerated again through 2005.</w:t>
      </w:r>
      <w:r w:rsidR="0002137F">
        <w:rPr>
          <w:rFonts w:ascii="CG Omega" w:hAnsi="CG Omega"/>
          <w:bCs/>
        </w:rPr>
        <w:t xml:space="preserve"> However, housing production fell precipitously after 2006 to less than 4,000 units per year in 2011.</w:t>
      </w:r>
    </w:p>
    <w:p w:rsidR="0002137F" w:rsidRPr="008C0D1A" w:rsidRDefault="0002137F" w:rsidP="0002137F">
      <w:pPr>
        <w:pStyle w:val="BodyText"/>
        <w:tabs>
          <w:tab w:val="num" w:pos="360"/>
        </w:tabs>
        <w:rPr>
          <w:rFonts w:ascii="CG Omega" w:hAnsi="CG Omega"/>
          <w:bCs/>
          <w:sz w:val="16"/>
          <w:szCs w:val="16"/>
        </w:rPr>
      </w:pPr>
    </w:p>
    <w:p w:rsidR="005471FD" w:rsidRDefault="005471FD">
      <w:pPr>
        <w:rPr>
          <w:rFonts w:ascii="Arial" w:eastAsia="Arial" w:hAnsi="Arial" w:cs="Arial"/>
          <w:b/>
          <w:bCs/>
          <w:color w:val="000000"/>
          <w:kern w:val="24"/>
          <w:sz w:val="22"/>
          <w:szCs w:val="22"/>
        </w:rPr>
      </w:pPr>
      <w:r>
        <w:rPr>
          <w:rFonts w:ascii="Arial" w:eastAsia="Arial" w:hAnsi="Arial" w:cs="Arial"/>
          <w:b/>
          <w:bCs/>
          <w:color w:val="000000"/>
          <w:kern w:val="24"/>
          <w:sz w:val="22"/>
          <w:szCs w:val="22"/>
        </w:rPr>
        <w:br w:type="page"/>
      </w:r>
    </w:p>
    <w:p w:rsidR="00CA2AAD" w:rsidRDefault="00CA2AAD" w:rsidP="00CA2AAD">
      <w:pPr>
        <w:pStyle w:val="NormalWeb"/>
        <w:spacing w:before="0" w:beforeAutospacing="0" w:after="0" w:afterAutospacing="0"/>
        <w:jc w:val="center"/>
      </w:pPr>
      <w:r>
        <w:rPr>
          <w:rFonts w:ascii="Arial" w:eastAsia="Arial" w:hAnsi="Arial" w:cs="Arial"/>
          <w:b/>
          <w:bCs/>
          <w:color w:val="000000"/>
          <w:kern w:val="24"/>
          <w:sz w:val="22"/>
          <w:szCs w:val="22"/>
        </w:rPr>
        <w:t xml:space="preserve">Diagram </w:t>
      </w:r>
      <w:r w:rsidR="00B72905">
        <w:rPr>
          <w:rFonts w:ascii="Arial" w:eastAsia="Arial" w:hAnsi="Arial" w:cs="Arial"/>
          <w:b/>
          <w:bCs/>
          <w:color w:val="000000"/>
          <w:kern w:val="24"/>
          <w:sz w:val="22"/>
          <w:szCs w:val="22"/>
        </w:rPr>
        <w:t>IV.4</w:t>
      </w:r>
    </w:p>
    <w:p w:rsidR="00CA2AAD" w:rsidRDefault="00CA2AAD" w:rsidP="00CA2AAD">
      <w:pPr>
        <w:pStyle w:val="NormalWeb"/>
        <w:spacing w:before="0" w:beforeAutospacing="0" w:after="0" w:afterAutospacing="0"/>
        <w:jc w:val="center"/>
      </w:pPr>
      <w:r>
        <w:rPr>
          <w:rFonts w:ascii="Arial" w:eastAsia="Arial" w:hAnsi="Arial" w:cs="Arial"/>
          <w:b/>
          <w:bCs/>
          <w:color w:val="000000"/>
          <w:kern w:val="24"/>
          <w:sz w:val="22"/>
          <w:szCs w:val="22"/>
        </w:rPr>
        <w:t>Permitted Units by Unit Type</w:t>
      </w:r>
    </w:p>
    <w:p w:rsidR="00CA2AAD" w:rsidRDefault="00CA2AAD" w:rsidP="00CA2AAD">
      <w:pPr>
        <w:pStyle w:val="NormalWeb"/>
        <w:spacing w:before="0" w:beforeAutospacing="0" w:after="0" w:afterAutospacing="0"/>
        <w:jc w:val="center"/>
      </w:pPr>
      <w:r>
        <w:rPr>
          <w:rFonts w:ascii="Arial" w:eastAsia="Arial" w:hAnsi="Arial" w:cs="Arial"/>
          <w:color w:val="000000"/>
          <w:kern w:val="24"/>
          <w:sz w:val="16"/>
          <w:szCs w:val="16"/>
        </w:rPr>
        <w:t>State of New Mexico</w:t>
      </w:r>
    </w:p>
    <w:p w:rsidR="00B52134" w:rsidRPr="00CA2AAD" w:rsidRDefault="00CA2AAD" w:rsidP="00CA2AAD">
      <w:pPr>
        <w:pStyle w:val="NormalWeb"/>
        <w:spacing w:before="0" w:beforeAutospacing="0" w:after="0" w:afterAutospacing="0"/>
        <w:jc w:val="center"/>
      </w:pPr>
      <w:r>
        <w:rPr>
          <w:rFonts w:ascii="Arial" w:eastAsia="Arial" w:hAnsi="Arial" w:cs="Arial"/>
          <w:color w:val="000000"/>
          <w:kern w:val="24"/>
          <w:sz w:val="16"/>
          <w:szCs w:val="16"/>
        </w:rPr>
        <w:t>Census Data</w:t>
      </w:r>
    </w:p>
    <w:p w:rsidR="00B52134" w:rsidRPr="00955C8C" w:rsidRDefault="00686F12" w:rsidP="00B52134">
      <w:pPr>
        <w:pStyle w:val="BodyText"/>
        <w:tabs>
          <w:tab w:val="num" w:pos="360"/>
        </w:tabs>
        <w:jc w:val="center"/>
        <w:rPr>
          <w:rFonts w:ascii="CG Omega" w:hAnsi="CG Omega"/>
          <w:szCs w:val="24"/>
          <w:highlight w:val="yellow"/>
        </w:rPr>
      </w:pPr>
      <w:bookmarkStart w:id="70" w:name="_MON_1341660156"/>
      <w:bookmarkStart w:id="71" w:name="_MON_1341400473"/>
      <w:bookmarkEnd w:id="70"/>
      <w:bookmarkEnd w:id="71"/>
      <w:r>
        <w:rPr>
          <w:noProof/>
        </w:rPr>
        <w:drawing>
          <wp:inline distT="0" distB="0" distL="0" distR="0" wp14:anchorId="71A3874D" wp14:editId="298A8990">
            <wp:extent cx="5486400" cy="2971800"/>
            <wp:effectExtent l="0" t="0" r="0" b="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2C02D6" w:rsidRPr="005471FD" w:rsidRDefault="002C02D6" w:rsidP="003638B5">
      <w:pPr>
        <w:pStyle w:val="BodyText"/>
        <w:tabs>
          <w:tab w:val="num" w:pos="360"/>
        </w:tabs>
        <w:rPr>
          <w:rFonts w:ascii="CG Omega" w:hAnsi="CG Omega"/>
          <w:b/>
          <w:bCs/>
          <w:smallCaps/>
          <w:szCs w:val="24"/>
        </w:rPr>
      </w:pPr>
    </w:p>
    <w:p w:rsidR="00924B88" w:rsidRPr="000F1974" w:rsidRDefault="00924B88" w:rsidP="003638B5">
      <w:pPr>
        <w:pStyle w:val="BodyText"/>
        <w:tabs>
          <w:tab w:val="num" w:pos="360"/>
        </w:tabs>
        <w:rPr>
          <w:rFonts w:ascii="CG Omega" w:hAnsi="CG Omega"/>
          <w:bCs/>
          <w:szCs w:val="26"/>
        </w:rPr>
      </w:pPr>
      <w:r w:rsidRPr="005471FD">
        <w:rPr>
          <w:rFonts w:ascii="CG Omega" w:hAnsi="CG Omega"/>
          <w:b/>
          <w:bCs/>
          <w:szCs w:val="26"/>
        </w:rPr>
        <w:t>Table IV.</w:t>
      </w:r>
      <w:r w:rsidR="00321774" w:rsidRPr="005471FD">
        <w:rPr>
          <w:rFonts w:ascii="CG Omega" w:hAnsi="CG Omega"/>
          <w:b/>
          <w:bCs/>
          <w:szCs w:val="26"/>
        </w:rPr>
        <w:t>6</w:t>
      </w:r>
      <w:r w:rsidRPr="000F1974">
        <w:rPr>
          <w:rFonts w:ascii="CG Omega" w:hAnsi="CG Omega"/>
          <w:bCs/>
          <w:szCs w:val="26"/>
        </w:rPr>
        <w:t>, on the following page, presents data on the number of manufactured homes placed in New Mexico, along with data regarding average price.</w:t>
      </w:r>
      <w:r w:rsidR="00211755" w:rsidRPr="000F1974">
        <w:rPr>
          <w:rFonts w:ascii="CG Omega" w:hAnsi="CG Omega"/>
          <w:bCs/>
          <w:szCs w:val="26"/>
        </w:rPr>
        <w:t xml:space="preserve">  Manufactured homes do not require a permit and are therefore not included in the previous data regarding housing permit activity.</w:t>
      </w:r>
    </w:p>
    <w:p w:rsidR="00211755" w:rsidRPr="005471FD" w:rsidRDefault="00211755" w:rsidP="003638B5">
      <w:pPr>
        <w:pStyle w:val="BodyText"/>
        <w:tabs>
          <w:tab w:val="num" w:pos="360"/>
        </w:tabs>
        <w:rPr>
          <w:rFonts w:ascii="CG Omega" w:hAnsi="CG Omega"/>
          <w:bCs/>
          <w:szCs w:val="24"/>
          <w:highlight w:val="yellow"/>
        </w:rPr>
      </w:pPr>
    </w:p>
    <w:p w:rsidR="00211755" w:rsidRPr="005471FD" w:rsidRDefault="00211755" w:rsidP="003638B5">
      <w:pPr>
        <w:pStyle w:val="BodyText"/>
        <w:tabs>
          <w:tab w:val="num" w:pos="360"/>
        </w:tabs>
        <w:rPr>
          <w:rFonts w:ascii="CG Omega" w:hAnsi="CG Omega"/>
          <w:bCs/>
          <w:szCs w:val="24"/>
          <w:highlight w:val="yellow"/>
        </w:rPr>
      </w:pPr>
      <w:r w:rsidRPr="005471FD">
        <w:rPr>
          <w:rFonts w:ascii="CG Omega" w:hAnsi="CG Omega"/>
          <w:bCs/>
          <w:szCs w:val="24"/>
        </w:rPr>
        <w:t xml:space="preserve">In total, the number of manufactured homes placed in </w:t>
      </w:r>
      <w:r w:rsidR="000F1974" w:rsidRPr="005471FD">
        <w:rPr>
          <w:rFonts w:ascii="CG Omega" w:hAnsi="CG Omega"/>
          <w:bCs/>
          <w:szCs w:val="24"/>
        </w:rPr>
        <w:t>New Mexico between 1980 and 2012</w:t>
      </w:r>
      <w:r w:rsidRPr="005471FD">
        <w:rPr>
          <w:rFonts w:ascii="CG Omega" w:hAnsi="CG Omega"/>
          <w:bCs/>
          <w:szCs w:val="24"/>
        </w:rPr>
        <w:t xml:space="preserve"> was </w:t>
      </w:r>
      <w:r w:rsidR="000F1974" w:rsidRPr="005471FD">
        <w:rPr>
          <w:rFonts w:ascii="CG Omega" w:hAnsi="CG Omega"/>
          <w:bCs/>
          <w:szCs w:val="24"/>
        </w:rPr>
        <w:t>109,0</w:t>
      </w:r>
      <w:r w:rsidR="00C50401" w:rsidRPr="005471FD">
        <w:rPr>
          <w:rFonts w:ascii="CG Omega" w:hAnsi="CG Omega"/>
          <w:bCs/>
          <w:szCs w:val="24"/>
        </w:rPr>
        <w:t xml:space="preserve">00, including </w:t>
      </w:r>
      <w:r w:rsidR="002848D4" w:rsidRPr="005471FD">
        <w:rPr>
          <w:rFonts w:ascii="CG Omega" w:hAnsi="CG Omega"/>
          <w:bCs/>
          <w:szCs w:val="24"/>
        </w:rPr>
        <w:t>roughly 57,800 single-wide and 49,900</w:t>
      </w:r>
      <w:r w:rsidR="0072122A" w:rsidRPr="005471FD">
        <w:rPr>
          <w:rFonts w:ascii="CG Omega" w:hAnsi="CG Omega"/>
          <w:bCs/>
          <w:szCs w:val="24"/>
        </w:rPr>
        <w:t xml:space="preserve"> double-wide homes.  The figures varied significantly by year, with a high of 6,600 seen in 1996 and 1998 and a low of only 800 in 2009.  </w:t>
      </w:r>
    </w:p>
    <w:p w:rsidR="0072122A" w:rsidRPr="005471FD" w:rsidRDefault="0072122A" w:rsidP="003638B5">
      <w:pPr>
        <w:pStyle w:val="BodyText"/>
        <w:tabs>
          <w:tab w:val="num" w:pos="360"/>
        </w:tabs>
        <w:rPr>
          <w:rFonts w:ascii="CG Omega" w:hAnsi="CG Omega"/>
          <w:bCs/>
          <w:szCs w:val="24"/>
          <w:highlight w:val="yellow"/>
        </w:rPr>
      </w:pPr>
    </w:p>
    <w:p w:rsidR="0072122A" w:rsidRPr="00955C8C" w:rsidRDefault="0072122A" w:rsidP="003638B5">
      <w:pPr>
        <w:pStyle w:val="BodyText"/>
        <w:tabs>
          <w:tab w:val="num" w:pos="360"/>
        </w:tabs>
        <w:rPr>
          <w:rFonts w:ascii="CG Omega" w:hAnsi="CG Omega"/>
          <w:bCs/>
          <w:szCs w:val="26"/>
          <w:highlight w:val="yellow"/>
        </w:rPr>
      </w:pPr>
      <w:r w:rsidRPr="005471FD">
        <w:rPr>
          <w:rFonts w:ascii="CG Omega" w:hAnsi="CG Omega"/>
          <w:bCs/>
          <w:szCs w:val="24"/>
        </w:rPr>
        <w:t>In terms</w:t>
      </w:r>
      <w:r w:rsidRPr="006616A1">
        <w:rPr>
          <w:rFonts w:ascii="CG Omega" w:hAnsi="CG Omega"/>
          <w:bCs/>
          <w:szCs w:val="26"/>
        </w:rPr>
        <w:t xml:space="preserve"> of prices, manufactured housing prices in New Mexico were consistently higher than the n</w:t>
      </w:r>
      <w:r w:rsidR="006616A1">
        <w:rPr>
          <w:rFonts w:ascii="CG Omega" w:hAnsi="CG Omega"/>
          <w:bCs/>
          <w:szCs w:val="26"/>
        </w:rPr>
        <w:t>ational average through the mid-</w:t>
      </w:r>
      <w:r w:rsidRPr="006616A1">
        <w:rPr>
          <w:rFonts w:ascii="CG Omega" w:hAnsi="CG Omega"/>
          <w:bCs/>
          <w:szCs w:val="26"/>
        </w:rPr>
        <w:t>1990s, when prices began to fluctuate higher or lower than national figures.</w:t>
      </w:r>
      <w:r w:rsidR="00CC5185" w:rsidRPr="006616A1">
        <w:rPr>
          <w:rFonts w:ascii="CG Omega" w:hAnsi="CG Omega"/>
          <w:bCs/>
          <w:szCs w:val="26"/>
        </w:rPr>
        <w:t xml:space="preserve">  In 1980 the price for a manufactured home in New Mexico was $20,600, compared</w:t>
      </w:r>
      <w:r w:rsidR="006616A1" w:rsidRPr="006616A1">
        <w:rPr>
          <w:rFonts w:ascii="CG Omega" w:hAnsi="CG Omega"/>
          <w:bCs/>
          <w:szCs w:val="26"/>
        </w:rPr>
        <w:t xml:space="preserve"> to $19,800 nationally. By 2012</w:t>
      </w:r>
      <w:r w:rsidR="00CC5185" w:rsidRPr="006616A1">
        <w:rPr>
          <w:rFonts w:ascii="CG Omega" w:hAnsi="CG Omega"/>
          <w:bCs/>
          <w:szCs w:val="26"/>
        </w:rPr>
        <w:t>, the average price was a manufacture</w:t>
      </w:r>
      <w:r w:rsidR="006616A1" w:rsidRPr="006616A1">
        <w:rPr>
          <w:rFonts w:ascii="CG Omega" w:hAnsi="CG Omega"/>
          <w:bCs/>
          <w:szCs w:val="26"/>
        </w:rPr>
        <w:t>d home in New Mexico was $64,800, compared to $61,900</w:t>
      </w:r>
      <w:r w:rsidR="00CC5185" w:rsidRPr="006616A1">
        <w:rPr>
          <w:rFonts w:ascii="CG Omega" w:hAnsi="CG Omega"/>
          <w:bCs/>
          <w:szCs w:val="26"/>
        </w:rPr>
        <w:t xml:space="preserve"> nationally.</w:t>
      </w:r>
    </w:p>
    <w:p w:rsidR="00924B88" w:rsidRPr="00955C8C" w:rsidRDefault="00C73938" w:rsidP="003638B5">
      <w:pPr>
        <w:pStyle w:val="BodyText"/>
        <w:tabs>
          <w:tab w:val="num" w:pos="360"/>
        </w:tabs>
        <w:rPr>
          <w:rFonts w:ascii="CG Omega" w:hAnsi="CG Omega"/>
          <w:b/>
          <w:bCs/>
          <w:smallCaps/>
          <w:sz w:val="16"/>
          <w:szCs w:val="16"/>
          <w:highlight w:val="yellow"/>
        </w:rPr>
      </w:pPr>
      <w:r w:rsidRPr="00955C8C">
        <w:rPr>
          <w:rFonts w:ascii="CG Omega" w:hAnsi="CG Omega"/>
          <w:b/>
          <w:bCs/>
          <w:smallCaps/>
          <w:sz w:val="16"/>
          <w:szCs w:val="16"/>
          <w:highlight w:val="yellow"/>
        </w:rPr>
        <w:br w:type="page"/>
      </w:r>
    </w:p>
    <w:tbl>
      <w:tblPr>
        <w:tblW w:w="9660" w:type="dxa"/>
        <w:tblInd w:w="93" w:type="dxa"/>
        <w:tblLook w:val="04A0" w:firstRow="1" w:lastRow="0" w:firstColumn="1" w:lastColumn="0" w:noHBand="0" w:noVBand="1"/>
      </w:tblPr>
      <w:tblGrid>
        <w:gridCol w:w="572"/>
        <w:gridCol w:w="1010"/>
        <w:gridCol w:w="1050"/>
        <w:gridCol w:w="950"/>
        <w:gridCol w:w="1009"/>
        <w:gridCol w:w="1050"/>
        <w:gridCol w:w="980"/>
        <w:gridCol w:w="1009"/>
        <w:gridCol w:w="1050"/>
        <w:gridCol w:w="980"/>
      </w:tblGrid>
      <w:tr w:rsidR="00302344" w:rsidRPr="00F40097" w:rsidTr="007565F2">
        <w:trPr>
          <w:trHeight w:val="810"/>
        </w:trPr>
        <w:tc>
          <w:tcPr>
            <w:tcW w:w="9660" w:type="dxa"/>
            <w:gridSpan w:val="10"/>
            <w:tcBorders>
              <w:top w:val="nil"/>
              <w:left w:val="nil"/>
              <w:bottom w:val="single" w:sz="4" w:space="0" w:color="008000"/>
              <w:right w:val="nil"/>
            </w:tcBorders>
            <w:shd w:val="clear" w:color="auto" w:fill="auto"/>
            <w:noWrap/>
            <w:vAlign w:val="center"/>
            <w:hideMark/>
          </w:tcPr>
          <w:p w:rsidR="00302344" w:rsidRPr="00F40097" w:rsidRDefault="00302344" w:rsidP="00302344">
            <w:pPr>
              <w:jc w:val="center"/>
              <w:rPr>
                <w:rFonts w:ascii="Arial" w:hAnsi="Arial" w:cs="Arial"/>
                <w:b/>
                <w:bCs/>
                <w:color w:val="000000"/>
                <w:sz w:val="23"/>
                <w:szCs w:val="23"/>
              </w:rPr>
            </w:pPr>
            <w:r w:rsidRPr="00F40097">
              <w:rPr>
                <w:rFonts w:ascii="Arial" w:hAnsi="Arial" w:cs="Arial"/>
                <w:b/>
                <w:bCs/>
                <w:color w:val="000000"/>
                <w:sz w:val="23"/>
                <w:szCs w:val="23"/>
              </w:rPr>
              <w:t>Table IV.</w:t>
            </w:r>
            <w:r w:rsidR="00321774">
              <w:rPr>
                <w:rFonts w:ascii="Arial" w:hAnsi="Arial" w:cs="Arial"/>
                <w:b/>
                <w:bCs/>
                <w:color w:val="000000"/>
                <w:sz w:val="23"/>
                <w:szCs w:val="23"/>
              </w:rPr>
              <w:t>6</w:t>
            </w:r>
          </w:p>
          <w:p w:rsidR="00302344" w:rsidRPr="00F40097" w:rsidRDefault="00302344" w:rsidP="007565F2">
            <w:pPr>
              <w:jc w:val="center"/>
              <w:rPr>
                <w:rFonts w:ascii="Arial" w:hAnsi="Arial" w:cs="Arial"/>
                <w:b/>
                <w:bCs/>
                <w:color w:val="000000"/>
                <w:sz w:val="20"/>
                <w:szCs w:val="20"/>
              </w:rPr>
            </w:pPr>
            <w:r w:rsidRPr="00F40097">
              <w:rPr>
                <w:rFonts w:ascii="Arial" w:hAnsi="Arial" w:cs="Arial"/>
                <w:b/>
                <w:bCs/>
                <w:color w:val="000000"/>
                <w:sz w:val="20"/>
                <w:szCs w:val="20"/>
              </w:rPr>
              <w:t>Manufactured Housing Unit Placement and Price</w:t>
            </w:r>
          </w:p>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State of New Mexico vs. U.S.</w:t>
            </w:r>
          </w:p>
          <w:p w:rsidR="00302344" w:rsidRPr="00F40097" w:rsidRDefault="00302344" w:rsidP="007565F2">
            <w:pPr>
              <w:jc w:val="center"/>
              <w:rPr>
                <w:rFonts w:ascii="Arial" w:hAnsi="Arial" w:cs="Arial"/>
                <w:b/>
                <w:bCs/>
                <w:color w:val="000000"/>
                <w:sz w:val="23"/>
                <w:szCs w:val="23"/>
              </w:rPr>
            </w:pPr>
            <w:r w:rsidRPr="00F40097">
              <w:rPr>
                <w:rFonts w:ascii="Arial" w:hAnsi="Arial" w:cs="Arial"/>
                <w:color w:val="000000"/>
                <w:sz w:val="16"/>
                <w:szCs w:val="16"/>
              </w:rPr>
              <w:t>Census Data, 1980 – 2012</w:t>
            </w:r>
          </w:p>
        </w:tc>
      </w:tr>
      <w:tr w:rsidR="00302344" w:rsidRPr="00F40097" w:rsidTr="007565F2">
        <w:trPr>
          <w:trHeight w:val="300"/>
        </w:trPr>
        <w:tc>
          <w:tcPr>
            <w:tcW w:w="572" w:type="dxa"/>
            <w:vMerge w:val="restart"/>
            <w:tcBorders>
              <w:top w:val="single" w:sz="4" w:space="0" w:color="008000"/>
              <w:left w:val="single" w:sz="4" w:space="0" w:color="008000"/>
              <w:bottom w:val="single" w:sz="4" w:space="0" w:color="008000"/>
              <w:right w:val="nil"/>
            </w:tcBorders>
            <w:shd w:val="clear" w:color="000000" w:fill="FFFFE1"/>
            <w:noWrap/>
            <w:vAlign w:val="center"/>
            <w:hideMark/>
          </w:tcPr>
          <w:p w:rsidR="00302344" w:rsidRPr="00F40097" w:rsidRDefault="00302344" w:rsidP="007565F2">
            <w:pPr>
              <w:jc w:val="center"/>
              <w:rPr>
                <w:rFonts w:ascii="Arial" w:hAnsi="Arial" w:cs="Arial"/>
                <w:b/>
                <w:bCs/>
                <w:color w:val="000000"/>
                <w:sz w:val="16"/>
                <w:szCs w:val="16"/>
              </w:rPr>
            </w:pPr>
            <w:r w:rsidRPr="00F40097">
              <w:rPr>
                <w:rFonts w:ascii="Arial" w:hAnsi="Arial" w:cs="Arial"/>
                <w:b/>
                <w:bCs/>
                <w:color w:val="000000"/>
                <w:sz w:val="16"/>
                <w:szCs w:val="16"/>
              </w:rPr>
              <w:t>Year</w:t>
            </w:r>
          </w:p>
        </w:tc>
        <w:tc>
          <w:tcPr>
            <w:tcW w:w="3010" w:type="dxa"/>
            <w:gridSpan w:val="3"/>
            <w:vMerge w:val="restart"/>
            <w:tcBorders>
              <w:top w:val="single" w:sz="4" w:space="0" w:color="008000"/>
              <w:left w:val="single" w:sz="4" w:space="0" w:color="008000"/>
              <w:right w:val="nil"/>
            </w:tcBorders>
            <w:shd w:val="clear" w:color="000000" w:fill="FFFFE1"/>
            <w:vAlign w:val="center"/>
            <w:hideMark/>
          </w:tcPr>
          <w:p w:rsidR="00302344" w:rsidRPr="00F40097" w:rsidRDefault="00302344" w:rsidP="007565F2">
            <w:pPr>
              <w:jc w:val="center"/>
              <w:rPr>
                <w:rFonts w:ascii="Arial" w:hAnsi="Arial" w:cs="Arial"/>
                <w:b/>
                <w:bCs/>
                <w:color w:val="000000"/>
                <w:sz w:val="16"/>
                <w:szCs w:val="16"/>
              </w:rPr>
            </w:pPr>
            <w:r w:rsidRPr="00F40097">
              <w:rPr>
                <w:rFonts w:ascii="Arial" w:hAnsi="Arial" w:cs="Arial"/>
                <w:b/>
                <w:bCs/>
                <w:color w:val="000000"/>
                <w:sz w:val="16"/>
                <w:szCs w:val="16"/>
              </w:rPr>
              <w:t xml:space="preserve">Units Placed in Service in </w:t>
            </w:r>
          </w:p>
          <w:p w:rsidR="00302344" w:rsidRPr="00F40097" w:rsidRDefault="00302344" w:rsidP="007565F2">
            <w:pPr>
              <w:jc w:val="center"/>
              <w:rPr>
                <w:rFonts w:ascii="Arial" w:hAnsi="Arial" w:cs="Arial"/>
                <w:b/>
                <w:bCs/>
                <w:color w:val="000000"/>
                <w:sz w:val="16"/>
                <w:szCs w:val="16"/>
              </w:rPr>
            </w:pPr>
            <w:r w:rsidRPr="00F40097">
              <w:rPr>
                <w:rFonts w:ascii="Arial" w:hAnsi="Arial" w:cs="Arial"/>
                <w:b/>
                <w:bCs/>
                <w:color w:val="000000"/>
                <w:sz w:val="16"/>
                <w:szCs w:val="16"/>
              </w:rPr>
              <w:t xml:space="preserve">New Mexico </w:t>
            </w:r>
          </w:p>
        </w:tc>
        <w:tc>
          <w:tcPr>
            <w:tcW w:w="6078" w:type="dxa"/>
            <w:gridSpan w:val="6"/>
            <w:tcBorders>
              <w:top w:val="single" w:sz="4" w:space="0" w:color="008000"/>
              <w:left w:val="single" w:sz="4" w:space="0" w:color="008000"/>
              <w:bottom w:val="nil"/>
              <w:right w:val="single" w:sz="4" w:space="0" w:color="008000"/>
            </w:tcBorders>
            <w:shd w:val="clear" w:color="000000" w:fill="FFFFE1"/>
            <w:noWrap/>
            <w:vAlign w:val="center"/>
            <w:hideMark/>
          </w:tcPr>
          <w:p w:rsidR="00302344" w:rsidRPr="00F40097" w:rsidRDefault="00302344" w:rsidP="007565F2">
            <w:pPr>
              <w:jc w:val="center"/>
              <w:rPr>
                <w:rFonts w:ascii="Arial" w:hAnsi="Arial" w:cs="Arial"/>
                <w:b/>
                <w:bCs/>
                <w:color w:val="000000"/>
                <w:sz w:val="16"/>
                <w:szCs w:val="16"/>
              </w:rPr>
            </w:pPr>
            <w:r w:rsidRPr="00F40097">
              <w:rPr>
                <w:rFonts w:ascii="Arial" w:hAnsi="Arial" w:cs="Arial"/>
                <w:b/>
                <w:bCs/>
                <w:color w:val="000000"/>
                <w:sz w:val="16"/>
                <w:szCs w:val="16"/>
              </w:rPr>
              <w:t>Average Home Price, Nominal Dollars</w:t>
            </w:r>
          </w:p>
        </w:tc>
      </w:tr>
      <w:tr w:rsidR="00302344" w:rsidRPr="00F40097" w:rsidTr="007565F2">
        <w:trPr>
          <w:trHeight w:val="260"/>
        </w:trPr>
        <w:tc>
          <w:tcPr>
            <w:tcW w:w="572" w:type="dxa"/>
            <w:vMerge/>
            <w:tcBorders>
              <w:top w:val="nil"/>
              <w:left w:val="single" w:sz="4" w:space="0" w:color="008000"/>
              <w:bottom w:val="single" w:sz="4" w:space="0" w:color="008000"/>
              <w:right w:val="nil"/>
            </w:tcBorders>
            <w:vAlign w:val="center"/>
            <w:hideMark/>
          </w:tcPr>
          <w:p w:rsidR="00302344" w:rsidRPr="00F40097" w:rsidRDefault="00302344" w:rsidP="007565F2">
            <w:pPr>
              <w:rPr>
                <w:rFonts w:ascii="Arial" w:hAnsi="Arial" w:cs="Arial"/>
                <w:b/>
                <w:bCs/>
                <w:color w:val="000000"/>
                <w:sz w:val="16"/>
                <w:szCs w:val="16"/>
              </w:rPr>
            </w:pPr>
          </w:p>
        </w:tc>
        <w:tc>
          <w:tcPr>
            <w:tcW w:w="3010" w:type="dxa"/>
            <w:gridSpan w:val="3"/>
            <w:vMerge/>
            <w:tcBorders>
              <w:left w:val="single" w:sz="4" w:space="0" w:color="008000"/>
              <w:bottom w:val="nil"/>
              <w:right w:val="nil"/>
            </w:tcBorders>
            <w:shd w:val="clear" w:color="000000" w:fill="FFFFE1"/>
            <w:vAlign w:val="center"/>
            <w:hideMark/>
          </w:tcPr>
          <w:p w:rsidR="00302344" w:rsidRPr="00F40097" w:rsidRDefault="00302344" w:rsidP="007565F2">
            <w:pPr>
              <w:jc w:val="center"/>
              <w:rPr>
                <w:rFonts w:ascii="Arial" w:hAnsi="Arial" w:cs="Arial"/>
                <w:b/>
                <w:bCs/>
                <w:color w:val="000000"/>
                <w:sz w:val="16"/>
                <w:szCs w:val="16"/>
              </w:rPr>
            </w:pPr>
          </w:p>
        </w:tc>
        <w:tc>
          <w:tcPr>
            <w:tcW w:w="3039" w:type="dxa"/>
            <w:gridSpan w:val="3"/>
            <w:tcBorders>
              <w:top w:val="single" w:sz="4" w:space="0" w:color="008000"/>
              <w:left w:val="single" w:sz="4" w:space="0" w:color="008000"/>
              <w:bottom w:val="single" w:sz="4" w:space="0" w:color="008000"/>
              <w:right w:val="nil"/>
            </w:tcBorders>
            <w:shd w:val="clear" w:color="000000" w:fill="FFFFE1"/>
            <w:noWrap/>
            <w:vAlign w:val="center"/>
            <w:hideMark/>
          </w:tcPr>
          <w:p w:rsidR="00302344" w:rsidRPr="00F40097" w:rsidRDefault="00302344" w:rsidP="007565F2">
            <w:pPr>
              <w:jc w:val="center"/>
              <w:rPr>
                <w:rFonts w:ascii="Arial" w:hAnsi="Arial" w:cs="Arial"/>
                <w:b/>
                <w:bCs/>
                <w:color w:val="000000"/>
                <w:sz w:val="16"/>
                <w:szCs w:val="16"/>
              </w:rPr>
            </w:pPr>
            <w:r w:rsidRPr="00F40097">
              <w:rPr>
                <w:rFonts w:ascii="Arial" w:hAnsi="Arial" w:cs="Arial"/>
                <w:b/>
                <w:bCs/>
                <w:color w:val="000000"/>
                <w:sz w:val="16"/>
                <w:szCs w:val="16"/>
              </w:rPr>
              <w:t>New Mexico Average</w:t>
            </w:r>
          </w:p>
        </w:tc>
        <w:tc>
          <w:tcPr>
            <w:tcW w:w="3039" w:type="dxa"/>
            <w:gridSpan w:val="3"/>
            <w:tcBorders>
              <w:top w:val="single" w:sz="4" w:space="0" w:color="008000"/>
              <w:left w:val="single" w:sz="4" w:space="0" w:color="008000"/>
              <w:bottom w:val="single" w:sz="4" w:space="0" w:color="008000"/>
              <w:right w:val="single" w:sz="4" w:space="0" w:color="008000"/>
            </w:tcBorders>
            <w:shd w:val="clear" w:color="000000" w:fill="FFFFE1"/>
            <w:noWrap/>
            <w:vAlign w:val="center"/>
            <w:hideMark/>
          </w:tcPr>
          <w:p w:rsidR="00302344" w:rsidRPr="00F40097" w:rsidRDefault="00302344" w:rsidP="007565F2">
            <w:pPr>
              <w:jc w:val="center"/>
              <w:rPr>
                <w:rFonts w:ascii="Arial" w:hAnsi="Arial" w:cs="Arial"/>
                <w:b/>
                <w:bCs/>
                <w:color w:val="000000"/>
                <w:sz w:val="16"/>
                <w:szCs w:val="16"/>
              </w:rPr>
            </w:pPr>
            <w:r w:rsidRPr="00F40097">
              <w:rPr>
                <w:rFonts w:ascii="Arial" w:hAnsi="Arial" w:cs="Arial"/>
                <w:b/>
                <w:bCs/>
                <w:color w:val="000000"/>
                <w:sz w:val="16"/>
                <w:szCs w:val="16"/>
              </w:rPr>
              <w:t>U.S. Average</w:t>
            </w:r>
          </w:p>
        </w:tc>
      </w:tr>
      <w:tr w:rsidR="00302344" w:rsidRPr="00F40097" w:rsidTr="007565F2">
        <w:trPr>
          <w:trHeight w:val="300"/>
        </w:trPr>
        <w:tc>
          <w:tcPr>
            <w:tcW w:w="572" w:type="dxa"/>
            <w:vMerge/>
            <w:tcBorders>
              <w:top w:val="nil"/>
              <w:left w:val="single" w:sz="4" w:space="0" w:color="008000"/>
              <w:bottom w:val="single" w:sz="4" w:space="0" w:color="008000"/>
              <w:right w:val="nil"/>
            </w:tcBorders>
            <w:vAlign w:val="center"/>
            <w:hideMark/>
          </w:tcPr>
          <w:p w:rsidR="00302344" w:rsidRPr="00F40097" w:rsidRDefault="00302344" w:rsidP="007565F2">
            <w:pPr>
              <w:rPr>
                <w:rFonts w:ascii="Arial" w:hAnsi="Arial" w:cs="Arial"/>
                <w:b/>
                <w:bCs/>
                <w:color w:val="000000"/>
                <w:sz w:val="16"/>
                <w:szCs w:val="16"/>
              </w:rPr>
            </w:pPr>
          </w:p>
        </w:tc>
        <w:tc>
          <w:tcPr>
            <w:tcW w:w="1010" w:type="dxa"/>
            <w:vMerge w:val="restart"/>
            <w:tcBorders>
              <w:top w:val="single" w:sz="4" w:space="0" w:color="008000"/>
              <w:left w:val="single" w:sz="4" w:space="0" w:color="008000"/>
              <w:bottom w:val="single" w:sz="4" w:space="0" w:color="008000"/>
              <w:right w:val="nil"/>
            </w:tcBorders>
            <w:shd w:val="clear" w:color="000000" w:fill="FFFFE1"/>
            <w:vAlign w:val="center"/>
            <w:hideMark/>
          </w:tcPr>
          <w:p w:rsidR="00302344" w:rsidRPr="00F40097" w:rsidRDefault="00302344" w:rsidP="007565F2">
            <w:pPr>
              <w:jc w:val="center"/>
              <w:rPr>
                <w:rFonts w:ascii="Arial" w:hAnsi="Arial" w:cs="Arial"/>
                <w:b/>
                <w:bCs/>
                <w:color w:val="000000"/>
                <w:sz w:val="16"/>
                <w:szCs w:val="16"/>
              </w:rPr>
            </w:pPr>
            <w:r w:rsidRPr="00F40097">
              <w:rPr>
                <w:rFonts w:ascii="Arial" w:hAnsi="Arial" w:cs="Arial"/>
                <w:b/>
                <w:bCs/>
                <w:color w:val="000000"/>
                <w:sz w:val="16"/>
                <w:szCs w:val="16"/>
              </w:rPr>
              <w:t>Single-wide</w:t>
            </w:r>
          </w:p>
        </w:tc>
        <w:tc>
          <w:tcPr>
            <w:tcW w:w="1050" w:type="dxa"/>
            <w:vMerge w:val="restart"/>
            <w:tcBorders>
              <w:top w:val="single" w:sz="4" w:space="0" w:color="008000"/>
              <w:left w:val="nil"/>
              <w:bottom w:val="single" w:sz="4" w:space="0" w:color="008000"/>
              <w:right w:val="nil"/>
            </w:tcBorders>
            <w:shd w:val="clear" w:color="000000" w:fill="FFFFE1"/>
            <w:vAlign w:val="center"/>
            <w:hideMark/>
          </w:tcPr>
          <w:p w:rsidR="00302344" w:rsidRPr="00F40097" w:rsidRDefault="00302344" w:rsidP="007565F2">
            <w:pPr>
              <w:jc w:val="center"/>
              <w:rPr>
                <w:rFonts w:ascii="Arial" w:hAnsi="Arial" w:cs="Arial"/>
                <w:b/>
                <w:bCs/>
                <w:color w:val="000000"/>
                <w:sz w:val="16"/>
                <w:szCs w:val="16"/>
              </w:rPr>
            </w:pPr>
            <w:r w:rsidRPr="00F40097">
              <w:rPr>
                <w:rFonts w:ascii="Arial" w:hAnsi="Arial" w:cs="Arial"/>
                <w:b/>
                <w:bCs/>
                <w:color w:val="000000"/>
                <w:sz w:val="16"/>
                <w:szCs w:val="16"/>
              </w:rPr>
              <w:t>Double-wide</w:t>
            </w:r>
          </w:p>
        </w:tc>
        <w:tc>
          <w:tcPr>
            <w:tcW w:w="950" w:type="dxa"/>
            <w:vMerge w:val="restart"/>
            <w:tcBorders>
              <w:top w:val="single" w:sz="4" w:space="0" w:color="008000"/>
              <w:left w:val="nil"/>
              <w:bottom w:val="single" w:sz="4" w:space="0" w:color="008000"/>
              <w:right w:val="nil"/>
            </w:tcBorders>
            <w:shd w:val="clear" w:color="000000" w:fill="FFFFE1"/>
            <w:vAlign w:val="center"/>
            <w:hideMark/>
          </w:tcPr>
          <w:p w:rsidR="00302344" w:rsidRPr="00F40097" w:rsidRDefault="00302344" w:rsidP="007565F2">
            <w:pPr>
              <w:jc w:val="center"/>
              <w:rPr>
                <w:rFonts w:ascii="Arial" w:hAnsi="Arial" w:cs="Arial"/>
                <w:b/>
                <w:bCs/>
                <w:color w:val="000000"/>
                <w:sz w:val="16"/>
                <w:szCs w:val="16"/>
              </w:rPr>
            </w:pPr>
            <w:r w:rsidRPr="00F40097">
              <w:rPr>
                <w:rFonts w:ascii="Arial" w:hAnsi="Arial" w:cs="Arial"/>
                <w:b/>
                <w:bCs/>
                <w:color w:val="000000"/>
                <w:sz w:val="16"/>
                <w:szCs w:val="16"/>
              </w:rPr>
              <w:t>Total*</w:t>
            </w:r>
          </w:p>
        </w:tc>
        <w:tc>
          <w:tcPr>
            <w:tcW w:w="1009" w:type="dxa"/>
            <w:vMerge w:val="restart"/>
            <w:tcBorders>
              <w:top w:val="nil"/>
              <w:left w:val="single" w:sz="4" w:space="0" w:color="008000"/>
              <w:bottom w:val="single" w:sz="4" w:space="0" w:color="008000"/>
              <w:right w:val="nil"/>
            </w:tcBorders>
            <w:shd w:val="clear" w:color="000000" w:fill="FFFFE1"/>
            <w:vAlign w:val="center"/>
            <w:hideMark/>
          </w:tcPr>
          <w:p w:rsidR="00302344" w:rsidRPr="00F40097" w:rsidRDefault="00302344" w:rsidP="007565F2">
            <w:pPr>
              <w:jc w:val="center"/>
              <w:rPr>
                <w:rFonts w:ascii="Arial" w:hAnsi="Arial" w:cs="Arial"/>
                <w:b/>
                <w:bCs/>
                <w:color w:val="000000"/>
                <w:sz w:val="16"/>
                <w:szCs w:val="16"/>
              </w:rPr>
            </w:pPr>
            <w:r w:rsidRPr="00F40097">
              <w:rPr>
                <w:rFonts w:ascii="Arial" w:hAnsi="Arial" w:cs="Arial"/>
                <w:b/>
                <w:bCs/>
                <w:color w:val="000000"/>
                <w:sz w:val="16"/>
                <w:szCs w:val="16"/>
              </w:rPr>
              <w:t>Single-wide</w:t>
            </w:r>
          </w:p>
        </w:tc>
        <w:tc>
          <w:tcPr>
            <w:tcW w:w="1050" w:type="dxa"/>
            <w:vMerge w:val="restart"/>
            <w:tcBorders>
              <w:top w:val="nil"/>
              <w:left w:val="nil"/>
              <w:bottom w:val="single" w:sz="4" w:space="0" w:color="008000"/>
              <w:right w:val="nil"/>
            </w:tcBorders>
            <w:shd w:val="clear" w:color="000000" w:fill="FFFFE1"/>
            <w:vAlign w:val="center"/>
            <w:hideMark/>
          </w:tcPr>
          <w:p w:rsidR="00302344" w:rsidRPr="00F40097" w:rsidRDefault="00302344" w:rsidP="007565F2">
            <w:pPr>
              <w:jc w:val="center"/>
              <w:rPr>
                <w:rFonts w:ascii="Arial" w:hAnsi="Arial" w:cs="Arial"/>
                <w:b/>
                <w:bCs/>
                <w:color w:val="000000"/>
                <w:sz w:val="16"/>
                <w:szCs w:val="16"/>
              </w:rPr>
            </w:pPr>
            <w:r w:rsidRPr="00F40097">
              <w:rPr>
                <w:rFonts w:ascii="Arial" w:hAnsi="Arial" w:cs="Arial"/>
                <w:b/>
                <w:bCs/>
                <w:color w:val="000000"/>
                <w:sz w:val="16"/>
                <w:szCs w:val="16"/>
              </w:rPr>
              <w:t>Double-wide</w:t>
            </w:r>
          </w:p>
        </w:tc>
        <w:tc>
          <w:tcPr>
            <w:tcW w:w="980" w:type="dxa"/>
            <w:vMerge w:val="restart"/>
            <w:tcBorders>
              <w:top w:val="nil"/>
              <w:left w:val="nil"/>
              <w:bottom w:val="single" w:sz="4" w:space="0" w:color="008000"/>
              <w:right w:val="nil"/>
            </w:tcBorders>
            <w:shd w:val="clear" w:color="000000" w:fill="FFFFE1"/>
            <w:vAlign w:val="center"/>
            <w:hideMark/>
          </w:tcPr>
          <w:p w:rsidR="00302344" w:rsidRPr="00F40097" w:rsidRDefault="00302344" w:rsidP="007565F2">
            <w:pPr>
              <w:jc w:val="center"/>
              <w:rPr>
                <w:rFonts w:ascii="Arial" w:hAnsi="Arial" w:cs="Arial"/>
                <w:b/>
                <w:bCs/>
                <w:color w:val="000000"/>
                <w:sz w:val="16"/>
                <w:szCs w:val="16"/>
              </w:rPr>
            </w:pPr>
            <w:r w:rsidRPr="00F40097">
              <w:rPr>
                <w:rFonts w:ascii="Arial" w:hAnsi="Arial" w:cs="Arial"/>
                <w:b/>
                <w:bCs/>
                <w:color w:val="000000"/>
                <w:sz w:val="16"/>
                <w:szCs w:val="16"/>
              </w:rPr>
              <w:t>Total</w:t>
            </w:r>
          </w:p>
        </w:tc>
        <w:tc>
          <w:tcPr>
            <w:tcW w:w="1009" w:type="dxa"/>
            <w:vMerge w:val="restart"/>
            <w:tcBorders>
              <w:top w:val="nil"/>
              <w:left w:val="single" w:sz="4" w:space="0" w:color="008000"/>
              <w:bottom w:val="single" w:sz="4" w:space="0" w:color="008000"/>
              <w:right w:val="nil"/>
            </w:tcBorders>
            <w:shd w:val="clear" w:color="000000" w:fill="FFFFE1"/>
            <w:vAlign w:val="center"/>
            <w:hideMark/>
          </w:tcPr>
          <w:p w:rsidR="00302344" w:rsidRPr="00F40097" w:rsidRDefault="00302344" w:rsidP="007565F2">
            <w:pPr>
              <w:jc w:val="center"/>
              <w:rPr>
                <w:rFonts w:ascii="Arial" w:hAnsi="Arial" w:cs="Arial"/>
                <w:b/>
                <w:bCs/>
                <w:color w:val="000000"/>
                <w:sz w:val="16"/>
                <w:szCs w:val="16"/>
              </w:rPr>
            </w:pPr>
            <w:r w:rsidRPr="00F40097">
              <w:rPr>
                <w:rFonts w:ascii="Arial" w:hAnsi="Arial" w:cs="Arial"/>
                <w:b/>
                <w:bCs/>
                <w:color w:val="000000"/>
                <w:sz w:val="16"/>
                <w:szCs w:val="16"/>
              </w:rPr>
              <w:t>Single-wide</w:t>
            </w:r>
          </w:p>
        </w:tc>
        <w:tc>
          <w:tcPr>
            <w:tcW w:w="1050" w:type="dxa"/>
            <w:vMerge w:val="restart"/>
            <w:tcBorders>
              <w:top w:val="nil"/>
              <w:left w:val="nil"/>
              <w:bottom w:val="single" w:sz="4" w:space="0" w:color="008000"/>
              <w:right w:val="nil"/>
            </w:tcBorders>
            <w:shd w:val="clear" w:color="000000" w:fill="FFFFE1"/>
            <w:vAlign w:val="center"/>
            <w:hideMark/>
          </w:tcPr>
          <w:p w:rsidR="00302344" w:rsidRPr="00F40097" w:rsidRDefault="00302344" w:rsidP="007565F2">
            <w:pPr>
              <w:jc w:val="center"/>
              <w:rPr>
                <w:rFonts w:ascii="Arial" w:hAnsi="Arial" w:cs="Arial"/>
                <w:b/>
                <w:bCs/>
                <w:color w:val="000000"/>
                <w:sz w:val="16"/>
                <w:szCs w:val="16"/>
              </w:rPr>
            </w:pPr>
            <w:r w:rsidRPr="00F40097">
              <w:rPr>
                <w:rFonts w:ascii="Arial" w:hAnsi="Arial" w:cs="Arial"/>
                <w:b/>
                <w:bCs/>
                <w:color w:val="000000"/>
                <w:sz w:val="16"/>
                <w:szCs w:val="16"/>
              </w:rPr>
              <w:t>Double-wide</w:t>
            </w:r>
          </w:p>
        </w:tc>
        <w:tc>
          <w:tcPr>
            <w:tcW w:w="980" w:type="dxa"/>
            <w:vMerge w:val="restart"/>
            <w:tcBorders>
              <w:top w:val="nil"/>
              <w:left w:val="nil"/>
              <w:bottom w:val="single" w:sz="4" w:space="0" w:color="008000"/>
              <w:right w:val="single" w:sz="4" w:space="0" w:color="008000"/>
            </w:tcBorders>
            <w:shd w:val="clear" w:color="000000" w:fill="FFFFE1"/>
            <w:vAlign w:val="center"/>
            <w:hideMark/>
          </w:tcPr>
          <w:p w:rsidR="00302344" w:rsidRPr="00F40097" w:rsidRDefault="00302344" w:rsidP="007565F2">
            <w:pPr>
              <w:jc w:val="center"/>
              <w:rPr>
                <w:rFonts w:ascii="Arial" w:hAnsi="Arial" w:cs="Arial"/>
                <w:b/>
                <w:bCs/>
                <w:color w:val="000000"/>
                <w:sz w:val="16"/>
                <w:szCs w:val="16"/>
              </w:rPr>
            </w:pPr>
            <w:r w:rsidRPr="00F40097">
              <w:rPr>
                <w:rFonts w:ascii="Arial" w:hAnsi="Arial" w:cs="Arial"/>
                <w:b/>
                <w:bCs/>
                <w:color w:val="000000"/>
                <w:sz w:val="16"/>
                <w:szCs w:val="16"/>
              </w:rPr>
              <w:t>Total</w:t>
            </w:r>
          </w:p>
        </w:tc>
      </w:tr>
      <w:tr w:rsidR="00302344" w:rsidRPr="00F40097" w:rsidTr="00302344">
        <w:trPr>
          <w:trHeight w:val="184"/>
        </w:trPr>
        <w:tc>
          <w:tcPr>
            <w:tcW w:w="572" w:type="dxa"/>
            <w:vMerge/>
            <w:tcBorders>
              <w:top w:val="nil"/>
              <w:left w:val="single" w:sz="4" w:space="0" w:color="008000"/>
              <w:bottom w:val="single" w:sz="4" w:space="0" w:color="008000"/>
              <w:right w:val="nil"/>
            </w:tcBorders>
            <w:vAlign w:val="center"/>
            <w:hideMark/>
          </w:tcPr>
          <w:p w:rsidR="00302344" w:rsidRPr="00F40097" w:rsidRDefault="00302344" w:rsidP="007565F2">
            <w:pPr>
              <w:rPr>
                <w:rFonts w:ascii="Arial" w:hAnsi="Arial" w:cs="Arial"/>
                <w:b/>
                <w:bCs/>
                <w:color w:val="000000"/>
                <w:sz w:val="16"/>
                <w:szCs w:val="16"/>
              </w:rPr>
            </w:pPr>
          </w:p>
        </w:tc>
        <w:tc>
          <w:tcPr>
            <w:tcW w:w="1010" w:type="dxa"/>
            <w:vMerge/>
            <w:tcBorders>
              <w:top w:val="single" w:sz="4" w:space="0" w:color="008000"/>
              <w:left w:val="single" w:sz="4" w:space="0" w:color="008000"/>
              <w:bottom w:val="single" w:sz="4" w:space="0" w:color="008000"/>
              <w:right w:val="nil"/>
            </w:tcBorders>
            <w:vAlign w:val="center"/>
            <w:hideMark/>
          </w:tcPr>
          <w:p w:rsidR="00302344" w:rsidRPr="00F40097" w:rsidRDefault="00302344" w:rsidP="007565F2">
            <w:pPr>
              <w:rPr>
                <w:rFonts w:ascii="Arial" w:hAnsi="Arial" w:cs="Arial"/>
                <w:b/>
                <w:bCs/>
                <w:color w:val="000000"/>
                <w:sz w:val="16"/>
                <w:szCs w:val="16"/>
              </w:rPr>
            </w:pPr>
          </w:p>
        </w:tc>
        <w:tc>
          <w:tcPr>
            <w:tcW w:w="1050" w:type="dxa"/>
            <w:vMerge/>
            <w:tcBorders>
              <w:top w:val="single" w:sz="4" w:space="0" w:color="008000"/>
              <w:left w:val="nil"/>
              <w:bottom w:val="single" w:sz="4" w:space="0" w:color="008000"/>
              <w:right w:val="nil"/>
            </w:tcBorders>
            <w:vAlign w:val="center"/>
            <w:hideMark/>
          </w:tcPr>
          <w:p w:rsidR="00302344" w:rsidRPr="00F40097" w:rsidRDefault="00302344" w:rsidP="007565F2">
            <w:pPr>
              <w:rPr>
                <w:rFonts w:ascii="Arial" w:hAnsi="Arial" w:cs="Arial"/>
                <w:b/>
                <w:bCs/>
                <w:color w:val="000000"/>
                <w:sz w:val="16"/>
                <w:szCs w:val="16"/>
              </w:rPr>
            </w:pPr>
          </w:p>
        </w:tc>
        <w:tc>
          <w:tcPr>
            <w:tcW w:w="950" w:type="dxa"/>
            <w:vMerge/>
            <w:tcBorders>
              <w:top w:val="single" w:sz="4" w:space="0" w:color="008000"/>
              <w:left w:val="nil"/>
              <w:bottom w:val="single" w:sz="4" w:space="0" w:color="008000"/>
              <w:right w:val="nil"/>
            </w:tcBorders>
            <w:vAlign w:val="center"/>
            <w:hideMark/>
          </w:tcPr>
          <w:p w:rsidR="00302344" w:rsidRPr="00F40097" w:rsidRDefault="00302344" w:rsidP="007565F2">
            <w:pPr>
              <w:rPr>
                <w:rFonts w:ascii="Arial" w:hAnsi="Arial" w:cs="Arial"/>
                <w:b/>
                <w:bCs/>
                <w:color w:val="000000"/>
                <w:sz w:val="16"/>
                <w:szCs w:val="16"/>
              </w:rPr>
            </w:pPr>
          </w:p>
        </w:tc>
        <w:tc>
          <w:tcPr>
            <w:tcW w:w="1009" w:type="dxa"/>
            <w:vMerge/>
            <w:tcBorders>
              <w:top w:val="nil"/>
              <w:left w:val="single" w:sz="4" w:space="0" w:color="008000"/>
              <w:bottom w:val="single" w:sz="4" w:space="0" w:color="008000"/>
              <w:right w:val="nil"/>
            </w:tcBorders>
            <w:vAlign w:val="center"/>
            <w:hideMark/>
          </w:tcPr>
          <w:p w:rsidR="00302344" w:rsidRPr="00F40097" w:rsidRDefault="00302344" w:rsidP="007565F2">
            <w:pPr>
              <w:rPr>
                <w:rFonts w:ascii="Arial" w:hAnsi="Arial" w:cs="Arial"/>
                <w:b/>
                <w:bCs/>
                <w:color w:val="000000"/>
                <w:sz w:val="16"/>
                <w:szCs w:val="16"/>
              </w:rPr>
            </w:pPr>
          </w:p>
        </w:tc>
        <w:tc>
          <w:tcPr>
            <w:tcW w:w="1050" w:type="dxa"/>
            <w:vMerge/>
            <w:tcBorders>
              <w:top w:val="nil"/>
              <w:left w:val="nil"/>
              <w:bottom w:val="single" w:sz="4" w:space="0" w:color="008000"/>
              <w:right w:val="nil"/>
            </w:tcBorders>
            <w:vAlign w:val="center"/>
            <w:hideMark/>
          </w:tcPr>
          <w:p w:rsidR="00302344" w:rsidRPr="00F40097" w:rsidRDefault="00302344" w:rsidP="007565F2">
            <w:pPr>
              <w:rPr>
                <w:rFonts w:ascii="Arial" w:hAnsi="Arial" w:cs="Arial"/>
                <w:b/>
                <w:bCs/>
                <w:color w:val="000000"/>
                <w:sz w:val="16"/>
                <w:szCs w:val="16"/>
              </w:rPr>
            </w:pPr>
          </w:p>
        </w:tc>
        <w:tc>
          <w:tcPr>
            <w:tcW w:w="980" w:type="dxa"/>
            <w:vMerge/>
            <w:tcBorders>
              <w:top w:val="nil"/>
              <w:left w:val="nil"/>
              <w:bottom w:val="single" w:sz="4" w:space="0" w:color="008000"/>
              <w:right w:val="nil"/>
            </w:tcBorders>
            <w:vAlign w:val="center"/>
            <w:hideMark/>
          </w:tcPr>
          <w:p w:rsidR="00302344" w:rsidRPr="00F40097" w:rsidRDefault="00302344" w:rsidP="007565F2">
            <w:pPr>
              <w:rPr>
                <w:rFonts w:ascii="Arial" w:hAnsi="Arial" w:cs="Arial"/>
                <w:b/>
                <w:bCs/>
                <w:color w:val="000000"/>
                <w:sz w:val="16"/>
                <w:szCs w:val="16"/>
              </w:rPr>
            </w:pPr>
          </w:p>
        </w:tc>
        <w:tc>
          <w:tcPr>
            <w:tcW w:w="1009" w:type="dxa"/>
            <w:vMerge/>
            <w:tcBorders>
              <w:top w:val="nil"/>
              <w:left w:val="single" w:sz="4" w:space="0" w:color="008000"/>
              <w:bottom w:val="single" w:sz="4" w:space="0" w:color="008000"/>
              <w:right w:val="nil"/>
            </w:tcBorders>
            <w:vAlign w:val="center"/>
            <w:hideMark/>
          </w:tcPr>
          <w:p w:rsidR="00302344" w:rsidRPr="00F40097" w:rsidRDefault="00302344" w:rsidP="007565F2">
            <w:pPr>
              <w:rPr>
                <w:rFonts w:ascii="Arial" w:hAnsi="Arial" w:cs="Arial"/>
                <w:b/>
                <w:bCs/>
                <w:color w:val="000000"/>
                <w:sz w:val="16"/>
                <w:szCs w:val="16"/>
              </w:rPr>
            </w:pPr>
          </w:p>
        </w:tc>
        <w:tc>
          <w:tcPr>
            <w:tcW w:w="1050" w:type="dxa"/>
            <w:vMerge/>
            <w:tcBorders>
              <w:top w:val="nil"/>
              <w:left w:val="nil"/>
              <w:bottom w:val="single" w:sz="4" w:space="0" w:color="008000"/>
              <w:right w:val="nil"/>
            </w:tcBorders>
            <w:vAlign w:val="center"/>
            <w:hideMark/>
          </w:tcPr>
          <w:p w:rsidR="00302344" w:rsidRPr="00F40097" w:rsidRDefault="00302344" w:rsidP="007565F2">
            <w:pPr>
              <w:rPr>
                <w:rFonts w:ascii="Arial" w:hAnsi="Arial" w:cs="Arial"/>
                <w:b/>
                <w:bCs/>
                <w:color w:val="000000"/>
                <w:sz w:val="16"/>
                <w:szCs w:val="16"/>
              </w:rPr>
            </w:pPr>
          </w:p>
        </w:tc>
        <w:tc>
          <w:tcPr>
            <w:tcW w:w="980" w:type="dxa"/>
            <w:vMerge/>
            <w:tcBorders>
              <w:top w:val="nil"/>
              <w:left w:val="nil"/>
              <w:bottom w:val="single" w:sz="4" w:space="0" w:color="008000"/>
              <w:right w:val="single" w:sz="4" w:space="0" w:color="008000"/>
            </w:tcBorders>
            <w:vAlign w:val="center"/>
            <w:hideMark/>
          </w:tcPr>
          <w:p w:rsidR="00302344" w:rsidRPr="00F40097" w:rsidRDefault="00302344" w:rsidP="007565F2">
            <w:pPr>
              <w:rPr>
                <w:rFonts w:ascii="Arial" w:hAnsi="Arial" w:cs="Arial"/>
                <w:b/>
                <w:bCs/>
                <w:color w:val="000000"/>
                <w:sz w:val="16"/>
                <w:szCs w:val="16"/>
              </w:rPr>
            </w:pPr>
          </w:p>
        </w:tc>
      </w:tr>
      <w:tr w:rsidR="00302344" w:rsidRPr="00F40097" w:rsidTr="007565F2">
        <w:trPr>
          <w:trHeight w:val="300"/>
        </w:trPr>
        <w:tc>
          <w:tcPr>
            <w:tcW w:w="572" w:type="dxa"/>
            <w:tcBorders>
              <w:top w:val="nil"/>
              <w:left w:val="single" w:sz="4" w:space="0" w:color="008000"/>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1980</w:t>
            </w:r>
          </w:p>
        </w:tc>
        <w:tc>
          <w:tcPr>
            <w:tcW w:w="101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2,400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500</w:t>
            </w:r>
          </w:p>
        </w:tc>
        <w:tc>
          <w:tcPr>
            <w:tcW w:w="9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2,900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18,200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31,900</w:t>
            </w:r>
          </w:p>
        </w:tc>
        <w:tc>
          <w:tcPr>
            <w:tcW w:w="98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20,600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16,000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28,500</w:t>
            </w:r>
          </w:p>
        </w:tc>
        <w:tc>
          <w:tcPr>
            <w:tcW w:w="980" w:type="dxa"/>
            <w:tcBorders>
              <w:top w:val="nil"/>
              <w:left w:val="nil"/>
              <w:bottom w:val="nil"/>
              <w:right w:val="single" w:sz="4" w:space="0" w:color="008000"/>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19,800</w:t>
            </w:r>
          </w:p>
        </w:tc>
      </w:tr>
      <w:tr w:rsidR="00302344" w:rsidRPr="00F40097" w:rsidTr="007565F2">
        <w:trPr>
          <w:trHeight w:val="300"/>
        </w:trPr>
        <w:tc>
          <w:tcPr>
            <w:tcW w:w="572" w:type="dxa"/>
            <w:tcBorders>
              <w:top w:val="nil"/>
              <w:left w:val="single" w:sz="4" w:space="0" w:color="008000"/>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1981</w:t>
            </w:r>
          </w:p>
        </w:tc>
        <w:tc>
          <w:tcPr>
            <w:tcW w:w="101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3,000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600</w:t>
            </w:r>
          </w:p>
        </w:tc>
        <w:tc>
          <w:tcPr>
            <w:tcW w:w="9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3,700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18,500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29,000</w:t>
            </w:r>
          </w:p>
        </w:tc>
        <w:tc>
          <w:tcPr>
            <w:tcW w:w="98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20,400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16,700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29,200</w:t>
            </w:r>
          </w:p>
        </w:tc>
        <w:tc>
          <w:tcPr>
            <w:tcW w:w="980" w:type="dxa"/>
            <w:tcBorders>
              <w:top w:val="nil"/>
              <w:left w:val="nil"/>
              <w:bottom w:val="nil"/>
              <w:right w:val="single" w:sz="4" w:space="0" w:color="008000"/>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19,900</w:t>
            </w:r>
          </w:p>
        </w:tc>
      </w:tr>
      <w:tr w:rsidR="00302344" w:rsidRPr="00F40097" w:rsidTr="007565F2">
        <w:trPr>
          <w:trHeight w:val="300"/>
        </w:trPr>
        <w:tc>
          <w:tcPr>
            <w:tcW w:w="572" w:type="dxa"/>
            <w:tcBorders>
              <w:top w:val="nil"/>
              <w:left w:val="single" w:sz="4" w:space="0" w:color="008000"/>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1982</w:t>
            </w:r>
          </w:p>
        </w:tc>
        <w:tc>
          <w:tcPr>
            <w:tcW w:w="101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4,200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800</w:t>
            </w:r>
          </w:p>
        </w:tc>
        <w:tc>
          <w:tcPr>
            <w:tcW w:w="9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5,000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20,100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34,400</w:t>
            </w:r>
          </w:p>
        </w:tc>
        <w:tc>
          <w:tcPr>
            <w:tcW w:w="98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22,400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17,200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28,400</w:t>
            </w:r>
          </w:p>
        </w:tc>
        <w:tc>
          <w:tcPr>
            <w:tcW w:w="980" w:type="dxa"/>
            <w:tcBorders>
              <w:top w:val="nil"/>
              <w:left w:val="nil"/>
              <w:bottom w:val="nil"/>
              <w:right w:val="single" w:sz="4" w:space="0" w:color="008000"/>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19,700</w:t>
            </w:r>
          </w:p>
        </w:tc>
      </w:tr>
      <w:tr w:rsidR="00302344" w:rsidRPr="00F40097" w:rsidTr="007565F2">
        <w:trPr>
          <w:trHeight w:val="300"/>
        </w:trPr>
        <w:tc>
          <w:tcPr>
            <w:tcW w:w="572" w:type="dxa"/>
            <w:tcBorders>
              <w:top w:val="nil"/>
              <w:left w:val="single" w:sz="4" w:space="0" w:color="008000"/>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1983</w:t>
            </w:r>
          </w:p>
        </w:tc>
        <w:tc>
          <w:tcPr>
            <w:tcW w:w="101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3,800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1,100</w:t>
            </w:r>
          </w:p>
        </w:tc>
        <w:tc>
          <w:tcPr>
            <w:tcW w:w="9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4,800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19,700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35,100</w:t>
            </w:r>
          </w:p>
        </w:tc>
        <w:tc>
          <w:tcPr>
            <w:tcW w:w="98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23,300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17,600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30,500</w:t>
            </w:r>
          </w:p>
        </w:tc>
        <w:tc>
          <w:tcPr>
            <w:tcW w:w="980" w:type="dxa"/>
            <w:tcBorders>
              <w:top w:val="nil"/>
              <w:left w:val="nil"/>
              <w:bottom w:val="nil"/>
              <w:right w:val="single" w:sz="4" w:space="0" w:color="008000"/>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21,000</w:t>
            </w:r>
          </w:p>
        </w:tc>
      </w:tr>
      <w:tr w:rsidR="00302344" w:rsidRPr="00F40097" w:rsidTr="007565F2">
        <w:trPr>
          <w:trHeight w:val="300"/>
        </w:trPr>
        <w:tc>
          <w:tcPr>
            <w:tcW w:w="572" w:type="dxa"/>
            <w:tcBorders>
              <w:top w:val="nil"/>
              <w:left w:val="single" w:sz="4" w:space="0" w:color="008000"/>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1984</w:t>
            </w:r>
          </w:p>
        </w:tc>
        <w:tc>
          <w:tcPr>
            <w:tcW w:w="101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4,000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800</w:t>
            </w:r>
          </w:p>
        </w:tc>
        <w:tc>
          <w:tcPr>
            <w:tcW w:w="9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4,900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20,700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31,600</w:t>
            </w:r>
          </w:p>
        </w:tc>
        <w:tc>
          <w:tcPr>
            <w:tcW w:w="98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22,600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17,700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30,400</w:t>
            </w:r>
          </w:p>
        </w:tc>
        <w:tc>
          <w:tcPr>
            <w:tcW w:w="980" w:type="dxa"/>
            <w:tcBorders>
              <w:top w:val="nil"/>
              <w:left w:val="nil"/>
              <w:bottom w:val="nil"/>
              <w:right w:val="single" w:sz="4" w:space="0" w:color="008000"/>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21,500</w:t>
            </w:r>
          </w:p>
        </w:tc>
      </w:tr>
      <w:tr w:rsidR="00302344" w:rsidRPr="00F40097" w:rsidTr="007565F2">
        <w:trPr>
          <w:trHeight w:val="300"/>
        </w:trPr>
        <w:tc>
          <w:tcPr>
            <w:tcW w:w="572" w:type="dxa"/>
            <w:tcBorders>
              <w:top w:val="nil"/>
              <w:left w:val="single" w:sz="4" w:space="0" w:color="008000"/>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1986</w:t>
            </w:r>
          </w:p>
        </w:tc>
        <w:tc>
          <w:tcPr>
            <w:tcW w:w="101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3,000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1,400</w:t>
            </w:r>
          </w:p>
        </w:tc>
        <w:tc>
          <w:tcPr>
            <w:tcW w:w="9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4,500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19,300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33,600</w:t>
            </w:r>
          </w:p>
        </w:tc>
        <w:tc>
          <w:tcPr>
            <w:tcW w:w="98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24,000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17,800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30,100</w:t>
            </w:r>
          </w:p>
        </w:tc>
        <w:tc>
          <w:tcPr>
            <w:tcW w:w="980" w:type="dxa"/>
            <w:tcBorders>
              <w:top w:val="nil"/>
              <w:left w:val="nil"/>
              <w:bottom w:val="nil"/>
              <w:right w:val="single" w:sz="4" w:space="0" w:color="008000"/>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21,800</w:t>
            </w:r>
          </w:p>
        </w:tc>
      </w:tr>
      <w:tr w:rsidR="00302344" w:rsidRPr="00F40097" w:rsidTr="007565F2">
        <w:trPr>
          <w:trHeight w:val="300"/>
        </w:trPr>
        <w:tc>
          <w:tcPr>
            <w:tcW w:w="572" w:type="dxa"/>
            <w:tcBorders>
              <w:top w:val="nil"/>
              <w:left w:val="single" w:sz="4" w:space="0" w:color="008000"/>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1987</w:t>
            </w:r>
          </w:p>
        </w:tc>
        <w:tc>
          <w:tcPr>
            <w:tcW w:w="101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3,200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900</w:t>
            </w:r>
          </w:p>
        </w:tc>
        <w:tc>
          <w:tcPr>
            <w:tcW w:w="9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4,200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20,500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35,200</w:t>
            </w:r>
          </w:p>
        </w:tc>
        <w:tc>
          <w:tcPr>
            <w:tcW w:w="98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23,900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17,800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30,800</w:t>
            </w:r>
          </w:p>
        </w:tc>
        <w:tc>
          <w:tcPr>
            <w:tcW w:w="980" w:type="dxa"/>
            <w:tcBorders>
              <w:top w:val="nil"/>
              <w:left w:val="nil"/>
              <w:bottom w:val="nil"/>
              <w:right w:val="single" w:sz="4" w:space="0" w:color="008000"/>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22,400</w:t>
            </w:r>
          </w:p>
        </w:tc>
      </w:tr>
      <w:tr w:rsidR="00302344" w:rsidRPr="00F40097" w:rsidTr="007565F2">
        <w:trPr>
          <w:trHeight w:val="300"/>
        </w:trPr>
        <w:tc>
          <w:tcPr>
            <w:tcW w:w="572" w:type="dxa"/>
            <w:tcBorders>
              <w:top w:val="nil"/>
              <w:left w:val="single" w:sz="4" w:space="0" w:color="008000"/>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1987</w:t>
            </w:r>
          </w:p>
        </w:tc>
        <w:tc>
          <w:tcPr>
            <w:tcW w:w="101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1,900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900</w:t>
            </w:r>
          </w:p>
        </w:tc>
        <w:tc>
          <w:tcPr>
            <w:tcW w:w="9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2,800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21,600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35,300</w:t>
            </w:r>
          </w:p>
        </w:tc>
        <w:tc>
          <w:tcPr>
            <w:tcW w:w="98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26,100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18,400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32,400</w:t>
            </w:r>
          </w:p>
        </w:tc>
        <w:tc>
          <w:tcPr>
            <w:tcW w:w="980" w:type="dxa"/>
            <w:tcBorders>
              <w:top w:val="nil"/>
              <w:left w:val="nil"/>
              <w:bottom w:val="nil"/>
              <w:right w:val="single" w:sz="4" w:space="0" w:color="008000"/>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23,700</w:t>
            </w:r>
          </w:p>
        </w:tc>
      </w:tr>
      <w:tr w:rsidR="00302344" w:rsidRPr="00F40097" w:rsidTr="007565F2">
        <w:trPr>
          <w:trHeight w:val="315"/>
        </w:trPr>
        <w:tc>
          <w:tcPr>
            <w:tcW w:w="572" w:type="dxa"/>
            <w:tcBorders>
              <w:top w:val="nil"/>
              <w:left w:val="single" w:sz="4" w:space="0" w:color="008000"/>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1988</w:t>
            </w:r>
          </w:p>
        </w:tc>
        <w:tc>
          <w:tcPr>
            <w:tcW w:w="101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1,300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1,300</w:t>
            </w:r>
          </w:p>
        </w:tc>
        <w:tc>
          <w:tcPr>
            <w:tcW w:w="9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2,600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23,300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35,200</w:t>
            </w:r>
          </w:p>
        </w:tc>
        <w:tc>
          <w:tcPr>
            <w:tcW w:w="98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29,300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18,600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33,600</w:t>
            </w:r>
          </w:p>
        </w:tc>
        <w:tc>
          <w:tcPr>
            <w:tcW w:w="980" w:type="dxa"/>
            <w:tcBorders>
              <w:top w:val="nil"/>
              <w:left w:val="nil"/>
              <w:bottom w:val="nil"/>
              <w:right w:val="single" w:sz="4" w:space="0" w:color="008000"/>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25,100</w:t>
            </w:r>
          </w:p>
        </w:tc>
      </w:tr>
      <w:tr w:rsidR="00302344" w:rsidRPr="00F40097" w:rsidTr="007565F2">
        <w:trPr>
          <w:trHeight w:val="315"/>
        </w:trPr>
        <w:tc>
          <w:tcPr>
            <w:tcW w:w="572" w:type="dxa"/>
            <w:tcBorders>
              <w:top w:val="nil"/>
              <w:left w:val="single" w:sz="4" w:space="0" w:color="008000"/>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1989</w:t>
            </w:r>
          </w:p>
        </w:tc>
        <w:tc>
          <w:tcPr>
            <w:tcW w:w="101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1,300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1,200</w:t>
            </w:r>
          </w:p>
        </w:tc>
        <w:tc>
          <w:tcPr>
            <w:tcW w:w="9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2,400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24,500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37,800</w:t>
            </w:r>
          </w:p>
        </w:tc>
        <w:tc>
          <w:tcPr>
            <w:tcW w:w="98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30,900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19,600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35,700</w:t>
            </w:r>
          </w:p>
        </w:tc>
        <w:tc>
          <w:tcPr>
            <w:tcW w:w="980" w:type="dxa"/>
            <w:tcBorders>
              <w:top w:val="nil"/>
              <w:left w:val="nil"/>
              <w:bottom w:val="nil"/>
              <w:right w:val="single" w:sz="4" w:space="0" w:color="008000"/>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27,200</w:t>
            </w:r>
          </w:p>
        </w:tc>
      </w:tr>
      <w:tr w:rsidR="00302344" w:rsidRPr="00F40097" w:rsidTr="007565F2">
        <w:trPr>
          <w:trHeight w:val="300"/>
        </w:trPr>
        <w:tc>
          <w:tcPr>
            <w:tcW w:w="572" w:type="dxa"/>
            <w:tcBorders>
              <w:top w:val="nil"/>
              <w:left w:val="single" w:sz="4" w:space="0" w:color="008000"/>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1990</w:t>
            </w:r>
          </w:p>
        </w:tc>
        <w:tc>
          <w:tcPr>
            <w:tcW w:w="101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900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800</w:t>
            </w:r>
          </w:p>
        </w:tc>
        <w:tc>
          <w:tcPr>
            <w:tcW w:w="9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1,700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22,200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40,100</w:t>
            </w:r>
          </w:p>
        </w:tc>
        <w:tc>
          <w:tcPr>
            <w:tcW w:w="98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30,500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19,800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36,600</w:t>
            </w:r>
          </w:p>
        </w:tc>
        <w:tc>
          <w:tcPr>
            <w:tcW w:w="980" w:type="dxa"/>
            <w:tcBorders>
              <w:top w:val="nil"/>
              <w:left w:val="nil"/>
              <w:bottom w:val="nil"/>
              <w:right w:val="single" w:sz="4" w:space="0" w:color="008000"/>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27,800</w:t>
            </w:r>
          </w:p>
        </w:tc>
      </w:tr>
      <w:tr w:rsidR="00302344" w:rsidRPr="00F40097" w:rsidTr="007565F2">
        <w:trPr>
          <w:trHeight w:val="300"/>
        </w:trPr>
        <w:tc>
          <w:tcPr>
            <w:tcW w:w="572" w:type="dxa"/>
            <w:tcBorders>
              <w:top w:val="nil"/>
              <w:left w:val="single" w:sz="4" w:space="0" w:color="008000"/>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1991</w:t>
            </w:r>
          </w:p>
        </w:tc>
        <w:tc>
          <w:tcPr>
            <w:tcW w:w="101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1,000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900</w:t>
            </w:r>
          </w:p>
        </w:tc>
        <w:tc>
          <w:tcPr>
            <w:tcW w:w="9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1,900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22,100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36,900</w:t>
            </w:r>
          </w:p>
        </w:tc>
        <w:tc>
          <w:tcPr>
            <w:tcW w:w="98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28,700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19,900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36,900</w:t>
            </w:r>
          </w:p>
        </w:tc>
        <w:tc>
          <w:tcPr>
            <w:tcW w:w="980" w:type="dxa"/>
            <w:tcBorders>
              <w:top w:val="nil"/>
              <w:left w:val="nil"/>
              <w:bottom w:val="nil"/>
              <w:right w:val="single" w:sz="4" w:space="0" w:color="008000"/>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27,700</w:t>
            </w:r>
          </w:p>
        </w:tc>
      </w:tr>
      <w:tr w:rsidR="00302344" w:rsidRPr="00F40097" w:rsidTr="007565F2">
        <w:trPr>
          <w:trHeight w:val="300"/>
        </w:trPr>
        <w:tc>
          <w:tcPr>
            <w:tcW w:w="572" w:type="dxa"/>
            <w:tcBorders>
              <w:top w:val="nil"/>
              <w:left w:val="single" w:sz="4" w:space="0" w:color="008000"/>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1992</w:t>
            </w:r>
          </w:p>
        </w:tc>
        <w:tc>
          <w:tcPr>
            <w:tcW w:w="101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1,700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1,400</w:t>
            </w:r>
          </w:p>
        </w:tc>
        <w:tc>
          <w:tcPr>
            <w:tcW w:w="9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3,200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24,400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39,000</w:t>
            </w:r>
          </w:p>
        </w:tc>
        <w:tc>
          <w:tcPr>
            <w:tcW w:w="98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30,900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20,600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37,200</w:t>
            </w:r>
          </w:p>
        </w:tc>
        <w:tc>
          <w:tcPr>
            <w:tcW w:w="980" w:type="dxa"/>
            <w:tcBorders>
              <w:top w:val="nil"/>
              <w:left w:val="nil"/>
              <w:bottom w:val="nil"/>
              <w:right w:val="single" w:sz="4" w:space="0" w:color="008000"/>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28,400</w:t>
            </w:r>
          </w:p>
        </w:tc>
      </w:tr>
      <w:tr w:rsidR="00302344" w:rsidRPr="00F40097" w:rsidTr="007565F2">
        <w:trPr>
          <w:trHeight w:val="300"/>
        </w:trPr>
        <w:tc>
          <w:tcPr>
            <w:tcW w:w="572" w:type="dxa"/>
            <w:tcBorders>
              <w:top w:val="nil"/>
              <w:left w:val="single" w:sz="4" w:space="0" w:color="008000"/>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1993</w:t>
            </w:r>
          </w:p>
        </w:tc>
        <w:tc>
          <w:tcPr>
            <w:tcW w:w="101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3,000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2,100</w:t>
            </w:r>
          </w:p>
        </w:tc>
        <w:tc>
          <w:tcPr>
            <w:tcW w:w="9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5,100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24,200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44,100</w:t>
            </w:r>
          </w:p>
        </w:tc>
        <w:tc>
          <w:tcPr>
            <w:tcW w:w="98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32,400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21,900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39,600</w:t>
            </w:r>
          </w:p>
        </w:tc>
        <w:tc>
          <w:tcPr>
            <w:tcW w:w="980" w:type="dxa"/>
            <w:tcBorders>
              <w:top w:val="nil"/>
              <w:left w:val="nil"/>
              <w:bottom w:val="nil"/>
              <w:right w:val="single" w:sz="4" w:space="0" w:color="008000"/>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30,500</w:t>
            </w:r>
          </w:p>
        </w:tc>
      </w:tr>
      <w:tr w:rsidR="00302344" w:rsidRPr="00F40097" w:rsidTr="007565F2">
        <w:trPr>
          <w:trHeight w:val="300"/>
        </w:trPr>
        <w:tc>
          <w:tcPr>
            <w:tcW w:w="572" w:type="dxa"/>
            <w:tcBorders>
              <w:top w:val="nil"/>
              <w:left w:val="single" w:sz="4" w:space="0" w:color="008000"/>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1994</w:t>
            </w:r>
          </w:p>
        </w:tc>
        <w:tc>
          <w:tcPr>
            <w:tcW w:w="101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2,400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2,300</w:t>
            </w:r>
          </w:p>
        </w:tc>
        <w:tc>
          <w:tcPr>
            <w:tcW w:w="9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4,700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25,100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44,600</w:t>
            </w:r>
          </w:p>
        </w:tc>
        <w:tc>
          <w:tcPr>
            <w:tcW w:w="98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35,100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23,500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42,000</w:t>
            </w:r>
          </w:p>
        </w:tc>
        <w:tc>
          <w:tcPr>
            <w:tcW w:w="980" w:type="dxa"/>
            <w:tcBorders>
              <w:top w:val="nil"/>
              <w:left w:val="nil"/>
              <w:bottom w:val="nil"/>
              <w:right w:val="single" w:sz="4" w:space="0" w:color="008000"/>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32,800</w:t>
            </w:r>
          </w:p>
        </w:tc>
      </w:tr>
      <w:tr w:rsidR="00302344" w:rsidRPr="00F40097" w:rsidTr="007565F2">
        <w:trPr>
          <w:trHeight w:val="300"/>
        </w:trPr>
        <w:tc>
          <w:tcPr>
            <w:tcW w:w="572" w:type="dxa"/>
            <w:tcBorders>
              <w:top w:val="nil"/>
              <w:left w:val="single" w:sz="4" w:space="0" w:color="008000"/>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1995</w:t>
            </w:r>
          </w:p>
        </w:tc>
        <w:tc>
          <w:tcPr>
            <w:tcW w:w="101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3,800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2,600</w:t>
            </w:r>
          </w:p>
        </w:tc>
        <w:tc>
          <w:tcPr>
            <w:tcW w:w="9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6,500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28,000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46,900</w:t>
            </w:r>
          </w:p>
        </w:tc>
        <w:tc>
          <w:tcPr>
            <w:tcW w:w="98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36,400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25,800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44,600</w:t>
            </w:r>
          </w:p>
        </w:tc>
        <w:tc>
          <w:tcPr>
            <w:tcW w:w="980" w:type="dxa"/>
            <w:tcBorders>
              <w:top w:val="nil"/>
              <w:left w:val="nil"/>
              <w:bottom w:val="nil"/>
              <w:right w:val="single" w:sz="4" w:space="0" w:color="008000"/>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35,300</w:t>
            </w:r>
          </w:p>
        </w:tc>
      </w:tr>
      <w:tr w:rsidR="00302344" w:rsidRPr="00F40097" w:rsidTr="007565F2">
        <w:trPr>
          <w:trHeight w:val="300"/>
        </w:trPr>
        <w:tc>
          <w:tcPr>
            <w:tcW w:w="572" w:type="dxa"/>
            <w:tcBorders>
              <w:top w:val="nil"/>
              <w:left w:val="single" w:sz="4" w:space="0" w:color="008000"/>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1996</w:t>
            </w:r>
          </w:p>
        </w:tc>
        <w:tc>
          <w:tcPr>
            <w:tcW w:w="101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3,600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3,000</w:t>
            </w:r>
          </w:p>
        </w:tc>
        <w:tc>
          <w:tcPr>
            <w:tcW w:w="9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6,600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27,800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47,900</w:t>
            </w:r>
          </w:p>
        </w:tc>
        <w:tc>
          <w:tcPr>
            <w:tcW w:w="98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37,000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27,000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46,200</w:t>
            </w:r>
          </w:p>
        </w:tc>
        <w:tc>
          <w:tcPr>
            <w:tcW w:w="980" w:type="dxa"/>
            <w:tcBorders>
              <w:top w:val="nil"/>
              <w:left w:val="nil"/>
              <w:bottom w:val="nil"/>
              <w:right w:val="single" w:sz="4" w:space="0" w:color="008000"/>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37,200</w:t>
            </w:r>
          </w:p>
        </w:tc>
      </w:tr>
      <w:tr w:rsidR="00302344" w:rsidRPr="00F40097" w:rsidTr="007565F2">
        <w:trPr>
          <w:trHeight w:val="300"/>
        </w:trPr>
        <w:tc>
          <w:tcPr>
            <w:tcW w:w="572" w:type="dxa"/>
            <w:tcBorders>
              <w:top w:val="nil"/>
              <w:left w:val="single" w:sz="4" w:space="0" w:color="008000"/>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1997</w:t>
            </w:r>
          </w:p>
        </w:tc>
        <w:tc>
          <w:tcPr>
            <w:tcW w:w="101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2,900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3,500</w:t>
            </w:r>
          </w:p>
        </w:tc>
        <w:tc>
          <w:tcPr>
            <w:tcW w:w="9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6,500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29,500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50,100</w:t>
            </w:r>
          </w:p>
        </w:tc>
        <w:tc>
          <w:tcPr>
            <w:tcW w:w="98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41,300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27,900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48,100</w:t>
            </w:r>
          </w:p>
        </w:tc>
        <w:tc>
          <w:tcPr>
            <w:tcW w:w="980" w:type="dxa"/>
            <w:tcBorders>
              <w:top w:val="nil"/>
              <w:left w:val="nil"/>
              <w:bottom w:val="nil"/>
              <w:right w:val="single" w:sz="4" w:space="0" w:color="008000"/>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39,800</w:t>
            </w:r>
          </w:p>
        </w:tc>
      </w:tr>
      <w:tr w:rsidR="00302344" w:rsidRPr="00F40097" w:rsidTr="007565F2">
        <w:trPr>
          <w:trHeight w:val="300"/>
        </w:trPr>
        <w:tc>
          <w:tcPr>
            <w:tcW w:w="572" w:type="dxa"/>
            <w:tcBorders>
              <w:top w:val="nil"/>
              <w:left w:val="single" w:sz="4" w:space="0" w:color="008000"/>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1998</w:t>
            </w:r>
          </w:p>
        </w:tc>
        <w:tc>
          <w:tcPr>
            <w:tcW w:w="101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2,600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3,900</w:t>
            </w:r>
          </w:p>
        </w:tc>
        <w:tc>
          <w:tcPr>
            <w:tcW w:w="9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6,600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30,200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50,000</w:t>
            </w:r>
          </w:p>
        </w:tc>
        <w:tc>
          <w:tcPr>
            <w:tcW w:w="98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42,200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28,800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49,800</w:t>
            </w:r>
          </w:p>
        </w:tc>
        <w:tc>
          <w:tcPr>
            <w:tcW w:w="980" w:type="dxa"/>
            <w:tcBorders>
              <w:top w:val="nil"/>
              <w:left w:val="nil"/>
              <w:bottom w:val="nil"/>
              <w:right w:val="single" w:sz="4" w:space="0" w:color="008000"/>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41,600</w:t>
            </w:r>
          </w:p>
        </w:tc>
      </w:tr>
      <w:tr w:rsidR="00302344" w:rsidRPr="00F40097" w:rsidTr="007565F2">
        <w:trPr>
          <w:trHeight w:val="300"/>
        </w:trPr>
        <w:tc>
          <w:tcPr>
            <w:tcW w:w="572" w:type="dxa"/>
            <w:tcBorders>
              <w:top w:val="nil"/>
              <w:left w:val="single" w:sz="4" w:space="0" w:color="008000"/>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1999</w:t>
            </w:r>
          </w:p>
        </w:tc>
        <w:tc>
          <w:tcPr>
            <w:tcW w:w="101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2,000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3,900</w:t>
            </w:r>
          </w:p>
        </w:tc>
        <w:tc>
          <w:tcPr>
            <w:tcW w:w="9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6,000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29,400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49,400</w:t>
            </w:r>
          </w:p>
        </w:tc>
        <w:tc>
          <w:tcPr>
            <w:tcW w:w="98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42,700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29,300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51,100</w:t>
            </w:r>
          </w:p>
        </w:tc>
        <w:tc>
          <w:tcPr>
            <w:tcW w:w="980" w:type="dxa"/>
            <w:tcBorders>
              <w:top w:val="nil"/>
              <w:left w:val="nil"/>
              <w:bottom w:val="nil"/>
              <w:right w:val="single" w:sz="4" w:space="0" w:color="008000"/>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43,300</w:t>
            </w:r>
          </w:p>
        </w:tc>
      </w:tr>
      <w:tr w:rsidR="00302344" w:rsidRPr="00F40097" w:rsidTr="007565F2">
        <w:trPr>
          <w:trHeight w:val="300"/>
        </w:trPr>
        <w:tc>
          <w:tcPr>
            <w:tcW w:w="572" w:type="dxa"/>
            <w:tcBorders>
              <w:top w:val="nil"/>
              <w:left w:val="single" w:sz="4" w:space="0" w:color="008000"/>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2000</w:t>
            </w:r>
          </w:p>
        </w:tc>
        <w:tc>
          <w:tcPr>
            <w:tcW w:w="101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1,600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3,200</w:t>
            </w:r>
          </w:p>
        </w:tc>
        <w:tc>
          <w:tcPr>
            <w:tcW w:w="9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4,800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30,600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52,700</w:t>
            </w:r>
          </w:p>
        </w:tc>
        <w:tc>
          <w:tcPr>
            <w:tcW w:w="98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45,600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30,200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53,600</w:t>
            </w:r>
          </w:p>
        </w:tc>
        <w:tc>
          <w:tcPr>
            <w:tcW w:w="980" w:type="dxa"/>
            <w:tcBorders>
              <w:top w:val="nil"/>
              <w:left w:val="nil"/>
              <w:bottom w:val="nil"/>
              <w:right w:val="single" w:sz="4" w:space="0" w:color="008000"/>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46,400</w:t>
            </w:r>
          </w:p>
        </w:tc>
      </w:tr>
      <w:tr w:rsidR="00302344" w:rsidRPr="00F40097" w:rsidTr="007565F2">
        <w:trPr>
          <w:trHeight w:val="300"/>
        </w:trPr>
        <w:tc>
          <w:tcPr>
            <w:tcW w:w="572" w:type="dxa"/>
            <w:tcBorders>
              <w:top w:val="nil"/>
              <w:left w:val="single" w:sz="4" w:space="0" w:color="008000"/>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2001</w:t>
            </w:r>
          </w:p>
        </w:tc>
        <w:tc>
          <w:tcPr>
            <w:tcW w:w="101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800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2,300</w:t>
            </w:r>
          </w:p>
        </w:tc>
        <w:tc>
          <w:tcPr>
            <w:tcW w:w="9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3,100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31,200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54,500</w:t>
            </w:r>
          </w:p>
        </w:tc>
        <w:tc>
          <w:tcPr>
            <w:tcW w:w="98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49,000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30,400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55,200</w:t>
            </w:r>
          </w:p>
        </w:tc>
        <w:tc>
          <w:tcPr>
            <w:tcW w:w="980" w:type="dxa"/>
            <w:tcBorders>
              <w:top w:val="nil"/>
              <w:left w:val="nil"/>
              <w:bottom w:val="nil"/>
              <w:right w:val="single" w:sz="4" w:space="0" w:color="008000"/>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48,900</w:t>
            </w:r>
          </w:p>
        </w:tc>
      </w:tr>
      <w:tr w:rsidR="00302344" w:rsidRPr="00F40097" w:rsidTr="007565F2">
        <w:trPr>
          <w:trHeight w:val="300"/>
        </w:trPr>
        <w:tc>
          <w:tcPr>
            <w:tcW w:w="572" w:type="dxa"/>
            <w:tcBorders>
              <w:top w:val="nil"/>
              <w:left w:val="single" w:sz="4" w:space="0" w:color="008000"/>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2002</w:t>
            </w:r>
          </w:p>
        </w:tc>
        <w:tc>
          <w:tcPr>
            <w:tcW w:w="101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500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1,500</w:t>
            </w:r>
          </w:p>
        </w:tc>
        <w:tc>
          <w:tcPr>
            <w:tcW w:w="9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2,100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34,500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58,100</w:t>
            </w:r>
          </w:p>
        </w:tc>
        <w:tc>
          <w:tcPr>
            <w:tcW w:w="98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55,100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30,900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56,100</w:t>
            </w:r>
          </w:p>
        </w:tc>
        <w:tc>
          <w:tcPr>
            <w:tcW w:w="980" w:type="dxa"/>
            <w:tcBorders>
              <w:top w:val="nil"/>
              <w:left w:val="nil"/>
              <w:bottom w:val="nil"/>
              <w:right w:val="single" w:sz="4" w:space="0" w:color="008000"/>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51,300</w:t>
            </w:r>
          </w:p>
        </w:tc>
      </w:tr>
      <w:tr w:rsidR="00302344" w:rsidRPr="00F40097" w:rsidTr="007565F2">
        <w:trPr>
          <w:trHeight w:val="300"/>
        </w:trPr>
        <w:tc>
          <w:tcPr>
            <w:tcW w:w="572" w:type="dxa"/>
            <w:tcBorders>
              <w:top w:val="nil"/>
              <w:left w:val="single" w:sz="4" w:space="0" w:color="008000"/>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2003</w:t>
            </w:r>
          </w:p>
        </w:tc>
        <w:tc>
          <w:tcPr>
            <w:tcW w:w="101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1,700</w:t>
            </w:r>
          </w:p>
        </w:tc>
        <w:tc>
          <w:tcPr>
            <w:tcW w:w="9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1,800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59,900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(S)</w:t>
            </w:r>
          </w:p>
        </w:tc>
        <w:tc>
          <w:tcPr>
            <w:tcW w:w="98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59,500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31,900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59,700</w:t>
            </w:r>
          </w:p>
        </w:tc>
        <w:tc>
          <w:tcPr>
            <w:tcW w:w="980" w:type="dxa"/>
            <w:tcBorders>
              <w:top w:val="nil"/>
              <w:left w:val="nil"/>
              <w:bottom w:val="nil"/>
              <w:right w:val="single" w:sz="4" w:space="0" w:color="008000"/>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54,900</w:t>
            </w:r>
          </w:p>
        </w:tc>
      </w:tr>
      <w:tr w:rsidR="00302344" w:rsidRPr="00F40097" w:rsidTr="007565F2">
        <w:trPr>
          <w:trHeight w:val="300"/>
        </w:trPr>
        <w:tc>
          <w:tcPr>
            <w:tcW w:w="572" w:type="dxa"/>
            <w:tcBorders>
              <w:top w:val="nil"/>
              <w:left w:val="single" w:sz="4" w:space="0" w:color="008000"/>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2004</w:t>
            </w:r>
          </w:p>
        </w:tc>
        <w:tc>
          <w:tcPr>
            <w:tcW w:w="101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1,000</w:t>
            </w:r>
          </w:p>
        </w:tc>
        <w:tc>
          <w:tcPr>
            <w:tcW w:w="9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1,200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29,300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60,800</w:t>
            </w:r>
          </w:p>
        </w:tc>
        <w:tc>
          <w:tcPr>
            <w:tcW w:w="98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59,600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32,900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63,400</w:t>
            </w:r>
          </w:p>
        </w:tc>
        <w:tc>
          <w:tcPr>
            <w:tcW w:w="980" w:type="dxa"/>
            <w:tcBorders>
              <w:top w:val="nil"/>
              <w:left w:val="nil"/>
              <w:bottom w:val="nil"/>
              <w:right w:val="single" w:sz="4" w:space="0" w:color="008000"/>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58,200</w:t>
            </w:r>
          </w:p>
        </w:tc>
      </w:tr>
      <w:tr w:rsidR="00302344" w:rsidRPr="00F40097" w:rsidTr="007565F2">
        <w:trPr>
          <w:trHeight w:val="300"/>
        </w:trPr>
        <w:tc>
          <w:tcPr>
            <w:tcW w:w="572" w:type="dxa"/>
            <w:tcBorders>
              <w:top w:val="nil"/>
              <w:left w:val="single" w:sz="4" w:space="0" w:color="008000"/>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2005</w:t>
            </w:r>
          </w:p>
        </w:tc>
        <w:tc>
          <w:tcPr>
            <w:tcW w:w="101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1,100</w:t>
            </w:r>
          </w:p>
        </w:tc>
        <w:tc>
          <w:tcPr>
            <w:tcW w:w="9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1,500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34,100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66,200</w:t>
            </w:r>
          </w:p>
        </w:tc>
        <w:tc>
          <w:tcPr>
            <w:tcW w:w="98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62,600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34,100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68,700</w:t>
            </w:r>
          </w:p>
        </w:tc>
        <w:tc>
          <w:tcPr>
            <w:tcW w:w="980" w:type="dxa"/>
            <w:tcBorders>
              <w:top w:val="nil"/>
              <w:left w:val="nil"/>
              <w:bottom w:val="nil"/>
              <w:right w:val="single" w:sz="4" w:space="0" w:color="008000"/>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62,600</w:t>
            </w:r>
          </w:p>
        </w:tc>
      </w:tr>
      <w:tr w:rsidR="00302344" w:rsidRPr="00F40097" w:rsidTr="007565F2">
        <w:trPr>
          <w:trHeight w:val="300"/>
        </w:trPr>
        <w:tc>
          <w:tcPr>
            <w:tcW w:w="572" w:type="dxa"/>
            <w:tcBorders>
              <w:top w:val="nil"/>
              <w:left w:val="single" w:sz="4" w:space="0" w:color="008000"/>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2006</w:t>
            </w:r>
          </w:p>
        </w:tc>
        <w:tc>
          <w:tcPr>
            <w:tcW w:w="101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900</w:t>
            </w:r>
          </w:p>
        </w:tc>
        <w:tc>
          <w:tcPr>
            <w:tcW w:w="9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1,200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38,100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76,400</w:t>
            </w:r>
          </w:p>
        </w:tc>
        <w:tc>
          <w:tcPr>
            <w:tcW w:w="98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77,800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36,100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71,300</w:t>
            </w:r>
          </w:p>
        </w:tc>
        <w:tc>
          <w:tcPr>
            <w:tcW w:w="980" w:type="dxa"/>
            <w:tcBorders>
              <w:top w:val="nil"/>
              <w:left w:val="nil"/>
              <w:bottom w:val="nil"/>
              <w:right w:val="single" w:sz="4" w:space="0" w:color="008000"/>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64,300</w:t>
            </w:r>
          </w:p>
        </w:tc>
      </w:tr>
      <w:tr w:rsidR="00302344" w:rsidRPr="00F40097" w:rsidTr="007565F2">
        <w:trPr>
          <w:trHeight w:val="300"/>
        </w:trPr>
        <w:tc>
          <w:tcPr>
            <w:tcW w:w="572" w:type="dxa"/>
            <w:tcBorders>
              <w:top w:val="nil"/>
              <w:left w:val="single" w:sz="4" w:space="0" w:color="008000"/>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2007</w:t>
            </w:r>
          </w:p>
        </w:tc>
        <w:tc>
          <w:tcPr>
            <w:tcW w:w="101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500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1,000</w:t>
            </w:r>
          </w:p>
        </w:tc>
        <w:tc>
          <w:tcPr>
            <w:tcW w:w="9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1,600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34,400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75,800</w:t>
            </w:r>
          </w:p>
        </w:tc>
        <w:tc>
          <w:tcPr>
            <w:tcW w:w="98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62,800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37,300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74,200</w:t>
            </w:r>
          </w:p>
        </w:tc>
        <w:tc>
          <w:tcPr>
            <w:tcW w:w="980" w:type="dxa"/>
            <w:tcBorders>
              <w:top w:val="nil"/>
              <w:left w:val="nil"/>
              <w:bottom w:val="nil"/>
              <w:right w:val="single" w:sz="4" w:space="0" w:color="008000"/>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65,400</w:t>
            </w:r>
          </w:p>
        </w:tc>
      </w:tr>
      <w:tr w:rsidR="00302344" w:rsidRPr="00F40097" w:rsidTr="007565F2">
        <w:trPr>
          <w:trHeight w:val="300"/>
        </w:trPr>
        <w:tc>
          <w:tcPr>
            <w:tcW w:w="572" w:type="dxa"/>
            <w:tcBorders>
              <w:top w:val="nil"/>
              <w:left w:val="single" w:sz="4" w:space="0" w:color="008000"/>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2008</w:t>
            </w:r>
          </w:p>
        </w:tc>
        <w:tc>
          <w:tcPr>
            <w:tcW w:w="101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400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800</w:t>
            </w:r>
          </w:p>
        </w:tc>
        <w:tc>
          <w:tcPr>
            <w:tcW w:w="9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1,200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37,300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77,100</w:t>
            </w:r>
          </w:p>
        </w:tc>
        <w:tc>
          <w:tcPr>
            <w:tcW w:w="98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63,700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38,000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75,800</w:t>
            </w:r>
          </w:p>
        </w:tc>
        <w:tc>
          <w:tcPr>
            <w:tcW w:w="980" w:type="dxa"/>
            <w:tcBorders>
              <w:top w:val="nil"/>
              <w:left w:val="nil"/>
              <w:bottom w:val="nil"/>
              <w:right w:val="single" w:sz="4" w:space="0" w:color="008000"/>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64,700</w:t>
            </w:r>
          </w:p>
        </w:tc>
      </w:tr>
      <w:tr w:rsidR="00302344" w:rsidRPr="00F40097" w:rsidTr="007565F2">
        <w:trPr>
          <w:trHeight w:val="300"/>
        </w:trPr>
        <w:tc>
          <w:tcPr>
            <w:tcW w:w="572" w:type="dxa"/>
            <w:tcBorders>
              <w:top w:val="nil"/>
              <w:left w:val="single" w:sz="4" w:space="0" w:color="008000"/>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2009</w:t>
            </w:r>
          </w:p>
        </w:tc>
        <w:tc>
          <w:tcPr>
            <w:tcW w:w="101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500</w:t>
            </w:r>
          </w:p>
        </w:tc>
        <w:tc>
          <w:tcPr>
            <w:tcW w:w="9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800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44,300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84,400</w:t>
            </w:r>
          </w:p>
        </w:tc>
        <w:tc>
          <w:tcPr>
            <w:tcW w:w="98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73,200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39,600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74,400</w:t>
            </w:r>
          </w:p>
        </w:tc>
        <w:tc>
          <w:tcPr>
            <w:tcW w:w="980" w:type="dxa"/>
            <w:tcBorders>
              <w:top w:val="nil"/>
              <w:left w:val="nil"/>
              <w:bottom w:val="nil"/>
              <w:right w:val="single" w:sz="4" w:space="0" w:color="008000"/>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63,100</w:t>
            </w:r>
          </w:p>
        </w:tc>
      </w:tr>
      <w:tr w:rsidR="00302344" w:rsidRPr="00F40097" w:rsidTr="007565F2">
        <w:trPr>
          <w:trHeight w:val="300"/>
        </w:trPr>
        <w:tc>
          <w:tcPr>
            <w:tcW w:w="572" w:type="dxa"/>
            <w:tcBorders>
              <w:top w:val="nil"/>
              <w:left w:val="single" w:sz="4" w:space="0" w:color="008000"/>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2010</w:t>
            </w:r>
          </w:p>
        </w:tc>
        <w:tc>
          <w:tcPr>
            <w:tcW w:w="101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700</w:t>
            </w:r>
          </w:p>
        </w:tc>
        <w:tc>
          <w:tcPr>
            <w:tcW w:w="9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900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40,300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79,700</w:t>
            </w:r>
          </w:p>
        </w:tc>
        <w:tc>
          <w:tcPr>
            <w:tcW w:w="98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71,500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39,500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74,500</w:t>
            </w:r>
          </w:p>
        </w:tc>
        <w:tc>
          <w:tcPr>
            <w:tcW w:w="980" w:type="dxa"/>
            <w:tcBorders>
              <w:top w:val="nil"/>
              <w:left w:val="nil"/>
              <w:bottom w:val="nil"/>
              <w:right w:val="single" w:sz="4" w:space="0" w:color="008000"/>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62,800</w:t>
            </w:r>
          </w:p>
        </w:tc>
      </w:tr>
      <w:tr w:rsidR="00302344" w:rsidRPr="00F40097" w:rsidTr="007565F2">
        <w:trPr>
          <w:trHeight w:val="300"/>
        </w:trPr>
        <w:tc>
          <w:tcPr>
            <w:tcW w:w="572" w:type="dxa"/>
            <w:tcBorders>
              <w:top w:val="nil"/>
              <w:left w:val="single" w:sz="4" w:space="0" w:color="008000"/>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2011</w:t>
            </w:r>
          </w:p>
        </w:tc>
        <w:tc>
          <w:tcPr>
            <w:tcW w:w="101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500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600</w:t>
            </w:r>
          </w:p>
        </w:tc>
        <w:tc>
          <w:tcPr>
            <w:tcW w:w="9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1,100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41,200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74,200</w:t>
            </w:r>
          </w:p>
        </w:tc>
        <w:tc>
          <w:tcPr>
            <w:tcW w:w="98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60,500</w:t>
            </w:r>
          </w:p>
        </w:tc>
        <w:tc>
          <w:tcPr>
            <w:tcW w:w="1009"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40,600</w:t>
            </w:r>
          </w:p>
        </w:tc>
        <w:tc>
          <w:tcPr>
            <w:tcW w:w="1050" w:type="dxa"/>
            <w:tcBorders>
              <w:top w:val="nil"/>
              <w:left w:val="nil"/>
              <w:bottom w:val="nil"/>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73,900</w:t>
            </w:r>
          </w:p>
        </w:tc>
        <w:tc>
          <w:tcPr>
            <w:tcW w:w="980" w:type="dxa"/>
            <w:tcBorders>
              <w:top w:val="nil"/>
              <w:left w:val="nil"/>
              <w:bottom w:val="nil"/>
              <w:right w:val="single" w:sz="4" w:space="0" w:color="008000"/>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60,500</w:t>
            </w:r>
          </w:p>
        </w:tc>
      </w:tr>
      <w:tr w:rsidR="00302344" w:rsidRPr="00F40097" w:rsidTr="007565F2">
        <w:trPr>
          <w:trHeight w:val="300"/>
        </w:trPr>
        <w:tc>
          <w:tcPr>
            <w:tcW w:w="572" w:type="dxa"/>
            <w:tcBorders>
              <w:top w:val="nil"/>
              <w:left w:val="single" w:sz="4" w:space="0" w:color="008000"/>
              <w:bottom w:val="single" w:sz="4" w:space="0" w:color="008000"/>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2012</w:t>
            </w:r>
          </w:p>
        </w:tc>
        <w:tc>
          <w:tcPr>
            <w:tcW w:w="1010" w:type="dxa"/>
            <w:tcBorders>
              <w:top w:val="nil"/>
              <w:left w:val="nil"/>
              <w:bottom w:val="single" w:sz="4" w:space="0" w:color="008000"/>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400</w:t>
            </w:r>
          </w:p>
        </w:tc>
        <w:tc>
          <w:tcPr>
            <w:tcW w:w="1050" w:type="dxa"/>
            <w:tcBorders>
              <w:top w:val="nil"/>
              <w:left w:val="nil"/>
              <w:bottom w:val="single" w:sz="4" w:space="0" w:color="008000"/>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700</w:t>
            </w:r>
          </w:p>
        </w:tc>
        <w:tc>
          <w:tcPr>
            <w:tcW w:w="950" w:type="dxa"/>
            <w:tcBorders>
              <w:top w:val="nil"/>
              <w:left w:val="nil"/>
              <w:bottom w:val="single" w:sz="4" w:space="0" w:color="008000"/>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1,100</w:t>
            </w:r>
          </w:p>
        </w:tc>
        <w:tc>
          <w:tcPr>
            <w:tcW w:w="1009" w:type="dxa"/>
            <w:tcBorders>
              <w:top w:val="nil"/>
              <w:left w:val="nil"/>
              <w:bottom w:val="single" w:sz="4" w:space="0" w:color="008000"/>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41,000</w:t>
            </w:r>
          </w:p>
        </w:tc>
        <w:tc>
          <w:tcPr>
            <w:tcW w:w="1050" w:type="dxa"/>
            <w:tcBorders>
              <w:top w:val="nil"/>
              <w:left w:val="nil"/>
              <w:bottom w:val="single" w:sz="4" w:space="0" w:color="008000"/>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76,600</w:t>
            </w:r>
          </w:p>
        </w:tc>
        <w:tc>
          <w:tcPr>
            <w:tcW w:w="980" w:type="dxa"/>
            <w:tcBorders>
              <w:top w:val="nil"/>
              <w:left w:val="nil"/>
              <w:bottom w:val="single" w:sz="4" w:space="0" w:color="008000"/>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64,800</w:t>
            </w:r>
          </w:p>
        </w:tc>
        <w:tc>
          <w:tcPr>
            <w:tcW w:w="1009" w:type="dxa"/>
            <w:tcBorders>
              <w:top w:val="nil"/>
              <w:left w:val="nil"/>
              <w:bottom w:val="single" w:sz="4" w:space="0" w:color="008000"/>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41,100</w:t>
            </w:r>
          </w:p>
        </w:tc>
        <w:tc>
          <w:tcPr>
            <w:tcW w:w="1050" w:type="dxa"/>
            <w:tcBorders>
              <w:top w:val="nil"/>
              <w:left w:val="nil"/>
              <w:bottom w:val="single" w:sz="4" w:space="0" w:color="008000"/>
              <w:right w:val="nil"/>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75,500</w:t>
            </w:r>
          </w:p>
        </w:tc>
        <w:tc>
          <w:tcPr>
            <w:tcW w:w="980" w:type="dxa"/>
            <w:tcBorders>
              <w:top w:val="nil"/>
              <w:left w:val="nil"/>
              <w:bottom w:val="single" w:sz="4" w:space="0" w:color="008000"/>
              <w:right w:val="single" w:sz="4" w:space="0" w:color="008000"/>
            </w:tcBorders>
            <w:shd w:val="clear" w:color="000000" w:fill="FFFFE1"/>
            <w:noWrap/>
            <w:vAlign w:val="center"/>
            <w:hideMark/>
          </w:tcPr>
          <w:p w:rsidR="00302344" w:rsidRPr="00F40097" w:rsidRDefault="00302344" w:rsidP="007565F2">
            <w:pPr>
              <w:jc w:val="center"/>
              <w:rPr>
                <w:rFonts w:ascii="Arial" w:hAnsi="Arial" w:cs="Arial"/>
                <w:color w:val="000000"/>
                <w:sz w:val="16"/>
                <w:szCs w:val="16"/>
              </w:rPr>
            </w:pPr>
            <w:r w:rsidRPr="00F40097">
              <w:rPr>
                <w:rFonts w:ascii="Arial" w:hAnsi="Arial" w:cs="Arial"/>
                <w:color w:val="000000"/>
                <w:sz w:val="16"/>
                <w:szCs w:val="16"/>
              </w:rPr>
              <w:t>61,900</w:t>
            </w:r>
          </w:p>
        </w:tc>
      </w:tr>
      <w:tr w:rsidR="00302344" w:rsidRPr="00F40097" w:rsidTr="007565F2">
        <w:trPr>
          <w:trHeight w:val="300"/>
        </w:trPr>
        <w:tc>
          <w:tcPr>
            <w:tcW w:w="9660" w:type="dxa"/>
            <w:gridSpan w:val="10"/>
            <w:tcBorders>
              <w:top w:val="nil"/>
              <w:left w:val="single" w:sz="4" w:space="0" w:color="008000"/>
              <w:bottom w:val="nil"/>
              <w:right w:val="single" w:sz="4" w:space="0" w:color="008000"/>
            </w:tcBorders>
            <w:shd w:val="clear" w:color="000000" w:fill="FFFFE1"/>
            <w:vAlign w:val="center"/>
            <w:hideMark/>
          </w:tcPr>
          <w:p w:rsidR="00302344" w:rsidRPr="00F40097" w:rsidRDefault="00302344" w:rsidP="007565F2">
            <w:pPr>
              <w:jc w:val="both"/>
              <w:rPr>
                <w:rFonts w:ascii="Arial" w:hAnsi="Arial" w:cs="Arial"/>
                <w:color w:val="000000"/>
                <w:sz w:val="16"/>
                <w:szCs w:val="16"/>
              </w:rPr>
            </w:pPr>
            <w:r w:rsidRPr="00F40097">
              <w:rPr>
                <w:rFonts w:ascii="Arial" w:hAnsi="Arial" w:cs="Arial"/>
                <w:color w:val="000000"/>
                <w:sz w:val="16"/>
                <w:szCs w:val="16"/>
              </w:rPr>
              <w:t xml:space="preserve">* Values may not sum correctly to the total due to other types of manufactured housing units, such as two story units.  </w:t>
            </w:r>
          </w:p>
        </w:tc>
      </w:tr>
      <w:tr w:rsidR="00302344" w:rsidRPr="00F40097" w:rsidTr="007565F2">
        <w:trPr>
          <w:trHeight w:val="300"/>
        </w:trPr>
        <w:tc>
          <w:tcPr>
            <w:tcW w:w="9660" w:type="dxa"/>
            <w:gridSpan w:val="10"/>
            <w:tcBorders>
              <w:top w:val="nil"/>
              <w:left w:val="single" w:sz="4" w:space="0" w:color="008000"/>
              <w:bottom w:val="single" w:sz="4" w:space="0" w:color="008000"/>
              <w:right w:val="single" w:sz="4" w:space="0" w:color="008000"/>
            </w:tcBorders>
            <w:shd w:val="clear" w:color="000000" w:fill="FFFFE1"/>
            <w:vAlign w:val="center"/>
            <w:hideMark/>
          </w:tcPr>
          <w:p w:rsidR="00302344" w:rsidRPr="00F40097" w:rsidRDefault="00302344" w:rsidP="007565F2">
            <w:pPr>
              <w:jc w:val="both"/>
              <w:rPr>
                <w:rFonts w:ascii="Arial" w:hAnsi="Arial" w:cs="Arial"/>
                <w:color w:val="000000"/>
                <w:sz w:val="16"/>
                <w:szCs w:val="16"/>
              </w:rPr>
            </w:pPr>
            <w:r w:rsidRPr="00F40097">
              <w:rPr>
                <w:rFonts w:ascii="Arial" w:hAnsi="Arial" w:cs="Arial"/>
                <w:color w:val="000000"/>
                <w:sz w:val="16"/>
                <w:szCs w:val="16"/>
              </w:rPr>
              <w:t xml:space="preserve">(S) = Suppressed because estimate is based on fewer than five responses.  </w:t>
            </w:r>
          </w:p>
        </w:tc>
      </w:tr>
    </w:tbl>
    <w:p w:rsidR="003638B5" w:rsidRPr="006616A1" w:rsidRDefault="003638B5" w:rsidP="003638B5">
      <w:pPr>
        <w:pStyle w:val="BodyText"/>
        <w:tabs>
          <w:tab w:val="num" w:pos="360"/>
        </w:tabs>
        <w:rPr>
          <w:rFonts w:ascii="CG Omega" w:hAnsi="CG Omega"/>
          <w:sz w:val="26"/>
          <w:szCs w:val="26"/>
        </w:rPr>
      </w:pPr>
      <w:r w:rsidRPr="006616A1">
        <w:rPr>
          <w:rFonts w:ascii="CG Omega" w:hAnsi="CG Omega"/>
          <w:b/>
          <w:bCs/>
          <w:smallCaps/>
          <w:sz w:val="26"/>
          <w:szCs w:val="26"/>
        </w:rPr>
        <w:t xml:space="preserve">Housing </w:t>
      </w:r>
      <w:r w:rsidR="00C553A7" w:rsidRPr="006616A1">
        <w:rPr>
          <w:rFonts w:ascii="CG Omega" w:hAnsi="CG Omega"/>
          <w:b/>
          <w:bCs/>
          <w:smallCaps/>
          <w:sz w:val="26"/>
          <w:szCs w:val="26"/>
        </w:rPr>
        <w:t>Prices</w:t>
      </w:r>
    </w:p>
    <w:p w:rsidR="00C31654" w:rsidRPr="008C0D1A" w:rsidRDefault="00C31654" w:rsidP="00B27797">
      <w:pPr>
        <w:pStyle w:val="BodyText"/>
        <w:tabs>
          <w:tab w:val="num" w:pos="360"/>
        </w:tabs>
        <w:rPr>
          <w:rFonts w:ascii="CG Omega" w:hAnsi="CG Omega"/>
          <w:sz w:val="16"/>
          <w:szCs w:val="16"/>
        </w:rPr>
      </w:pPr>
    </w:p>
    <w:p w:rsidR="003922CA" w:rsidRDefault="003922CA" w:rsidP="003922CA">
      <w:pPr>
        <w:jc w:val="both"/>
        <w:rPr>
          <w:rFonts w:ascii="CG Omega" w:hAnsi="CG Omega"/>
          <w:bCs/>
        </w:rPr>
      </w:pPr>
      <w:r w:rsidRPr="00E150C3">
        <w:rPr>
          <w:rFonts w:ascii="CG Omega" w:hAnsi="CG Omega"/>
          <w:bCs/>
        </w:rPr>
        <w:t xml:space="preserve">The Census Bureau also reports the value of construction appearing on a building permit, excluding the cost of land and related land development.  As shown in </w:t>
      </w:r>
      <w:r w:rsidR="00EA4494" w:rsidRPr="005471FD">
        <w:rPr>
          <w:rFonts w:ascii="CG Omega" w:hAnsi="CG Omega"/>
          <w:b/>
          <w:bCs/>
        </w:rPr>
        <w:t>Diagram IV.5</w:t>
      </w:r>
      <w:r w:rsidRPr="00E150C3">
        <w:rPr>
          <w:rFonts w:ascii="CG Omega" w:hAnsi="CG Omega"/>
          <w:bCs/>
        </w:rPr>
        <w:t>,</w:t>
      </w:r>
      <w:r w:rsidR="00BA58E2">
        <w:rPr>
          <w:rFonts w:ascii="CG Omega" w:hAnsi="CG Omega"/>
          <w:bCs/>
        </w:rPr>
        <w:t xml:space="preserve"> below,</w:t>
      </w:r>
      <w:r w:rsidRPr="00E150C3">
        <w:rPr>
          <w:rFonts w:ascii="CG Omega" w:hAnsi="CG Omega"/>
          <w:bCs/>
        </w:rPr>
        <w:t xml:space="preserve"> the construction value of </w:t>
      </w:r>
      <w:r w:rsidR="00BB2854">
        <w:rPr>
          <w:rFonts w:ascii="CG Omega" w:hAnsi="CG Omega"/>
          <w:bCs/>
        </w:rPr>
        <w:t>single family</w:t>
      </w:r>
      <w:r w:rsidRPr="00E150C3">
        <w:rPr>
          <w:rFonts w:ascii="CG Omega" w:hAnsi="CG Omega"/>
          <w:bCs/>
        </w:rPr>
        <w:t xml:space="preserve"> dwellings generally increased from 1980 through 2012.  After dropping in 2008, values started to rise again in the past few years</w:t>
      </w:r>
      <w:r w:rsidR="00F171CC">
        <w:rPr>
          <w:rFonts w:ascii="CG Omega" w:hAnsi="CG Omega"/>
          <w:bCs/>
        </w:rPr>
        <w:t>, reaching almost $220,000 in 2012</w:t>
      </w:r>
      <w:r w:rsidRPr="00E150C3">
        <w:rPr>
          <w:rFonts w:ascii="CG Omega" w:hAnsi="CG Omega"/>
          <w:bCs/>
        </w:rPr>
        <w:t xml:space="preserve">. </w:t>
      </w:r>
    </w:p>
    <w:p w:rsidR="00BA58E2" w:rsidRPr="00BA58E2" w:rsidRDefault="00BA58E2" w:rsidP="003922CA">
      <w:pPr>
        <w:jc w:val="both"/>
        <w:rPr>
          <w:rFonts w:ascii="CG Omega" w:hAnsi="CG Omega"/>
          <w:bCs/>
          <w:sz w:val="16"/>
          <w:szCs w:val="16"/>
          <w:highlight w:val="yellow"/>
        </w:rPr>
      </w:pPr>
    </w:p>
    <w:tbl>
      <w:tblPr>
        <w:tblW w:w="6736" w:type="dxa"/>
        <w:jc w:val="center"/>
        <w:tblLook w:val="04A0" w:firstRow="1" w:lastRow="0" w:firstColumn="1" w:lastColumn="0" w:noHBand="0" w:noVBand="1"/>
      </w:tblPr>
      <w:tblGrid>
        <w:gridCol w:w="6736"/>
      </w:tblGrid>
      <w:tr w:rsidR="003922CA" w:rsidRPr="00E150C3" w:rsidTr="00815780">
        <w:trPr>
          <w:trHeight w:val="300"/>
          <w:jc w:val="center"/>
        </w:trPr>
        <w:tc>
          <w:tcPr>
            <w:tcW w:w="6736" w:type="dxa"/>
            <w:tcBorders>
              <w:top w:val="nil"/>
              <w:left w:val="nil"/>
              <w:bottom w:val="nil"/>
              <w:right w:val="nil"/>
            </w:tcBorders>
            <w:shd w:val="clear" w:color="auto" w:fill="auto"/>
            <w:noWrap/>
            <w:vAlign w:val="bottom"/>
            <w:hideMark/>
          </w:tcPr>
          <w:p w:rsidR="003922CA" w:rsidRPr="009B32C4" w:rsidRDefault="003922CA" w:rsidP="00815780">
            <w:pPr>
              <w:jc w:val="center"/>
              <w:rPr>
                <w:rFonts w:ascii="Arial" w:hAnsi="Arial" w:cs="Arial"/>
                <w:b/>
                <w:bCs/>
                <w:color w:val="000000"/>
                <w:sz w:val="22"/>
                <w:szCs w:val="22"/>
              </w:rPr>
            </w:pPr>
            <w:bookmarkStart w:id="72" w:name="_MON_1341911251"/>
            <w:bookmarkEnd w:id="72"/>
            <w:r w:rsidRPr="009B32C4">
              <w:rPr>
                <w:rFonts w:ascii="Arial" w:hAnsi="Arial" w:cs="Arial"/>
                <w:b/>
                <w:bCs/>
                <w:color w:val="000000"/>
                <w:sz w:val="22"/>
                <w:szCs w:val="22"/>
              </w:rPr>
              <w:t>Diagram</w:t>
            </w:r>
            <w:r w:rsidR="00B72905" w:rsidRPr="009B32C4">
              <w:rPr>
                <w:rFonts w:ascii="Arial" w:hAnsi="Arial" w:cs="Arial"/>
                <w:b/>
                <w:bCs/>
                <w:color w:val="000000"/>
                <w:sz w:val="22"/>
                <w:szCs w:val="22"/>
              </w:rPr>
              <w:t xml:space="preserve"> IV.</w:t>
            </w:r>
            <w:r w:rsidR="00EA4494">
              <w:rPr>
                <w:rFonts w:ascii="Arial" w:hAnsi="Arial" w:cs="Arial"/>
                <w:b/>
                <w:bCs/>
                <w:color w:val="000000"/>
                <w:sz w:val="22"/>
                <w:szCs w:val="22"/>
              </w:rPr>
              <w:t>5</w:t>
            </w:r>
          </w:p>
        </w:tc>
      </w:tr>
      <w:tr w:rsidR="003922CA" w:rsidRPr="00E150C3" w:rsidTr="00815780">
        <w:trPr>
          <w:trHeight w:val="117"/>
          <w:jc w:val="center"/>
        </w:trPr>
        <w:tc>
          <w:tcPr>
            <w:tcW w:w="6736" w:type="dxa"/>
            <w:tcBorders>
              <w:top w:val="nil"/>
              <w:left w:val="nil"/>
              <w:bottom w:val="nil"/>
              <w:right w:val="nil"/>
            </w:tcBorders>
            <w:shd w:val="clear" w:color="auto" w:fill="auto"/>
            <w:noWrap/>
            <w:vAlign w:val="bottom"/>
            <w:hideMark/>
          </w:tcPr>
          <w:p w:rsidR="003922CA" w:rsidRPr="00E150C3" w:rsidRDefault="003922CA" w:rsidP="00815780">
            <w:pPr>
              <w:jc w:val="center"/>
              <w:rPr>
                <w:rFonts w:ascii="Arial" w:hAnsi="Arial" w:cs="Arial"/>
                <w:b/>
                <w:bCs/>
                <w:color w:val="000000"/>
                <w:sz w:val="16"/>
                <w:szCs w:val="16"/>
              </w:rPr>
            </w:pPr>
            <w:r w:rsidRPr="00E150C3">
              <w:rPr>
                <w:rFonts w:ascii="Arial" w:hAnsi="Arial" w:cs="Arial"/>
                <w:b/>
                <w:bCs/>
                <w:color w:val="000000"/>
                <w:sz w:val="16"/>
                <w:szCs w:val="16"/>
              </w:rPr>
              <w:t xml:space="preserve">Real Value of </w:t>
            </w:r>
            <w:r w:rsidR="00BB2854">
              <w:rPr>
                <w:rFonts w:ascii="Arial" w:hAnsi="Arial" w:cs="Arial"/>
                <w:b/>
                <w:bCs/>
                <w:color w:val="000000"/>
                <w:sz w:val="16"/>
                <w:szCs w:val="16"/>
              </w:rPr>
              <w:t>Single family</w:t>
            </w:r>
            <w:r w:rsidRPr="00E150C3">
              <w:rPr>
                <w:rFonts w:ascii="Arial" w:hAnsi="Arial" w:cs="Arial"/>
                <w:b/>
                <w:bCs/>
                <w:color w:val="000000"/>
                <w:sz w:val="16"/>
                <w:szCs w:val="16"/>
              </w:rPr>
              <w:t xml:space="preserve"> Construction in New Mexico</w:t>
            </w:r>
          </w:p>
        </w:tc>
      </w:tr>
      <w:tr w:rsidR="003922CA" w:rsidRPr="00E150C3" w:rsidTr="00815780">
        <w:trPr>
          <w:trHeight w:val="90"/>
          <w:jc w:val="center"/>
        </w:trPr>
        <w:tc>
          <w:tcPr>
            <w:tcW w:w="6736" w:type="dxa"/>
            <w:tcBorders>
              <w:top w:val="nil"/>
              <w:left w:val="nil"/>
              <w:bottom w:val="nil"/>
              <w:right w:val="nil"/>
            </w:tcBorders>
            <w:shd w:val="clear" w:color="auto" w:fill="auto"/>
            <w:noWrap/>
            <w:vAlign w:val="bottom"/>
            <w:hideMark/>
          </w:tcPr>
          <w:p w:rsidR="003922CA" w:rsidRDefault="003922CA" w:rsidP="00815780">
            <w:pPr>
              <w:jc w:val="center"/>
              <w:rPr>
                <w:rFonts w:ascii="Arial" w:hAnsi="Arial" w:cs="Arial"/>
                <w:color w:val="000000"/>
                <w:sz w:val="16"/>
                <w:szCs w:val="16"/>
              </w:rPr>
            </w:pPr>
            <w:r w:rsidRPr="00E150C3">
              <w:rPr>
                <w:rFonts w:ascii="Arial" w:hAnsi="Arial" w:cs="Arial"/>
                <w:color w:val="000000"/>
                <w:sz w:val="16"/>
                <w:szCs w:val="16"/>
              </w:rPr>
              <w:t>State of New Mexico</w:t>
            </w:r>
          </w:p>
          <w:p w:rsidR="008D19B7" w:rsidRPr="00E150C3" w:rsidRDefault="008D19B7" w:rsidP="008D19B7">
            <w:pPr>
              <w:jc w:val="center"/>
              <w:rPr>
                <w:rFonts w:ascii="Arial" w:hAnsi="Arial" w:cs="Arial"/>
                <w:color w:val="000000"/>
                <w:sz w:val="16"/>
                <w:szCs w:val="16"/>
              </w:rPr>
            </w:pPr>
            <w:r>
              <w:rPr>
                <w:rFonts w:ascii="Arial" w:hAnsi="Arial" w:cs="Arial"/>
                <w:color w:val="000000"/>
                <w:sz w:val="16"/>
                <w:szCs w:val="16"/>
              </w:rPr>
              <w:t>Census Bureau Data, 1980–2012</w:t>
            </w:r>
          </w:p>
        </w:tc>
      </w:tr>
    </w:tbl>
    <w:p w:rsidR="003922CA" w:rsidRPr="00E150C3" w:rsidRDefault="003922CA" w:rsidP="003922CA">
      <w:pPr>
        <w:jc w:val="center"/>
        <w:rPr>
          <w:rFonts w:ascii="CG Omega" w:hAnsi="CG Omega"/>
          <w:bCs/>
          <w:szCs w:val="22"/>
          <w:highlight w:val="yellow"/>
        </w:rPr>
      </w:pPr>
      <w:r>
        <w:rPr>
          <w:noProof/>
        </w:rPr>
        <w:drawing>
          <wp:inline distT="0" distB="0" distL="0" distR="0" wp14:anchorId="42CC2511" wp14:editId="2CB6C928">
            <wp:extent cx="5486400" cy="2971800"/>
            <wp:effectExtent l="0" t="0" r="0" b="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3922CA" w:rsidRDefault="003922CA" w:rsidP="003922CA">
      <w:pPr>
        <w:pStyle w:val="BodyText"/>
        <w:tabs>
          <w:tab w:val="num" w:pos="360"/>
        </w:tabs>
        <w:rPr>
          <w:rFonts w:ascii="CG Omega" w:hAnsi="CG Omega"/>
          <w:highlight w:val="yellow"/>
        </w:rPr>
      </w:pPr>
      <w:r w:rsidRPr="006616A1">
        <w:rPr>
          <w:rFonts w:ascii="CG Omega" w:hAnsi="CG Omega"/>
        </w:rPr>
        <w:t xml:space="preserve">The distribution of housing values around the state of New Mexico as reported in the 2012 American Community Survey is presented in </w:t>
      </w:r>
      <w:r w:rsidRPr="00974E80">
        <w:rPr>
          <w:rFonts w:ascii="CG Omega" w:hAnsi="CG Omega"/>
          <w:b/>
        </w:rPr>
        <w:t>Map IV.1</w:t>
      </w:r>
      <w:r w:rsidR="002B5A6B">
        <w:rPr>
          <w:rFonts w:ascii="CG Omega" w:hAnsi="CG Omega"/>
        </w:rPr>
        <w:t>,</w:t>
      </w:r>
      <w:r w:rsidRPr="006616A1">
        <w:rPr>
          <w:rFonts w:ascii="CG Omega" w:hAnsi="CG Omega"/>
        </w:rPr>
        <w:t xml:space="preserve"> on the following page.  This map shows that the areas with the highest home values were in and near urban areas surround</w:t>
      </w:r>
      <w:r>
        <w:rPr>
          <w:rFonts w:ascii="CG Omega" w:hAnsi="CG Omega"/>
        </w:rPr>
        <w:t xml:space="preserve">ing Santa Fe and Albuquerque. </w:t>
      </w:r>
      <w:r w:rsidRPr="006616A1">
        <w:rPr>
          <w:rFonts w:ascii="CG Omega" w:hAnsi="CG Omega"/>
        </w:rPr>
        <w:t xml:space="preserve">In these areas, home values ranged from $498,700 to $831,900. Home values were largely above the statewide median of $161,500 in suburban and </w:t>
      </w:r>
      <w:r>
        <w:rPr>
          <w:rFonts w:ascii="CG Omega" w:hAnsi="CG Omega"/>
        </w:rPr>
        <w:t>rural areas near these</w:t>
      </w:r>
      <w:r w:rsidRPr="006616A1">
        <w:rPr>
          <w:rFonts w:ascii="CG Omega" w:hAnsi="CG Omega"/>
        </w:rPr>
        <w:t xml:space="preserve"> cities.</w:t>
      </w:r>
      <w:r>
        <w:rPr>
          <w:rFonts w:ascii="CG Omega" w:hAnsi="CG Omega"/>
        </w:rPr>
        <w:t xml:space="preserve"> In large, rural Census tracts away from the major cities, as well as in smaller cities throughout the state, median home values tended to be below the statewide median.</w:t>
      </w:r>
    </w:p>
    <w:p w:rsidR="00086CB5" w:rsidRPr="008C0D1A" w:rsidRDefault="00086CB5" w:rsidP="00181CE8">
      <w:pPr>
        <w:pStyle w:val="BodyText"/>
        <w:tabs>
          <w:tab w:val="num" w:pos="360"/>
        </w:tabs>
        <w:rPr>
          <w:rFonts w:ascii="CG Omega" w:hAnsi="CG Omega"/>
          <w:sz w:val="16"/>
          <w:szCs w:val="16"/>
          <w:highlight w:val="yellow"/>
        </w:rPr>
      </w:pPr>
    </w:p>
    <w:p w:rsidR="006028F7" w:rsidRPr="002065F3" w:rsidRDefault="005646C9" w:rsidP="00AB39EC">
      <w:pPr>
        <w:jc w:val="both"/>
        <w:rPr>
          <w:rFonts w:ascii="CG Omega" w:hAnsi="CG Omega" w:cs="Arial"/>
        </w:rPr>
      </w:pPr>
      <w:r w:rsidRPr="00974E80">
        <w:rPr>
          <w:rFonts w:ascii="CG Omega" w:hAnsi="CG Omega" w:cs="Arial"/>
          <w:b/>
        </w:rPr>
        <w:t>Map IV.</w:t>
      </w:r>
      <w:r w:rsidR="00B72905" w:rsidRPr="00974E80">
        <w:rPr>
          <w:rFonts w:ascii="CG Omega" w:hAnsi="CG Omega" w:cs="Arial"/>
          <w:b/>
        </w:rPr>
        <w:t>2</w:t>
      </w:r>
      <w:r w:rsidR="00EA4494">
        <w:rPr>
          <w:rFonts w:ascii="CG Omega" w:hAnsi="CG Omega" w:cs="Arial"/>
        </w:rPr>
        <w:t xml:space="preserve"> on page 63</w:t>
      </w:r>
      <w:r w:rsidRPr="002065F3">
        <w:rPr>
          <w:rFonts w:ascii="CG Omega" w:hAnsi="CG Omega" w:cs="Arial"/>
        </w:rPr>
        <w:t xml:space="preserve"> </w:t>
      </w:r>
      <w:r w:rsidR="006028F7" w:rsidRPr="002065F3">
        <w:rPr>
          <w:rFonts w:ascii="CG Omega" w:hAnsi="CG Omega" w:cs="Arial"/>
        </w:rPr>
        <w:t>illustrates data on median gross rent prices by census tract derived from 20</w:t>
      </w:r>
      <w:r w:rsidRPr="002065F3">
        <w:rPr>
          <w:rFonts w:ascii="CG Omega" w:hAnsi="CG Omega" w:cs="Arial"/>
        </w:rPr>
        <w:t>12 American Community Survey</w:t>
      </w:r>
      <w:r w:rsidR="006028F7" w:rsidRPr="002065F3">
        <w:rPr>
          <w:rFonts w:ascii="CG Omega" w:hAnsi="CG Omega" w:cs="Arial"/>
        </w:rPr>
        <w:t xml:space="preserve"> for the state of New Mexico. In this situation, gross rent refers to monthly contracted rental fees plus average monthly utility costs, which includes electricity, water and sewer services, and garbage removal.  Some similarities can be seen when comparing this map and the previous map regarding home values.  For example, the areas with the highest gross rent costs were in or near the major cities in the state, such as Albuquerque, Santa Fe and, to a lesser extent, Las Cruces. </w:t>
      </w:r>
    </w:p>
    <w:p w:rsidR="002065F3" w:rsidRDefault="002065F3" w:rsidP="00181CE8">
      <w:pPr>
        <w:pStyle w:val="BodyText"/>
        <w:tabs>
          <w:tab w:val="num" w:pos="360"/>
        </w:tabs>
        <w:rPr>
          <w:rFonts w:ascii="CG Omega" w:hAnsi="CG Omega"/>
          <w:highlight w:val="yellow"/>
        </w:rPr>
      </w:pPr>
    </w:p>
    <w:p w:rsidR="006028F7" w:rsidRPr="006028F7" w:rsidRDefault="006028F7" w:rsidP="006028F7">
      <w:pPr>
        <w:pStyle w:val="BodyText"/>
        <w:tabs>
          <w:tab w:val="num" w:pos="360"/>
        </w:tabs>
        <w:jc w:val="center"/>
        <w:rPr>
          <w:rFonts w:ascii="Arial" w:hAnsi="Arial" w:cs="Arial"/>
          <w:b/>
        </w:rPr>
      </w:pPr>
      <w:r w:rsidRPr="006028F7">
        <w:rPr>
          <w:rFonts w:ascii="Arial" w:hAnsi="Arial" w:cs="Arial"/>
          <w:b/>
        </w:rPr>
        <w:t>Map IV.1</w:t>
      </w:r>
    </w:p>
    <w:p w:rsidR="006028F7" w:rsidRPr="006028F7" w:rsidRDefault="006028F7" w:rsidP="006028F7">
      <w:pPr>
        <w:pStyle w:val="BodyText"/>
        <w:tabs>
          <w:tab w:val="num" w:pos="360"/>
        </w:tabs>
        <w:jc w:val="center"/>
        <w:rPr>
          <w:rFonts w:ascii="Arial" w:hAnsi="Arial" w:cs="Arial"/>
          <w:b/>
          <w:sz w:val="20"/>
        </w:rPr>
      </w:pPr>
      <w:r w:rsidRPr="006028F7">
        <w:rPr>
          <w:rFonts w:ascii="Arial" w:hAnsi="Arial" w:cs="Arial"/>
          <w:b/>
          <w:sz w:val="20"/>
        </w:rPr>
        <w:t>Median Home Value by Census Tract</w:t>
      </w:r>
    </w:p>
    <w:p w:rsidR="006028F7" w:rsidRPr="006028F7" w:rsidRDefault="006028F7" w:rsidP="006028F7">
      <w:pPr>
        <w:pStyle w:val="BodyText"/>
        <w:tabs>
          <w:tab w:val="num" w:pos="360"/>
        </w:tabs>
        <w:jc w:val="center"/>
        <w:rPr>
          <w:rFonts w:ascii="Arial" w:hAnsi="Arial" w:cs="Arial"/>
          <w:sz w:val="16"/>
          <w:szCs w:val="16"/>
        </w:rPr>
      </w:pPr>
      <w:r w:rsidRPr="006028F7">
        <w:rPr>
          <w:rFonts w:ascii="Arial" w:hAnsi="Arial" w:cs="Arial"/>
          <w:sz w:val="16"/>
          <w:szCs w:val="16"/>
        </w:rPr>
        <w:t>State of New Mexico</w:t>
      </w:r>
    </w:p>
    <w:p w:rsidR="006028F7" w:rsidRPr="006028F7" w:rsidRDefault="006028F7" w:rsidP="006028F7">
      <w:pPr>
        <w:pStyle w:val="BodyText"/>
        <w:tabs>
          <w:tab w:val="num" w:pos="360"/>
        </w:tabs>
        <w:jc w:val="center"/>
        <w:rPr>
          <w:rFonts w:ascii="Arial" w:hAnsi="Arial" w:cs="Arial"/>
          <w:sz w:val="16"/>
          <w:szCs w:val="16"/>
        </w:rPr>
      </w:pPr>
      <w:r w:rsidRPr="006028F7">
        <w:rPr>
          <w:rFonts w:ascii="Arial" w:hAnsi="Arial" w:cs="Arial"/>
          <w:sz w:val="16"/>
          <w:szCs w:val="16"/>
        </w:rPr>
        <w:t>2012 Five-Year ACS</w:t>
      </w:r>
    </w:p>
    <w:p w:rsidR="00086CB5" w:rsidRPr="00955C8C" w:rsidRDefault="006028F7" w:rsidP="006028F7">
      <w:pPr>
        <w:pStyle w:val="BodyText"/>
        <w:tabs>
          <w:tab w:val="num" w:pos="360"/>
        </w:tabs>
        <w:jc w:val="center"/>
        <w:rPr>
          <w:rFonts w:ascii="CG Omega" w:hAnsi="CG Omega"/>
          <w:highlight w:val="yellow"/>
        </w:rPr>
      </w:pPr>
      <w:r>
        <w:rPr>
          <w:noProof/>
        </w:rPr>
        <w:drawing>
          <wp:inline distT="0" distB="0" distL="0" distR="0" wp14:anchorId="7B4FBE0C" wp14:editId="3D3ACD3E">
            <wp:extent cx="5267325" cy="7000875"/>
            <wp:effectExtent l="0" t="0" r="9525" b="9525"/>
            <wp:docPr id="1" name="Picture 1" descr="N:\NMMFA03\Figures\Consolidated Plan\NMMFA03_2012_MedHomeVal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NMMFA03\Figures\Consolidated Plan\NMMFA03_2012_MedHomeValues.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5297" t="4461" r="5939" b="4461"/>
                    <a:stretch/>
                  </pic:blipFill>
                  <pic:spPr bwMode="auto">
                    <a:xfrm>
                      <a:off x="0" y="0"/>
                      <a:ext cx="5267325" cy="7000875"/>
                    </a:xfrm>
                    <a:prstGeom prst="rect">
                      <a:avLst/>
                    </a:prstGeom>
                    <a:noFill/>
                    <a:ln>
                      <a:noFill/>
                    </a:ln>
                    <a:extLst>
                      <a:ext uri="{53640926-AAD7-44D8-BBD7-CCE9431645EC}">
                        <a14:shadowObscured xmlns:a14="http://schemas.microsoft.com/office/drawing/2010/main"/>
                      </a:ext>
                    </a:extLst>
                  </pic:spPr>
                </pic:pic>
              </a:graphicData>
            </a:graphic>
          </wp:inline>
        </w:drawing>
      </w:r>
    </w:p>
    <w:p w:rsidR="006028F7" w:rsidRDefault="006028F7" w:rsidP="00292471">
      <w:pPr>
        <w:jc w:val="both"/>
        <w:rPr>
          <w:rFonts w:ascii="CG Omega" w:hAnsi="CG Omega"/>
          <w:highlight w:val="yellow"/>
        </w:rPr>
      </w:pPr>
    </w:p>
    <w:p w:rsidR="002065F3" w:rsidRDefault="002065F3" w:rsidP="006028F7">
      <w:pPr>
        <w:pStyle w:val="BodyText"/>
        <w:tabs>
          <w:tab w:val="num" w:pos="360"/>
        </w:tabs>
        <w:jc w:val="center"/>
        <w:rPr>
          <w:rFonts w:ascii="Arial" w:hAnsi="Arial" w:cs="Arial"/>
          <w:b/>
        </w:rPr>
      </w:pPr>
    </w:p>
    <w:p w:rsidR="006028F7" w:rsidRPr="006028F7" w:rsidRDefault="006028F7" w:rsidP="006028F7">
      <w:pPr>
        <w:pStyle w:val="BodyText"/>
        <w:tabs>
          <w:tab w:val="num" w:pos="360"/>
        </w:tabs>
        <w:jc w:val="center"/>
        <w:rPr>
          <w:rFonts w:ascii="Arial" w:hAnsi="Arial" w:cs="Arial"/>
          <w:b/>
        </w:rPr>
      </w:pPr>
      <w:r>
        <w:rPr>
          <w:rFonts w:ascii="Arial" w:hAnsi="Arial" w:cs="Arial"/>
          <w:b/>
        </w:rPr>
        <w:t>Map IV.</w:t>
      </w:r>
      <w:r w:rsidR="00B72905">
        <w:rPr>
          <w:rFonts w:ascii="Arial" w:hAnsi="Arial" w:cs="Arial"/>
          <w:b/>
        </w:rPr>
        <w:t>2</w:t>
      </w:r>
    </w:p>
    <w:p w:rsidR="006028F7" w:rsidRPr="006028F7" w:rsidRDefault="006028F7" w:rsidP="006028F7">
      <w:pPr>
        <w:pStyle w:val="BodyText"/>
        <w:tabs>
          <w:tab w:val="num" w:pos="360"/>
        </w:tabs>
        <w:jc w:val="center"/>
        <w:rPr>
          <w:rFonts w:ascii="Arial" w:hAnsi="Arial" w:cs="Arial"/>
          <w:b/>
          <w:sz w:val="20"/>
        </w:rPr>
      </w:pPr>
      <w:r>
        <w:rPr>
          <w:rFonts w:ascii="Arial" w:hAnsi="Arial" w:cs="Arial"/>
          <w:b/>
          <w:sz w:val="20"/>
        </w:rPr>
        <w:t>Median Contract Rent</w:t>
      </w:r>
      <w:r w:rsidRPr="006028F7">
        <w:rPr>
          <w:rFonts w:ascii="Arial" w:hAnsi="Arial" w:cs="Arial"/>
          <w:b/>
          <w:sz w:val="20"/>
        </w:rPr>
        <w:t xml:space="preserve"> by Census Tract</w:t>
      </w:r>
    </w:p>
    <w:p w:rsidR="006028F7" w:rsidRPr="006028F7" w:rsidRDefault="006028F7" w:rsidP="006028F7">
      <w:pPr>
        <w:pStyle w:val="BodyText"/>
        <w:tabs>
          <w:tab w:val="num" w:pos="360"/>
        </w:tabs>
        <w:jc w:val="center"/>
        <w:rPr>
          <w:rFonts w:ascii="Arial" w:hAnsi="Arial" w:cs="Arial"/>
          <w:sz w:val="16"/>
          <w:szCs w:val="16"/>
        </w:rPr>
      </w:pPr>
      <w:r w:rsidRPr="006028F7">
        <w:rPr>
          <w:rFonts w:ascii="Arial" w:hAnsi="Arial" w:cs="Arial"/>
          <w:sz w:val="16"/>
          <w:szCs w:val="16"/>
        </w:rPr>
        <w:t>State of New Mexico</w:t>
      </w:r>
    </w:p>
    <w:p w:rsidR="006028F7" w:rsidRPr="006028F7" w:rsidRDefault="006028F7" w:rsidP="006028F7">
      <w:pPr>
        <w:pStyle w:val="BodyText"/>
        <w:tabs>
          <w:tab w:val="num" w:pos="360"/>
        </w:tabs>
        <w:jc w:val="center"/>
        <w:rPr>
          <w:rFonts w:ascii="Arial" w:hAnsi="Arial" w:cs="Arial"/>
          <w:sz w:val="16"/>
          <w:szCs w:val="16"/>
        </w:rPr>
      </w:pPr>
      <w:r w:rsidRPr="006028F7">
        <w:rPr>
          <w:rFonts w:ascii="Arial" w:hAnsi="Arial" w:cs="Arial"/>
          <w:sz w:val="16"/>
          <w:szCs w:val="16"/>
        </w:rPr>
        <w:t>2012 Five-Year ACS</w:t>
      </w:r>
    </w:p>
    <w:p w:rsidR="00924B88" w:rsidRDefault="006028F7" w:rsidP="006028F7">
      <w:pPr>
        <w:jc w:val="center"/>
        <w:rPr>
          <w:rFonts w:ascii="CG Omega" w:hAnsi="CG Omega"/>
          <w:highlight w:val="yellow"/>
        </w:rPr>
      </w:pPr>
      <w:r>
        <w:rPr>
          <w:noProof/>
        </w:rPr>
        <w:drawing>
          <wp:inline distT="0" distB="0" distL="0" distR="0" wp14:anchorId="13E0992B" wp14:editId="2A60D1B3">
            <wp:extent cx="5267325" cy="7000875"/>
            <wp:effectExtent l="0" t="0" r="9525" b="9525"/>
            <wp:docPr id="15" name="Picture 15" descr="N:\NMMFA03\Figures\Consolidated Plan\NMMFA03_2012_MedContR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NMMFA03\Figures\Consolidated Plan\NMMFA03_2012_MedContRent.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5297" t="4461" r="5939" b="4461"/>
                    <a:stretch/>
                  </pic:blipFill>
                  <pic:spPr bwMode="auto">
                    <a:xfrm>
                      <a:off x="0" y="0"/>
                      <a:ext cx="5267325" cy="7000875"/>
                    </a:xfrm>
                    <a:prstGeom prst="rect">
                      <a:avLst/>
                    </a:prstGeom>
                    <a:noFill/>
                    <a:ln>
                      <a:noFill/>
                    </a:ln>
                    <a:extLst>
                      <a:ext uri="{53640926-AAD7-44D8-BBD7-CCE9431645EC}">
                        <a14:shadowObscured xmlns:a14="http://schemas.microsoft.com/office/drawing/2010/main"/>
                      </a:ext>
                    </a:extLst>
                  </pic:spPr>
                </pic:pic>
              </a:graphicData>
            </a:graphic>
          </wp:inline>
        </w:drawing>
      </w:r>
    </w:p>
    <w:p w:rsidR="006028F7" w:rsidRPr="00955C8C" w:rsidRDefault="006028F7" w:rsidP="00292471">
      <w:pPr>
        <w:jc w:val="both"/>
        <w:rPr>
          <w:rFonts w:ascii="CG Omega" w:hAnsi="CG Omega"/>
          <w:highlight w:val="yellow"/>
        </w:rPr>
      </w:pPr>
    </w:p>
    <w:tbl>
      <w:tblPr>
        <w:tblpPr w:leftFromText="180" w:rightFromText="180" w:vertAnchor="text" w:horzAnchor="margin" w:tblpXSpec="right" w:tblpY="1"/>
        <w:tblOverlap w:val="never"/>
        <w:tblW w:w="5417" w:type="dxa"/>
        <w:tblLook w:val="04A0" w:firstRow="1" w:lastRow="0" w:firstColumn="1" w:lastColumn="0" w:noHBand="0" w:noVBand="1"/>
      </w:tblPr>
      <w:tblGrid>
        <w:gridCol w:w="1782"/>
        <w:gridCol w:w="1898"/>
        <w:gridCol w:w="1737"/>
      </w:tblGrid>
      <w:tr w:rsidR="006C639D" w:rsidRPr="00AF0F26" w:rsidTr="00815780">
        <w:trPr>
          <w:trHeight w:val="216"/>
        </w:trPr>
        <w:tc>
          <w:tcPr>
            <w:tcW w:w="5417" w:type="dxa"/>
            <w:gridSpan w:val="3"/>
            <w:shd w:val="clear" w:color="000000" w:fill="auto"/>
            <w:noWrap/>
            <w:vAlign w:val="center"/>
            <w:hideMark/>
          </w:tcPr>
          <w:p w:rsidR="006C639D" w:rsidRPr="006C639D" w:rsidRDefault="006C639D" w:rsidP="006C639D">
            <w:pPr>
              <w:pStyle w:val="Caption"/>
              <w:spacing w:after="0"/>
              <w:jc w:val="center"/>
              <w:rPr>
                <w:rFonts w:ascii="Arial" w:hAnsi="Arial" w:cs="Arial"/>
                <w:sz w:val="24"/>
                <w:szCs w:val="24"/>
              </w:rPr>
            </w:pPr>
            <w:r w:rsidRPr="006C639D">
              <w:rPr>
                <w:rFonts w:ascii="Arial" w:hAnsi="Arial" w:cs="Arial"/>
                <w:sz w:val="24"/>
                <w:szCs w:val="24"/>
              </w:rPr>
              <w:t>Table I</w:t>
            </w:r>
            <w:r w:rsidR="005B00C5">
              <w:rPr>
                <w:rFonts w:ascii="Arial" w:hAnsi="Arial" w:cs="Arial"/>
                <w:sz w:val="24"/>
                <w:szCs w:val="24"/>
              </w:rPr>
              <w:t>V.</w:t>
            </w:r>
            <w:r w:rsidR="00321774">
              <w:rPr>
                <w:rFonts w:ascii="Arial" w:hAnsi="Arial" w:cs="Arial"/>
                <w:sz w:val="24"/>
                <w:szCs w:val="24"/>
              </w:rPr>
              <w:t>7</w:t>
            </w:r>
          </w:p>
          <w:p w:rsidR="006C639D" w:rsidRPr="00AF0F26" w:rsidRDefault="006C639D" w:rsidP="00815780">
            <w:pPr>
              <w:pStyle w:val="ObjectSubtitle"/>
            </w:pPr>
            <w:r w:rsidRPr="00AF0F26">
              <w:t>Median Housing Costs</w:t>
            </w:r>
          </w:p>
          <w:p w:rsidR="006C639D" w:rsidRPr="00751D0F" w:rsidRDefault="006C639D" w:rsidP="00815780">
            <w:pPr>
              <w:pStyle w:val="ObjectAreaData"/>
            </w:pPr>
            <w:r w:rsidRPr="00550301">
              <w:rPr>
                <w:noProof/>
              </w:rPr>
              <w:t>State of New Mexico</w:t>
            </w:r>
          </w:p>
          <w:p w:rsidR="006C639D" w:rsidRPr="00AF0F26" w:rsidRDefault="006C639D" w:rsidP="00815780">
            <w:pPr>
              <w:pStyle w:val="ObjectAreaData"/>
              <w:rPr>
                <w:b/>
                <w:bCs/>
              </w:rPr>
            </w:pPr>
            <w:r w:rsidRPr="00AF0F26">
              <w:t xml:space="preserve">2000 Census SF3 &amp; </w:t>
            </w:r>
            <w:r>
              <w:t>2012 Five</w:t>
            </w:r>
            <w:r w:rsidRPr="00AF0F26">
              <w:t>-Year ACS Data</w:t>
            </w:r>
          </w:p>
        </w:tc>
      </w:tr>
      <w:tr w:rsidR="006C639D" w:rsidRPr="002E5098" w:rsidTr="00815780">
        <w:trPr>
          <w:trHeight w:val="216"/>
        </w:trPr>
        <w:tc>
          <w:tcPr>
            <w:tcW w:w="1782" w:type="dxa"/>
            <w:tcBorders>
              <w:top w:val="single" w:sz="4" w:space="0" w:color="009900"/>
              <w:left w:val="single" w:sz="4" w:space="0" w:color="009900"/>
              <w:bottom w:val="single" w:sz="4" w:space="0" w:color="009900"/>
              <w:right w:val="nil"/>
            </w:tcBorders>
            <w:shd w:val="clear" w:color="000000" w:fill="FFFFE1"/>
            <w:noWrap/>
            <w:vAlign w:val="center"/>
            <w:hideMark/>
          </w:tcPr>
          <w:p w:rsidR="006C639D" w:rsidRPr="002E5098" w:rsidRDefault="006C639D" w:rsidP="00815780">
            <w:pPr>
              <w:pStyle w:val="ObjectAreaData"/>
              <w:jc w:val="left"/>
              <w:rPr>
                <w:b/>
              </w:rPr>
            </w:pPr>
            <w:r w:rsidRPr="002E5098">
              <w:rPr>
                <w:b/>
              </w:rPr>
              <w:t>Housing Cost</w:t>
            </w:r>
          </w:p>
        </w:tc>
        <w:tc>
          <w:tcPr>
            <w:tcW w:w="1898" w:type="dxa"/>
            <w:tcBorders>
              <w:top w:val="single" w:sz="4" w:space="0" w:color="009900"/>
              <w:left w:val="nil"/>
              <w:bottom w:val="single" w:sz="4" w:space="0" w:color="009900"/>
              <w:right w:val="nil"/>
            </w:tcBorders>
            <w:shd w:val="clear" w:color="000000" w:fill="FFFFE1"/>
            <w:vAlign w:val="center"/>
            <w:hideMark/>
          </w:tcPr>
          <w:p w:rsidR="006C639D" w:rsidRPr="002E5098" w:rsidRDefault="006C639D" w:rsidP="00815780">
            <w:pPr>
              <w:pStyle w:val="ObjectAreaData"/>
              <w:rPr>
                <w:b/>
              </w:rPr>
            </w:pPr>
            <w:r w:rsidRPr="002E5098">
              <w:rPr>
                <w:b/>
              </w:rPr>
              <w:t>2000</w:t>
            </w:r>
          </w:p>
        </w:tc>
        <w:tc>
          <w:tcPr>
            <w:tcW w:w="1737" w:type="dxa"/>
            <w:tcBorders>
              <w:top w:val="single" w:sz="4" w:space="0" w:color="009900"/>
              <w:left w:val="nil"/>
              <w:bottom w:val="single" w:sz="4" w:space="0" w:color="009900"/>
              <w:right w:val="single" w:sz="4" w:space="0" w:color="009900"/>
            </w:tcBorders>
            <w:shd w:val="clear" w:color="000000" w:fill="FFFFE1"/>
            <w:vAlign w:val="center"/>
            <w:hideMark/>
          </w:tcPr>
          <w:p w:rsidR="006C639D" w:rsidRPr="002E5098" w:rsidRDefault="006C639D" w:rsidP="00815780">
            <w:pPr>
              <w:pStyle w:val="ObjectAreaData"/>
              <w:rPr>
                <w:b/>
              </w:rPr>
            </w:pPr>
            <w:r w:rsidRPr="002E5098">
              <w:rPr>
                <w:b/>
              </w:rPr>
              <w:t>2010</w:t>
            </w:r>
          </w:p>
        </w:tc>
      </w:tr>
      <w:tr w:rsidR="006C639D" w:rsidRPr="00AF0F26" w:rsidTr="00815780">
        <w:trPr>
          <w:trHeight w:val="216"/>
        </w:trPr>
        <w:tc>
          <w:tcPr>
            <w:tcW w:w="1782" w:type="dxa"/>
            <w:tcBorders>
              <w:top w:val="nil"/>
              <w:left w:val="single" w:sz="4" w:space="0" w:color="009900"/>
              <w:bottom w:val="nil"/>
              <w:right w:val="nil"/>
            </w:tcBorders>
            <w:shd w:val="clear" w:color="000000" w:fill="FFFFE1"/>
            <w:noWrap/>
            <w:vAlign w:val="center"/>
            <w:hideMark/>
          </w:tcPr>
          <w:p w:rsidR="006C639D" w:rsidRPr="00AF0F26" w:rsidRDefault="006C639D" w:rsidP="00815780">
            <w:pPr>
              <w:pStyle w:val="ObjectAreaData"/>
              <w:jc w:val="left"/>
            </w:pPr>
            <w:r w:rsidRPr="00AF0F26">
              <w:t xml:space="preserve">Median </w:t>
            </w:r>
            <w:r>
              <w:t>Contract</w:t>
            </w:r>
            <w:r w:rsidRPr="00AF0F26">
              <w:t xml:space="preserve"> Rent</w:t>
            </w:r>
          </w:p>
        </w:tc>
        <w:tc>
          <w:tcPr>
            <w:tcW w:w="1898" w:type="dxa"/>
            <w:tcBorders>
              <w:top w:val="nil"/>
              <w:left w:val="nil"/>
              <w:bottom w:val="nil"/>
              <w:right w:val="nil"/>
            </w:tcBorders>
            <w:shd w:val="clear" w:color="000000" w:fill="FFFFE1"/>
            <w:noWrap/>
            <w:vAlign w:val="center"/>
            <w:hideMark/>
          </w:tcPr>
          <w:p w:rsidR="006C639D" w:rsidRPr="00AF0F26" w:rsidRDefault="006C639D" w:rsidP="00815780">
            <w:pPr>
              <w:pStyle w:val="ObjectAreaData"/>
              <w:rPr>
                <w:rFonts w:cs="Arial"/>
                <w:szCs w:val="16"/>
              </w:rPr>
            </w:pPr>
            <w:r w:rsidRPr="00AF0F26">
              <w:rPr>
                <w:rFonts w:cs="Arial"/>
                <w:szCs w:val="16"/>
              </w:rPr>
              <w:t>$</w:t>
            </w:r>
            <w:r w:rsidRPr="00550301">
              <w:rPr>
                <w:noProof/>
              </w:rPr>
              <w:t>503</w:t>
            </w:r>
          </w:p>
        </w:tc>
        <w:tc>
          <w:tcPr>
            <w:tcW w:w="1737" w:type="dxa"/>
            <w:tcBorders>
              <w:top w:val="nil"/>
              <w:left w:val="nil"/>
              <w:bottom w:val="nil"/>
              <w:right w:val="single" w:sz="4" w:space="0" w:color="009900"/>
            </w:tcBorders>
            <w:shd w:val="clear" w:color="000000" w:fill="FFFFE1"/>
            <w:noWrap/>
            <w:vAlign w:val="center"/>
            <w:hideMark/>
          </w:tcPr>
          <w:p w:rsidR="006C639D" w:rsidRPr="00AF0F26" w:rsidRDefault="006C639D" w:rsidP="00815780">
            <w:pPr>
              <w:pStyle w:val="ObjectAreaData"/>
              <w:rPr>
                <w:rFonts w:cs="Arial"/>
                <w:szCs w:val="16"/>
              </w:rPr>
            </w:pPr>
            <w:r w:rsidRPr="00AF0F26">
              <w:rPr>
                <w:rFonts w:cs="Arial"/>
                <w:szCs w:val="16"/>
              </w:rPr>
              <w:t>$</w:t>
            </w:r>
            <w:r w:rsidRPr="00261FA5">
              <w:rPr>
                <w:rFonts w:cs="Arial"/>
                <w:noProof/>
                <w:szCs w:val="16"/>
              </w:rPr>
              <w:t>616</w:t>
            </w:r>
          </w:p>
        </w:tc>
      </w:tr>
      <w:tr w:rsidR="006C639D" w:rsidRPr="00AF0F26" w:rsidTr="00815780">
        <w:trPr>
          <w:trHeight w:val="216"/>
        </w:trPr>
        <w:tc>
          <w:tcPr>
            <w:tcW w:w="1782" w:type="dxa"/>
            <w:tcBorders>
              <w:top w:val="nil"/>
              <w:left w:val="single" w:sz="4" w:space="0" w:color="009900"/>
              <w:bottom w:val="single" w:sz="4" w:space="0" w:color="009900"/>
              <w:right w:val="nil"/>
            </w:tcBorders>
            <w:shd w:val="clear" w:color="000000" w:fill="FFFFE1"/>
            <w:noWrap/>
            <w:vAlign w:val="center"/>
            <w:hideMark/>
          </w:tcPr>
          <w:p w:rsidR="006C639D" w:rsidRPr="00AF0F26" w:rsidRDefault="006C639D" w:rsidP="00815780">
            <w:pPr>
              <w:pStyle w:val="ObjectAreaData"/>
              <w:jc w:val="left"/>
            </w:pPr>
            <w:r w:rsidRPr="00AF0F26">
              <w:t>Median Home Value</w:t>
            </w:r>
          </w:p>
        </w:tc>
        <w:tc>
          <w:tcPr>
            <w:tcW w:w="1898" w:type="dxa"/>
            <w:tcBorders>
              <w:top w:val="nil"/>
              <w:left w:val="nil"/>
              <w:bottom w:val="single" w:sz="4" w:space="0" w:color="009900"/>
              <w:right w:val="nil"/>
            </w:tcBorders>
            <w:shd w:val="clear" w:color="000000" w:fill="FFFFE1"/>
            <w:noWrap/>
            <w:vAlign w:val="center"/>
            <w:hideMark/>
          </w:tcPr>
          <w:p w:rsidR="006C639D" w:rsidRPr="00AF0F26" w:rsidRDefault="006C639D" w:rsidP="00815780">
            <w:pPr>
              <w:pStyle w:val="ObjectAreaData"/>
              <w:rPr>
                <w:rFonts w:cs="Arial"/>
                <w:szCs w:val="16"/>
              </w:rPr>
            </w:pPr>
            <w:r w:rsidRPr="00AF0F26">
              <w:rPr>
                <w:rFonts w:cs="Arial"/>
                <w:szCs w:val="16"/>
              </w:rPr>
              <w:t>$</w:t>
            </w:r>
            <w:r w:rsidRPr="00550301">
              <w:rPr>
                <w:noProof/>
              </w:rPr>
              <w:t>108,100</w:t>
            </w:r>
          </w:p>
        </w:tc>
        <w:tc>
          <w:tcPr>
            <w:tcW w:w="1737" w:type="dxa"/>
            <w:tcBorders>
              <w:top w:val="nil"/>
              <w:left w:val="nil"/>
              <w:bottom w:val="single" w:sz="4" w:space="0" w:color="009900"/>
              <w:right w:val="single" w:sz="4" w:space="0" w:color="009900"/>
            </w:tcBorders>
            <w:shd w:val="clear" w:color="000000" w:fill="FFFFE1"/>
            <w:noWrap/>
            <w:vAlign w:val="center"/>
            <w:hideMark/>
          </w:tcPr>
          <w:p w:rsidR="006C639D" w:rsidRPr="00AF0F26" w:rsidRDefault="006C639D" w:rsidP="00815780">
            <w:pPr>
              <w:pStyle w:val="ObjectAreaData"/>
              <w:rPr>
                <w:rFonts w:cs="Arial"/>
                <w:szCs w:val="16"/>
              </w:rPr>
            </w:pPr>
            <w:r w:rsidRPr="00AF0F26">
              <w:rPr>
                <w:rFonts w:cs="Arial"/>
                <w:szCs w:val="16"/>
              </w:rPr>
              <w:t>$</w:t>
            </w:r>
            <w:r w:rsidRPr="00261FA5">
              <w:rPr>
                <w:rFonts w:cs="Arial"/>
                <w:noProof/>
                <w:szCs w:val="16"/>
              </w:rPr>
              <w:t>161,500</w:t>
            </w:r>
          </w:p>
        </w:tc>
      </w:tr>
    </w:tbl>
    <w:p w:rsidR="006C639D" w:rsidRPr="00C5157E" w:rsidRDefault="006C639D" w:rsidP="006C639D">
      <w:pPr>
        <w:jc w:val="both"/>
        <w:rPr>
          <w:rFonts w:ascii="CG Omega" w:hAnsi="CG Omega"/>
        </w:rPr>
      </w:pPr>
      <w:r w:rsidRPr="00C5157E">
        <w:rPr>
          <w:rFonts w:ascii="CG Omega" w:hAnsi="CG Omega"/>
        </w:rPr>
        <w:t xml:space="preserve">As seen in </w:t>
      </w:r>
      <w:r w:rsidRPr="005471FD">
        <w:rPr>
          <w:rFonts w:ascii="CG Omega" w:hAnsi="CG Omega"/>
          <w:b/>
        </w:rPr>
        <w:t>Table</w:t>
      </w:r>
      <w:r w:rsidR="00B72905" w:rsidRPr="005471FD">
        <w:rPr>
          <w:rFonts w:ascii="CG Omega" w:hAnsi="CG Omega"/>
          <w:b/>
        </w:rPr>
        <w:t xml:space="preserve"> IV.</w:t>
      </w:r>
      <w:r w:rsidR="00321774" w:rsidRPr="005471FD">
        <w:rPr>
          <w:rFonts w:ascii="CG Omega" w:hAnsi="CG Omega"/>
          <w:b/>
        </w:rPr>
        <w:t>7</w:t>
      </w:r>
      <w:r w:rsidRPr="00B72905">
        <w:rPr>
          <w:rFonts w:ascii="CG Omega" w:hAnsi="CG Omega"/>
        </w:rPr>
        <w:t>,</w:t>
      </w:r>
      <w:r w:rsidR="00BA58E2">
        <w:rPr>
          <w:rFonts w:ascii="CG Omega" w:hAnsi="CG Omega"/>
        </w:rPr>
        <w:t xml:space="preserve"> at right,</w:t>
      </w:r>
      <w:r w:rsidRPr="00C5157E">
        <w:rPr>
          <w:rFonts w:ascii="CG Omega" w:hAnsi="CG Omega"/>
        </w:rPr>
        <w:t xml:space="preserve"> the median rent in 2010 was $616, compared to median rent in 2000 at $503.  The median home value in 2010 was $161,500, compared to the median home value in 2000 at $108,100.</w:t>
      </w:r>
    </w:p>
    <w:p w:rsidR="006C639D" w:rsidRPr="009B32C4" w:rsidRDefault="006C639D" w:rsidP="006C639D">
      <w:pPr>
        <w:jc w:val="both"/>
        <w:rPr>
          <w:rFonts w:ascii="CG Omega" w:hAnsi="CG Omega"/>
          <w:b/>
          <w:bCs/>
          <w:smallCaps/>
          <w:sz w:val="16"/>
          <w:szCs w:val="16"/>
          <w:highlight w:val="yellow"/>
        </w:rPr>
      </w:pPr>
    </w:p>
    <w:p w:rsidR="006C639D" w:rsidRDefault="006C639D" w:rsidP="006C639D">
      <w:pPr>
        <w:pStyle w:val="BodyText"/>
        <w:rPr>
          <w:rFonts w:ascii="CG Omega" w:hAnsi="CG Omega"/>
        </w:rPr>
      </w:pPr>
      <w:r w:rsidRPr="00740E06">
        <w:rPr>
          <w:rFonts w:ascii="CG Omega" w:hAnsi="CG Omega"/>
        </w:rPr>
        <w:t xml:space="preserve">Another indicator of housing cost was provided by the Federal Housing Finance Agency (FHFA). The FHFA, the regulatory agency for Fannie Mae and Freddie Mac, tracks average housing price changes for </w:t>
      </w:r>
      <w:r w:rsidR="00BB2854">
        <w:rPr>
          <w:rFonts w:ascii="CG Omega" w:hAnsi="CG Omega"/>
        </w:rPr>
        <w:t>single family</w:t>
      </w:r>
      <w:r w:rsidRPr="00740E06">
        <w:rPr>
          <w:rFonts w:ascii="CG Omega" w:hAnsi="CG Omega"/>
        </w:rPr>
        <w:t xml:space="preserve"> homes and publishes a Housing Price Index (HPI) reflecting price movements on a quarterly basis. This index is a weighted repeat sales index, meaning that it measures average price changes in repeat sales or refinancing on the same properties. This information was obtained by reviewing repeat mortgage transactions on </w:t>
      </w:r>
      <w:r w:rsidR="00BB2854">
        <w:rPr>
          <w:rFonts w:ascii="CG Omega" w:hAnsi="CG Omega"/>
        </w:rPr>
        <w:t>single family</w:t>
      </w:r>
      <w:r w:rsidRPr="00740E06">
        <w:rPr>
          <w:rFonts w:ascii="CG Omega" w:hAnsi="CG Omega"/>
        </w:rPr>
        <w:t xml:space="preserve"> properties whose mortgages have been purchased or securitized by Fannie Mae or Freddie Mac since January 1975.</w:t>
      </w:r>
      <w:r w:rsidRPr="00740E06">
        <w:rPr>
          <w:rStyle w:val="FootnoteReference"/>
          <w:rFonts w:ascii="CG Omega" w:hAnsi="CG Omega" w:cs="Arial"/>
          <w:sz w:val="20"/>
        </w:rPr>
        <w:footnoteReference w:id="13"/>
      </w:r>
      <w:r w:rsidRPr="00740E06">
        <w:rPr>
          <w:rFonts w:ascii="CG Omega" w:hAnsi="CG Omega"/>
        </w:rPr>
        <w:t xml:space="preserve"> </w:t>
      </w:r>
      <w:r w:rsidRPr="009B32C4">
        <w:rPr>
          <w:rFonts w:ascii="CG Omega" w:hAnsi="CG Omega"/>
        </w:rPr>
        <w:t>There are over 31 million repeat transactions</w:t>
      </w:r>
      <w:r w:rsidRPr="00D02980">
        <w:rPr>
          <w:rFonts w:ascii="CG Omega" w:hAnsi="CG Omega"/>
        </w:rPr>
        <w:t xml:space="preserve"> in this database, which is computed monthly. All indexes, whether state or national, were set equal to 100 as of the first quarter of 2000. </w:t>
      </w:r>
    </w:p>
    <w:p w:rsidR="00663EF1" w:rsidRPr="00663EF1" w:rsidRDefault="00663EF1" w:rsidP="006C639D">
      <w:pPr>
        <w:pStyle w:val="BodyText"/>
        <w:rPr>
          <w:rFonts w:ascii="CG Omega" w:hAnsi="CG Omega"/>
          <w:sz w:val="16"/>
          <w:szCs w:val="16"/>
        </w:rPr>
      </w:pPr>
    </w:p>
    <w:p w:rsidR="00663EF1" w:rsidRPr="00671A7C" w:rsidRDefault="00663EF1" w:rsidP="00663EF1">
      <w:pPr>
        <w:pStyle w:val="NoSpacing"/>
        <w:jc w:val="center"/>
        <w:rPr>
          <w:rFonts w:ascii="Arial" w:hAnsi="Arial" w:cs="Arial"/>
          <w:b/>
        </w:rPr>
      </w:pPr>
      <w:r w:rsidRPr="00671A7C">
        <w:rPr>
          <w:rFonts w:ascii="Arial" w:hAnsi="Arial" w:cs="Arial"/>
          <w:b/>
        </w:rPr>
        <w:t xml:space="preserve">Diagram </w:t>
      </w:r>
      <w:r w:rsidR="00EA4494">
        <w:rPr>
          <w:rFonts w:ascii="Arial" w:hAnsi="Arial" w:cs="Arial"/>
          <w:b/>
        </w:rPr>
        <w:t>IV.6</w:t>
      </w:r>
    </w:p>
    <w:p w:rsidR="00663EF1" w:rsidRPr="00671A7C" w:rsidRDefault="00663EF1" w:rsidP="00663EF1">
      <w:pPr>
        <w:pStyle w:val="NoSpacing"/>
        <w:jc w:val="center"/>
        <w:rPr>
          <w:rFonts w:ascii="Arial" w:hAnsi="Arial" w:cs="Arial"/>
          <w:b/>
          <w:sz w:val="20"/>
          <w:szCs w:val="20"/>
        </w:rPr>
      </w:pPr>
      <w:r>
        <w:rPr>
          <w:rFonts w:ascii="Arial" w:hAnsi="Arial" w:cs="Arial"/>
          <w:b/>
          <w:sz w:val="20"/>
          <w:szCs w:val="20"/>
        </w:rPr>
        <w:t>Housing Price Index</w:t>
      </w:r>
    </w:p>
    <w:p w:rsidR="00663EF1" w:rsidRPr="00671A7C" w:rsidRDefault="00663EF1" w:rsidP="00663EF1">
      <w:pPr>
        <w:pStyle w:val="NoSpacing"/>
        <w:jc w:val="center"/>
        <w:rPr>
          <w:rFonts w:ascii="Arial" w:hAnsi="Arial" w:cs="Arial"/>
          <w:sz w:val="16"/>
          <w:szCs w:val="16"/>
        </w:rPr>
      </w:pPr>
      <w:r w:rsidRPr="00671A7C">
        <w:rPr>
          <w:rFonts w:ascii="Arial" w:hAnsi="Arial" w:cs="Arial"/>
          <w:sz w:val="16"/>
          <w:szCs w:val="16"/>
        </w:rPr>
        <w:t>State of New Mexico</w:t>
      </w:r>
      <w:r>
        <w:rPr>
          <w:rFonts w:ascii="Arial" w:hAnsi="Arial" w:cs="Arial"/>
          <w:sz w:val="16"/>
          <w:szCs w:val="16"/>
        </w:rPr>
        <w:t xml:space="preserve"> vs. U.S </w:t>
      </w:r>
    </w:p>
    <w:p w:rsidR="00663EF1" w:rsidRPr="00663EF1" w:rsidRDefault="00663EF1" w:rsidP="00663EF1">
      <w:pPr>
        <w:pStyle w:val="NoSpacing"/>
        <w:jc w:val="center"/>
        <w:rPr>
          <w:rFonts w:ascii="Arial" w:hAnsi="Arial" w:cs="Arial"/>
          <w:sz w:val="16"/>
          <w:szCs w:val="16"/>
        </w:rPr>
      </w:pPr>
      <w:r>
        <w:rPr>
          <w:rFonts w:ascii="Arial" w:hAnsi="Arial" w:cs="Arial"/>
          <w:sz w:val="16"/>
          <w:szCs w:val="16"/>
        </w:rPr>
        <w:t>FHFA First Quarter Data, 1975 – 2014: 1980 1Q = 100</w:t>
      </w:r>
    </w:p>
    <w:p w:rsidR="00B62168" w:rsidRPr="009B32C4" w:rsidRDefault="00663EF1" w:rsidP="00B62168">
      <w:pPr>
        <w:pStyle w:val="BodyText"/>
        <w:rPr>
          <w:rFonts w:ascii="CG Omega" w:hAnsi="CG Omega"/>
          <w:sz w:val="16"/>
          <w:szCs w:val="16"/>
          <w:highlight w:val="yellow"/>
        </w:rPr>
      </w:pPr>
      <w:r>
        <w:rPr>
          <w:noProof/>
        </w:rPr>
        <w:drawing>
          <wp:inline distT="0" distB="0" distL="0" distR="0" wp14:anchorId="5F599A04" wp14:editId="0B766B11">
            <wp:extent cx="5486400" cy="2971800"/>
            <wp:effectExtent l="0" t="0" r="0" b="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72631C" w:rsidRPr="00663EF1" w:rsidRDefault="00B17260" w:rsidP="00663EF1">
      <w:pPr>
        <w:pStyle w:val="BodyText"/>
        <w:rPr>
          <w:rFonts w:ascii="CG Omega" w:hAnsi="CG Omega"/>
        </w:rPr>
      </w:pPr>
      <w:r w:rsidRPr="005471FD">
        <w:rPr>
          <w:rFonts w:ascii="CG Omega" w:hAnsi="CG Omega"/>
          <w:b/>
        </w:rPr>
        <w:t>Diagram IV.</w:t>
      </w:r>
      <w:r w:rsidR="00EA4494" w:rsidRPr="005471FD">
        <w:rPr>
          <w:rFonts w:ascii="CG Omega" w:hAnsi="CG Omega"/>
          <w:b/>
        </w:rPr>
        <w:t>6</w:t>
      </w:r>
      <w:r w:rsidR="00EA4494">
        <w:rPr>
          <w:rFonts w:ascii="CG Omega" w:hAnsi="CG Omega"/>
        </w:rPr>
        <w:t xml:space="preserve"> above</w:t>
      </w:r>
      <w:r w:rsidR="00B62168" w:rsidRPr="00D02980">
        <w:rPr>
          <w:rFonts w:ascii="CG Omega" w:hAnsi="CG Omega"/>
        </w:rPr>
        <w:t xml:space="preserve"> shows </w:t>
      </w:r>
      <w:r w:rsidR="00DC13FE" w:rsidRPr="00D02980">
        <w:rPr>
          <w:rFonts w:ascii="CG Omega" w:hAnsi="CG Omega"/>
        </w:rPr>
        <w:t xml:space="preserve">the housing price index for </w:t>
      </w:r>
      <w:r w:rsidR="00B62168" w:rsidRPr="00D02980">
        <w:rPr>
          <w:rFonts w:ascii="CG Omega" w:hAnsi="CG Omega"/>
        </w:rPr>
        <w:t xml:space="preserve">one </w:t>
      </w:r>
      <w:r w:rsidR="00F36430" w:rsidRPr="00D02980">
        <w:rPr>
          <w:rFonts w:ascii="CG Omega" w:hAnsi="CG Omega"/>
        </w:rPr>
        <w:t>quarter from each year from 1975</w:t>
      </w:r>
      <w:r w:rsidR="00B62168" w:rsidRPr="00D02980">
        <w:rPr>
          <w:rFonts w:ascii="CG Omega" w:hAnsi="CG Omega"/>
        </w:rPr>
        <w:t xml:space="preserve"> th</w:t>
      </w:r>
      <w:r w:rsidR="0072631C" w:rsidRPr="00D02980">
        <w:rPr>
          <w:rFonts w:ascii="CG Omega" w:hAnsi="CG Omega"/>
        </w:rPr>
        <w:t xml:space="preserve">rough </w:t>
      </w:r>
      <w:r w:rsidR="00D02980" w:rsidRPr="00D02980">
        <w:rPr>
          <w:rFonts w:ascii="CG Omega" w:hAnsi="CG Omega"/>
        </w:rPr>
        <w:t>2013</w:t>
      </w:r>
      <w:r w:rsidR="00B62168" w:rsidRPr="00D02980">
        <w:rPr>
          <w:rFonts w:ascii="CG Omega" w:hAnsi="CG Omega"/>
        </w:rPr>
        <w:t xml:space="preserve">. </w:t>
      </w:r>
      <w:r w:rsidR="0072631C" w:rsidRPr="00D02980">
        <w:rPr>
          <w:rFonts w:ascii="CG Omega" w:hAnsi="CG Omega"/>
        </w:rPr>
        <w:t>As seen therein, the New Mexico index has been lower th</w:t>
      </w:r>
      <w:r w:rsidR="001D4007">
        <w:rPr>
          <w:rFonts w:ascii="CG Omega" w:hAnsi="CG Omega"/>
        </w:rPr>
        <w:t>a</w:t>
      </w:r>
      <w:r w:rsidR="0072631C" w:rsidRPr="00D02980">
        <w:rPr>
          <w:rFonts w:ascii="CG Omega" w:hAnsi="CG Omega"/>
        </w:rPr>
        <w:t xml:space="preserve">n the U.S. index since the late 1980s, with a near convergence in the </w:t>
      </w:r>
      <w:r w:rsidR="005471FD" w:rsidRPr="00D02980">
        <w:rPr>
          <w:rFonts w:ascii="CG Omega" w:hAnsi="CG Omega"/>
        </w:rPr>
        <w:t>mid-1990s</w:t>
      </w:r>
      <w:r w:rsidR="0072631C" w:rsidRPr="00D02980">
        <w:rPr>
          <w:rFonts w:ascii="CG Omega" w:hAnsi="CG Omega"/>
        </w:rPr>
        <w:t xml:space="preserve">.  </w:t>
      </w:r>
      <w:r w:rsidR="00292471" w:rsidRPr="00D02980">
        <w:rPr>
          <w:rFonts w:ascii="CG Omega" w:hAnsi="CG Omega"/>
        </w:rPr>
        <w:t>T</w:t>
      </w:r>
      <w:r w:rsidR="00DC13FE" w:rsidRPr="00D02980">
        <w:rPr>
          <w:rFonts w:ascii="CG Omega" w:hAnsi="CG Omega"/>
        </w:rPr>
        <w:t xml:space="preserve">he housing price index in New Mexico </w:t>
      </w:r>
      <w:r w:rsidR="00BA58E2">
        <w:rPr>
          <w:rFonts w:ascii="CG Omega" w:hAnsi="CG Omega"/>
        </w:rPr>
        <w:t>increased for the next ten</w:t>
      </w:r>
      <w:r w:rsidR="00292471" w:rsidRPr="00D02980">
        <w:rPr>
          <w:rFonts w:ascii="CG Omega" w:hAnsi="CG Omega"/>
        </w:rPr>
        <w:t xml:space="preserve"> to twelve years through before falling in 2008</w:t>
      </w:r>
      <w:r w:rsidR="00DC13FE" w:rsidRPr="00D02980">
        <w:rPr>
          <w:rFonts w:ascii="CG Omega" w:hAnsi="CG Omega"/>
        </w:rPr>
        <w:t xml:space="preserve"> </w:t>
      </w:r>
      <w:r w:rsidR="00292471" w:rsidRPr="00D02980">
        <w:rPr>
          <w:rFonts w:ascii="CG Omega" w:hAnsi="CG Omega"/>
        </w:rPr>
        <w:t>as did</w:t>
      </w:r>
      <w:r w:rsidR="00DC13FE" w:rsidRPr="00D02980">
        <w:rPr>
          <w:rFonts w:ascii="CG Omega" w:hAnsi="CG Omega"/>
        </w:rPr>
        <w:t xml:space="preserve"> the national trend.  </w:t>
      </w:r>
      <w:r w:rsidR="00D02980" w:rsidRPr="00D02980">
        <w:rPr>
          <w:rFonts w:ascii="CG Omega" w:hAnsi="CG Omega"/>
        </w:rPr>
        <w:t>Both the national and state housing price index</w:t>
      </w:r>
      <w:r w:rsidR="00B72905">
        <w:rPr>
          <w:rFonts w:ascii="CG Omega" w:hAnsi="CG Omega"/>
        </w:rPr>
        <w:t>es</w:t>
      </w:r>
      <w:r w:rsidR="00D02980" w:rsidRPr="00D02980">
        <w:rPr>
          <w:rFonts w:ascii="CG Omega" w:hAnsi="CG Omega"/>
        </w:rPr>
        <w:t xml:space="preserve"> have begun to rise slightly</w:t>
      </w:r>
      <w:bookmarkStart w:id="73" w:name="_MON_1341660681"/>
      <w:bookmarkStart w:id="74" w:name="_MON_1341636781"/>
      <w:bookmarkEnd w:id="73"/>
      <w:bookmarkEnd w:id="74"/>
      <w:r w:rsidR="00BA58E2">
        <w:rPr>
          <w:rFonts w:ascii="CG Omega" w:hAnsi="CG Omega"/>
        </w:rPr>
        <w:t xml:space="preserve"> in the past couple years.</w:t>
      </w:r>
    </w:p>
    <w:p w:rsidR="00C31654" w:rsidRPr="005471FD" w:rsidRDefault="00C31654" w:rsidP="00725DAB">
      <w:pPr>
        <w:pStyle w:val="BodyText"/>
        <w:rPr>
          <w:rFonts w:ascii="CG Omega" w:hAnsi="CG Omega"/>
          <w:szCs w:val="24"/>
          <w:highlight w:val="yellow"/>
        </w:rPr>
      </w:pPr>
    </w:p>
    <w:p w:rsidR="00B32AA7" w:rsidRPr="0013476F" w:rsidRDefault="00B32AA7" w:rsidP="00BB666B">
      <w:pPr>
        <w:pStyle w:val="FirstHead"/>
      </w:pPr>
      <w:bookmarkStart w:id="75" w:name="_Toc233426580"/>
      <w:bookmarkStart w:id="76" w:name="_Toc233426765"/>
      <w:bookmarkStart w:id="77" w:name="_Toc399834571"/>
      <w:r w:rsidRPr="0013476F">
        <w:t>D.</w:t>
      </w:r>
      <w:bookmarkEnd w:id="75"/>
      <w:bookmarkEnd w:id="76"/>
      <w:r w:rsidR="00707430" w:rsidRPr="0013476F">
        <w:t xml:space="preserve"> Housing</w:t>
      </w:r>
      <w:bookmarkEnd w:id="77"/>
      <w:r w:rsidR="00707430" w:rsidRPr="0013476F">
        <w:t xml:space="preserve"> </w:t>
      </w:r>
    </w:p>
    <w:p w:rsidR="00B95CEB" w:rsidRPr="005471FD" w:rsidRDefault="00B95CEB" w:rsidP="00484BF2">
      <w:pPr>
        <w:pStyle w:val="BodyText"/>
        <w:tabs>
          <w:tab w:val="num" w:pos="360"/>
        </w:tabs>
        <w:rPr>
          <w:rFonts w:ascii="CG Omega" w:hAnsi="CG Omega"/>
          <w:bCs/>
          <w:szCs w:val="24"/>
        </w:rPr>
      </w:pPr>
    </w:p>
    <w:p w:rsidR="00484BF2" w:rsidRPr="005471FD" w:rsidRDefault="00484BF2" w:rsidP="00484BF2">
      <w:pPr>
        <w:rPr>
          <w:rFonts w:ascii="CG Omega" w:hAnsi="CG Omega"/>
          <w:b/>
          <w:bCs/>
          <w:smallCaps/>
        </w:rPr>
      </w:pPr>
      <w:r w:rsidRPr="005471FD">
        <w:rPr>
          <w:rFonts w:ascii="CG Omega" w:hAnsi="CG Omega"/>
          <w:b/>
          <w:bCs/>
          <w:smallCaps/>
        </w:rPr>
        <w:t>Housing Problems</w:t>
      </w:r>
    </w:p>
    <w:p w:rsidR="00484BF2" w:rsidRPr="005471FD" w:rsidRDefault="00484BF2" w:rsidP="00786E94">
      <w:pPr>
        <w:jc w:val="both"/>
        <w:rPr>
          <w:rFonts w:ascii="CG Omega" w:hAnsi="CG Omega"/>
          <w:bCs/>
          <w:highlight w:val="yellow"/>
        </w:rPr>
      </w:pPr>
    </w:p>
    <w:p w:rsidR="00786E94" w:rsidRPr="00740E06" w:rsidRDefault="00786E94" w:rsidP="00786E94">
      <w:pPr>
        <w:jc w:val="both"/>
        <w:rPr>
          <w:rFonts w:ascii="CG Omega" w:hAnsi="CG Omega"/>
          <w:bCs/>
        </w:rPr>
      </w:pPr>
      <w:r w:rsidRPr="00740E06">
        <w:rPr>
          <w:rFonts w:ascii="CG Omega" w:hAnsi="CG Omega"/>
          <w:bCs/>
        </w:rPr>
        <w:t>While the Census Bureau does not delve deeply into the physical condition of the housing stock, selec</w:t>
      </w:r>
      <w:r w:rsidR="00473A69" w:rsidRPr="00740E06">
        <w:rPr>
          <w:rFonts w:ascii="CG Omega" w:hAnsi="CG Omega"/>
          <w:bCs/>
        </w:rPr>
        <w:t>ted questions from the decennial c</w:t>
      </w:r>
      <w:r w:rsidR="003C43F4" w:rsidRPr="00740E06">
        <w:rPr>
          <w:rFonts w:ascii="CG Omega" w:hAnsi="CG Omega"/>
          <w:bCs/>
        </w:rPr>
        <w:t>ensus do</w:t>
      </w:r>
      <w:r w:rsidRPr="00740E06">
        <w:rPr>
          <w:rFonts w:ascii="CG Omega" w:hAnsi="CG Omega"/>
          <w:bCs/>
        </w:rPr>
        <w:t xml:space="preserve"> indeed address housing difficulti</w:t>
      </w:r>
      <w:r w:rsidR="0013476F" w:rsidRPr="00740E06">
        <w:rPr>
          <w:rFonts w:ascii="CG Omega" w:hAnsi="CG Omega"/>
          <w:bCs/>
        </w:rPr>
        <w:t xml:space="preserve">es being faced by householders. </w:t>
      </w:r>
      <w:r w:rsidRPr="00740E06">
        <w:rPr>
          <w:rFonts w:ascii="CG Omega" w:hAnsi="CG Omega"/>
          <w:bCs/>
        </w:rPr>
        <w:t>These housing difficulties are represented by three different conditions: overcrowding, lack of complete plumbing or kitchen facilities, and cost burden.  Each of these</w:t>
      </w:r>
      <w:r w:rsidR="00292471" w:rsidRPr="00740E06">
        <w:rPr>
          <w:rFonts w:ascii="CG Omega" w:hAnsi="CG Omega"/>
          <w:bCs/>
        </w:rPr>
        <w:t xml:space="preserve"> conditions is addressed on the following page</w:t>
      </w:r>
      <w:r w:rsidR="00724A23" w:rsidRPr="00740E06">
        <w:rPr>
          <w:rFonts w:ascii="CG Omega" w:hAnsi="CG Omega"/>
          <w:bCs/>
        </w:rPr>
        <w:t>s</w:t>
      </w:r>
      <w:r w:rsidR="00384BD2" w:rsidRPr="00740E06">
        <w:rPr>
          <w:rFonts w:ascii="CG Omega" w:hAnsi="CG Omega"/>
          <w:bCs/>
        </w:rPr>
        <w:t>.</w:t>
      </w:r>
      <w:r w:rsidR="005A4B8D" w:rsidRPr="00740E06">
        <w:rPr>
          <w:rFonts w:ascii="CG Omega" w:hAnsi="CG Omega"/>
          <w:bCs/>
        </w:rPr>
        <w:t xml:space="preserve">  </w:t>
      </w:r>
    </w:p>
    <w:p w:rsidR="00C73938" w:rsidRPr="008C0D1A" w:rsidRDefault="00C73938" w:rsidP="00B32AA7">
      <w:pPr>
        <w:rPr>
          <w:rFonts w:ascii="CG Omega" w:hAnsi="CG Omega"/>
          <w:b/>
          <w:bCs/>
          <w:sz w:val="16"/>
          <w:szCs w:val="16"/>
          <w:highlight w:val="yellow"/>
        </w:rPr>
      </w:pPr>
    </w:p>
    <w:p w:rsidR="00B32AA7" w:rsidRPr="00740E06" w:rsidRDefault="00B32AA7" w:rsidP="00B32AA7">
      <w:pPr>
        <w:rPr>
          <w:rFonts w:ascii="CG Omega" w:hAnsi="CG Omega"/>
          <w:b/>
          <w:bCs/>
        </w:rPr>
      </w:pPr>
      <w:r w:rsidRPr="00740E06">
        <w:rPr>
          <w:rFonts w:ascii="CG Omega" w:hAnsi="CG Omega"/>
          <w:b/>
          <w:bCs/>
        </w:rPr>
        <w:t>Overcrowding</w:t>
      </w:r>
    </w:p>
    <w:p w:rsidR="00786E94" w:rsidRPr="005A0444" w:rsidRDefault="00786E94" w:rsidP="00786E94">
      <w:pPr>
        <w:jc w:val="both"/>
        <w:rPr>
          <w:rFonts w:ascii="CG Omega" w:hAnsi="CG Omega"/>
          <w:b/>
          <w:bCs/>
          <w:i/>
          <w:sz w:val="16"/>
          <w:szCs w:val="16"/>
        </w:rPr>
      </w:pPr>
    </w:p>
    <w:p w:rsidR="00786E94" w:rsidRPr="00955C8C" w:rsidRDefault="00786E94" w:rsidP="00786E94">
      <w:pPr>
        <w:jc w:val="both"/>
        <w:rPr>
          <w:rFonts w:ascii="CG Omega" w:hAnsi="CG Omega"/>
          <w:bCs/>
          <w:highlight w:val="yellow"/>
        </w:rPr>
      </w:pPr>
      <w:r w:rsidRPr="00740E06">
        <w:rPr>
          <w:rFonts w:ascii="CG Omega" w:hAnsi="CG Omega"/>
          <w:bCs/>
        </w:rPr>
        <w:t>HUD defines an o</w:t>
      </w:r>
      <w:r w:rsidR="007D2A18" w:rsidRPr="00740E06">
        <w:rPr>
          <w:rFonts w:ascii="CG Omega" w:hAnsi="CG Omega"/>
          <w:bCs/>
        </w:rPr>
        <w:t>vercrowded household as one</w:t>
      </w:r>
      <w:r w:rsidRPr="00740E06">
        <w:rPr>
          <w:rFonts w:ascii="CG Omega" w:hAnsi="CG Omega"/>
          <w:bCs/>
        </w:rPr>
        <w:t xml:space="preserve"> having from 1.01 to 1.50 occupants per room</w:t>
      </w:r>
      <w:r w:rsidR="007D2A18" w:rsidRPr="00740E06">
        <w:rPr>
          <w:rFonts w:ascii="CG Omega" w:hAnsi="CG Omega"/>
          <w:bCs/>
        </w:rPr>
        <w:t xml:space="preserve"> and a severely overcrowded household as one with more than 1.5</w:t>
      </w:r>
      <w:r w:rsidR="003C43F4" w:rsidRPr="00740E06">
        <w:rPr>
          <w:rFonts w:ascii="CG Omega" w:hAnsi="CG Omega"/>
          <w:bCs/>
        </w:rPr>
        <w:t>0</w:t>
      </w:r>
      <w:r w:rsidR="007D2A18" w:rsidRPr="00740E06">
        <w:rPr>
          <w:rFonts w:ascii="CG Omega" w:hAnsi="CG Omega"/>
          <w:bCs/>
        </w:rPr>
        <w:t xml:space="preserve"> occupants per room</w:t>
      </w:r>
      <w:r w:rsidRPr="00740E06">
        <w:rPr>
          <w:rFonts w:ascii="CG Omega" w:hAnsi="CG Omega"/>
          <w:bCs/>
        </w:rPr>
        <w:t xml:space="preserve">.  This type of condition can be seen in both renter and homeowner households. </w:t>
      </w:r>
      <w:r w:rsidR="00384BD2" w:rsidRPr="00740E06">
        <w:rPr>
          <w:rFonts w:ascii="CG Omega" w:hAnsi="CG Omega"/>
          <w:bCs/>
        </w:rPr>
        <w:t xml:space="preserve"> </w:t>
      </w:r>
      <w:r w:rsidR="00B17260" w:rsidRPr="005471FD">
        <w:rPr>
          <w:rFonts w:ascii="CG Omega" w:hAnsi="CG Omega"/>
          <w:b/>
          <w:bCs/>
        </w:rPr>
        <w:t>Table IV.</w:t>
      </w:r>
      <w:r w:rsidR="00321774" w:rsidRPr="005471FD">
        <w:rPr>
          <w:rFonts w:ascii="CG Omega" w:hAnsi="CG Omega"/>
          <w:b/>
          <w:bCs/>
        </w:rPr>
        <w:t>8</w:t>
      </w:r>
      <w:r w:rsidR="00292471" w:rsidRPr="00740E06">
        <w:rPr>
          <w:rFonts w:ascii="CG Omega" w:hAnsi="CG Omega"/>
          <w:bCs/>
        </w:rPr>
        <w:t xml:space="preserve"> shows that</w:t>
      </w:r>
      <w:r w:rsidR="00BF3065" w:rsidRPr="00740E06">
        <w:rPr>
          <w:rFonts w:ascii="CG Omega" w:hAnsi="CG Omega"/>
          <w:bCs/>
        </w:rPr>
        <w:t xml:space="preserve"> </w:t>
      </w:r>
      <w:r w:rsidR="00EC4672">
        <w:rPr>
          <w:rFonts w:ascii="CG Omega" w:hAnsi="CG Omega"/>
          <w:bCs/>
        </w:rPr>
        <w:t>18,527</w:t>
      </w:r>
      <w:r w:rsidR="00BF3065" w:rsidRPr="00740E06">
        <w:rPr>
          <w:rFonts w:ascii="CG Omega" w:hAnsi="CG Omega"/>
          <w:bCs/>
        </w:rPr>
        <w:t xml:space="preserve"> households in New Mexico were overcrowded </w:t>
      </w:r>
      <w:r w:rsidR="00EC4672">
        <w:rPr>
          <w:rFonts w:ascii="CG Omega" w:hAnsi="CG Omega"/>
          <w:bCs/>
        </w:rPr>
        <w:t>in 2012</w:t>
      </w:r>
      <w:r w:rsidR="00BF3065" w:rsidRPr="00740E06">
        <w:rPr>
          <w:rFonts w:ascii="CG Omega" w:hAnsi="CG Omega"/>
          <w:bCs/>
        </w:rPr>
        <w:t xml:space="preserve">, including </w:t>
      </w:r>
      <w:r w:rsidR="00EC4672">
        <w:rPr>
          <w:rFonts w:ascii="CG Omega" w:hAnsi="CG Omega"/>
          <w:bCs/>
        </w:rPr>
        <w:t>10,355</w:t>
      </w:r>
      <w:r w:rsidR="00BF3065" w:rsidRPr="00740E06">
        <w:rPr>
          <w:rFonts w:ascii="CG Omega" w:hAnsi="CG Omega"/>
          <w:bCs/>
        </w:rPr>
        <w:t xml:space="preserve"> </w:t>
      </w:r>
      <w:r w:rsidR="00BB2854">
        <w:rPr>
          <w:rFonts w:ascii="CG Omega" w:hAnsi="CG Omega"/>
          <w:bCs/>
        </w:rPr>
        <w:t>owner occupied</w:t>
      </w:r>
      <w:r w:rsidR="00BF3065" w:rsidRPr="00740E06">
        <w:rPr>
          <w:rFonts w:ascii="CG Omega" w:hAnsi="CG Omega"/>
          <w:bCs/>
        </w:rPr>
        <w:t xml:space="preserve"> households and </w:t>
      </w:r>
      <w:r w:rsidR="00EC4672">
        <w:rPr>
          <w:rFonts w:ascii="CG Omega" w:hAnsi="CG Omega"/>
          <w:bCs/>
        </w:rPr>
        <w:t>8,172</w:t>
      </w:r>
      <w:r w:rsidR="00BF3065" w:rsidRPr="00740E06">
        <w:rPr>
          <w:rFonts w:ascii="CG Omega" w:hAnsi="CG Omega"/>
          <w:bCs/>
        </w:rPr>
        <w:t xml:space="preserve"> </w:t>
      </w:r>
      <w:r w:rsidR="00BB2854">
        <w:rPr>
          <w:rFonts w:ascii="CG Omega" w:hAnsi="CG Omega"/>
          <w:bCs/>
        </w:rPr>
        <w:t>renter occupied</w:t>
      </w:r>
      <w:r w:rsidR="00BF3065" w:rsidRPr="00740E06">
        <w:rPr>
          <w:rFonts w:ascii="CG Omega" w:hAnsi="CG Omega"/>
          <w:bCs/>
        </w:rPr>
        <w:t xml:space="preserve"> households.  Severely overcrowded households comprised </w:t>
      </w:r>
      <w:r w:rsidR="00EC4672">
        <w:rPr>
          <w:rFonts w:ascii="CG Omega" w:hAnsi="CG Omega"/>
          <w:bCs/>
        </w:rPr>
        <w:t>7,649</w:t>
      </w:r>
      <w:r w:rsidR="00BF3065" w:rsidRPr="00740E06">
        <w:rPr>
          <w:rFonts w:ascii="CG Omega" w:hAnsi="CG Omega"/>
          <w:bCs/>
        </w:rPr>
        <w:t xml:space="preserve"> households in the state including </w:t>
      </w:r>
      <w:r w:rsidR="00EC4672">
        <w:rPr>
          <w:rFonts w:ascii="CG Omega" w:hAnsi="CG Omega"/>
          <w:bCs/>
        </w:rPr>
        <w:t>3,555</w:t>
      </w:r>
      <w:r w:rsidR="00BF3065" w:rsidRPr="00740E06">
        <w:rPr>
          <w:rFonts w:ascii="CG Omega" w:hAnsi="CG Omega"/>
          <w:bCs/>
        </w:rPr>
        <w:t xml:space="preserve"> </w:t>
      </w:r>
      <w:r w:rsidR="00BB2854">
        <w:rPr>
          <w:rFonts w:ascii="CG Omega" w:hAnsi="CG Omega"/>
          <w:bCs/>
        </w:rPr>
        <w:t>owner occupied</w:t>
      </w:r>
      <w:r w:rsidR="00D06B9C" w:rsidRPr="00740E06">
        <w:rPr>
          <w:rFonts w:ascii="CG Omega" w:hAnsi="CG Omega"/>
          <w:bCs/>
        </w:rPr>
        <w:t xml:space="preserve"> households and </w:t>
      </w:r>
      <w:r w:rsidR="00EC4672">
        <w:rPr>
          <w:rFonts w:ascii="CG Omega" w:hAnsi="CG Omega"/>
          <w:bCs/>
        </w:rPr>
        <w:t>4,094</w:t>
      </w:r>
      <w:r w:rsidR="00D06B9C" w:rsidRPr="00740E06">
        <w:rPr>
          <w:rFonts w:ascii="CG Omega" w:hAnsi="CG Omega"/>
          <w:bCs/>
        </w:rPr>
        <w:t xml:space="preserve"> </w:t>
      </w:r>
      <w:r w:rsidR="00BB2854">
        <w:rPr>
          <w:rFonts w:ascii="CG Omega" w:hAnsi="CG Omega"/>
          <w:bCs/>
        </w:rPr>
        <w:t>renter occupied</w:t>
      </w:r>
      <w:r w:rsidR="00D06B9C" w:rsidRPr="00740E06">
        <w:rPr>
          <w:rFonts w:ascii="CG Omega" w:hAnsi="CG Omega"/>
          <w:bCs/>
        </w:rPr>
        <w:t xml:space="preserve"> house</w:t>
      </w:r>
      <w:r w:rsidR="00292471" w:rsidRPr="00740E06">
        <w:rPr>
          <w:rFonts w:ascii="CG Omega" w:hAnsi="CG Omega"/>
          <w:bCs/>
        </w:rPr>
        <w:t xml:space="preserve">holds.  </w:t>
      </w:r>
      <w:r w:rsidR="00740E06">
        <w:rPr>
          <w:rFonts w:ascii="CG Omega" w:hAnsi="CG Omega"/>
          <w:bCs/>
        </w:rPr>
        <w:t xml:space="preserve">By 2012, the share of overcrowded households had fallen from 4.2 to 2.4 percent since 2000, and the share of severely overcrowded households had fallen from 3.2 to 1.0 percent. In both years, overcrowding and severe overcrowding were more prevalent in </w:t>
      </w:r>
      <w:r w:rsidR="00BB2854">
        <w:rPr>
          <w:rFonts w:ascii="CG Omega" w:hAnsi="CG Omega"/>
          <w:bCs/>
        </w:rPr>
        <w:t>renter occupied</w:t>
      </w:r>
      <w:r w:rsidR="00740E06">
        <w:rPr>
          <w:rFonts w:ascii="CG Omega" w:hAnsi="CG Omega"/>
          <w:bCs/>
        </w:rPr>
        <w:t xml:space="preserve"> housing units than in </w:t>
      </w:r>
      <w:r w:rsidR="00BB2854">
        <w:rPr>
          <w:rFonts w:ascii="CG Omega" w:hAnsi="CG Omega"/>
          <w:bCs/>
        </w:rPr>
        <w:t>owner occupied</w:t>
      </w:r>
      <w:r w:rsidR="00740E06">
        <w:rPr>
          <w:rFonts w:ascii="CG Omega" w:hAnsi="CG Omega"/>
          <w:bCs/>
        </w:rPr>
        <w:t xml:space="preserve"> units.</w:t>
      </w:r>
    </w:p>
    <w:p w:rsidR="00924B88" w:rsidRPr="005471FD" w:rsidRDefault="00924B88" w:rsidP="00786E94">
      <w:pPr>
        <w:jc w:val="both"/>
        <w:rPr>
          <w:rFonts w:ascii="CG Omega" w:hAnsi="CG Omega"/>
          <w:bCs/>
          <w:highlight w:val="yellow"/>
        </w:rPr>
      </w:pPr>
    </w:p>
    <w:tbl>
      <w:tblPr>
        <w:tblW w:w="9106" w:type="dxa"/>
        <w:jc w:val="center"/>
        <w:tblLook w:val="04A0" w:firstRow="1" w:lastRow="0" w:firstColumn="1" w:lastColumn="0" w:noHBand="0" w:noVBand="1"/>
      </w:tblPr>
      <w:tblGrid>
        <w:gridCol w:w="1638"/>
        <w:gridCol w:w="1132"/>
        <w:gridCol w:w="990"/>
        <w:gridCol w:w="1176"/>
        <w:gridCol w:w="1058"/>
        <w:gridCol w:w="1132"/>
        <w:gridCol w:w="1052"/>
        <w:gridCol w:w="928"/>
      </w:tblGrid>
      <w:tr w:rsidR="00140B4C" w:rsidRPr="00140B4C" w:rsidTr="006458D4">
        <w:trPr>
          <w:trHeight w:val="216"/>
          <w:jc w:val="center"/>
        </w:trPr>
        <w:tc>
          <w:tcPr>
            <w:tcW w:w="9106" w:type="dxa"/>
            <w:gridSpan w:val="8"/>
            <w:tcBorders>
              <w:bottom w:val="single" w:sz="4" w:space="0" w:color="009900"/>
            </w:tcBorders>
            <w:shd w:val="clear" w:color="000000" w:fill="auto"/>
            <w:noWrap/>
            <w:vAlign w:val="center"/>
            <w:hideMark/>
          </w:tcPr>
          <w:p w:rsidR="00140B4C" w:rsidRPr="00140B4C" w:rsidRDefault="00140B4C" w:rsidP="00140B4C">
            <w:pPr>
              <w:keepNext/>
              <w:jc w:val="center"/>
              <w:rPr>
                <w:rFonts w:ascii="Arial" w:eastAsia="Calibri" w:hAnsi="Arial"/>
                <w:b/>
                <w:bCs/>
                <w:color w:val="000000"/>
                <w:sz w:val="22"/>
                <w:szCs w:val="18"/>
              </w:rPr>
            </w:pPr>
            <w:r w:rsidRPr="00B72905">
              <w:rPr>
                <w:rFonts w:ascii="Arial" w:eastAsia="Calibri" w:hAnsi="Arial"/>
                <w:b/>
                <w:bCs/>
                <w:color w:val="000000"/>
                <w:sz w:val="22"/>
                <w:szCs w:val="18"/>
              </w:rPr>
              <w:t>Table I</w:t>
            </w:r>
            <w:r w:rsidR="005B00C5" w:rsidRPr="00B72905">
              <w:rPr>
                <w:rFonts w:ascii="Arial" w:eastAsia="Calibri" w:hAnsi="Arial"/>
                <w:b/>
                <w:bCs/>
                <w:color w:val="000000"/>
                <w:sz w:val="22"/>
                <w:szCs w:val="18"/>
              </w:rPr>
              <w:t>V.</w:t>
            </w:r>
            <w:r w:rsidR="00321774">
              <w:rPr>
                <w:rFonts w:ascii="Arial" w:eastAsia="Calibri" w:hAnsi="Arial"/>
                <w:b/>
                <w:bCs/>
                <w:color w:val="000000"/>
                <w:sz w:val="22"/>
                <w:szCs w:val="18"/>
              </w:rPr>
              <w:t>8</w:t>
            </w:r>
          </w:p>
          <w:p w:rsidR="00140B4C" w:rsidRPr="00140B4C" w:rsidRDefault="00140B4C" w:rsidP="00140B4C">
            <w:pPr>
              <w:keepNext/>
              <w:keepLines/>
              <w:suppressAutoHyphens/>
              <w:jc w:val="center"/>
              <w:rPr>
                <w:rFonts w:ascii="Arial" w:eastAsia="Calibri" w:hAnsi="Arial"/>
                <w:b/>
                <w:sz w:val="20"/>
                <w:szCs w:val="23"/>
              </w:rPr>
            </w:pPr>
            <w:r w:rsidRPr="00140B4C">
              <w:rPr>
                <w:rFonts w:ascii="Arial" w:eastAsia="Calibri" w:hAnsi="Arial"/>
                <w:b/>
                <w:sz w:val="20"/>
                <w:szCs w:val="23"/>
              </w:rPr>
              <w:t>Overcrowding and Severe Overcrowding</w:t>
            </w:r>
          </w:p>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State of New Mexico</w:t>
            </w:r>
          </w:p>
          <w:p w:rsidR="00140B4C" w:rsidRPr="00140B4C" w:rsidRDefault="00140B4C" w:rsidP="00140B4C">
            <w:pPr>
              <w:suppressAutoHyphens/>
              <w:jc w:val="center"/>
              <w:rPr>
                <w:rFonts w:ascii="Arial" w:eastAsia="Calibri" w:hAnsi="Arial"/>
                <w:b/>
                <w:bCs/>
                <w:sz w:val="16"/>
                <w:szCs w:val="23"/>
              </w:rPr>
            </w:pPr>
            <w:r w:rsidRPr="00140B4C">
              <w:rPr>
                <w:rFonts w:ascii="Arial" w:eastAsia="Calibri" w:hAnsi="Arial"/>
                <w:sz w:val="16"/>
                <w:szCs w:val="23"/>
              </w:rPr>
              <w:t>2000 Census SF3 &amp; 2012 Five-Year ACS Data</w:t>
            </w:r>
          </w:p>
        </w:tc>
      </w:tr>
      <w:tr w:rsidR="00140B4C" w:rsidRPr="00140B4C" w:rsidTr="006458D4">
        <w:trPr>
          <w:trHeight w:val="216"/>
          <w:jc w:val="center"/>
        </w:trPr>
        <w:tc>
          <w:tcPr>
            <w:tcW w:w="1638" w:type="dxa"/>
            <w:vMerge w:val="restart"/>
            <w:tcBorders>
              <w:top w:val="single" w:sz="4" w:space="0" w:color="009900"/>
              <w:left w:val="single" w:sz="4" w:space="0" w:color="009900"/>
              <w:bottom w:val="single" w:sz="4" w:space="0" w:color="009900"/>
              <w:right w:val="nil"/>
            </w:tcBorders>
            <w:shd w:val="clear" w:color="000000" w:fill="FFFFE1"/>
            <w:noWrap/>
            <w:vAlign w:val="center"/>
            <w:hideMark/>
          </w:tcPr>
          <w:p w:rsidR="00140B4C" w:rsidRPr="00140B4C" w:rsidRDefault="00140B4C" w:rsidP="00140B4C">
            <w:pPr>
              <w:suppressAutoHyphens/>
              <w:jc w:val="center"/>
              <w:rPr>
                <w:rFonts w:ascii="Arial" w:eastAsia="Calibri" w:hAnsi="Arial"/>
                <w:b/>
                <w:sz w:val="16"/>
                <w:szCs w:val="23"/>
              </w:rPr>
            </w:pPr>
            <w:r w:rsidRPr="00140B4C">
              <w:rPr>
                <w:rFonts w:ascii="Arial" w:eastAsia="Calibri" w:hAnsi="Arial"/>
                <w:b/>
                <w:sz w:val="16"/>
                <w:szCs w:val="23"/>
              </w:rPr>
              <w:t>Data Source</w:t>
            </w:r>
          </w:p>
        </w:tc>
        <w:tc>
          <w:tcPr>
            <w:tcW w:w="2122" w:type="dxa"/>
            <w:gridSpan w:val="2"/>
            <w:tcBorders>
              <w:top w:val="single" w:sz="4" w:space="0" w:color="009900"/>
              <w:left w:val="nil"/>
              <w:bottom w:val="dotted" w:sz="4" w:space="0" w:color="009900"/>
              <w:right w:val="dotted" w:sz="4" w:space="0" w:color="009900"/>
            </w:tcBorders>
            <w:shd w:val="clear" w:color="000000" w:fill="FFFFE1"/>
            <w:vAlign w:val="center"/>
            <w:hideMark/>
          </w:tcPr>
          <w:p w:rsidR="00140B4C" w:rsidRPr="00140B4C" w:rsidRDefault="00140B4C" w:rsidP="00140B4C">
            <w:pPr>
              <w:suppressAutoHyphens/>
              <w:jc w:val="center"/>
              <w:rPr>
                <w:rFonts w:ascii="Arial" w:eastAsia="Calibri" w:hAnsi="Arial"/>
                <w:b/>
                <w:sz w:val="16"/>
                <w:szCs w:val="23"/>
              </w:rPr>
            </w:pPr>
            <w:r w:rsidRPr="00140B4C">
              <w:rPr>
                <w:rFonts w:ascii="Arial" w:eastAsia="Calibri" w:hAnsi="Arial"/>
                <w:b/>
                <w:sz w:val="16"/>
                <w:szCs w:val="23"/>
              </w:rPr>
              <w:t>No Overcrowding</w:t>
            </w:r>
          </w:p>
        </w:tc>
        <w:tc>
          <w:tcPr>
            <w:tcW w:w="2234" w:type="dxa"/>
            <w:gridSpan w:val="2"/>
            <w:tcBorders>
              <w:top w:val="single" w:sz="4" w:space="0" w:color="009900"/>
              <w:left w:val="nil"/>
              <w:bottom w:val="dotted" w:sz="4" w:space="0" w:color="009900"/>
              <w:right w:val="dotted" w:sz="4" w:space="0" w:color="009900"/>
            </w:tcBorders>
            <w:shd w:val="clear" w:color="000000" w:fill="FFFFE1"/>
            <w:vAlign w:val="center"/>
            <w:hideMark/>
          </w:tcPr>
          <w:p w:rsidR="00140B4C" w:rsidRPr="00140B4C" w:rsidRDefault="00140B4C" w:rsidP="00140B4C">
            <w:pPr>
              <w:suppressAutoHyphens/>
              <w:jc w:val="center"/>
              <w:rPr>
                <w:rFonts w:ascii="Arial" w:eastAsia="Calibri" w:hAnsi="Arial"/>
                <w:b/>
                <w:sz w:val="16"/>
                <w:szCs w:val="23"/>
              </w:rPr>
            </w:pPr>
            <w:r w:rsidRPr="00140B4C">
              <w:rPr>
                <w:rFonts w:ascii="Arial" w:eastAsia="Calibri" w:hAnsi="Arial"/>
                <w:b/>
                <w:sz w:val="16"/>
                <w:szCs w:val="23"/>
              </w:rPr>
              <w:t>Overcrowding</w:t>
            </w:r>
          </w:p>
        </w:tc>
        <w:tc>
          <w:tcPr>
            <w:tcW w:w="2184" w:type="dxa"/>
            <w:gridSpan w:val="2"/>
            <w:tcBorders>
              <w:top w:val="single" w:sz="4" w:space="0" w:color="009900"/>
              <w:left w:val="nil"/>
              <w:bottom w:val="dotted" w:sz="4" w:space="0" w:color="009900"/>
              <w:right w:val="dotted" w:sz="4" w:space="0" w:color="009900"/>
            </w:tcBorders>
            <w:shd w:val="clear" w:color="000000" w:fill="FFFFE1"/>
            <w:vAlign w:val="center"/>
            <w:hideMark/>
          </w:tcPr>
          <w:p w:rsidR="00140B4C" w:rsidRPr="00140B4C" w:rsidRDefault="00140B4C" w:rsidP="00140B4C">
            <w:pPr>
              <w:suppressAutoHyphens/>
              <w:jc w:val="center"/>
              <w:rPr>
                <w:rFonts w:ascii="Arial" w:eastAsia="Calibri" w:hAnsi="Arial"/>
                <w:b/>
                <w:sz w:val="16"/>
                <w:szCs w:val="23"/>
              </w:rPr>
            </w:pPr>
            <w:r w:rsidRPr="00140B4C">
              <w:rPr>
                <w:rFonts w:ascii="Arial" w:eastAsia="Calibri" w:hAnsi="Arial"/>
                <w:b/>
                <w:sz w:val="16"/>
                <w:szCs w:val="23"/>
              </w:rPr>
              <w:t>Severe Overcrowding</w:t>
            </w:r>
          </w:p>
        </w:tc>
        <w:tc>
          <w:tcPr>
            <w:tcW w:w="928" w:type="dxa"/>
            <w:vMerge w:val="restart"/>
            <w:tcBorders>
              <w:top w:val="single" w:sz="4" w:space="0" w:color="009900"/>
              <w:left w:val="nil"/>
              <w:bottom w:val="single" w:sz="4" w:space="0" w:color="009900"/>
              <w:right w:val="single" w:sz="4" w:space="0" w:color="009900"/>
            </w:tcBorders>
            <w:shd w:val="clear" w:color="000000" w:fill="FFFFE1"/>
            <w:vAlign w:val="center"/>
            <w:hideMark/>
          </w:tcPr>
          <w:p w:rsidR="00140B4C" w:rsidRPr="00140B4C" w:rsidRDefault="00140B4C" w:rsidP="00140B4C">
            <w:pPr>
              <w:suppressAutoHyphens/>
              <w:jc w:val="center"/>
              <w:rPr>
                <w:rFonts w:ascii="Arial" w:eastAsia="Calibri" w:hAnsi="Arial"/>
                <w:b/>
                <w:sz w:val="16"/>
                <w:szCs w:val="23"/>
              </w:rPr>
            </w:pPr>
            <w:r w:rsidRPr="00140B4C">
              <w:rPr>
                <w:rFonts w:ascii="Arial" w:eastAsia="Calibri" w:hAnsi="Arial"/>
                <w:b/>
                <w:sz w:val="16"/>
                <w:szCs w:val="23"/>
              </w:rPr>
              <w:t>Total</w:t>
            </w:r>
          </w:p>
        </w:tc>
      </w:tr>
      <w:tr w:rsidR="00140B4C" w:rsidRPr="00140B4C" w:rsidTr="006458D4">
        <w:trPr>
          <w:trHeight w:val="216"/>
          <w:jc w:val="center"/>
        </w:trPr>
        <w:tc>
          <w:tcPr>
            <w:tcW w:w="1638" w:type="dxa"/>
            <w:vMerge/>
            <w:tcBorders>
              <w:top w:val="nil"/>
              <w:left w:val="single" w:sz="4" w:space="0" w:color="009900"/>
              <w:bottom w:val="single" w:sz="4" w:space="0" w:color="009900"/>
              <w:right w:val="nil"/>
            </w:tcBorders>
            <w:vAlign w:val="center"/>
            <w:hideMark/>
          </w:tcPr>
          <w:p w:rsidR="00140B4C" w:rsidRPr="00140B4C" w:rsidRDefault="00140B4C" w:rsidP="00140B4C">
            <w:pPr>
              <w:suppressAutoHyphens/>
              <w:jc w:val="center"/>
              <w:rPr>
                <w:rFonts w:ascii="Arial" w:eastAsia="Calibri" w:hAnsi="Arial"/>
                <w:b/>
                <w:sz w:val="16"/>
                <w:szCs w:val="23"/>
              </w:rPr>
            </w:pPr>
          </w:p>
        </w:tc>
        <w:tc>
          <w:tcPr>
            <w:tcW w:w="1132" w:type="dxa"/>
            <w:tcBorders>
              <w:top w:val="nil"/>
              <w:left w:val="nil"/>
              <w:bottom w:val="single" w:sz="4" w:space="0" w:color="009900"/>
              <w:right w:val="nil"/>
            </w:tcBorders>
            <w:shd w:val="clear" w:color="000000" w:fill="FFFFE1"/>
            <w:noWrap/>
            <w:vAlign w:val="center"/>
            <w:hideMark/>
          </w:tcPr>
          <w:p w:rsidR="00140B4C" w:rsidRPr="00140B4C" w:rsidRDefault="00140B4C" w:rsidP="00140B4C">
            <w:pPr>
              <w:suppressAutoHyphens/>
              <w:jc w:val="center"/>
              <w:rPr>
                <w:rFonts w:ascii="Arial" w:eastAsia="Calibri" w:hAnsi="Arial"/>
                <w:b/>
                <w:sz w:val="16"/>
                <w:szCs w:val="23"/>
              </w:rPr>
            </w:pPr>
            <w:r w:rsidRPr="00140B4C">
              <w:rPr>
                <w:rFonts w:ascii="Arial" w:eastAsia="Calibri" w:hAnsi="Arial"/>
                <w:b/>
                <w:sz w:val="16"/>
                <w:szCs w:val="23"/>
              </w:rPr>
              <w:t>Households</w:t>
            </w:r>
          </w:p>
        </w:tc>
        <w:tc>
          <w:tcPr>
            <w:tcW w:w="990" w:type="dxa"/>
            <w:tcBorders>
              <w:top w:val="nil"/>
              <w:left w:val="nil"/>
              <w:bottom w:val="single" w:sz="4" w:space="0" w:color="009900"/>
              <w:right w:val="nil"/>
            </w:tcBorders>
            <w:shd w:val="clear" w:color="000000" w:fill="FFFFE1"/>
            <w:noWrap/>
            <w:vAlign w:val="center"/>
            <w:hideMark/>
          </w:tcPr>
          <w:p w:rsidR="00140B4C" w:rsidRPr="00140B4C" w:rsidRDefault="00140B4C" w:rsidP="00140B4C">
            <w:pPr>
              <w:suppressAutoHyphens/>
              <w:jc w:val="center"/>
              <w:rPr>
                <w:rFonts w:ascii="Arial" w:eastAsia="Calibri" w:hAnsi="Arial"/>
                <w:b/>
                <w:sz w:val="16"/>
                <w:szCs w:val="23"/>
              </w:rPr>
            </w:pPr>
            <w:r w:rsidRPr="00140B4C">
              <w:rPr>
                <w:rFonts w:ascii="Arial" w:eastAsia="Calibri" w:hAnsi="Arial"/>
                <w:b/>
                <w:sz w:val="16"/>
                <w:szCs w:val="23"/>
              </w:rPr>
              <w:t>% of Total</w:t>
            </w:r>
          </w:p>
        </w:tc>
        <w:tc>
          <w:tcPr>
            <w:tcW w:w="1176" w:type="dxa"/>
            <w:tcBorders>
              <w:top w:val="nil"/>
              <w:left w:val="dotted" w:sz="4" w:space="0" w:color="009900"/>
              <w:bottom w:val="single" w:sz="4" w:space="0" w:color="009900"/>
              <w:right w:val="nil"/>
            </w:tcBorders>
            <w:shd w:val="clear" w:color="000000" w:fill="FFFFE1"/>
            <w:noWrap/>
            <w:vAlign w:val="center"/>
            <w:hideMark/>
          </w:tcPr>
          <w:p w:rsidR="00140B4C" w:rsidRPr="00140B4C" w:rsidRDefault="00140B4C" w:rsidP="00140B4C">
            <w:pPr>
              <w:suppressAutoHyphens/>
              <w:jc w:val="center"/>
              <w:rPr>
                <w:rFonts w:ascii="Arial" w:eastAsia="Calibri" w:hAnsi="Arial"/>
                <w:b/>
                <w:sz w:val="16"/>
                <w:szCs w:val="23"/>
              </w:rPr>
            </w:pPr>
            <w:r w:rsidRPr="00140B4C">
              <w:rPr>
                <w:rFonts w:ascii="Arial" w:eastAsia="Calibri" w:hAnsi="Arial"/>
                <w:b/>
                <w:sz w:val="16"/>
                <w:szCs w:val="23"/>
              </w:rPr>
              <w:t>Households</w:t>
            </w:r>
          </w:p>
        </w:tc>
        <w:tc>
          <w:tcPr>
            <w:tcW w:w="1058" w:type="dxa"/>
            <w:tcBorders>
              <w:top w:val="nil"/>
              <w:left w:val="nil"/>
              <w:bottom w:val="single" w:sz="4" w:space="0" w:color="009900"/>
              <w:right w:val="dotted" w:sz="4" w:space="0" w:color="009900"/>
            </w:tcBorders>
            <w:shd w:val="clear" w:color="000000" w:fill="FFFFE1"/>
            <w:noWrap/>
            <w:vAlign w:val="center"/>
            <w:hideMark/>
          </w:tcPr>
          <w:p w:rsidR="00140B4C" w:rsidRPr="00140B4C" w:rsidRDefault="00140B4C" w:rsidP="00140B4C">
            <w:pPr>
              <w:suppressAutoHyphens/>
              <w:jc w:val="center"/>
              <w:rPr>
                <w:rFonts w:ascii="Arial" w:eastAsia="Calibri" w:hAnsi="Arial"/>
                <w:b/>
                <w:sz w:val="16"/>
                <w:szCs w:val="23"/>
              </w:rPr>
            </w:pPr>
            <w:r w:rsidRPr="00140B4C">
              <w:rPr>
                <w:rFonts w:ascii="Arial" w:eastAsia="Calibri" w:hAnsi="Arial"/>
                <w:b/>
                <w:sz w:val="16"/>
                <w:szCs w:val="23"/>
              </w:rPr>
              <w:t>% of Total</w:t>
            </w:r>
          </w:p>
        </w:tc>
        <w:tc>
          <w:tcPr>
            <w:tcW w:w="1132" w:type="dxa"/>
            <w:tcBorders>
              <w:top w:val="nil"/>
              <w:left w:val="nil"/>
              <w:bottom w:val="single" w:sz="4" w:space="0" w:color="009900"/>
              <w:right w:val="nil"/>
            </w:tcBorders>
            <w:shd w:val="clear" w:color="000000" w:fill="FFFFE1"/>
            <w:noWrap/>
            <w:vAlign w:val="center"/>
            <w:hideMark/>
          </w:tcPr>
          <w:p w:rsidR="00140B4C" w:rsidRPr="00140B4C" w:rsidRDefault="00140B4C" w:rsidP="00140B4C">
            <w:pPr>
              <w:suppressAutoHyphens/>
              <w:jc w:val="center"/>
              <w:rPr>
                <w:rFonts w:ascii="Arial" w:eastAsia="Calibri" w:hAnsi="Arial"/>
                <w:b/>
                <w:sz w:val="16"/>
                <w:szCs w:val="23"/>
              </w:rPr>
            </w:pPr>
            <w:r w:rsidRPr="00140B4C">
              <w:rPr>
                <w:rFonts w:ascii="Arial" w:eastAsia="Calibri" w:hAnsi="Arial"/>
                <w:b/>
                <w:sz w:val="16"/>
                <w:szCs w:val="23"/>
              </w:rPr>
              <w:t>Households</w:t>
            </w:r>
          </w:p>
        </w:tc>
        <w:tc>
          <w:tcPr>
            <w:tcW w:w="1052" w:type="dxa"/>
            <w:tcBorders>
              <w:top w:val="nil"/>
              <w:left w:val="nil"/>
              <w:bottom w:val="single" w:sz="4" w:space="0" w:color="009900"/>
              <w:right w:val="dotted" w:sz="4" w:space="0" w:color="009900"/>
            </w:tcBorders>
            <w:shd w:val="clear" w:color="000000" w:fill="FFFFE1"/>
            <w:noWrap/>
            <w:vAlign w:val="center"/>
            <w:hideMark/>
          </w:tcPr>
          <w:p w:rsidR="00140B4C" w:rsidRPr="00140B4C" w:rsidRDefault="00140B4C" w:rsidP="00140B4C">
            <w:pPr>
              <w:suppressAutoHyphens/>
              <w:jc w:val="center"/>
              <w:rPr>
                <w:rFonts w:ascii="Arial" w:eastAsia="Calibri" w:hAnsi="Arial"/>
                <w:b/>
                <w:sz w:val="16"/>
                <w:szCs w:val="23"/>
              </w:rPr>
            </w:pPr>
            <w:r w:rsidRPr="00140B4C">
              <w:rPr>
                <w:rFonts w:ascii="Arial" w:eastAsia="Calibri" w:hAnsi="Arial"/>
                <w:b/>
                <w:sz w:val="16"/>
                <w:szCs w:val="23"/>
              </w:rPr>
              <w:t>% of Total</w:t>
            </w:r>
          </w:p>
        </w:tc>
        <w:tc>
          <w:tcPr>
            <w:tcW w:w="928" w:type="dxa"/>
            <w:vMerge/>
            <w:tcBorders>
              <w:top w:val="nil"/>
              <w:left w:val="nil"/>
              <w:bottom w:val="single" w:sz="4" w:space="0" w:color="009900"/>
              <w:right w:val="single" w:sz="4" w:space="0" w:color="009900"/>
            </w:tcBorders>
            <w:vAlign w:val="center"/>
            <w:hideMark/>
          </w:tcPr>
          <w:p w:rsidR="00140B4C" w:rsidRPr="00140B4C" w:rsidRDefault="00140B4C" w:rsidP="00140B4C">
            <w:pPr>
              <w:suppressAutoHyphens/>
              <w:jc w:val="center"/>
              <w:rPr>
                <w:rFonts w:ascii="Arial" w:eastAsia="Calibri" w:hAnsi="Arial"/>
                <w:b/>
                <w:sz w:val="16"/>
                <w:szCs w:val="23"/>
              </w:rPr>
            </w:pPr>
          </w:p>
        </w:tc>
      </w:tr>
      <w:tr w:rsidR="00140B4C" w:rsidRPr="00140B4C" w:rsidTr="006458D4">
        <w:trPr>
          <w:trHeight w:val="216"/>
          <w:jc w:val="center"/>
        </w:trPr>
        <w:tc>
          <w:tcPr>
            <w:tcW w:w="9106" w:type="dxa"/>
            <w:gridSpan w:val="8"/>
            <w:tcBorders>
              <w:top w:val="single" w:sz="4" w:space="0" w:color="009900"/>
              <w:left w:val="single" w:sz="4" w:space="0" w:color="009900"/>
              <w:bottom w:val="dotted" w:sz="4" w:space="0" w:color="009900"/>
              <w:right w:val="single" w:sz="4" w:space="0" w:color="009900"/>
            </w:tcBorders>
            <w:shd w:val="clear" w:color="000000" w:fill="FFFFE1"/>
            <w:noWrap/>
            <w:vAlign w:val="center"/>
            <w:hideMark/>
          </w:tcPr>
          <w:p w:rsidR="00140B4C" w:rsidRPr="00140B4C" w:rsidRDefault="00140B4C" w:rsidP="00140B4C">
            <w:pPr>
              <w:suppressAutoHyphens/>
              <w:jc w:val="center"/>
              <w:rPr>
                <w:rFonts w:ascii="Arial" w:eastAsia="Calibri" w:hAnsi="Arial"/>
                <w:b/>
                <w:sz w:val="16"/>
                <w:szCs w:val="23"/>
              </w:rPr>
            </w:pPr>
            <w:r w:rsidRPr="00140B4C">
              <w:rPr>
                <w:rFonts w:ascii="Arial" w:eastAsia="Calibri" w:hAnsi="Arial"/>
                <w:b/>
                <w:sz w:val="16"/>
                <w:szCs w:val="23"/>
              </w:rPr>
              <w:t>Owner</w:t>
            </w:r>
          </w:p>
        </w:tc>
      </w:tr>
      <w:tr w:rsidR="00140B4C" w:rsidRPr="00140B4C" w:rsidTr="006458D4">
        <w:trPr>
          <w:trHeight w:val="216"/>
          <w:jc w:val="center"/>
        </w:trPr>
        <w:tc>
          <w:tcPr>
            <w:tcW w:w="1638" w:type="dxa"/>
            <w:tcBorders>
              <w:top w:val="nil"/>
              <w:left w:val="single" w:sz="4" w:space="0" w:color="009900"/>
              <w:bottom w:val="nil"/>
              <w:right w:val="nil"/>
            </w:tcBorders>
            <w:shd w:val="clear" w:color="000000" w:fill="FFFFE1"/>
            <w:noWrap/>
            <w:vAlign w:val="center"/>
            <w:hideMark/>
          </w:tcPr>
          <w:p w:rsidR="00140B4C" w:rsidRPr="00140B4C" w:rsidRDefault="00140B4C" w:rsidP="00140B4C">
            <w:pPr>
              <w:suppressAutoHyphens/>
              <w:rPr>
                <w:rFonts w:ascii="Arial" w:eastAsia="Calibri" w:hAnsi="Arial"/>
                <w:sz w:val="16"/>
                <w:szCs w:val="23"/>
              </w:rPr>
            </w:pPr>
            <w:r w:rsidRPr="00140B4C">
              <w:rPr>
                <w:rFonts w:ascii="Arial" w:eastAsia="Calibri" w:hAnsi="Arial"/>
                <w:sz w:val="16"/>
                <w:szCs w:val="23"/>
              </w:rPr>
              <w:t>2000 Census</w:t>
            </w:r>
          </w:p>
        </w:tc>
        <w:tc>
          <w:tcPr>
            <w:tcW w:w="1132" w:type="dxa"/>
            <w:tcBorders>
              <w:top w:val="nil"/>
              <w:left w:val="nil"/>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443,974</w:t>
            </w:r>
          </w:p>
        </w:tc>
        <w:tc>
          <w:tcPr>
            <w:tcW w:w="990" w:type="dxa"/>
            <w:tcBorders>
              <w:top w:val="nil"/>
              <w:left w:val="nil"/>
              <w:bottom w:val="nil"/>
              <w:right w:val="dotted" w:sz="4" w:space="0" w:color="009900"/>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93.6</w:t>
            </w:r>
            <w:r w:rsidRPr="00140B4C">
              <w:rPr>
                <w:rFonts w:ascii="Arial" w:eastAsia="Calibri" w:hAnsi="Arial"/>
                <w:sz w:val="16"/>
                <w:szCs w:val="23"/>
              </w:rPr>
              <w:t>%</w:t>
            </w:r>
          </w:p>
        </w:tc>
        <w:tc>
          <w:tcPr>
            <w:tcW w:w="1176" w:type="dxa"/>
            <w:tcBorders>
              <w:top w:val="nil"/>
              <w:left w:val="dotted" w:sz="4" w:space="0" w:color="009900"/>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17,837</w:t>
            </w:r>
          </w:p>
        </w:tc>
        <w:tc>
          <w:tcPr>
            <w:tcW w:w="1058" w:type="dxa"/>
            <w:tcBorders>
              <w:top w:val="nil"/>
              <w:left w:val="nil"/>
              <w:bottom w:val="nil"/>
              <w:right w:val="dotted" w:sz="4" w:space="0" w:color="009900"/>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3.8</w:t>
            </w:r>
            <w:r w:rsidRPr="00140B4C">
              <w:rPr>
                <w:rFonts w:ascii="Arial" w:eastAsia="Calibri" w:hAnsi="Arial"/>
                <w:sz w:val="16"/>
                <w:szCs w:val="23"/>
              </w:rPr>
              <w:t>%</w:t>
            </w:r>
          </w:p>
        </w:tc>
        <w:tc>
          <w:tcPr>
            <w:tcW w:w="1132" w:type="dxa"/>
            <w:tcBorders>
              <w:top w:val="nil"/>
              <w:left w:val="nil"/>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12,624</w:t>
            </w:r>
          </w:p>
        </w:tc>
        <w:tc>
          <w:tcPr>
            <w:tcW w:w="1052" w:type="dxa"/>
            <w:tcBorders>
              <w:top w:val="nil"/>
              <w:left w:val="nil"/>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2.7</w:t>
            </w:r>
            <w:r w:rsidRPr="00140B4C">
              <w:rPr>
                <w:rFonts w:ascii="Arial" w:eastAsia="Calibri" w:hAnsi="Arial"/>
                <w:sz w:val="16"/>
                <w:szCs w:val="23"/>
              </w:rPr>
              <w:t>%</w:t>
            </w:r>
          </w:p>
        </w:tc>
        <w:tc>
          <w:tcPr>
            <w:tcW w:w="928" w:type="dxa"/>
            <w:tcBorders>
              <w:top w:val="nil"/>
              <w:left w:val="dotted" w:sz="4" w:space="0" w:color="009900"/>
              <w:bottom w:val="nil"/>
              <w:right w:val="single" w:sz="4" w:space="0" w:color="009900"/>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474,435</w:t>
            </w:r>
          </w:p>
        </w:tc>
      </w:tr>
      <w:tr w:rsidR="00140B4C" w:rsidRPr="00140B4C" w:rsidTr="006458D4">
        <w:trPr>
          <w:trHeight w:val="216"/>
          <w:jc w:val="center"/>
        </w:trPr>
        <w:tc>
          <w:tcPr>
            <w:tcW w:w="1638" w:type="dxa"/>
            <w:tcBorders>
              <w:top w:val="nil"/>
              <w:left w:val="single" w:sz="4" w:space="0" w:color="009900"/>
              <w:bottom w:val="nil"/>
              <w:right w:val="nil"/>
            </w:tcBorders>
            <w:shd w:val="clear" w:color="000000" w:fill="FFFFE1"/>
            <w:noWrap/>
            <w:vAlign w:val="center"/>
            <w:hideMark/>
          </w:tcPr>
          <w:p w:rsidR="00140B4C" w:rsidRPr="00140B4C" w:rsidRDefault="00140B4C" w:rsidP="00F109E4">
            <w:pPr>
              <w:suppressAutoHyphens/>
              <w:ind w:right="-143"/>
              <w:rPr>
                <w:rFonts w:ascii="Arial" w:eastAsia="Calibri" w:hAnsi="Arial"/>
                <w:sz w:val="16"/>
                <w:szCs w:val="23"/>
              </w:rPr>
            </w:pPr>
            <w:r w:rsidRPr="00140B4C">
              <w:rPr>
                <w:rFonts w:ascii="Arial" w:eastAsia="Calibri" w:hAnsi="Arial"/>
                <w:sz w:val="16"/>
                <w:szCs w:val="23"/>
              </w:rPr>
              <w:t>201</w:t>
            </w:r>
            <w:r w:rsidR="00F109E4">
              <w:rPr>
                <w:rFonts w:ascii="Arial" w:eastAsia="Calibri" w:hAnsi="Arial"/>
                <w:sz w:val="16"/>
                <w:szCs w:val="23"/>
              </w:rPr>
              <w:t>2</w:t>
            </w:r>
            <w:r w:rsidRPr="00140B4C">
              <w:rPr>
                <w:rFonts w:ascii="Arial" w:eastAsia="Calibri" w:hAnsi="Arial"/>
                <w:sz w:val="16"/>
                <w:szCs w:val="23"/>
              </w:rPr>
              <w:t xml:space="preserve"> Five-Year ACS </w:t>
            </w:r>
          </w:p>
        </w:tc>
        <w:tc>
          <w:tcPr>
            <w:tcW w:w="1132" w:type="dxa"/>
            <w:tcBorders>
              <w:top w:val="nil"/>
              <w:left w:val="nil"/>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512,585</w:t>
            </w:r>
          </w:p>
        </w:tc>
        <w:tc>
          <w:tcPr>
            <w:tcW w:w="990" w:type="dxa"/>
            <w:tcBorders>
              <w:top w:val="nil"/>
              <w:left w:val="nil"/>
              <w:bottom w:val="nil"/>
              <w:right w:val="dotted" w:sz="4" w:space="0" w:color="009900"/>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97.4</w:t>
            </w:r>
            <w:r w:rsidRPr="00140B4C">
              <w:rPr>
                <w:rFonts w:ascii="Arial" w:eastAsia="Calibri" w:hAnsi="Arial"/>
                <w:sz w:val="16"/>
                <w:szCs w:val="23"/>
              </w:rPr>
              <w:t>%</w:t>
            </w:r>
          </w:p>
        </w:tc>
        <w:tc>
          <w:tcPr>
            <w:tcW w:w="1176" w:type="dxa"/>
            <w:tcBorders>
              <w:top w:val="nil"/>
              <w:left w:val="dotted" w:sz="4" w:space="0" w:color="009900"/>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10,355</w:t>
            </w:r>
          </w:p>
        </w:tc>
        <w:tc>
          <w:tcPr>
            <w:tcW w:w="1058" w:type="dxa"/>
            <w:tcBorders>
              <w:top w:val="nil"/>
              <w:left w:val="nil"/>
              <w:bottom w:val="single" w:sz="4" w:space="0" w:color="009900"/>
              <w:right w:val="dotted" w:sz="4" w:space="0" w:color="009900"/>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2.0</w:t>
            </w:r>
            <w:r w:rsidRPr="00140B4C">
              <w:rPr>
                <w:rFonts w:ascii="Arial" w:eastAsia="Calibri" w:hAnsi="Arial"/>
                <w:sz w:val="16"/>
                <w:szCs w:val="23"/>
              </w:rPr>
              <w:t>%</w:t>
            </w:r>
          </w:p>
        </w:tc>
        <w:tc>
          <w:tcPr>
            <w:tcW w:w="1132" w:type="dxa"/>
            <w:tcBorders>
              <w:top w:val="nil"/>
              <w:left w:val="nil"/>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3,555</w:t>
            </w:r>
          </w:p>
        </w:tc>
        <w:tc>
          <w:tcPr>
            <w:tcW w:w="1052" w:type="dxa"/>
            <w:tcBorders>
              <w:top w:val="nil"/>
              <w:left w:val="nil"/>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.7</w:t>
            </w:r>
            <w:r w:rsidRPr="00140B4C">
              <w:rPr>
                <w:rFonts w:ascii="Arial" w:eastAsia="Calibri" w:hAnsi="Arial"/>
                <w:sz w:val="16"/>
                <w:szCs w:val="23"/>
              </w:rPr>
              <w:t>%</w:t>
            </w:r>
          </w:p>
        </w:tc>
        <w:tc>
          <w:tcPr>
            <w:tcW w:w="928" w:type="dxa"/>
            <w:tcBorders>
              <w:top w:val="nil"/>
              <w:left w:val="dotted" w:sz="4" w:space="0" w:color="009900"/>
              <w:bottom w:val="single" w:sz="4" w:space="0" w:color="009900"/>
              <w:right w:val="single" w:sz="4" w:space="0" w:color="009900"/>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526,495</w:t>
            </w:r>
          </w:p>
        </w:tc>
      </w:tr>
      <w:tr w:rsidR="00140B4C" w:rsidRPr="00140B4C" w:rsidTr="006458D4">
        <w:trPr>
          <w:trHeight w:val="216"/>
          <w:jc w:val="center"/>
        </w:trPr>
        <w:tc>
          <w:tcPr>
            <w:tcW w:w="9106" w:type="dxa"/>
            <w:gridSpan w:val="8"/>
            <w:tcBorders>
              <w:top w:val="single" w:sz="4" w:space="0" w:color="009900"/>
              <w:left w:val="single" w:sz="4" w:space="0" w:color="009900"/>
              <w:bottom w:val="dotted" w:sz="4" w:space="0" w:color="009900"/>
              <w:right w:val="single" w:sz="4" w:space="0" w:color="009900"/>
            </w:tcBorders>
            <w:shd w:val="clear" w:color="000000" w:fill="FFFFE1"/>
            <w:noWrap/>
            <w:vAlign w:val="center"/>
            <w:hideMark/>
          </w:tcPr>
          <w:p w:rsidR="00140B4C" w:rsidRPr="00140B4C" w:rsidRDefault="00140B4C" w:rsidP="00140B4C">
            <w:pPr>
              <w:suppressAutoHyphens/>
              <w:jc w:val="center"/>
              <w:rPr>
                <w:rFonts w:ascii="Arial" w:eastAsia="Calibri" w:hAnsi="Arial"/>
                <w:b/>
                <w:sz w:val="16"/>
                <w:szCs w:val="23"/>
              </w:rPr>
            </w:pPr>
            <w:r w:rsidRPr="00140B4C">
              <w:rPr>
                <w:rFonts w:ascii="Arial" w:eastAsia="Calibri" w:hAnsi="Arial"/>
                <w:b/>
                <w:sz w:val="16"/>
                <w:szCs w:val="23"/>
              </w:rPr>
              <w:t>Renter</w:t>
            </w:r>
          </w:p>
        </w:tc>
      </w:tr>
      <w:tr w:rsidR="00140B4C" w:rsidRPr="00140B4C" w:rsidTr="006458D4">
        <w:trPr>
          <w:trHeight w:val="216"/>
          <w:jc w:val="center"/>
        </w:trPr>
        <w:tc>
          <w:tcPr>
            <w:tcW w:w="1638" w:type="dxa"/>
            <w:tcBorders>
              <w:top w:val="nil"/>
              <w:left w:val="single" w:sz="4" w:space="0" w:color="009900"/>
              <w:bottom w:val="nil"/>
              <w:right w:val="nil"/>
            </w:tcBorders>
            <w:shd w:val="clear" w:color="000000" w:fill="FFFFE1"/>
            <w:noWrap/>
            <w:vAlign w:val="center"/>
            <w:hideMark/>
          </w:tcPr>
          <w:p w:rsidR="00140B4C" w:rsidRPr="00140B4C" w:rsidRDefault="00140B4C" w:rsidP="00140B4C">
            <w:pPr>
              <w:suppressAutoHyphens/>
              <w:rPr>
                <w:rFonts w:ascii="Arial" w:eastAsia="Calibri" w:hAnsi="Arial"/>
                <w:sz w:val="16"/>
                <w:szCs w:val="23"/>
              </w:rPr>
            </w:pPr>
            <w:r w:rsidRPr="00140B4C">
              <w:rPr>
                <w:rFonts w:ascii="Arial" w:eastAsia="Calibri" w:hAnsi="Arial"/>
                <w:sz w:val="16"/>
                <w:szCs w:val="23"/>
              </w:rPr>
              <w:t>2000 Census</w:t>
            </w:r>
          </w:p>
        </w:tc>
        <w:tc>
          <w:tcPr>
            <w:tcW w:w="1132" w:type="dxa"/>
            <w:tcBorders>
              <w:top w:val="nil"/>
              <w:left w:val="nil"/>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183,459</w:t>
            </w:r>
          </w:p>
        </w:tc>
        <w:tc>
          <w:tcPr>
            <w:tcW w:w="990" w:type="dxa"/>
            <w:tcBorders>
              <w:top w:val="nil"/>
              <w:left w:val="nil"/>
              <w:bottom w:val="nil"/>
              <w:right w:val="dotted" w:sz="4" w:space="0" w:color="009900"/>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90.1</w:t>
            </w:r>
            <w:r w:rsidRPr="00140B4C">
              <w:rPr>
                <w:rFonts w:ascii="Arial" w:eastAsia="Calibri" w:hAnsi="Arial"/>
                <w:sz w:val="16"/>
                <w:szCs w:val="23"/>
              </w:rPr>
              <w:t>%</w:t>
            </w:r>
          </w:p>
        </w:tc>
        <w:tc>
          <w:tcPr>
            <w:tcW w:w="1176" w:type="dxa"/>
            <w:tcBorders>
              <w:top w:val="nil"/>
              <w:left w:val="dotted" w:sz="4" w:space="0" w:color="009900"/>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10,678</w:t>
            </w:r>
          </w:p>
        </w:tc>
        <w:tc>
          <w:tcPr>
            <w:tcW w:w="1058" w:type="dxa"/>
            <w:tcBorders>
              <w:top w:val="nil"/>
              <w:left w:val="nil"/>
              <w:bottom w:val="nil"/>
              <w:right w:val="dotted" w:sz="4" w:space="0" w:color="009900"/>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5.2</w:t>
            </w:r>
            <w:r w:rsidRPr="00140B4C">
              <w:rPr>
                <w:rFonts w:ascii="Arial" w:eastAsia="Calibri" w:hAnsi="Arial"/>
                <w:sz w:val="16"/>
                <w:szCs w:val="23"/>
              </w:rPr>
              <w:t>%</w:t>
            </w:r>
          </w:p>
        </w:tc>
        <w:tc>
          <w:tcPr>
            <w:tcW w:w="1132" w:type="dxa"/>
            <w:tcBorders>
              <w:top w:val="nil"/>
              <w:left w:val="nil"/>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9,399</w:t>
            </w:r>
          </w:p>
        </w:tc>
        <w:tc>
          <w:tcPr>
            <w:tcW w:w="1052" w:type="dxa"/>
            <w:tcBorders>
              <w:top w:val="nil"/>
              <w:left w:val="nil"/>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4.6</w:t>
            </w:r>
            <w:r w:rsidRPr="00140B4C">
              <w:rPr>
                <w:rFonts w:ascii="Arial" w:eastAsia="Calibri" w:hAnsi="Arial"/>
                <w:sz w:val="16"/>
                <w:szCs w:val="23"/>
              </w:rPr>
              <w:t>%</w:t>
            </w:r>
          </w:p>
        </w:tc>
        <w:tc>
          <w:tcPr>
            <w:tcW w:w="928" w:type="dxa"/>
            <w:tcBorders>
              <w:top w:val="nil"/>
              <w:left w:val="dotted" w:sz="4" w:space="0" w:color="009900"/>
              <w:bottom w:val="nil"/>
              <w:right w:val="single" w:sz="4" w:space="0" w:color="009900"/>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203,536</w:t>
            </w:r>
          </w:p>
        </w:tc>
      </w:tr>
      <w:tr w:rsidR="00140B4C" w:rsidRPr="00140B4C" w:rsidTr="006458D4">
        <w:trPr>
          <w:trHeight w:val="216"/>
          <w:jc w:val="center"/>
        </w:trPr>
        <w:tc>
          <w:tcPr>
            <w:tcW w:w="1638" w:type="dxa"/>
            <w:tcBorders>
              <w:top w:val="nil"/>
              <w:left w:val="single" w:sz="4" w:space="0" w:color="009900"/>
              <w:bottom w:val="nil"/>
              <w:right w:val="nil"/>
            </w:tcBorders>
            <w:shd w:val="clear" w:color="000000" w:fill="FFFFE1"/>
            <w:noWrap/>
            <w:vAlign w:val="center"/>
            <w:hideMark/>
          </w:tcPr>
          <w:p w:rsidR="00140B4C" w:rsidRPr="00140B4C" w:rsidRDefault="00140B4C" w:rsidP="00F109E4">
            <w:pPr>
              <w:suppressAutoHyphens/>
              <w:ind w:right="-143"/>
              <w:rPr>
                <w:rFonts w:ascii="Arial" w:eastAsia="Calibri" w:hAnsi="Arial"/>
                <w:sz w:val="16"/>
                <w:szCs w:val="23"/>
              </w:rPr>
            </w:pPr>
            <w:r w:rsidRPr="00140B4C">
              <w:rPr>
                <w:rFonts w:ascii="Arial" w:eastAsia="Calibri" w:hAnsi="Arial"/>
                <w:sz w:val="16"/>
                <w:szCs w:val="23"/>
              </w:rPr>
              <w:t>201</w:t>
            </w:r>
            <w:r w:rsidR="00F109E4">
              <w:rPr>
                <w:rFonts w:ascii="Arial" w:eastAsia="Calibri" w:hAnsi="Arial"/>
                <w:sz w:val="16"/>
                <w:szCs w:val="23"/>
              </w:rPr>
              <w:t>2</w:t>
            </w:r>
            <w:r w:rsidRPr="00140B4C">
              <w:rPr>
                <w:rFonts w:ascii="Arial" w:eastAsia="Calibri" w:hAnsi="Arial"/>
                <w:sz w:val="16"/>
                <w:szCs w:val="23"/>
              </w:rPr>
              <w:t xml:space="preserve"> Five-Year ACS </w:t>
            </w:r>
          </w:p>
        </w:tc>
        <w:tc>
          <w:tcPr>
            <w:tcW w:w="1132" w:type="dxa"/>
            <w:tcBorders>
              <w:top w:val="nil"/>
              <w:left w:val="nil"/>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225,083</w:t>
            </w:r>
          </w:p>
        </w:tc>
        <w:tc>
          <w:tcPr>
            <w:tcW w:w="990" w:type="dxa"/>
            <w:tcBorders>
              <w:top w:val="nil"/>
              <w:left w:val="nil"/>
              <w:bottom w:val="nil"/>
              <w:right w:val="dotted" w:sz="4" w:space="0" w:color="009900"/>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94.8</w:t>
            </w:r>
            <w:r w:rsidRPr="00140B4C">
              <w:rPr>
                <w:rFonts w:ascii="Arial" w:eastAsia="Calibri" w:hAnsi="Arial"/>
                <w:sz w:val="16"/>
                <w:szCs w:val="23"/>
              </w:rPr>
              <w:t>%</w:t>
            </w:r>
          </w:p>
        </w:tc>
        <w:tc>
          <w:tcPr>
            <w:tcW w:w="1176" w:type="dxa"/>
            <w:tcBorders>
              <w:top w:val="nil"/>
              <w:left w:val="dotted" w:sz="4" w:space="0" w:color="009900"/>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8,172</w:t>
            </w:r>
          </w:p>
        </w:tc>
        <w:tc>
          <w:tcPr>
            <w:tcW w:w="1058" w:type="dxa"/>
            <w:tcBorders>
              <w:top w:val="nil"/>
              <w:left w:val="nil"/>
              <w:bottom w:val="single" w:sz="4" w:space="0" w:color="009900"/>
              <w:right w:val="dotted" w:sz="4" w:space="0" w:color="009900"/>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3.4</w:t>
            </w:r>
            <w:r w:rsidRPr="00140B4C">
              <w:rPr>
                <w:rFonts w:ascii="Arial" w:eastAsia="Calibri" w:hAnsi="Arial"/>
                <w:sz w:val="16"/>
                <w:szCs w:val="23"/>
              </w:rPr>
              <w:t>%</w:t>
            </w:r>
          </w:p>
        </w:tc>
        <w:tc>
          <w:tcPr>
            <w:tcW w:w="1132" w:type="dxa"/>
            <w:tcBorders>
              <w:top w:val="nil"/>
              <w:left w:val="nil"/>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4,094</w:t>
            </w:r>
          </w:p>
        </w:tc>
        <w:tc>
          <w:tcPr>
            <w:tcW w:w="1052" w:type="dxa"/>
            <w:tcBorders>
              <w:top w:val="nil"/>
              <w:left w:val="nil"/>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1.7</w:t>
            </w:r>
            <w:r w:rsidRPr="00140B4C">
              <w:rPr>
                <w:rFonts w:ascii="Arial" w:eastAsia="Calibri" w:hAnsi="Arial"/>
                <w:sz w:val="16"/>
                <w:szCs w:val="23"/>
              </w:rPr>
              <w:t>%</w:t>
            </w:r>
          </w:p>
        </w:tc>
        <w:tc>
          <w:tcPr>
            <w:tcW w:w="928" w:type="dxa"/>
            <w:tcBorders>
              <w:top w:val="nil"/>
              <w:left w:val="dotted" w:sz="4" w:space="0" w:color="009900"/>
              <w:bottom w:val="single" w:sz="4" w:space="0" w:color="009900"/>
              <w:right w:val="single" w:sz="4" w:space="0" w:color="009900"/>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237,349</w:t>
            </w:r>
          </w:p>
        </w:tc>
      </w:tr>
      <w:tr w:rsidR="00140B4C" w:rsidRPr="00140B4C" w:rsidTr="006458D4">
        <w:trPr>
          <w:trHeight w:val="216"/>
          <w:jc w:val="center"/>
        </w:trPr>
        <w:tc>
          <w:tcPr>
            <w:tcW w:w="9106" w:type="dxa"/>
            <w:gridSpan w:val="8"/>
            <w:tcBorders>
              <w:top w:val="single" w:sz="4" w:space="0" w:color="009900"/>
              <w:left w:val="single" w:sz="4" w:space="0" w:color="009900"/>
              <w:bottom w:val="single" w:sz="4" w:space="0" w:color="009900"/>
              <w:right w:val="single" w:sz="4" w:space="0" w:color="009900"/>
            </w:tcBorders>
            <w:shd w:val="clear" w:color="000000" w:fill="FFFFE1"/>
            <w:noWrap/>
            <w:vAlign w:val="center"/>
            <w:hideMark/>
          </w:tcPr>
          <w:p w:rsidR="00140B4C" w:rsidRPr="00140B4C" w:rsidRDefault="00140B4C" w:rsidP="00140B4C">
            <w:pPr>
              <w:suppressAutoHyphens/>
              <w:jc w:val="center"/>
              <w:rPr>
                <w:rFonts w:ascii="Arial" w:eastAsia="Calibri" w:hAnsi="Arial"/>
                <w:b/>
                <w:sz w:val="16"/>
                <w:szCs w:val="23"/>
              </w:rPr>
            </w:pPr>
            <w:r w:rsidRPr="00140B4C">
              <w:rPr>
                <w:rFonts w:ascii="Arial" w:eastAsia="Calibri" w:hAnsi="Arial"/>
                <w:b/>
                <w:sz w:val="16"/>
                <w:szCs w:val="23"/>
              </w:rPr>
              <w:t>Total</w:t>
            </w:r>
          </w:p>
        </w:tc>
      </w:tr>
      <w:tr w:rsidR="00140B4C" w:rsidRPr="00140B4C" w:rsidTr="006458D4">
        <w:trPr>
          <w:trHeight w:val="216"/>
          <w:jc w:val="center"/>
        </w:trPr>
        <w:tc>
          <w:tcPr>
            <w:tcW w:w="1638" w:type="dxa"/>
            <w:tcBorders>
              <w:top w:val="nil"/>
              <w:left w:val="single" w:sz="4" w:space="0" w:color="009900"/>
              <w:bottom w:val="nil"/>
              <w:right w:val="nil"/>
            </w:tcBorders>
            <w:shd w:val="clear" w:color="000000" w:fill="FFFFE1"/>
            <w:noWrap/>
            <w:vAlign w:val="center"/>
            <w:hideMark/>
          </w:tcPr>
          <w:p w:rsidR="00140B4C" w:rsidRPr="00140B4C" w:rsidRDefault="00140B4C" w:rsidP="00140B4C">
            <w:pPr>
              <w:suppressAutoHyphens/>
              <w:rPr>
                <w:rFonts w:ascii="Arial" w:eastAsia="Calibri" w:hAnsi="Arial"/>
                <w:sz w:val="16"/>
                <w:szCs w:val="23"/>
              </w:rPr>
            </w:pPr>
            <w:r w:rsidRPr="00140B4C">
              <w:rPr>
                <w:rFonts w:ascii="Arial" w:eastAsia="Calibri" w:hAnsi="Arial"/>
                <w:sz w:val="16"/>
                <w:szCs w:val="23"/>
              </w:rPr>
              <w:t>2000 Census</w:t>
            </w:r>
          </w:p>
        </w:tc>
        <w:tc>
          <w:tcPr>
            <w:tcW w:w="1132" w:type="dxa"/>
            <w:tcBorders>
              <w:top w:val="nil"/>
              <w:left w:val="nil"/>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627,433</w:t>
            </w:r>
          </w:p>
        </w:tc>
        <w:tc>
          <w:tcPr>
            <w:tcW w:w="990" w:type="dxa"/>
            <w:tcBorders>
              <w:top w:val="nil"/>
              <w:left w:val="nil"/>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92.5</w:t>
            </w:r>
            <w:r w:rsidRPr="00140B4C">
              <w:rPr>
                <w:rFonts w:ascii="Arial" w:eastAsia="Calibri" w:hAnsi="Arial"/>
                <w:sz w:val="16"/>
                <w:szCs w:val="23"/>
              </w:rPr>
              <w:t>%</w:t>
            </w:r>
          </w:p>
        </w:tc>
        <w:tc>
          <w:tcPr>
            <w:tcW w:w="1176" w:type="dxa"/>
            <w:tcBorders>
              <w:top w:val="nil"/>
              <w:left w:val="dotted" w:sz="4" w:space="0" w:color="009900"/>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28,515</w:t>
            </w:r>
          </w:p>
        </w:tc>
        <w:tc>
          <w:tcPr>
            <w:tcW w:w="1058" w:type="dxa"/>
            <w:tcBorders>
              <w:top w:val="nil"/>
              <w:left w:val="nil"/>
              <w:bottom w:val="nil"/>
              <w:right w:val="dotted" w:sz="4" w:space="0" w:color="009900"/>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4.2</w:t>
            </w:r>
            <w:r w:rsidRPr="00140B4C">
              <w:rPr>
                <w:rFonts w:ascii="Arial" w:eastAsia="Calibri" w:hAnsi="Arial"/>
                <w:sz w:val="16"/>
                <w:szCs w:val="23"/>
              </w:rPr>
              <w:t>%</w:t>
            </w:r>
          </w:p>
        </w:tc>
        <w:tc>
          <w:tcPr>
            <w:tcW w:w="1132" w:type="dxa"/>
            <w:tcBorders>
              <w:top w:val="nil"/>
              <w:left w:val="nil"/>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22,023</w:t>
            </w:r>
          </w:p>
        </w:tc>
        <w:tc>
          <w:tcPr>
            <w:tcW w:w="1052" w:type="dxa"/>
            <w:tcBorders>
              <w:top w:val="nil"/>
              <w:left w:val="nil"/>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3.2</w:t>
            </w:r>
            <w:r w:rsidRPr="00140B4C">
              <w:rPr>
                <w:rFonts w:ascii="Arial" w:eastAsia="Calibri" w:hAnsi="Arial"/>
                <w:sz w:val="16"/>
                <w:szCs w:val="23"/>
              </w:rPr>
              <w:t>%</w:t>
            </w:r>
          </w:p>
        </w:tc>
        <w:tc>
          <w:tcPr>
            <w:tcW w:w="928" w:type="dxa"/>
            <w:tcBorders>
              <w:top w:val="nil"/>
              <w:left w:val="dotted" w:sz="4" w:space="0" w:color="009900"/>
              <w:bottom w:val="nil"/>
              <w:right w:val="single" w:sz="4" w:space="0" w:color="009900"/>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677,971</w:t>
            </w:r>
          </w:p>
        </w:tc>
      </w:tr>
      <w:tr w:rsidR="00140B4C" w:rsidRPr="00140B4C" w:rsidTr="006458D4">
        <w:trPr>
          <w:trHeight w:val="216"/>
          <w:jc w:val="center"/>
        </w:trPr>
        <w:tc>
          <w:tcPr>
            <w:tcW w:w="1638" w:type="dxa"/>
            <w:tcBorders>
              <w:top w:val="nil"/>
              <w:left w:val="single" w:sz="4" w:space="0" w:color="009900"/>
              <w:bottom w:val="single" w:sz="4" w:space="0" w:color="009900"/>
              <w:right w:val="nil"/>
            </w:tcBorders>
            <w:shd w:val="clear" w:color="000000" w:fill="FFFFE1"/>
            <w:noWrap/>
            <w:vAlign w:val="center"/>
            <w:hideMark/>
          </w:tcPr>
          <w:p w:rsidR="00140B4C" w:rsidRPr="00140B4C" w:rsidRDefault="00140B4C" w:rsidP="00F109E4">
            <w:pPr>
              <w:suppressAutoHyphens/>
              <w:ind w:right="-143"/>
              <w:rPr>
                <w:rFonts w:ascii="Arial" w:eastAsia="Calibri" w:hAnsi="Arial"/>
                <w:sz w:val="16"/>
                <w:szCs w:val="23"/>
              </w:rPr>
            </w:pPr>
            <w:r w:rsidRPr="00140B4C">
              <w:rPr>
                <w:rFonts w:ascii="Arial" w:eastAsia="Calibri" w:hAnsi="Arial"/>
                <w:sz w:val="16"/>
                <w:szCs w:val="23"/>
              </w:rPr>
              <w:t>201</w:t>
            </w:r>
            <w:r w:rsidR="00F109E4">
              <w:rPr>
                <w:rFonts w:ascii="Arial" w:eastAsia="Calibri" w:hAnsi="Arial"/>
                <w:sz w:val="16"/>
                <w:szCs w:val="23"/>
              </w:rPr>
              <w:t>2</w:t>
            </w:r>
            <w:r w:rsidRPr="00140B4C">
              <w:rPr>
                <w:rFonts w:ascii="Arial" w:eastAsia="Calibri" w:hAnsi="Arial"/>
                <w:sz w:val="16"/>
                <w:szCs w:val="23"/>
              </w:rPr>
              <w:t xml:space="preserve"> Five-Year ACS </w:t>
            </w:r>
          </w:p>
        </w:tc>
        <w:tc>
          <w:tcPr>
            <w:tcW w:w="1132" w:type="dxa"/>
            <w:tcBorders>
              <w:top w:val="nil"/>
              <w:left w:val="nil"/>
              <w:bottom w:val="single" w:sz="4" w:space="0" w:color="009900"/>
              <w:right w:val="nil"/>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737,668</w:t>
            </w:r>
          </w:p>
        </w:tc>
        <w:tc>
          <w:tcPr>
            <w:tcW w:w="990" w:type="dxa"/>
            <w:tcBorders>
              <w:top w:val="nil"/>
              <w:left w:val="nil"/>
              <w:bottom w:val="single" w:sz="4" w:space="0" w:color="009900"/>
              <w:right w:val="nil"/>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96.6</w:t>
            </w:r>
            <w:r w:rsidRPr="00140B4C">
              <w:rPr>
                <w:rFonts w:ascii="Arial" w:eastAsia="Calibri" w:hAnsi="Arial"/>
                <w:sz w:val="16"/>
                <w:szCs w:val="23"/>
              </w:rPr>
              <w:t>%</w:t>
            </w:r>
          </w:p>
        </w:tc>
        <w:tc>
          <w:tcPr>
            <w:tcW w:w="1176" w:type="dxa"/>
            <w:tcBorders>
              <w:top w:val="nil"/>
              <w:left w:val="dotted" w:sz="4" w:space="0" w:color="009900"/>
              <w:bottom w:val="single" w:sz="4" w:space="0" w:color="009900"/>
              <w:right w:val="nil"/>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18,527</w:t>
            </w:r>
          </w:p>
        </w:tc>
        <w:tc>
          <w:tcPr>
            <w:tcW w:w="1058" w:type="dxa"/>
            <w:tcBorders>
              <w:top w:val="nil"/>
              <w:left w:val="nil"/>
              <w:bottom w:val="single" w:sz="4" w:space="0" w:color="009900"/>
              <w:right w:val="dotted" w:sz="4" w:space="0" w:color="009900"/>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2.4</w:t>
            </w:r>
            <w:r w:rsidRPr="00140B4C">
              <w:rPr>
                <w:rFonts w:ascii="Arial" w:eastAsia="Calibri" w:hAnsi="Arial"/>
                <w:sz w:val="16"/>
                <w:szCs w:val="23"/>
              </w:rPr>
              <w:t>%</w:t>
            </w:r>
          </w:p>
        </w:tc>
        <w:tc>
          <w:tcPr>
            <w:tcW w:w="1132" w:type="dxa"/>
            <w:tcBorders>
              <w:top w:val="nil"/>
              <w:left w:val="nil"/>
              <w:bottom w:val="single" w:sz="4" w:space="0" w:color="009900"/>
              <w:right w:val="nil"/>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7,649</w:t>
            </w:r>
          </w:p>
        </w:tc>
        <w:tc>
          <w:tcPr>
            <w:tcW w:w="1052" w:type="dxa"/>
            <w:tcBorders>
              <w:top w:val="nil"/>
              <w:left w:val="nil"/>
              <w:bottom w:val="single" w:sz="4" w:space="0" w:color="009900"/>
              <w:right w:val="nil"/>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1.0</w:t>
            </w:r>
            <w:r w:rsidRPr="00140B4C">
              <w:rPr>
                <w:rFonts w:ascii="Arial" w:eastAsia="Calibri" w:hAnsi="Arial"/>
                <w:sz w:val="16"/>
                <w:szCs w:val="23"/>
              </w:rPr>
              <w:t>%</w:t>
            </w:r>
          </w:p>
        </w:tc>
        <w:tc>
          <w:tcPr>
            <w:tcW w:w="928" w:type="dxa"/>
            <w:tcBorders>
              <w:top w:val="nil"/>
              <w:left w:val="dotted" w:sz="4" w:space="0" w:color="009900"/>
              <w:bottom w:val="single" w:sz="4" w:space="0" w:color="009900"/>
              <w:right w:val="single" w:sz="4" w:space="0" w:color="009900"/>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763,844</w:t>
            </w:r>
          </w:p>
        </w:tc>
      </w:tr>
    </w:tbl>
    <w:p w:rsidR="00140B4C" w:rsidRPr="005471FD" w:rsidRDefault="00140B4C" w:rsidP="006028F7">
      <w:pPr>
        <w:rPr>
          <w:rFonts w:ascii="CG Omega" w:hAnsi="CG Omega"/>
          <w:bCs/>
          <w:highlight w:val="yellow"/>
        </w:rPr>
      </w:pPr>
    </w:p>
    <w:p w:rsidR="005471FD" w:rsidRDefault="005471FD">
      <w:pPr>
        <w:rPr>
          <w:rFonts w:ascii="CG Omega" w:hAnsi="CG Omega"/>
          <w:b/>
          <w:bCs/>
        </w:rPr>
      </w:pPr>
      <w:r>
        <w:rPr>
          <w:rFonts w:ascii="CG Omega" w:hAnsi="CG Omega"/>
          <w:b/>
          <w:bCs/>
        </w:rPr>
        <w:br w:type="page"/>
      </w:r>
    </w:p>
    <w:p w:rsidR="00B32AA7" w:rsidRPr="00FD096D" w:rsidRDefault="00B32AA7" w:rsidP="00B32AA7">
      <w:pPr>
        <w:rPr>
          <w:rFonts w:ascii="CG Omega" w:hAnsi="CG Omega"/>
          <w:b/>
          <w:bCs/>
        </w:rPr>
      </w:pPr>
      <w:r w:rsidRPr="00FD096D">
        <w:rPr>
          <w:rFonts w:ascii="CG Omega" w:hAnsi="CG Omega"/>
          <w:b/>
          <w:bCs/>
        </w:rPr>
        <w:t>Hous</w:t>
      </w:r>
      <w:r w:rsidR="00023C11" w:rsidRPr="00FD096D">
        <w:rPr>
          <w:rFonts w:ascii="CG Omega" w:hAnsi="CG Omega"/>
          <w:b/>
          <w:bCs/>
        </w:rPr>
        <w:t>eholds Lacking Complete Kitchen or Plumbing</w:t>
      </w:r>
      <w:r w:rsidRPr="00FD096D">
        <w:rPr>
          <w:rFonts w:ascii="CG Omega" w:hAnsi="CG Omega"/>
          <w:b/>
          <w:bCs/>
        </w:rPr>
        <w:t xml:space="preserve"> Facilities</w:t>
      </w:r>
    </w:p>
    <w:p w:rsidR="00595EF2" w:rsidRPr="005471FD" w:rsidRDefault="00595EF2" w:rsidP="00786E94">
      <w:pPr>
        <w:pStyle w:val="BodyText"/>
        <w:rPr>
          <w:rFonts w:ascii="CG Omega" w:hAnsi="CG Omega"/>
          <w:szCs w:val="24"/>
        </w:rPr>
      </w:pPr>
    </w:p>
    <w:p w:rsidR="00595EF2" w:rsidRPr="00FD096D" w:rsidRDefault="00786E94" w:rsidP="00023C11">
      <w:pPr>
        <w:pStyle w:val="BodyText"/>
        <w:rPr>
          <w:rFonts w:ascii="CG Omega" w:hAnsi="CG Omega"/>
        </w:rPr>
      </w:pPr>
      <w:r w:rsidRPr="00FD096D">
        <w:rPr>
          <w:rFonts w:ascii="CG Omega" w:hAnsi="CG Omega"/>
        </w:rPr>
        <w:t>According to the Census Bureau, a housing unit is classified as</w:t>
      </w:r>
      <w:r w:rsidR="00023C11" w:rsidRPr="00FD096D">
        <w:rPr>
          <w:rFonts w:ascii="CG Omega" w:hAnsi="CG Omega"/>
        </w:rPr>
        <w:t xml:space="preserve"> lacking complete kitchen</w:t>
      </w:r>
      <w:r w:rsidRPr="00FD096D">
        <w:rPr>
          <w:rFonts w:ascii="CG Omega" w:hAnsi="CG Omega"/>
        </w:rPr>
        <w:t xml:space="preserve"> faciliti</w:t>
      </w:r>
      <w:r w:rsidR="00684136" w:rsidRPr="00FD096D">
        <w:rPr>
          <w:rFonts w:ascii="CG Omega" w:hAnsi="CG Omega"/>
        </w:rPr>
        <w:t>es when any of the following is</w:t>
      </w:r>
      <w:r w:rsidRPr="00FD096D">
        <w:rPr>
          <w:rFonts w:ascii="CG Omega" w:hAnsi="CG Omega"/>
        </w:rPr>
        <w:t xml:space="preserve"> not present in a housing unit: </w:t>
      </w:r>
      <w:r w:rsidR="00023C11" w:rsidRPr="00FD096D">
        <w:rPr>
          <w:rFonts w:ascii="CG Omega" w:hAnsi="CG Omega"/>
        </w:rPr>
        <w:t>a sink with piped hot and cold water, a range or cook top and oven, and a refrigerator.</w:t>
      </w:r>
      <w:r w:rsidRPr="00FD096D">
        <w:rPr>
          <w:rFonts w:ascii="CG Omega" w:hAnsi="CG Omega"/>
        </w:rPr>
        <w:t xml:space="preserve">  Likewise, a housing </w:t>
      </w:r>
      <w:r w:rsidR="00292471" w:rsidRPr="00FD096D">
        <w:rPr>
          <w:rFonts w:ascii="CG Omega" w:hAnsi="CG Omega"/>
        </w:rPr>
        <w:t>unit is categorized as lacking complete plumbing facilities</w:t>
      </w:r>
      <w:r w:rsidRPr="00FD096D">
        <w:rPr>
          <w:rFonts w:ascii="CG Omega" w:hAnsi="CG Omega"/>
        </w:rPr>
        <w:t xml:space="preserve"> when any of the follow</w:t>
      </w:r>
      <w:r w:rsidR="00292471" w:rsidRPr="00FD096D">
        <w:rPr>
          <w:rFonts w:ascii="CG Omega" w:hAnsi="CG Omega"/>
        </w:rPr>
        <w:t>ing are missing from the housing unit</w:t>
      </w:r>
      <w:r w:rsidRPr="00FD096D">
        <w:rPr>
          <w:rFonts w:ascii="CG Omega" w:hAnsi="CG Omega"/>
        </w:rPr>
        <w:t xml:space="preserve">: </w:t>
      </w:r>
      <w:r w:rsidR="00023C11" w:rsidRPr="00FD096D">
        <w:rPr>
          <w:rFonts w:ascii="CG Omega" w:hAnsi="CG Omega"/>
        </w:rPr>
        <w:t xml:space="preserve">piped hot and cold water, a flush toilet, and a bathtub or shower. </w:t>
      </w:r>
      <w:r w:rsidR="009C3A2C" w:rsidRPr="00740E06">
        <w:rPr>
          <w:rFonts w:ascii="CG Omega" w:hAnsi="CG Omega"/>
        </w:rPr>
        <w:t>A l</w:t>
      </w:r>
      <w:r w:rsidR="00595EF2" w:rsidRPr="00740E06">
        <w:rPr>
          <w:rFonts w:ascii="CG Omega" w:hAnsi="CG Omega"/>
        </w:rPr>
        <w:t xml:space="preserve">ack </w:t>
      </w:r>
      <w:r w:rsidR="009C3A2C" w:rsidRPr="00740E06">
        <w:rPr>
          <w:rFonts w:ascii="CG Omega" w:hAnsi="CG Omega"/>
        </w:rPr>
        <w:t xml:space="preserve">of </w:t>
      </w:r>
      <w:r w:rsidR="00595EF2" w:rsidRPr="00740E06">
        <w:rPr>
          <w:rFonts w:ascii="CG Omega" w:hAnsi="CG Omega"/>
        </w:rPr>
        <w:t>these facilities indicates that the housing unit is likely to be unsuitable.</w:t>
      </w:r>
      <w:r w:rsidR="00595EF2" w:rsidRPr="00FD096D">
        <w:rPr>
          <w:rFonts w:ascii="CG Omega" w:hAnsi="CG Omega"/>
        </w:rPr>
        <w:t xml:space="preserve">  </w:t>
      </w:r>
    </w:p>
    <w:p w:rsidR="00140B4C" w:rsidRPr="005471FD" w:rsidRDefault="00140B4C" w:rsidP="00786E94">
      <w:pPr>
        <w:pStyle w:val="BodyText"/>
        <w:rPr>
          <w:rFonts w:ascii="CG Omega" w:hAnsi="CG Omega"/>
          <w:szCs w:val="24"/>
          <w:highlight w:val="yellow"/>
        </w:rPr>
      </w:pPr>
    </w:p>
    <w:p w:rsidR="00786E94" w:rsidRPr="00FD096D" w:rsidRDefault="00FD096D" w:rsidP="00786E94">
      <w:pPr>
        <w:pStyle w:val="BodyText"/>
        <w:rPr>
          <w:rFonts w:ascii="CG Omega" w:hAnsi="CG Omega"/>
        </w:rPr>
      </w:pPr>
      <w:r w:rsidRPr="00FD096D">
        <w:rPr>
          <w:rFonts w:ascii="CG Omega" w:hAnsi="CG Omega"/>
        </w:rPr>
        <w:t>Around 1.6 percent of the</w:t>
      </w:r>
      <w:r w:rsidR="006D7D84" w:rsidRPr="00FD096D">
        <w:rPr>
          <w:rFonts w:ascii="CG Omega" w:hAnsi="CG Omega"/>
        </w:rPr>
        <w:t xml:space="preserve"> housing stock </w:t>
      </w:r>
      <w:r w:rsidRPr="00FD096D">
        <w:rPr>
          <w:rFonts w:ascii="CG Omega" w:hAnsi="CG Omega"/>
        </w:rPr>
        <w:t xml:space="preserve">of the </w:t>
      </w:r>
      <w:r w:rsidR="005471FD">
        <w:rPr>
          <w:rFonts w:ascii="CG Omega" w:hAnsi="CG Omega"/>
        </w:rPr>
        <w:t>s</w:t>
      </w:r>
      <w:r w:rsidRPr="00FD096D">
        <w:rPr>
          <w:rFonts w:ascii="CG Omega" w:hAnsi="CG Omega"/>
        </w:rPr>
        <w:t>tate of New Mexico lacked</w:t>
      </w:r>
      <w:r w:rsidR="006D7D84" w:rsidRPr="00FD096D">
        <w:rPr>
          <w:rFonts w:ascii="CG Omega" w:hAnsi="CG Omega"/>
        </w:rPr>
        <w:t xml:space="preserve"> complete kitchen facilities at the time of the 2000 census.  Th</w:t>
      </w:r>
      <w:r w:rsidRPr="00FD096D">
        <w:rPr>
          <w:rFonts w:ascii="CG Omega" w:hAnsi="CG Omega"/>
        </w:rPr>
        <w:t>is figure represented about 10,884</w:t>
      </w:r>
      <w:r w:rsidR="00B17260" w:rsidRPr="00FD096D">
        <w:rPr>
          <w:rFonts w:ascii="CG Omega" w:hAnsi="CG Omega"/>
        </w:rPr>
        <w:t xml:space="preserve"> units, as shown in </w:t>
      </w:r>
      <w:r w:rsidR="00B17260" w:rsidRPr="005471FD">
        <w:rPr>
          <w:rFonts w:ascii="CG Omega" w:hAnsi="CG Omega"/>
          <w:b/>
        </w:rPr>
        <w:t>Table IV.</w:t>
      </w:r>
      <w:r w:rsidR="00321774" w:rsidRPr="005471FD">
        <w:rPr>
          <w:rFonts w:ascii="CG Omega" w:hAnsi="CG Omega"/>
          <w:b/>
        </w:rPr>
        <w:t>9</w:t>
      </w:r>
      <w:r w:rsidR="00A776CA">
        <w:rPr>
          <w:rFonts w:ascii="CG Omega" w:hAnsi="CG Omega"/>
        </w:rPr>
        <w:t>,</w:t>
      </w:r>
      <w:r w:rsidRPr="00FD096D">
        <w:rPr>
          <w:rFonts w:ascii="CG Omega" w:hAnsi="CG Omega"/>
        </w:rPr>
        <w:t xml:space="preserve"> below.</w:t>
      </w:r>
      <w:r>
        <w:rPr>
          <w:rFonts w:ascii="CG Omega" w:hAnsi="CG Omega"/>
        </w:rPr>
        <w:t xml:space="preserve"> By 2012, the proportion of households that lacked full kitchen facil</w:t>
      </w:r>
      <w:r w:rsidR="00A776CA">
        <w:rPr>
          <w:rFonts w:ascii="CG Omega" w:hAnsi="CG Omega"/>
        </w:rPr>
        <w:t>ities had fallen to 1.3 percent with 9,576 households with incomplete kitchen facilities.</w:t>
      </w:r>
    </w:p>
    <w:p w:rsidR="00140B4C" w:rsidRPr="005471FD" w:rsidRDefault="00140B4C" w:rsidP="00786E94">
      <w:pPr>
        <w:pStyle w:val="BodyText"/>
        <w:rPr>
          <w:rFonts w:ascii="CG Omega" w:hAnsi="CG Omega"/>
          <w:szCs w:val="24"/>
          <w:highlight w:val="yellow"/>
        </w:rPr>
      </w:pPr>
    </w:p>
    <w:tbl>
      <w:tblPr>
        <w:tblW w:w="5799" w:type="dxa"/>
        <w:jc w:val="center"/>
        <w:tblLook w:val="04A0" w:firstRow="1" w:lastRow="0" w:firstColumn="1" w:lastColumn="0" w:noHBand="0" w:noVBand="1"/>
      </w:tblPr>
      <w:tblGrid>
        <w:gridCol w:w="2733"/>
        <w:gridCol w:w="1284"/>
        <w:gridCol w:w="1782"/>
      </w:tblGrid>
      <w:tr w:rsidR="00140B4C" w:rsidRPr="00140B4C" w:rsidTr="006458D4">
        <w:trPr>
          <w:trHeight w:val="216"/>
          <w:jc w:val="center"/>
        </w:trPr>
        <w:tc>
          <w:tcPr>
            <w:tcW w:w="5799" w:type="dxa"/>
            <w:gridSpan w:val="3"/>
            <w:tcBorders>
              <w:bottom w:val="single" w:sz="4" w:space="0" w:color="009900"/>
            </w:tcBorders>
            <w:shd w:val="clear" w:color="000000" w:fill="auto"/>
            <w:noWrap/>
            <w:vAlign w:val="center"/>
            <w:hideMark/>
          </w:tcPr>
          <w:p w:rsidR="00140B4C" w:rsidRPr="00140B4C" w:rsidRDefault="00140B4C" w:rsidP="006458D4">
            <w:pPr>
              <w:keepNext/>
              <w:jc w:val="center"/>
              <w:rPr>
                <w:rFonts w:ascii="Arial" w:eastAsia="Calibri" w:hAnsi="Arial"/>
                <w:b/>
                <w:bCs/>
                <w:color w:val="000000"/>
                <w:sz w:val="22"/>
                <w:szCs w:val="18"/>
              </w:rPr>
            </w:pPr>
            <w:r w:rsidRPr="00140B4C">
              <w:rPr>
                <w:rFonts w:ascii="Arial" w:eastAsia="Calibri" w:hAnsi="Arial"/>
                <w:b/>
                <w:bCs/>
                <w:color w:val="000000"/>
                <w:sz w:val="22"/>
                <w:szCs w:val="18"/>
              </w:rPr>
              <w:t>Table I</w:t>
            </w:r>
            <w:r w:rsidR="009E7733">
              <w:rPr>
                <w:rFonts w:ascii="Arial" w:eastAsia="Calibri" w:hAnsi="Arial"/>
                <w:b/>
                <w:bCs/>
                <w:color w:val="000000"/>
                <w:sz w:val="22"/>
                <w:szCs w:val="18"/>
              </w:rPr>
              <w:t>V.</w:t>
            </w:r>
            <w:r w:rsidR="00321774">
              <w:rPr>
                <w:rFonts w:ascii="Arial" w:eastAsia="Calibri" w:hAnsi="Arial"/>
                <w:b/>
                <w:bCs/>
                <w:color w:val="000000"/>
                <w:sz w:val="22"/>
                <w:szCs w:val="18"/>
              </w:rPr>
              <w:t>9</w:t>
            </w:r>
          </w:p>
          <w:p w:rsidR="00140B4C" w:rsidRPr="00140B4C" w:rsidRDefault="00140B4C" w:rsidP="006458D4">
            <w:pPr>
              <w:keepNext/>
              <w:keepLines/>
              <w:suppressAutoHyphens/>
              <w:jc w:val="center"/>
              <w:rPr>
                <w:rFonts w:ascii="Arial" w:eastAsia="Calibri" w:hAnsi="Arial"/>
                <w:b/>
                <w:sz w:val="20"/>
                <w:szCs w:val="23"/>
              </w:rPr>
            </w:pPr>
            <w:r w:rsidRPr="00140B4C">
              <w:rPr>
                <w:rFonts w:ascii="Arial" w:eastAsia="Calibri" w:hAnsi="Arial"/>
                <w:b/>
                <w:sz w:val="20"/>
                <w:szCs w:val="23"/>
              </w:rPr>
              <w:t>Households with Incomplete Kitchen Facilities</w:t>
            </w:r>
          </w:p>
          <w:p w:rsidR="00140B4C" w:rsidRPr="00140B4C" w:rsidRDefault="00140B4C" w:rsidP="006458D4">
            <w:pPr>
              <w:suppressAutoHyphens/>
              <w:jc w:val="center"/>
              <w:rPr>
                <w:rFonts w:ascii="Arial" w:eastAsia="Calibri" w:hAnsi="Arial"/>
                <w:sz w:val="16"/>
                <w:szCs w:val="23"/>
              </w:rPr>
            </w:pPr>
            <w:r w:rsidRPr="00140B4C">
              <w:rPr>
                <w:rFonts w:ascii="Arial" w:eastAsia="Calibri" w:hAnsi="Arial"/>
                <w:noProof/>
                <w:sz w:val="16"/>
                <w:szCs w:val="23"/>
              </w:rPr>
              <w:t>State of New Mexico</w:t>
            </w:r>
          </w:p>
          <w:p w:rsidR="00140B4C" w:rsidRPr="00140B4C" w:rsidRDefault="00140B4C" w:rsidP="006458D4">
            <w:pPr>
              <w:suppressAutoHyphens/>
              <w:jc w:val="center"/>
              <w:rPr>
                <w:rFonts w:ascii="Arial" w:eastAsia="Calibri" w:hAnsi="Arial"/>
                <w:b/>
                <w:bCs/>
                <w:sz w:val="16"/>
                <w:szCs w:val="23"/>
              </w:rPr>
            </w:pPr>
            <w:r w:rsidRPr="00140B4C">
              <w:rPr>
                <w:rFonts w:ascii="Arial" w:eastAsia="Calibri" w:hAnsi="Arial"/>
                <w:sz w:val="16"/>
                <w:szCs w:val="23"/>
              </w:rPr>
              <w:t>2000 Census SF3 &amp; 2012 Five-Year ACS Data</w:t>
            </w:r>
          </w:p>
        </w:tc>
      </w:tr>
      <w:tr w:rsidR="00140B4C" w:rsidRPr="00140B4C" w:rsidTr="006458D4">
        <w:trPr>
          <w:trHeight w:val="216"/>
          <w:jc w:val="center"/>
        </w:trPr>
        <w:tc>
          <w:tcPr>
            <w:tcW w:w="2733" w:type="dxa"/>
            <w:tcBorders>
              <w:top w:val="single" w:sz="4" w:space="0" w:color="009900"/>
              <w:left w:val="single" w:sz="4" w:space="0" w:color="009900"/>
              <w:bottom w:val="single" w:sz="4" w:space="0" w:color="009900"/>
              <w:right w:val="nil"/>
            </w:tcBorders>
            <w:shd w:val="clear" w:color="000000" w:fill="FFFFE1"/>
            <w:noWrap/>
            <w:vAlign w:val="center"/>
            <w:hideMark/>
          </w:tcPr>
          <w:p w:rsidR="00140B4C" w:rsidRPr="00140B4C" w:rsidRDefault="00140B4C" w:rsidP="006458D4">
            <w:pPr>
              <w:suppressAutoHyphens/>
              <w:rPr>
                <w:rFonts w:ascii="Arial" w:eastAsia="Calibri" w:hAnsi="Arial"/>
                <w:b/>
                <w:sz w:val="16"/>
                <w:szCs w:val="23"/>
              </w:rPr>
            </w:pPr>
            <w:r w:rsidRPr="00140B4C">
              <w:rPr>
                <w:rFonts w:ascii="Arial" w:eastAsia="Calibri" w:hAnsi="Arial"/>
                <w:b/>
                <w:sz w:val="16"/>
                <w:szCs w:val="23"/>
              </w:rPr>
              <w:t>Households</w:t>
            </w:r>
          </w:p>
        </w:tc>
        <w:tc>
          <w:tcPr>
            <w:tcW w:w="1284" w:type="dxa"/>
            <w:tcBorders>
              <w:top w:val="single" w:sz="4" w:space="0" w:color="009900"/>
              <w:left w:val="nil"/>
              <w:bottom w:val="single" w:sz="4" w:space="0" w:color="009900"/>
              <w:right w:val="nil"/>
            </w:tcBorders>
            <w:shd w:val="clear" w:color="000000" w:fill="FFFFE1"/>
            <w:noWrap/>
            <w:vAlign w:val="center"/>
            <w:hideMark/>
          </w:tcPr>
          <w:p w:rsidR="00140B4C" w:rsidRPr="00140B4C" w:rsidRDefault="00140B4C" w:rsidP="006458D4">
            <w:pPr>
              <w:suppressAutoHyphens/>
              <w:jc w:val="center"/>
              <w:rPr>
                <w:rFonts w:ascii="Arial" w:eastAsia="Calibri" w:hAnsi="Arial"/>
                <w:b/>
                <w:sz w:val="16"/>
                <w:szCs w:val="23"/>
              </w:rPr>
            </w:pPr>
            <w:r w:rsidRPr="00140B4C">
              <w:rPr>
                <w:rFonts w:ascii="Arial" w:eastAsia="Calibri" w:hAnsi="Arial"/>
                <w:b/>
                <w:sz w:val="16"/>
                <w:szCs w:val="23"/>
              </w:rPr>
              <w:t>2000 Census</w:t>
            </w:r>
          </w:p>
        </w:tc>
        <w:tc>
          <w:tcPr>
            <w:tcW w:w="1782" w:type="dxa"/>
            <w:tcBorders>
              <w:top w:val="single" w:sz="4" w:space="0" w:color="009900"/>
              <w:left w:val="nil"/>
              <w:bottom w:val="single" w:sz="4" w:space="0" w:color="009900"/>
              <w:right w:val="single" w:sz="4" w:space="0" w:color="009900"/>
            </w:tcBorders>
            <w:shd w:val="clear" w:color="000000" w:fill="FFFFE1"/>
            <w:noWrap/>
            <w:vAlign w:val="center"/>
            <w:hideMark/>
          </w:tcPr>
          <w:p w:rsidR="00140B4C" w:rsidRPr="00140B4C" w:rsidRDefault="00FD096D" w:rsidP="006458D4">
            <w:pPr>
              <w:suppressAutoHyphens/>
              <w:jc w:val="center"/>
              <w:rPr>
                <w:rFonts w:ascii="Arial" w:eastAsia="Calibri" w:hAnsi="Arial"/>
                <w:b/>
                <w:sz w:val="16"/>
                <w:szCs w:val="23"/>
              </w:rPr>
            </w:pPr>
            <w:r>
              <w:rPr>
                <w:rFonts w:ascii="Arial" w:eastAsia="Calibri" w:hAnsi="Arial"/>
                <w:b/>
                <w:sz w:val="16"/>
                <w:szCs w:val="23"/>
              </w:rPr>
              <w:t>2012</w:t>
            </w:r>
            <w:r w:rsidR="00140B4C" w:rsidRPr="00140B4C">
              <w:rPr>
                <w:rFonts w:ascii="Arial" w:eastAsia="Calibri" w:hAnsi="Arial"/>
                <w:b/>
                <w:sz w:val="16"/>
                <w:szCs w:val="23"/>
              </w:rPr>
              <w:t xml:space="preserve"> Five-Year ACS</w:t>
            </w:r>
          </w:p>
        </w:tc>
      </w:tr>
      <w:tr w:rsidR="00140B4C" w:rsidRPr="00140B4C" w:rsidTr="006458D4">
        <w:trPr>
          <w:trHeight w:val="216"/>
          <w:jc w:val="center"/>
        </w:trPr>
        <w:tc>
          <w:tcPr>
            <w:tcW w:w="2733" w:type="dxa"/>
            <w:tcBorders>
              <w:top w:val="nil"/>
              <w:left w:val="single" w:sz="4" w:space="0" w:color="009900"/>
              <w:bottom w:val="nil"/>
              <w:right w:val="nil"/>
            </w:tcBorders>
            <w:shd w:val="clear" w:color="000000" w:fill="FFFFE1"/>
            <w:noWrap/>
            <w:vAlign w:val="center"/>
            <w:hideMark/>
          </w:tcPr>
          <w:p w:rsidR="00140B4C" w:rsidRPr="00140B4C" w:rsidRDefault="00140B4C" w:rsidP="006458D4">
            <w:pPr>
              <w:suppressAutoHyphens/>
              <w:ind w:right="-95"/>
              <w:rPr>
                <w:rFonts w:ascii="Arial" w:eastAsia="Calibri" w:hAnsi="Arial"/>
                <w:sz w:val="16"/>
                <w:szCs w:val="23"/>
              </w:rPr>
            </w:pPr>
            <w:r w:rsidRPr="00140B4C">
              <w:rPr>
                <w:rFonts w:ascii="Arial" w:eastAsia="Calibri" w:hAnsi="Arial"/>
                <w:sz w:val="16"/>
                <w:szCs w:val="23"/>
              </w:rPr>
              <w:t>With Complete Kitchen Facilities</w:t>
            </w:r>
          </w:p>
        </w:tc>
        <w:tc>
          <w:tcPr>
            <w:tcW w:w="1284" w:type="dxa"/>
            <w:tcBorders>
              <w:top w:val="nil"/>
              <w:left w:val="nil"/>
              <w:bottom w:val="nil"/>
              <w:right w:val="nil"/>
            </w:tcBorders>
            <w:shd w:val="clear" w:color="000000" w:fill="FFFFE1"/>
            <w:noWrap/>
            <w:vAlign w:val="center"/>
            <w:hideMark/>
          </w:tcPr>
          <w:p w:rsidR="00140B4C" w:rsidRPr="00140B4C" w:rsidRDefault="00140B4C" w:rsidP="006458D4">
            <w:pPr>
              <w:suppressAutoHyphens/>
              <w:jc w:val="center"/>
              <w:rPr>
                <w:rFonts w:ascii="Arial" w:eastAsia="Calibri" w:hAnsi="Arial"/>
                <w:sz w:val="16"/>
                <w:szCs w:val="23"/>
              </w:rPr>
            </w:pPr>
            <w:r w:rsidRPr="00140B4C">
              <w:rPr>
                <w:rFonts w:ascii="Arial" w:eastAsia="Calibri" w:hAnsi="Arial"/>
                <w:noProof/>
                <w:sz w:val="16"/>
                <w:szCs w:val="23"/>
              </w:rPr>
              <w:t>667,087</w:t>
            </w:r>
          </w:p>
        </w:tc>
        <w:tc>
          <w:tcPr>
            <w:tcW w:w="1782" w:type="dxa"/>
            <w:tcBorders>
              <w:top w:val="nil"/>
              <w:left w:val="nil"/>
              <w:bottom w:val="nil"/>
              <w:right w:val="single" w:sz="4" w:space="0" w:color="009900"/>
            </w:tcBorders>
            <w:shd w:val="clear" w:color="000000" w:fill="FFFFE1"/>
            <w:noWrap/>
            <w:vAlign w:val="center"/>
            <w:hideMark/>
          </w:tcPr>
          <w:p w:rsidR="00140B4C" w:rsidRPr="00140B4C" w:rsidRDefault="00140B4C" w:rsidP="006458D4">
            <w:pPr>
              <w:suppressAutoHyphens/>
              <w:jc w:val="center"/>
              <w:rPr>
                <w:rFonts w:ascii="Arial" w:eastAsia="Calibri" w:hAnsi="Arial"/>
                <w:sz w:val="16"/>
                <w:szCs w:val="23"/>
              </w:rPr>
            </w:pPr>
            <w:r w:rsidRPr="00140B4C">
              <w:rPr>
                <w:rFonts w:ascii="Arial" w:eastAsia="Calibri" w:hAnsi="Arial"/>
                <w:noProof/>
                <w:sz w:val="16"/>
                <w:szCs w:val="23"/>
              </w:rPr>
              <w:t>754,268</w:t>
            </w:r>
          </w:p>
        </w:tc>
      </w:tr>
      <w:tr w:rsidR="00140B4C" w:rsidRPr="00140B4C" w:rsidTr="006458D4">
        <w:trPr>
          <w:trHeight w:val="216"/>
          <w:jc w:val="center"/>
        </w:trPr>
        <w:tc>
          <w:tcPr>
            <w:tcW w:w="2733" w:type="dxa"/>
            <w:tcBorders>
              <w:top w:val="nil"/>
              <w:left w:val="single" w:sz="4" w:space="0" w:color="009900"/>
              <w:bottom w:val="nil"/>
              <w:right w:val="nil"/>
            </w:tcBorders>
            <w:shd w:val="clear" w:color="000000" w:fill="FFFFE1"/>
            <w:noWrap/>
            <w:vAlign w:val="center"/>
            <w:hideMark/>
          </w:tcPr>
          <w:p w:rsidR="00140B4C" w:rsidRPr="00140B4C" w:rsidRDefault="00140B4C" w:rsidP="006458D4">
            <w:pPr>
              <w:suppressAutoHyphens/>
              <w:ind w:right="-95"/>
              <w:rPr>
                <w:rFonts w:ascii="Arial" w:eastAsia="Calibri" w:hAnsi="Arial"/>
                <w:sz w:val="16"/>
                <w:szCs w:val="23"/>
              </w:rPr>
            </w:pPr>
            <w:r w:rsidRPr="00140B4C">
              <w:rPr>
                <w:rFonts w:ascii="Arial" w:eastAsia="Calibri" w:hAnsi="Arial"/>
                <w:sz w:val="16"/>
                <w:szCs w:val="23"/>
              </w:rPr>
              <w:t>Lacking Complete Kitchen Facilities</w:t>
            </w:r>
          </w:p>
        </w:tc>
        <w:tc>
          <w:tcPr>
            <w:tcW w:w="1284" w:type="dxa"/>
            <w:tcBorders>
              <w:top w:val="nil"/>
              <w:left w:val="nil"/>
              <w:bottom w:val="nil"/>
              <w:right w:val="nil"/>
            </w:tcBorders>
            <w:shd w:val="clear" w:color="000000" w:fill="FFFFE1"/>
            <w:noWrap/>
            <w:vAlign w:val="center"/>
            <w:hideMark/>
          </w:tcPr>
          <w:p w:rsidR="00140B4C" w:rsidRPr="00140B4C" w:rsidRDefault="00140B4C" w:rsidP="006458D4">
            <w:pPr>
              <w:suppressAutoHyphens/>
              <w:jc w:val="center"/>
              <w:rPr>
                <w:rFonts w:ascii="Arial" w:eastAsia="Calibri" w:hAnsi="Arial"/>
                <w:sz w:val="16"/>
                <w:szCs w:val="23"/>
              </w:rPr>
            </w:pPr>
            <w:r w:rsidRPr="00140B4C">
              <w:rPr>
                <w:rFonts w:ascii="Arial" w:eastAsia="Calibri" w:hAnsi="Arial"/>
                <w:noProof/>
                <w:sz w:val="16"/>
                <w:szCs w:val="23"/>
              </w:rPr>
              <w:t>10,884</w:t>
            </w:r>
          </w:p>
        </w:tc>
        <w:tc>
          <w:tcPr>
            <w:tcW w:w="1782" w:type="dxa"/>
            <w:tcBorders>
              <w:top w:val="nil"/>
              <w:left w:val="nil"/>
              <w:bottom w:val="nil"/>
              <w:right w:val="single" w:sz="4" w:space="0" w:color="009900"/>
            </w:tcBorders>
            <w:shd w:val="clear" w:color="000000" w:fill="FFFFE1"/>
            <w:noWrap/>
            <w:vAlign w:val="center"/>
            <w:hideMark/>
          </w:tcPr>
          <w:p w:rsidR="00140B4C" w:rsidRPr="00140B4C" w:rsidRDefault="00140B4C" w:rsidP="006458D4">
            <w:pPr>
              <w:suppressAutoHyphens/>
              <w:jc w:val="center"/>
              <w:rPr>
                <w:rFonts w:ascii="Arial" w:eastAsia="Calibri" w:hAnsi="Arial"/>
                <w:sz w:val="16"/>
                <w:szCs w:val="23"/>
              </w:rPr>
            </w:pPr>
            <w:r w:rsidRPr="00140B4C">
              <w:rPr>
                <w:rFonts w:ascii="Arial" w:eastAsia="Calibri" w:hAnsi="Arial"/>
                <w:noProof/>
                <w:sz w:val="16"/>
                <w:szCs w:val="23"/>
              </w:rPr>
              <w:t>9,576</w:t>
            </w:r>
          </w:p>
        </w:tc>
      </w:tr>
      <w:tr w:rsidR="00140B4C" w:rsidRPr="00140B4C" w:rsidTr="006458D4">
        <w:trPr>
          <w:trHeight w:val="216"/>
          <w:jc w:val="center"/>
        </w:trPr>
        <w:tc>
          <w:tcPr>
            <w:tcW w:w="2733" w:type="dxa"/>
            <w:tcBorders>
              <w:top w:val="double" w:sz="6" w:space="0" w:color="009900"/>
              <w:left w:val="single" w:sz="4" w:space="0" w:color="009900"/>
              <w:bottom w:val="dotted" w:sz="4" w:space="0" w:color="009900"/>
              <w:right w:val="nil"/>
            </w:tcBorders>
            <w:shd w:val="clear" w:color="000000" w:fill="FFFFE1"/>
            <w:noWrap/>
            <w:vAlign w:val="center"/>
            <w:hideMark/>
          </w:tcPr>
          <w:p w:rsidR="00140B4C" w:rsidRPr="00140B4C" w:rsidRDefault="00140B4C" w:rsidP="006458D4">
            <w:pPr>
              <w:suppressAutoHyphens/>
              <w:rPr>
                <w:rFonts w:ascii="Arial" w:eastAsia="Calibri" w:hAnsi="Arial"/>
                <w:b/>
                <w:sz w:val="16"/>
                <w:szCs w:val="23"/>
              </w:rPr>
            </w:pPr>
            <w:r w:rsidRPr="00140B4C">
              <w:rPr>
                <w:rFonts w:ascii="Arial" w:eastAsia="Calibri" w:hAnsi="Arial"/>
                <w:b/>
                <w:sz w:val="16"/>
                <w:szCs w:val="23"/>
              </w:rPr>
              <w:t>Total Households</w:t>
            </w:r>
          </w:p>
        </w:tc>
        <w:tc>
          <w:tcPr>
            <w:tcW w:w="1284" w:type="dxa"/>
            <w:tcBorders>
              <w:top w:val="double" w:sz="6" w:space="0" w:color="009900"/>
              <w:left w:val="nil"/>
              <w:bottom w:val="dotted" w:sz="4" w:space="0" w:color="009900"/>
              <w:right w:val="nil"/>
            </w:tcBorders>
            <w:shd w:val="clear" w:color="000000" w:fill="FFFFE1"/>
            <w:noWrap/>
            <w:vAlign w:val="center"/>
            <w:hideMark/>
          </w:tcPr>
          <w:p w:rsidR="00140B4C" w:rsidRPr="00140B4C" w:rsidRDefault="00140B4C" w:rsidP="006458D4">
            <w:pPr>
              <w:suppressAutoHyphens/>
              <w:jc w:val="center"/>
              <w:rPr>
                <w:rFonts w:ascii="Arial" w:eastAsia="Calibri" w:hAnsi="Arial"/>
                <w:b/>
                <w:sz w:val="16"/>
                <w:szCs w:val="23"/>
              </w:rPr>
            </w:pPr>
            <w:r w:rsidRPr="00140B4C">
              <w:rPr>
                <w:rFonts w:ascii="Arial" w:eastAsia="Calibri" w:hAnsi="Arial"/>
                <w:b/>
                <w:noProof/>
                <w:sz w:val="16"/>
                <w:szCs w:val="23"/>
              </w:rPr>
              <w:t>677,971</w:t>
            </w:r>
          </w:p>
        </w:tc>
        <w:tc>
          <w:tcPr>
            <w:tcW w:w="1782" w:type="dxa"/>
            <w:tcBorders>
              <w:top w:val="double" w:sz="6" w:space="0" w:color="009900"/>
              <w:left w:val="nil"/>
              <w:bottom w:val="dotted" w:sz="4" w:space="0" w:color="009900"/>
              <w:right w:val="single" w:sz="4" w:space="0" w:color="009900"/>
            </w:tcBorders>
            <w:shd w:val="clear" w:color="000000" w:fill="FFFFE1"/>
            <w:noWrap/>
            <w:vAlign w:val="center"/>
            <w:hideMark/>
          </w:tcPr>
          <w:p w:rsidR="00140B4C" w:rsidRPr="00140B4C" w:rsidRDefault="00140B4C" w:rsidP="006458D4">
            <w:pPr>
              <w:suppressAutoHyphens/>
              <w:jc w:val="center"/>
              <w:rPr>
                <w:rFonts w:ascii="Arial" w:eastAsia="Calibri" w:hAnsi="Arial"/>
                <w:b/>
                <w:sz w:val="16"/>
                <w:szCs w:val="23"/>
              </w:rPr>
            </w:pPr>
            <w:r w:rsidRPr="00140B4C">
              <w:rPr>
                <w:rFonts w:ascii="Arial" w:eastAsia="Calibri" w:hAnsi="Arial"/>
                <w:b/>
                <w:noProof/>
                <w:sz w:val="16"/>
                <w:szCs w:val="23"/>
              </w:rPr>
              <w:t>763,844</w:t>
            </w:r>
          </w:p>
        </w:tc>
      </w:tr>
      <w:tr w:rsidR="00140B4C" w:rsidRPr="00140B4C" w:rsidTr="006458D4">
        <w:trPr>
          <w:trHeight w:val="216"/>
          <w:jc w:val="center"/>
        </w:trPr>
        <w:tc>
          <w:tcPr>
            <w:tcW w:w="2733" w:type="dxa"/>
            <w:tcBorders>
              <w:top w:val="nil"/>
              <w:left w:val="single" w:sz="4" w:space="0" w:color="009900"/>
              <w:bottom w:val="single" w:sz="4" w:space="0" w:color="009900"/>
              <w:right w:val="nil"/>
            </w:tcBorders>
            <w:shd w:val="clear" w:color="000000" w:fill="FFFFE1"/>
            <w:noWrap/>
            <w:vAlign w:val="center"/>
            <w:hideMark/>
          </w:tcPr>
          <w:p w:rsidR="00140B4C" w:rsidRPr="00140B4C" w:rsidRDefault="00140B4C" w:rsidP="006458D4">
            <w:pPr>
              <w:suppressAutoHyphens/>
              <w:rPr>
                <w:rFonts w:ascii="Arial" w:eastAsia="Calibri" w:hAnsi="Arial"/>
                <w:b/>
                <w:sz w:val="16"/>
                <w:szCs w:val="23"/>
              </w:rPr>
            </w:pPr>
            <w:r w:rsidRPr="00140B4C">
              <w:rPr>
                <w:rFonts w:ascii="Arial" w:eastAsia="Calibri" w:hAnsi="Arial"/>
                <w:b/>
                <w:sz w:val="16"/>
                <w:szCs w:val="23"/>
              </w:rPr>
              <w:t>Percent Lacking</w:t>
            </w:r>
          </w:p>
        </w:tc>
        <w:tc>
          <w:tcPr>
            <w:tcW w:w="1284" w:type="dxa"/>
            <w:tcBorders>
              <w:top w:val="nil"/>
              <w:left w:val="nil"/>
              <w:bottom w:val="single" w:sz="4" w:space="0" w:color="009900"/>
              <w:right w:val="nil"/>
            </w:tcBorders>
            <w:shd w:val="clear" w:color="000000" w:fill="FFFFE1"/>
            <w:noWrap/>
            <w:vAlign w:val="center"/>
            <w:hideMark/>
          </w:tcPr>
          <w:p w:rsidR="00140B4C" w:rsidRPr="00140B4C" w:rsidRDefault="00140B4C" w:rsidP="006458D4">
            <w:pPr>
              <w:suppressAutoHyphens/>
              <w:jc w:val="center"/>
              <w:rPr>
                <w:rFonts w:ascii="Arial" w:eastAsia="Calibri" w:hAnsi="Arial"/>
                <w:b/>
                <w:sz w:val="16"/>
                <w:szCs w:val="23"/>
              </w:rPr>
            </w:pPr>
            <w:r w:rsidRPr="00140B4C">
              <w:rPr>
                <w:rFonts w:ascii="Arial" w:eastAsia="Calibri" w:hAnsi="Arial"/>
                <w:b/>
                <w:noProof/>
                <w:sz w:val="16"/>
                <w:szCs w:val="23"/>
              </w:rPr>
              <w:t>1.6</w:t>
            </w:r>
            <w:r w:rsidRPr="00140B4C">
              <w:rPr>
                <w:rFonts w:ascii="Arial" w:eastAsia="Calibri" w:hAnsi="Arial"/>
                <w:b/>
                <w:sz w:val="16"/>
                <w:szCs w:val="23"/>
              </w:rPr>
              <w:t>%</w:t>
            </w:r>
          </w:p>
        </w:tc>
        <w:tc>
          <w:tcPr>
            <w:tcW w:w="1782" w:type="dxa"/>
            <w:tcBorders>
              <w:top w:val="nil"/>
              <w:left w:val="nil"/>
              <w:bottom w:val="single" w:sz="4" w:space="0" w:color="009900"/>
              <w:right w:val="single" w:sz="4" w:space="0" w:color="009900"/>
            </w:tcBorders>
            <w:shd w:val="clear" w:color="000000" w:fill="FFFFE1"/>
            <w:noWrap/>
            <w:vAlign w:val="center"/>
            <w:hideMark/>
          </w:tcPr>
          <w:p w:rsidR="00140B4C" w:rsidRPr="00140B4C" w:rsidRDefault="00140B4C" w:rsidP="006458D4">
            <w:pPr>
              <w:suppressAutoHyphens/>
              <w:jc w:val="center"/>
              <w:rPr>
                <w:rFonts w:ascii="Arial" w:eastAsia="Calibri" w:hAnsi="Arial"/>
                <w:b/>
                <w:sz w:val="16"/>
                <w:szCs w:val="23"/>
              </w:rPr>
            </w:pPr>
            <w:r w:rsidRPr="00140B4C">
              <w:rPr>
                <w:rFonts w:ascii="Arial" w:eastAsia="Calibri" w:hAnsi="Arial"/>
                <w:b/>
                <w:noProof/>
                <w:sz w:val="16"/>
                <w:szCs w:val="23"/>
              </w:rPr>
              <w:t>1.3</w:t>
            </w:r>
            <w:r w:rsidRPr="00140B4C">
              <w:rPr>
                <w:rFonts w:ascii="Arial" w:eastAsia="Calibri" w:hAnsi="Arial"/>
                <w:b/>
                <w:sz w:val="16"/>
                <w:szCs w:val="23"/>
              </w:rPr>
              <w:t>%</w:t>
            </w:r>
          </w:p>
        </w:tc>
      </w:tr>
    </w:tbl>
    <w:p w:rsidR="006D7D84" w:rsidRPr="005471FD" w:rsidRDefault="006D7D84" w:rsidP="00786E94">
      <w:pPr>
        <w:pStyle w:val="BodyText"/>
        <w:rPr>
          <w:rFonts w:ascii="CG Omega" w:hAnsi="CG Omega"/>
          <w:szCs w:val="24"/>
          <w:highlight w:val="yellow"/>
        </w:rPr>
      </w:pPr>
    </w:p>
    <w:p w:rsidR="00140B4C" w:rsidRDefault="00FD096D" w:rsidP="00786E94">
      <w:pPr>
        <w:pStyle w:val="BodyText"/>
        <w:rPr>
          <w:rFonts w:ascii="CG Omega" w:hAnsi="CG Omega"/>
          <w:highlight w:val="yellow"/>
        </w:rPr>
      </w:pPr>
      <w:r w:rsidRPr="00FD096D">
        <w:rPr>
          <w:rFonts w:ascii="CG Omega" w:hAnsi="CG Omega"/>
        </w:rPr>
        <w:t xml:space="preserve">Similar proportions of housing units lacked complete plumbing facilities in both years, as shown in </w:t>
      </w:r>
      <w:r w:rsidRPr="005471FD">
        <w:rPr>
          <w:rFonts w:ascii="CG Omega" w:hAnsi="CG Omega"/>
          <w:b/>
        </w:rPr>
        <w:t>Table IV.</w:t>
      </w:r>
      <w:r w:rsidR="00321774" w:rsidRPr="005471FD">
        <w:rPr>
          <w:rFonts w:ascii="CG Omega" w:hAnsi="CG Omega"/>
          <w:b/>
        </w:rPr>
        <w:t>10</w:t>
      </w:r>
      <w:r w:rsidR="00A776CA">
        <w:rPr>
          <w:rFonts w:ascii="CG Omega" w:hAnsi="CG Omega"/>
        </w:rPr>
        <w:t>,</w:t>
      </w:r>
      <w:r w:rsidRPr="009E7733">
        <w:rPr>
          <w:rFonts w:ascii="CG Omega" w:hAnsi="CG Omega"/>
        </w:rPr>
        <w:t xml:space="preserve"> </w:t>
      </w:r>
      <w:r w:rsidRPr="00FD096D">
        <w:rPr>
          <w:rFonts w:ascii="CG Omega" w:hAnsi="CG Omega"/>
        </w:rPr>
        <w:t>below.</w:t>
      </w:r>
      <w:r>
        <w:rPr>
          <w:rFonts w:ascii="CG Omega" w:hAnsi="CG Omega"/>
        </w:rPr>
        <w:t xml:space="preserve"> In 2000, 1.8 percent of housing units had inadequate plumbing facilities. By 2012, this figure had dropped to 1.3 percent.</w:t>
      </w:r>
    </w:p>
    <w:p w:rsidR="00140B4C" w:rsidRPr="005471FD" w:rsidRDefault="00140B4C" w:rsidP="00786E94">
      <w:pPr>
        <w:pStyle w:val="BodyText"/>
        <w:rPr>
          <w:rFonts w:ascii="CG Omega" w:hAnsi="CG Omega"/>
          <w:szCs w:val="24"/>
          <w:highlight w:val="yellow"/>
        </w:rPr>
      </w:pPr>
    </w:p>
    <w:tbl>
      <w:tblPr>
        <w:tblW w:w="5904" w:type="dxa"/>
        <w:jc w:val="center"/>
        <w:tblLook w:val="04A0" w:firstRow="1" w:lastRow="0" w:firstColumn="1" w:lastColumn="0" w:noHBand="0" w:noVBand="1"/>
      </w:tblPr>
      <w:tblGrid>
        <w:gridCol w:w="2811"/>
        <w:gridCol w:w="1284"/>
        <w:gridCol w:w="1809"/>
      </w:tblGrid>
      <w:tr w:rsidR="00140B4C" w:rsidRPr="00140B4C" w:rsidTr="006458D4">
        <w:trPr>
          <w:trHeight w:val="216"/>
          <w:jc w:val="center"/>
        </w:trPr>
        <w:tc>
          <w:tcPr>
            <w:tcW w:w="5904" w:type="dxa"/>
            <w:gridSpan w:val="3"/>
            <w:tcBorders>
              <w:bottom w:val="single" w:sz="4" w:space="0" w:color="009900"/>
            </w:tcBorders>
            <w:shd w:val="clear" w:color="000000" w:fill="auto"/>
            <w:noWrap/>
            <w:vAlign w:val="center"/>
            <w:hideMark/>
          </w:tcPr>
          <w:p w:rsidR="00140B4C" w:rsidRPr="00140B4C" w:rsidRDefault="00140B4C" w:rsidP="00140B4C">
            <w:pPr>
              <w:keepNext/>
              <w:jc w:val="center"/>
              <w:rPr>
                <w:rFonts w:ascii="Arial" w:eastAsia="Calibri" w:hAnsi="Arial"/>
                <w:b/>
                <w:bCs/>
                <w:color w:val="000000"/>
                <w:sz w:val="22"/>
                <w:szCs w:val="18"/>
              </w:rPr>
            </w:pPr>
            <w:r w:rsidRPr="00140B4C">
              <w:rPr>
                <w:rFonts w:ascii="Arial" w:eastAsia="Calibri" w:hAnsi="Arial"/>
                <w:b/>
                <w:bCs/>
                <w:color w:val="000000"/>
                <w:sz w:val="22"/>
                <w:szCs w:val="18"/>
              </w:rPr>
              <w:t>Table I</w:t>
            </w:r>
            <w:r w:rsidR="009E7733">
              <w:rPr>
                <w:rFonts w:ascii="Arial" w:eastAsia="Calibri" w:hAnsi="Arial"/>
                <w:b/>
                <w:bCs/>
                <w:color w:val="000000"/>
                <w:sz w:val="22"/>
                <w:szCs w:val="18"/>
              </w:rPr>
              <w:t>V.</w:t>
            </w:r>
            <w:r w:rsidR="00321774">
              <w:rPr>
                <w:rFonts w:ascii="Arial" w:eastAsia="Calibri" w:hAnsi="Arial"/>
                <w:b/>
                <w:bCs/>
                <w:color w:val="000000"/>
                <w:sz w:val="22"/>
                <w:szCs w:val="18"/>
              </w:rPr>
              <w:t>10</w:t>
            </w:r>
          </w:p>
          <w:p w:rsidR="00140B4C" w:rsidRPr="00140B4C" w:rsidRDefault="00140B4C" w:rsidP="00140B4C">
            <w:pPr>
              <w:keepNext/>
              <w:keepLines/>
              <w:suppressAutoHyphens/>
              <w:jc w:val="center"/>
              <w:rPr>
                <w:rFonts w:ascii="Arial" w:eastAsia="Calibri" w:hAnsi="Arial"/>
                <w:b/>
                <w:sz w:val="20"/>
                <w:szCs w:val="23"/>
              </w:rPr>
            </w:pPr>
            <w:r w:rsidRPr="00140B4C">
              <w:rPr>
                <w:rFonts w:ascii="Arial" w:eastAsia="Calibri" w:hAnsi="Arial"/>
                <w:b/>
                <w:sz w:val="20"/>
                <w:szCs w:val="23"/>
              </w:rPr>
              <w:t>Households with Incomplete Plumbing Facilities</w:t>
            </w:r>
          </w:p>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State of New Mexico</w:t>
            </w:r>
          </w:p>
          <w:p w:rsidR="00140B4C" w:rsidRPr="00140B4C" w:rsidRDefault="00140B4C" w:rsidP="00140B4C">
            <w:pPr>
              <w:suppressAutoHyphens/>
              <w:jc w:val="center"/>
              <w:rPr>
                <w:rFonts w:ascii="Arial" w:eastAsia="Calibri" w:hAnsi="Arial"/>
                <w:b/>
                <w:bCs/>
                <w:sz w:val="16"/>
                <w:szCs w:val="23"/>
              </w:rPr>
            </w:pPr>
            <w:r w:rsidRPr="00140B4C">
              <w:rPr>
                <w:rFonts w:ascii="Arial" w:eastAsia="Calibri" w:hAnsi="Arial"/>
                <w:sz w:val="16"/>
                <w:szCs w:val="23"/>
              </w:rPr>
              <w:t>2000 Census SF3 &amp; 2012 Five-Year ACS Data</w:t>
            </w:r>
          </w:p>
        </w:tc>
      </w:tr>
      <w:tr w:rsidR="00140B4C" w:rsidRPr="00140B4C" w:rsidTr="006458D4">
        <w:trPr>
          <w:trHeight w:val="216"/>
          <w:jc w:val="center"/>
        </w:trPr>
        <w:tc>
          <w:tcPr>
            <w:tcW w:w="2811" w:type="dxa"/>
            <w:tcBorders>
              <w:top w:val="single" w:sz="4" w:space="0" w:color="009900"/>
              <w:left w:val="single" w:sz="4" w:space="0" w:color="009900"/>
              <w:bottom w:val="single" w:sz="4" w:space="0" w:color="009900"/>
              <w:right w:val="nil"/>
            </w:tcBorders>
            <w:shd w:val="clear" w:color="000000" w:fill="FFFFE1"/>
            <w:noWrap/>
            <w:vAlign w:val="center"/>
            <w:hideMark/>
          </w:tcPr>
          <w:p w:rsidR="00140B4C" w:rsidRPr="00140B4C" w:rsidRDefault="00140B4C" w:rsidP="00140B4C">
            <w:pPr>
              <w:suppressAutoHyphens/>
              <w:rPr>
                <w:rFonts w:ascii="Arial" w:eastAsia="Calibri" w:hAnsi="Arial"/>
                <w:b/>
                <w:sz w:val="16"/>
                <w:szCs w:val="23"/>
              </w:rPr>
            </w:pPr>
            <w:r w:rsidRPr="00140B4C">
              <w:rPr>
                <w:rFonts w:ascii="Arial" w:eastAsia="Calibri" w:hAnsi="Arial"/>
                <w:b/>
                <w:sz w:val="16"/>
                <w:szCs w:val="23"/>
              </w:rPr>
              <w:t>Households</w:t>
            </w:r>
          </w:p>
        </w:tc>
        <w:tc>
          <w:tcPr>
            <w:tcW w:w="1284" w:type="dxa"/>
            <w:tcBorders>
              <w:top w:val="single" w:sz="4" w:space="0" w:color="009900"/>
              <w:left w:val="nil"/>
              <w:bottom w:val="single" w:sz="4" w:space="0" w:color="009900"/>
              <w:right w:val="nil"/>
            </w:tcBorders>
            <w:shd w:val="clear" w:color="000000" w:fill="FFFFE1"/>
            <w:noWrap/>
            <w:vAlign w:val="center"/>
            <w:hideMark/>
          </w:tcPr>
          <w:p w:rsidR="00140B4C" w:rsidRPr="00140B4C" w:rsidRDefault="00140B4C" w:rsidP="00140B4C">
            <w:pPr>
              <w:suppressAutoHyphens/>
              <w:jc w:val="center"/>
              <w:rPr>
                <w:rFonts w:ascii="Arial" w:eastAsia="Calibri" w:hAnsi="Arial"/>
                <w:b/>
                <w:sz w:val="16"/>
                <w:szCs w:val="23"/>
              </w:rPr>
            </w:pPr>
            <w:r w:rsidRPr="00140B4C">
              <w:rPr>
                <w:rFonts w:ascii="Arial" w:eastAsia="Calibri" w:hAnsi="Arial"/>
                <w:b/>
                <w:sz w:val="16"/>
                <w:szCs w:val="23"/>
              </w:rPr>
              <w:t>2000 Census</w:t>
            </w:r>
          </w:p>
        </w:tc>
        <w:tc>
          <w:tcPr>
            <w:tcW w:w="1809" w:type="dxa"/>
            <w:tcBorders>
              <w:top w:val="single" w:sz="4" w:space="0" w:color="009900"/>
              <w:left w:val="nil"/>
              <w:bottom w:val="single" w:sz="4" w:space="0" w:color="009900"/>
              <w:right w:val="single" w:sz="4" w:space="0" w:color="009900"/>
            </w:tcBorders>
            <w:shd w:val="clear" w:color="000000" w:fill="FFFFE1"/>
            <w:noWrap/>
            <w:vAlign w:val="center"/>
            <w:hideMark/>
          </w:tcPr>
          <w:p w:rsidR="00140B4C" w:rsidRPr="00140B4C" w:rsidRDefault="00FD096D" w:rsidP="00140B4C">
            <w:pPr>
              <w:suppressAutoHyphens/>
              <w:jc w:val="center"/>
              <w:rPr>
                <w:rFonts w:ascii="Arial" w:eastAsia="Calibri" w:hAnsi="Arial"/>
                <w:b/>
                <w:sz w:val="16"/>
                <w:szCs w:val="23"/>
              </w:rPr>
            </w:pPr>
            <w:r>
              <w:rPr>
                <w:rFonts w:ascii="Arial" w:eastAsia="Calibri" w:hAnsi="Arial"/>
                <w:b/>
                <w:sz w:val="16"/>
                <w:szCs w:val="23"/>
              </w:rPr>
              <w:t>2012</w:t>
            </w:r>
            <w:r w:rsidR="00140B4C" w:rsidRPr="00140B4C">
              <w:rPr>
                <w:rFonts w:ascii="Arial" w:eastAsia="Calibri" w:hAnsi="Arial"/>
                <w:b/>
                <w:sz w:val="16"/>
                <w:szCs w:val="23"/>
              </w:rPr>
              <w:t xml:space="preserve"> Five-Year ACS</w:t>
            </w:r>
          </w:p>
        </w:tc>
      </w:tr>
      <w:tr w:rsidR="00140B4C" w:rsidRPr="00140B4C" w:rsidTr="006458D4">
        <w:trPr>
          <w:trHeight w:val="216"/>
          <w:jc w:val="center"/>
        </w:trPr>
        <w:tc>
          <w:tcPr>
            <w:tcW w:w="2811" w:type="dxa"/>
            <w:tcBorders>
              <w:top w:val="nil"/>
              <w:left w:val="single" w:sz="4" w:space="0" w:color="009900"/>
              <w:bottom w:val="nil"/>
              <w:right w:val="nil"/>
            </w:tcBorders>
            <w:shd w:val="clear" w:color="000000" w:fill="FFFFE1"/>
            <w:noWrap/>
            <w:vAlign w:val="center"/>
            <w:hideMark/>
          </w:tcPr>
          <w:p w:rsidR="00140B4C" w:rsidRPr="00140B4C" w:rsidRDefault="00140B4C" w:rsidP="00140B4C">
            <w:pPr>
              <w:suppressAutoHyphens/>
              <w:rPr>
                <w:rFonts w:ascii="Arial" w:eastAsia="Calibri" w:hAnsi="Arial"/>
                <w:sz w:val="16"/>
                <w:szCs w:val="23"/>
              </w:rPr>
            </w:pPr>
            <w:r w:rsidRPr="00140B4C">
              <w:rPr>
                <w:rFonts w:ascii="Arial" w:eastAsia="Calibri" w:hAnsi="Arial"/>
                <w:sz w:val="16"/>
                <w:szCs w:val="23"/>
              </w:rPr>
              <w:t>With Complete Plumbing Facilities</w:t>
            </w:r>
          </w:p>
        </w:tc>
        <w:tc>
          <w:tcPr>
            <w:tcW w:w="1284" w:type="dxa"/>
            <w:tcBorders>
              <w:top w:val="nil"/>
              <w:left w:val="nil"/>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666,066</w:t>
            </w:r>
          </w:p>
        </w:tc>
        <w:tc>
          <w:tcPr>
            <w:tcW w:w="1809" w:type="dxa"/>
            <w:tcBorders>
              <w:top w:val="nil"/>
              <w:left w:val="nil"/>
              <w:bottom w:val="nil"/>
              <w:right w:val="single" w:sz="4" w:space="0" w:color="009900"/>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754,210</w:t>
            </w:r>
          </w:p>
        </w:tc>
      </w:tr>
      <w:tr w:rsidR="00140B4C" w:rsidRPr="00140B4C" w:rsidTr="006458D4">
        <w:trPr>
          <w:trHeight w:val="216"/>
          <w:jc w:val="center"/>
        </w:trPr>
        <w:tc>
          <w:tcPr>
            <w:tcW w:w="2811" w:type="dxa"/>
            <w:tcBorders>
              <w:top w:val="nil"/>
              <w:left w:val="single" w:sz="4" w:space="0" w:color="009900"/>
              <w:bottom w:val="nil"/>
              <w:right w:val="nil"/>
            </w:tcBorders>
            <w:shd w:val="clear" w:color="000000" w:fill="FFFFE1"/>
            <w:noWrap/>
            <w:vAlign w:val="center"/>
            <w:hideMark/>
          </w:tcPr>
          <w:p w:rsidR="00140B4C" w:rsidRPr="00140B4C" w:rsidRDefault="00140B4C" w:rsidP="00140B4C">
            <w:pPr>
              <w:suppressAutoHyphens/>
              <w:ind w:right="-159"/>
              <w:rPr>
                <w:rFonts w:ascii="Arial" w:eastAsia="Calibri" w:hAnsi="Arial"/>
                <w:sz w:val="16"/>
                <w:szCs w:val="23"/>
              </w:rPr>
            </w:pPr>
            <w:r w:rsidRPr="00140B4C">
              <w:rPr>
                <w:rFonts w:ascii="Arial" w:eastAsia="Calibri" w:hAnsi="Arial"/>
                <w:sz w:val="16"/>
                <w:szCs w:val="23"/>
              </w:rPr>
              <w:t>Lacking Complete Plumbing Facilities</w:t>
            </w:r>
          </w:p>
        </w:tc>
        <w:tc>
          <w:tcPr>
            <w:tcW w:w="1284" w:type="dxa"/>
            <w:tcBorders>
              <w:top w:val="nil"/>
              <w:left w:val="nil"/>
              <w:bottom w:val="nil"/>
              <w:right w:val="nil"/>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11,905</w:t>
            </w:r>
          </w:p>
        </w:tc>
        <w:tc>
          <w:tcPr>
            <w:tcW w:w="1809" w:type="dxa"/>
            <w:tcBorders>
              <w:top w:val="nil"/>
              <w:left w:val="nil"/>
              <w:bottom w:val="nil"/>
              <w:right w:val="single" w:sz="4" w:space="0" w:color="009900"/>
            </w:tcBorders>
            <w:shd w:val="clear" w:color="000000" w:fill="FFFFE1"/>
            <w:noWrap/>
            <w:vAlign w:val="center"/>
            <w:hideMark/>
          </w:tcPr>
          <w:p w:rsidR="00140B4C" w:rsidRPr="00140B4C" w:rsidRDefault="00140B4C" w:rsidP="00140B4C">
            <w:pPr>
              <w:suppressAutoHyphens/>
              <w:jc w:val="center"/>
              <w:rPr>
                <w:rFonts w:ascii="Arial" w:eastAsia="Calibri" w:hAnsi="Arial"/>
                <w:sz w:val="16"/>
                <w:szCs w:val="23"/>
              </w:rPr>
            </w:pPr>
            <w:r w:rsidRPr="00140B4C">
              <w:rPr>
                <w:rFonts w:ascii="Arial" w:eastAsia="Calibri" w:hAnsi="Arial"/>
                <w:noProof/>
                <w:sz w:val="16"/>
                <w:szCs w:val="23"/>
              </w:rPr>
              <w:t>9,634</w:t>
            </w:r>
          </w:p>
        </w:tc>
      </w:tr>
      <w:tr w:rsidR="00140B4C" w:rsidRPr="00140B4C" w:rsidTr="006458D4">
        <w:trPr>
          <w:trHeight w:val="216"/>
          <w:jc w:val="center"/>
        </w:trPr>
        <w:tc>
          <w:tcPr>
            <w:tcW w:w="2811" w:type="dxa"/>
            <w:tcBorders>
              <w:top w:val="double" w:sz="6" w:space="0" w:color="009900"/>
              <w:left w:val="single" w:sz="4" w:space="0" w:color="009900"/>
              <w:bottom w:val="dotted" w:sz="4" w:space="0" w:color="009900"/>
              <w:right w:val="nil"/>
            </w:tcBorders>
            <w:shd w:val="clear" w:color="000000" w:fill="FFFFE1"/>
            <w:noWrap/>
            <w:vAlign w:val="center"/>
            <w:hideMark/>
          </w:tcPr>
          <w:p w:rsidR="00140B4C" w:rsidRPr="00140B4C" w:rsidRDefault="00140B4C" w:rsidP="00140B4C">
            <w:pPr>
              <w:suppressAutoHyphens/>
              <w:rPr>
                <w:rFonts w:ascii="Arial" w:eastAsia="Calibri" w:hAnsi="Arial"/>
                <w:b/>
                <w:sz w:val="16"/>
                <w:szCs w:val="23"/>
              </w:rPr>
            </w:pPr>
            <w:r w:rsidRPr="00140B4C">
              <w:rPr>
                <w:rFonts w:ascii="Arial" w:eastAsia="Calibri" w:hAnsi="Arial"/>
                <w:b/>
                <w:sz w:val="16"/>
                <w:szCs w:val="23"/>
              </w:rPr>
              <w:t>Total Households</w:t>
            </w:r>
          </w:p>
        </w:tc>
        <w:tc>
          <w:tcPr>
            <w:tcW w:w="1284" w:type="dxa"/>
            <w:tcBorders>
              <w:top w:val="double" w:sz="6" w:space="0" w:color="009900"/>
              <w:left w:val="nil"/>
              <w:bottom w:val="dotted" w:sz="4" w:space="0" w:color="009900"/>
              <w:right w:val="nil"/>
            </w:tcBorders>
            <w:shd w:val="clear" w:color="000000" w:fill="FFFFE1"/>
            <w:noWrap/>
            <w:vAlign w:val="center"/>
            <w:hideMark/>
          </w:tcPr>
          <w:p w:rsidR="00140B4C" w:rsidRPr="00140B4C" w:rsidRDefault="00140B4C" w:rsidP="00140B4C">
            <w:pPr>
              <w:suppressAutoHyphens/>
              <w:jc w:val="center"/>
              <w:rPr>
                <w:rFonts w:ascii="Arial" w:eastAsia="Calibri" w:hAnsi="Arial"/>
                <w:b/>
                <w:sz w:val="16"/>
                <w:szCs w:val="23"/>
              </w:rPr>
            </w:pPr>
            <w:r w:rsidRPr="00140B4C">
              <w:rPr>
                <w:rFonts w:ascii="Arial" w:eastAsia="Calibri" w:hAnsi="Arial"/>
                <w:b/>
                <w:noProof/>
                <w:sz w:val="16"/>
                <w:szCs w:val="23"/>
              </w:rPr>
              <w:t>677,971</w:t>
            </w:r>
          </w:p>
        </w:tc>
        <w:tc>
          <w:tcPr>
            <w:tcW w:w="1809" w:type="dxa"/>
            <w:tcBorders>
              <w:top w:val="double" w:sz="6" w:space="0" w:color="009900"/>
              <w:left w:val="nil"/>
              <w:bottom w:val="dotted" w:sz="4" w:space="0" w:color="009900"/>
              <w:right w:val="single" w:sz="4" w:space="0" w:color="009900"/>
            </w:tcBorders>
            <w:shd w:val="clear" w:color="000000" w:fill="FFFFE1"/>
            <w:noWrap/>
            <w:vAlign w:val="center"/>
            <w:hideMark/>
          </w:tcPr>
          <w:p w:rsidR="00140B4C" w:rsidRPr="00140B4C" w:rsidRDefault="00140B4C" w:rsidP="00140B4C">
            <w:pPr>
              <w:suppressAutoHyphens/>
              <w:jc w:val="center"/>
              <w:rPr>
                <w:rFonts w:ascii="Arial" w:eastAsia="Calibri" w:hAnsi="Arial"/>
                <w:b/>
                <w:sz w:val="16"/>
                <w:szCs w:val="23"/>
              </w:rPr>
            </w:pPr>
            <w:r w:rsidRPr="00140B4C">
              <w:rPr>
                <w:rFonts w:ascii="Arial" w:eastAsia="Calibri" w:hAnsi="Arial"/>
                <w:b/>
                <w:noProof/>
                <w:sz w:val="16"/>
                <w:szCs w:val="23"/>
              </w:rPr>
              <w:t>763,844</w:t>
            </w:r>
          </w:p>
        </w:tc>
      </w:tr>
      <w:tr w:rsidR="00140B4C" w:rsidRPr="00140B4C" w:rsidTr="006458D4">
        <w:trPr>
          <w:trHeight w:val="216"/>
          <w:jc w:val="center"/>
        </w:trPr>
        <w:tc>
          <w:tcPr>
            <w:tcW w:w="2811" w:type="dxa"/>
            <w:tcBorders>
              <w:top w:val="nil"/>
              <w:left w:val="single" w:sz="4" w:space="0" w:color="009900"/>
              <w:bottom w:val="single" w:sz="4" w:space="0" w:color="009900"/>
              <w:right w:val="nil"/>
            </w:tcBorders>
            <w:shd w:val="clear" w:color="000000" w:fill="FFFFE1"/>
            <w:noWrap/>
            <w:vAlign w:val="center"/>
            <w:hideMark/>
          </w:tcPr>
          <w:p w:rsidR="00140B4C" w:rsidRPr="00140B4C" w:rsidRDefault="00140B4C" w:rsidP="00140B4C">
            <w:pPr>
              <w:suppressAutoHyphens/>
              <w:rPr>
                <w:rFonts w:ascii="Arial" w:eastAsia="Calibri" w:hAnsi="Arial"/>
                <w:b/>
                <w:sz w:val="16"/>
                <w:szCs w:val="23"/>
              </w:rPr>
            </w:pPr>
            <w:r w:rsidRPr="00140B4C">
              <w:rPr>
                <w:rFonts w:ascii="Arial" w:eastAsia="Calibri" w:hAnsi="Arial"/>
                <w:b/>
                <w:sz w:val="16"/>
                <w:szCs w:val="23"/>
              </w:rPr>
              <w:t>Percent Lacking</w:t>
            </w:r>
          </w:p>
        </w:tc>
        <w:tc>
          <w:tcPr>
            <w:tcW w:w="1284" w:type="dxa"/>
            <w:tcBorders>
              <w:top w:val="nil"/>
              <w:left w:val="nil"/>
              <w:bottom w:val="single" w:sz="4" w:space="0" w:color="009900"/>
              <w:right w:val="nil"/>
            </w:tcBorders>
            <w:shd w:val="clear" w:color="000000" w:fill="FFFFE1"/>
            <w:noWrap/>
            <w:vAlign w:val="center"/>
            <w:hideMark/>
          </w:tcPr>
          <w:p w:rsidR="00140B4C" w:rsidRPr="00140B4C" w:rsidRDefault="00140B4C" w:rsidP="00140B4C">
            <w:pPr>
              <w:suppressAutoHyphens/>
              <w:jc w:val="center"/>
              <w:rPr>
                <w:rFonts w:ascii="Arial" w:eastAsia="Calibri" w:hAnsi="Arial"/>
                <w:b/>
                <w:sz w:val="16"/>
                <w:szCs w:val="23"/>
              </w:rPr>
            </w:pPr>
            <w:r w:rsidRPr="00140B4C">
              <w:rPr>
                <w:rFonts w:ascii="Arial" w:eastAsia="Calibri" w:hAnsi="Arial"/>
                <w:b/>
                <w:noProof/>
                <w:sz w:val="16"/>
                <w:szCs w:val="23"/>
              </w:rPr>
              <w:t>1.8</w:t>
            </w:r>
            <w:r w:rsidRPr="00140B4C">
              <w:rPr>
                <w:rFonts w:ascii="Arial" w:eastAsia="Calibri" w:hAnsi="Arial"/>
                <w:b/>
                <w:sz w:val="16"/>
                <w:szCs w:val="23"/>
              </w:rPr>
              <w:t>%</w:t>
            </w:r>
          </w:p>
        </w:tc>
        <w:tc>
          <w:tcPr>
            <w:tcW w:w="1809" w:type="dxa"/>
            <w:tcBorders>
              <w:top w:val="nil"/>
              <w:left w:val="nil"/>
              <w:bottom w:val="single" w:sz="4" w:space="0" w:color="009900"/>
              <w:right w:val="single" w:sz="4" w:space="0" w:color="009900"/>
            </w:tcBorders>
            <w:shd w:val="clear" w:color="000000" w:fill="FFFFE1"/>
            <w:noWrap/>
            <w:vAlign w:val="center"/>
            <w:hideMark/>
          </w:tcPr>
          <w:p w:rsidR="00140B4C" w:rsidRPr="00140B4C" w:rsidRDefault="00140B4C" w:rsidP="00140B4C">
            <w:pPr>
              <w:suppressAutoHyphens/>
              <w:jc w:val="center"/>
              <w:rPr>
                <w:rFonts w:ascii="Arial" w:eastAsia="Calibri" w:hAnsi="Arial"/>
                <w:b/>
                <w:sz w:val="16"/>
                <w:szCs w:val="23"/>
              </w:rPr>
            </w:pPr>
            <w:r w:rsidRPr="00140B4C">
              <w:rPr>
                <w:rFonts w:ascii="Arial" w:eastAsia="Calibri" w:hAnsi="Arial"/>
                <w:b/>
                <w:noProof/>
                <w:sz w:val="16"/>
                <w:szCs w:val="23"/>
              </w:rPr>
              <w:t>1.3</w:t>
            </w:r>
            <w:r w:rsidRPr="00140B4C">
              <w:rPr>
                <w:rFonts w:ascii="Arial" w:eastAsia="Calibri" w:hAnsi="Arial"/>
                <w:b/>
                <w:sz w:val="16"/>
                <w:szCs w:val="23"/>
              </w:rPr>
              <w:t>%</w:t>
            </w:r>
          </w:p>
        </w:tc>
      </w:tr>
    </w:tbl>
    <w:p w:rsidR="00924B88" w:rsidRPr="005471FD" w:rsidRDefault="00924B88" w:rsidP="0030197E">
      <w:pPr>
        <w:pStyle w:val="BodyText"/>
        <w:jc w:val="left"/>
        <w:rPr>
          <w:rFonts w:ascii="CG Omega" w:hAnsi="CG Omega"/>
          <w:szCs w:val="24"/>
          <w:highlight w:val="yellow"/>
        </w:rPr>
      </w:pPr>
    </w:p>
    <w:p w:rsidR="00B32AA7" w:rsidRPr="00271F8D" w:rsidRDefault="00B32AA7" w:rsidP="00B32AA7">
      <w:pPr>
        <w:rPr>
          <w:rFonts w:ascii="CG Omega" w:hAnsi="CG Omega"/>
          <w:b/>
          <w:bCs/>
        </w:rPr>
      </w:pPr>
      <w:r w:rsidRPr="00271F8D">
        <w:rPr>
          <w:rFonts w:ascii="CG Omega" w:hAnsi="CG Omega"/>
          <w:b/>
          <w:bCs/>
        </w:rPr>
        <w:t>Cost Burden</w:t>
      </w:r>
    </w:p>
    <w:p w:rsidR="00786E94" w:rsidRPr="005471FD" w:rsidRDefault="00786E94" w:rsidP="0030197E">
      <w:pPr>
        <w:rPr>
          <w:rFonts w:ascii="CG Omega" w:hAnsi="CG Omega"/>
          <w:bCs/>
          <w:highlight w:val="yellow"/>
        </w:rPr>
      </w:pPr>
    </w:p>
    <w:p w:rsidR="00FD096D" w:rsidRPr="00FD096D" w:rsidRDefault="00FD096D" w:rsidP="00FD096D">
      <w:pPr>
        <w:pStyle w:val="WESNormaltext"/>
        <w:rPr>
          <w:sz w:val="24"/>
          <w:szCs w:val="24"/>
        </w:rPr>
      </w:pPr>
      <w:r w:rsidRPr="00FD096D">
        <w:rPr>
          <w:sz w:val="24"/>
          <w:szCs w:val="24"/>
        </w:rPr>
        <w:t xml:space="preserve">Another type of housing problem reported in the 2000 Census was cost burden, which occurs when a household has gross housing costs that range from 30 to 49.9 percent of gross household income; severe cost burden occurs when gross housing costs represent 50 percent or more of gross household income. For homeowners, gross housing costs include property taxes, insurance, energy payments, water and sewer service, and refuse collection. If the homeowner has a mortgage, the determination also includes principal and interest payments on the mortgage loan. For renters, this figure represents monthly rent plus utility charges. </w:t>
      </w:r>
    </w:p>
    <w:p w:rsidR="00496BD0" w:rsidRPr="008C0D1A" w:rsidRDefault="00496BD0" w:rsidP="00B17237">
      <w:pPr>
        <w:jc w:val="both"/>
        <w:rPr>
          <w:rFonts w:ascii="CG Omega" w:hAnsi="CG Omega"/>
          <w:sz w:val="16"/>
          <w:szCs w:val="16"/>
          <w:highlight w:val="yellow"/>
        </w:rPr>
      </w:pPr>
    </w:p>
    <w:p w:rsidR="008B1561" w:rsidRDefault="008B1561" w:rsidP="00B17237">
      <w:pPr>
        <w:jc w:val="both"/>
        <w:rPr>
          <w:rFonts w:ascii="CG Omega" w:hAnsi="CG Omega"/>
        </w:rPr>
      </w:pPr>
      <w:r w:rsidRPr="00FD096D">
        <w:rPr>
          <w:rFonts w:ascii="CG Omega" w:hAnsi="CG Omega"/>
        </w:rPr>
        <w:t>According to 2000 census data, 16.0 percent of households</w:t>
      </w:r>
      <w:r w:rsidR="00724A23" w:rsidRPr="00FD096D">
        <w:rPr>
          <w:rFonts w:ascii="CG Omega" w:hAnsi="CG Omega"/>
        </w:rPr>
        <w:t xml:space="preserve"> in New Mexico experienced</w:t>
      </w:r>
      <w:r w:rsidRPr="00FD096D">
        <w:rPr>
          <w:rFonts w:ascii="CG Omega" w:hAnsi="CG Omega"/>
        </w:rPr>
        <w:t xml:space="preserve"> a cost burden at that time.  An additional 11.</w:t>
      </w:r>
      <w:r w:rsidR="00C737EF" w:rsidRPr="00FD096D">
        <w:rPr>
          <w:rFonts w:ascii="CG Omega" w:hAnsi="CG Omega"/>
        </w:rPr>
        <w:t>7</w:t>
      </w:r>
      <w:r w:rsidRPr="00FD096D">
        <w:rPr>
          <w:rFonts w:ascii="CG Omega" w:hAnsi="CG Omega"/>
        </w:rPr>
        <w:t xml:space="preserve"> percent of households exp</w:t>
      </w:r>
      <w:r w:rsidR="00FD096D">
        <w:rPr>
          <w:rFonts w:ascii="CG Omega" w:hAnsi="CG Omega"/>
        </w:rPr>
        <w:t xml:space="preserve">erienced a severe cost burden. </w:t>
      </w:r>
      <w:r w:rsidR="00781A37" w:rsidRPr="00781A37">
        <w:rPr>
          <w:rFonts w:ascii="CG Omega" w:hAnsi="CG Omega"/>
        </w:rPr>
        <w:t>By 2012, 17.0 percent of households were cost-burdened, and the share of households experiencing a severe cost burden had grown to 14.1 percent.</w:t>
      </w:r>
      <w:r w:rsidR="00781A37">
        <w:rPr>
          <w:rFonts w:ascii="CG Omega" w:hAnsi="CG Omega"/>
        </w:rPr>
        <w:t xml:space="preserve"> In both years, cost burdens fell more heavily on rental tenants than on home owners with a mortgage. This discrepancy was more pronounced in households ex</w:t>
      </w:r>
      <w:r w:rsidR="00161980">
        <w:rPr>
          <w:rFonts w:ascii="CG Omega" w:hAnsi="CG Omega"/>
        </w:rPr>
        <w:t>periencing a severe-cost burden. I</w:t>
      </w:r>
      <w:r w:rsidR="00781A37">
        <w:rPr>
          <w:rFonts w:ascii="CG Omega" w:hAnsi="CG Omega"/>
        </w:rPr>
        <w:t xml:space="preserve">n both datasets, the share of rental households with a severe cost burden was around </w:t>
      </w:r>
      <w:r w:rsidR="005F3668">
        <w:rPr>
          <w:rFonts w:ascii="CG Omega" w:hAnsi="CG Omega"/>
        </w:rPr>
        <w:t>eight</w:t>
      </w:r>
      <w:r w:rsidR="00781A37">
        <w:rPr>
          <w:rFonts w:ascii="CG Omega" w:hAnsi="CG Omega"/>
        </w:rPr>
        <w:t xml:space="preserve"> percentage points higher than the share of mortgagors with a severe cost-burden.</w:t>
      </w:r>
      <w:r w:rsidR="00EB7CB2">
        <w:rPr>
          <w:rFonts w:ascii="CG Omega" w:hAnsi="CG Omega"/>
        </w:rPr>
        <w:t xml:space="preserve"> This data can be seen in </w:t>
      </w:r>
      <w:r w:rsidR="00EB7CB2" w:rsidRPr="005F3668">
        <w:rPr>
          <w:rFonts w:ascii="CG Omega" w:hAnsi="CG Omega"/>
          <w:b/>
        </w:rPr>
        <w:t>Table IV.1</w:t>
      </w:r>
      <w:r w:rsidR="00321774" w:rsidRPr="005F3668">
        <w:rPr>
          <w:rFonts w:ascii="CG Omega" w:hAnsi="CG Omega"/>
          <w:b/>
        </w:rPr>
        <w:t>1</w:t>
      </w:r>
      <w:r w:rsidR="00EB7CB2">
        <w:rPr>
          <w:rFonts w:ascii="CG Omega" w:hAnsi="CG Omega"/>
        </w:rPr>
        <w:t xml:space="preserve">, below.  A table containing the entire </w:t>
      </w:r>
      <w:r w:rsidR="00B71DBB">
        <w:rPr>
          <w:rFonts w:ascii="CG Omega" w:hAnsi="CG Omega"/>
        </w:rPr>
        <w:t>dataset</w:t>
      </w:r>
      <w:r w:rsidR="00EB7CB2">
        <w:rPr>
          <w:rFonts w:ascii="CG Omega" w:hAnsi="CG Omega"/>
        </w:rPr>
        <w:t xml:space="preserve"> is in </w:t>
      </w:r>
      <w:r w:rsidR="00EB7CB2" w:rsidRPr="00666E9B">
        <w:rPr>
          <w:rFonts w:ascii="CG Omega" w:hAnsi="CG Omega"/>
        </w:rPr>
        <w:t>A</w:t>
      </w:r>
      <w:r w:rsidR="00E72B41" w:rsidRPr="00666E9B">
        <w:rPr>
          <w:rFonts w:ascii="CG Omega" w:hAnsi="CG Omega"/>
        </w:rPr>
        <w:t>p</w:t>
      </w:r>
      <w:r w:rsidR="00666E9B" w:rsidRPr="00666E9B">
        <w:rPr>
          <w:rFonts w:ascii="CG Omega" w:hAnsi="CG Omega"/>
        </w:rPr>
        <w:t>pendix</w:t>
      </w:r>
      <w:r w:rsidR="003C412A">
        <w:rPr>
          <w:rFonts w:ascii="CG Omega" w:hAnsi="CG Omega"/>
        </w:rPr>
        <w:t xml:space="preserve"> C</w:t>
      </w:r>
      <w:r w:rsidR="00C03AB5">
        <w:rPr>
          <w:rFonts w:ascii="CG Omega" w:hAnsi="CG Omega"/>
        </w:rPr>
        <w:t>.</w:t>
      </w:r>
    </w:p>
    <w:p w:rsidR="00EA414E" w:rsidRPr="005F3668" w:rsidRDefault="00EA414E" w:rsidP="00B17237">
      <w:pPr>
        <w:jc w:val="both"/>
        <w:rPr>
          <w:rFonts w:ascii="CG Omega" w:hAnsi="CG Omega"/>
          <w:sz w:val="20"/>
          <w:szCs w:val="20"/>
        </w:rPr>
      </w:pPr>
    </w:p>
    <w:tbl>
      <w:tblPr>
        <w:tblW w:w="6340" w:type="dxa"/>
        <w:jc w:val="center"/>
        <w:tblLook w:val="04A0" w:firstRow="1" w:lastRow="0" w:firstColumn="1" w:lastColumn="0" w:noHBand="0" w:noVBand="1"/>
      </w:tblPr>
      <w:tblGrid>
        <w:gridCol w:w="1908"/>
        <w:gridCol w:w="1204"/>
        <w:gridCol w:w="1012"/>
        <w:gridCol w:w="1204"/>
        <w:gridCol w:w="1012"/>
      </w:tblGrid>
      <w:tr w:rsidR="00EB7CB2" w:rsidRPr="00AC1CAC" w:rsidTr="00EB7CB2">
        <w:trPr>
          <w:trHeight w:val="240"/>
          <w:jc w:val="center"/>
        </w:trPr>
        <w:tc>
          <w:tcPr>
            <w:tcW w:w="6340" w:type="dxa"/>
            <w:gridSpan w:val="5"/>
            <w:tcBorders>
              <w:top w:val="nil"/>
              <w:left w:val="nil"/>
              <w:bottom w:val="nil"/>
              <w:right w:val="nil"/>
            </w:tcBorders>
            <w:shd w:val="clear" w:color="auto" w:fill="auto"/>
            <w:noWrap/>
            <w:vAlign w:val="center"/>
            <w:hideMark/>
          </w:tcPr>
          <w:p w:rsidR="00EB7CB2" w:rsidRPr="00AC1CAC" w:rsidRDefault="00EB7CB2" w:rsidP="00321774">
            <w:pPr>
              <w:jc w:val="center"/>
              <w:rPr>
                <w:rFonts w:ascii="Arial" w:hAnsi="Arial" w:cs="Arial"/>
                <w:b/>
                <w:bCs/>
                <w:color w:val="000000"/>
                <w:sz w:val="22"/>
                <w:szCs w:val="22"/>
              </w:rPr>
            </w:pPr>
            <w:r w:rsidRPr="00AC1CAC">
              <w:rPr>
                <w:rFonts w:ascii="Arial" w:hAnsi="Arial" w:cs="Arial"/>
                <w:b/>
                <w:bCs/>
                <w:color w:val="000000"/>
                <w:sz w:val="22"/>
                <w:szCs w:val="22"/>
              </w:rPr>
              <w:t>Table IV.1</w:t>
            </w:r>
            <w:r w:rsidR="00321774">
              <w:rPr>
                <w:rFonts w:ascii="Arial" w:hAnsi="Arial" w:cs="Arial"/>
                <w:b/>
                <w:bCs/>
                <w:color w:val="000000"/>
                <w:sz w:val="22"/>
                <w:szCs w:val="22"/>
              </w:rPr>
              <w:t>1</w:t>
            </w:r>
          </w:p>
        </w:tc>
      </w:tr>
      <w:tr w:rsidR="00EB7CB2" w:rsidRPr="00AC1CAC" w:rsidTr="00EB7CB2">
        <w:trPr>
          <w:trHeight w:val="225"/>
          <w:jc w:val="center"/>
        </w:trPr>
        <w:tc>
          <w:tcPr>
            <w:tcW w:w="6340" w:type="dxa"/>
            <w:gridSpan w:val="5"/>
            <w:tcBorders>
              <w:top w:val="nil"/>
              <w:left w:val="nil"/>
              <w:bottom w:val="nil"/>
              <w:right w:val="nil"/>
            </w:tcBorders>
            <w:shd w:val="clear" w:color="auto" w:fill="auto"/>
            <w:noWrap/>
            <w:vAlign w:val="center"/>
            <w:hideMark/>
          </w:tcPr>
          <w:p w:rsidR="00EB7CB2" w:rsidRPr="00AC1CAC" w:rsidRDefault="00EB7CB2" w:rsidP="001857F9">
            <w:pPr>
              <w:jc w:val="center"/>
              <w:rPr>
                <w:rFonts w:ascii="Arial" w:hAnsi="Arial" w:cs="Arial"/>
                <w:b/>
                <w:bCs/>
                <w:color w:val="000000"/>
                <w:sz w:val="20"/>
                <w:szCs w:val="20"/>
              </w:rPr>
            </w:pPr>
            <w:r w:rsidRPr="00AC1CAC">
              <w:rPr>
                <w:rFonts w:ascii="Arial" w:hAnsi="Arial" w:cs="Arial"/>
                <w:b/>
                <w:bCs/>
                <w:color w:val="000000"/>
                <w:sz w:val="20"/>
                <w:szCs w:val="20"/>
              </w:rPr>
              <w:t>Cost Burden and Severe Cost Burden by Tenure</w:t>
            </w:r>
          </w:p>
        </w:tc>
      </w:tr>
      <w:tr w:rsidR="00EB7CB2" w:rsidRPr="00AC1CAC" w:rsidTr="00EB7CB2">
        <w:trPr>
          <w:trHeight w:val="210"/>
          <w:jc w:val="center"/>
        </w:trPr>
        <w:tc>
          <w:tcPr>
            <w:tcW w:w="6340" w:type="dxa"/>
            <w:gridSpan w:val="5"/>
            <w:tcBorders>
              <w:top w:val="nil"/>
              <w:left w:val="nil"/>
              <w:bottom w:val="nil"/>
              <w:right w:val="nil"/>
            </w:tcBorders>
            <w:shd w:val="clear" w:color="auto" w:fill="auto"/>
            <w:noWrap/>
            <w:vAlign w:val="center"/>
            <w:hideMark/>
          </w:tcPr>
          <w:p w:rsidR="00EB7CB2" w:rsidRPr="00AC1CAC" w:rsidRDefault="00EB7CB2" w:rsidP="001857F9">
            <w:pPr>
              <w:jc w:val="center"/>
              <w:rPr>
                <w:rFonts w:ascii="Arial" w:hAnsi="Arial" w:cs="Arial"/>
                <w:color w:val="000000"/>
                <w:sz w:val="16"/>
                <w:szCs w:val="16"/>
              </w:rPr>
            </w:pPr>
            <w:r w:rsidRPr="00AC1CAC">
              <w:rPr>
                <w:rFonts w:ascii="Arial" w:hAnsi="Arial" w:cs="Arial"/>
                <w:color w:val="000000"/>
                <w:sz w:val="16"/>
                <w:szCs w:val="16"/>
              </w:rPr>
              <w:t>State of New Mexico</w:t>
            </w:r>
          </w:p>
        </w:tc>
      </w:tr>
      <w:tr w:rsidR="00EB7CB2" w:rsidRPr="00AC1CAC" w:rsidTr="00EB7CB2">
        <w:trPr>
          <w:trHeight w:val="225"/>
          <w:jc w:val="center"/>
        </w:trPr>
        <w:tc>
          <w:tcPr>
            <w:tcW w:w="6340" w:type="dxa"/>
            <w:gridSpan w:val="5"/>
            <w:tcBorders>
              <w:top w:val="nil"/>
              <w:left w:val="nil"/>
              <w:bottom w:val="single" w:sz="8" w:space="0" w:color="009900"/>
              <w:right w:val="nil"/>
            </w:tcBorders>
            <w:shd w:val="clear" w:color="auto" w:fill="auto"/>
            <w:noWrap/>
            <w:vAlign w:val="center"/>
            <w:hideMark/>
          </w:tcPr>
          <w:p w:rsidR="00EB7CB2" w:rsidRPr="00AC1CAC" w:rsidRDefault="00EB7CB2" w:rsidP="001857F9">
            <w:pPr>
              <w:jc w:val="center"/>
              <w:rPr>
                <w:rFonts w:ascii="Arial" w:hAnsi="Arial" w:cs="Arial"/>
                <w:color w:val="000000"/>
                <w:sz w:val="16"/>
                <w:szCs w:val="16"/>
              </w:rPr>
            </w:pPr>
            <w:r w:rsidRPr="00AC1CAC">
              <w:rPr>
                <w:rFonts w:ascii="Arial" w:hAnsi="Arial" w:cs="Arial"/>
                <w:color w:val="000000"/>
                <w:sz w:val="16"/>
                <w:szCs w:val="16"/>
              </w:rPr>
              <w:t>2000 Census &amp; 2012 Five-Year ACS Data</w:t>
            </w:r>
          </w:p>
        </w:tc>
      </w:tr>
      <w:tr w:rsidR="00EB7CB2" w:rsidRPr="00AC1CAC" w:rsidTr="00EB7CB2">
        <w:trPr>
          <w:trHeight w:val="240"/>
          <w:jc w:val="center"/>
        </w:trPr>
        <w:tc>
          <w:tcPr>
            <w:tcW w:w="1908" w:type="dxa"/>
            <w:vMerge w:val="restart"/>
            <w:tcBorders>
              <w:top w:val="nil"/>
              <w:left w:val="single" w:sz="8" w:space="0" w:color="009900"/>
              <w:bottom w:val="single" w:sz="8" w:space="0" w:color="009900"/>
              <w:right w:val="nil"/>
            </w:tcBorders>
            <w:shd w:val="clear" w:color="000000" w:fill="FFFFE1"/>
            <w:noWrap/>
            <w:vAlign w:val="center"/>
            <w:hideMark/>
          </w:tcPr>
          <w:p w:rsidR="00EB7CB2" w:rsidRPr="00AC1CAC" w:rsidRDefault="00EB7CB2" w:rsidP="001857F9">
            <w:pPr>
              <w:rPr>
                <w:rFonts w:ascii="Arial" w:hAnsi="Arial" w:cs="Arial"/>
                <w:b/>
                <w:bCs/>
                <w:color w:val="000000"/>
                <w:sz w:val="16"/>
                <w:szCs w:val="16"/>
              </w:rPr>
            </w:pPr>
            <w:r w:rsidRPr="00AC1CAC">
              <w:rPr>
                <w:rFonts w:ascii="Arial" w:hAnsi="Arial" w:cs="Arial"/>
                <w:b/>
                <w:bCs/>
                <w:color w:val="000000"/>
                <w:sz w:val="16"/>
                <w:szCs w:val="16"/>
              </w:rPr>
              <w:t>Data Source</w:t>
            </w:r>
          </w:p>
        </w:tc>
        <w:tc>
          <w:tcPr>
            <w:tcW w:w="2216" w:type="dxa"/>
            <w:gridSpan w:val="2"/>
            <w:tcBorders>
              <w:top w:val="single" w:sz="8" w:space="0" w:color="009900"/>
              <w:left w:val="dotted" w:sz="4" w:space="0" w:color="009900"/>
              <w:bottom w:val="dotted" w:sz="4" w:space="0" w:color="009900"/>
              <w:right w:val="dotted" w:sz="4" w:space="0" w:color="009900"/>
            </w:tcBorders>
            <w:shd w:val="clear" w:color="000000" w:fill="FFFFE1"/>
            <w:vAlign w:val="center"/>
            <w:hideMark/>
          </w:tcPr>
          <w:p w:rsidR="00EB7CB2" w:rsidRPr="00AC1CAC" w:rsidRDefault="00EB7CB2" w:rsidP="001857F9">
            <w:pPr>
              <w:jc w:val="center"/>
              <w:rPr>
                <w:rFonts w:ascii="Arial" w:hAnsi="Arial" w:cs="Arial"/>
                <w:b/>
                <w:bCs/>
                <w:color w:val="000000"/>
                <w:sz w:val="16"/>
                <w:szCs w:val="16"/>
              </w:rPr>
            </w:pPr>
            <w:r w:rsidRPr="00AC1CAC">
              <w:rPr>
                <w:rFonts w:ascii="Arial" w:hAnsi="Arial" w:cs="Arial"/>
                <w:b/>
                <w:bCs/>
                <w:color w:val="000000"/>
                <w:sz w:val="16"/>
                <w:szCs w:val="16"/>
              </w:rPr>
              <w:t>31%-50%</w:t>
            </w:r>
          </w:p>
        </w:tc>
        <w:tc>
          <w:tcPr>
            <w:tcW w:w="2216" w:type="dxa"/>
            <w:gridSpan w:val="2"/>
            <w:tcBorders>
              <w:top w:val="single" w:sz="8" w:space="0" w:color="009900"/>
              <w:left w:val="nil"/>
              <w:bottom w:val="dotted" w:sz="4" w:space="0" w:color="009900"/>
              <w:right w:val="single" w:sz="8" w:space="0" w:color="009900"/>
            </w:tcBorders>
            <w:shd w:val="clear" w:color="000000" w:fill="FFFFE1"/>
            <w:vAlign w:val="center"/>
            <w:hideMark/>
          </w:tcPr>
          <w:p w:rsidR="00EB7CB2" w:rsidRPr="00AC1CAC" w:rsidRDefault="00EB7CB2" w:rsidP="001857F9">
            <w:pPr>
              <w:jc w:val="center"/>
              <w:rPr>
                <w:rFonts w:ascii="Arial" w:hAnsi="Arial" w:cs="Arial"/>
                <w:b/>
                <w:bCs/>
                <w:color w:val="000000"/>
                <w:sz w:val="16"/>
                <w:szCs w:val="16"/>
              </w:rPr>
            </w:pPr>
            <w:r w:rsidRPr="00AC1CAC">
              <w:rPr>
                <w:rFonts w:ascii="Arial" w:hAnsi="Arial" w:cs="Arial"/>
                <w:b/>
                <w:bCs/>
                <w:color w:val="000000"/>
                <w:sz w:val="16"/>
                <w:szCs w:val="16"/>
              </w:rPr>
              <w:t>Above 50%</w:t>
            </w:r>
          </w:p>
        </w:tc>
      </w:tr>
      <w:tr w:rsidR="00EB7CB2" w:rsidRPr="00AC1CAC" w:rsidTr="00EB7CB2">
        <w:trPr>
          <w:trHeight w:val="315"/>
          <w:jc w:val="center"/>
        </w:trPr>
        <w:tc>
          <w:tcPr>
            <w:tcW w:w="1908" w:type="dxa"/>
            <w:vMerge/>
            <w:tcBorders>
              <w:top w:val="nil"/>
              <w:left w:val="single" w:sz="8" w:space="0" w:color="009900"/>
              <w:bottom w:val="single" w:sz="8" w:space="0" w:color="009900"/>
              <w:right w:val="nil"/>
            </w:tcBorders>
            <w:vAlign w:val="center"/>
            <w:hideMark/>
          </w:tcPr>
          <w:p w:rsidR="00EB7CB2" w:rsidRPr="00AC1CAC" w:rsidRDefault="00EB7CB2" w:rsidP="001857F9">
            <w:pPr>
              <w:rPr>
                <w:rFonts w:ascii="Arial" w:hAnsi="Arial" w:cs="Arial"/>
                <w:b/>
                <w:bCs/>
                <w:color w:val="000000"/>
                <w:sz w:val="16"/>
                <w:szCs w:val="16"/>
              </w:rPr>
            </w:pPr>
          </w:p>
        </w:tc>
        <w:tc>
          <w:tcPr>
            <w:tcW w:w="1204" w:type="dxa"/>
            <w:tcBorders>
              <w:top w:val="nil"/>
              <w:left w:val="dotted" w:sz="4" w:space="0" w:color="009900"/>
              <w:bottom w:val="single" w:sz="8" w:space="0" w:color="009900"/>
              <w:right w:val="nil"/>
            </w:tcBorders>
            <w:shd w:val="clear" w:color="000000" w:fill="FFFFE1"/>
            <w:noWrap/>
            <w:vAlign w:val="center"/>
            <w:hideMark/>
          </w:tcPr>
          <w:p w:rsidR="00EB7CB2" w:rsidRPr="00AC1CAC" w:rsidRDefault="00EB7CB2" w:rsidP="001857F9">
            <w:pPr>
              <w:jc w:val="center"/>
              <w:rPr>
                <w:rFonts w:ascii="Arial" w:hAnsi="Arial" w:cs="Arial"/>
                <w:b/>
                <w:bCs/>
                <w:color w:val="000000"/>
                <w:sz w:val="16"/>
                <w:szCs w:val="16"/>
              </w:rPr>
            </w:pPr>
            <w:r w:rsidRPr="00AC1CAC">
              <w:rPr>
                <w:rFonts w:ascii="Arial" w:hAnsi="Arial" w:cs="Arial"/>
                <w:b/>
                <w:bCs/>
                <w:color w:val="000000"/>
                <w:sz w:val="16"/>
                <w:szCs w:val="16"/>
              </w:rPr>
              <w:t>Households</w:t>
            </w:r>
          </w:p>
        </w:tc>
        <w:tc>
          <w:tcPr>
            <w:tcW w:w="1012" w:type="dxa"/>
            <w:tcBorders>
              <w:top w:val="nil"/>
              <w:left w:val="nil"/>
              <w:bottom w:val="single" w:sz="8" w:space="0" w:color="009900"/>
              <w:right w:val="dotted" w:sz="4" w:space="0" w:color="009900"/>
            </w:tcBorders>
            <w:shd w:val="clear" w:color="000000" w:fill="FFFFE1"/>
            <w:noWrap/>
            <w:vAlign w:val="center"/>
            <w:hideMark/>
          </w:tcPr>
          <w:p w:rsidR="00EB7CB2" w:rsidRPr="00AC1CAC" w:rsidRDefault="00EB7CB2" w:rsidP="001857F9">
            <w:pPr>
              <w:jc w:val="center"/>
              <w:rPr>
                <w:rFonts w:ascii="Arial" w:hAnsi="Arial" w:cs="Arial"/>
                <w:b/>
                <w:bCs/>
                <w:color w:val="000000"/>
                <w:sz w:val="16"/>
                <w:szCs w:val="16"/>
              </w:rPr>
            </w:pPr>
            <w:r w:rsidRPr="00AC1CAC">
              <w:rPr>
                <w:rFonts w:ascii="Arial" w:hAnsi="Arial" w:cs="Arial"/>
                <w:b/>
                <w:bCs/>
                <w:color w:val="000000"/>
                <w:sz w:val="16"/>
                <w:szCs w:val="16"/>
              </w:rPr>
              <w:t>% of Total</w:t>
            </w:r>
          </w:p>
        </w:tc>
        <w:tc>
          <w:tcPr>
            <w:tcW w:w="1204" w:type="dxa"/>
            <w:tcBorders>
              <w:top w:val="nil"/>
              <w:left w:val="nil"/>
              <w:bottom w:val="single" w:sz="8" w:space="0" w:color="009900"/>
              <w:right w:val="nil"/>
            </w:tcBorders>
            <w:shd w:val="clear" w:color="000000" w:fill="FFFFE1"/>
            <w:noWrap/>
            <w:vAlign w:val="center"/>
            <w:hideMark/>
          </w:tcPr>
          <w:p w:rsidR="00EB7CB2" w:rsidRPr="00AC1CAC" w:rsidRDefault="00EB7CB2" w:rsidP="001857F9">
            <w:pPr>
              <w:jc w:val="center"/>
              <w:rPr>
                <w:rFonts w:ascii="Arial" w:hAnsi="Arial" w:cs="Arial"/>
                <w:b/>
                <w:bCs/>
                <w:color w:val="000000"/>
                <w:sz w:val="16"/>
                <w:szCs w:val="16"/>
              </w:rPr>
            </w:pPr>
            <w:r w:rsidRPr="00AC1CAC">
              <w:rPr>
                <w:rFonts w:ascii="Arial" w:hAnsi="Arial" w:cs="Arial"/>
                <w:b/>
                <w:bCs/>
                <w:color w:val="000000"/>
                <w:sz w:val="16"/>
                <w:szCs w:val="16"/>
              </w:rPr>
              <w:t>Households</w:t>
            </w:r>
          </w:p>
        </w:tc>
        <w:tc>
          <w:tcPr>
            <w:tcW w:w="1012" w:type="dxa"/>
            <w:tcBorders>
              <w:top w:val="nil"/>
              <w:left w:val="nil"/>
              <w:bottom w:val="single" w:sz="8" w:space="0" w:color="009900"/>
              <w:right w:val="single" w:sz="8" w:space="0" w:color="009900"/>
            </w:tcBorders>
            <w:shd w:val="clear" w:color="000000" w:fill="FFFFE1"/>
            <w:noWrap/>
            <w:vAlign w:val="center"/>
            <w:hideMark/>
          </w:tcPr>
          <w:p w:rsidR="00EB7CB2" w:rsidRPr="00AC1CAC" w:rsidRDefault="00EB7CB2" w:rsidP="001857F9">
            <w:pPr>
              <w:jc w:val="center"/>
              <w:rPr>
                <w:rFonts w:ascii="Arial" w:hAnsi="Arial" w:cs="Arial"/>
                <w:b/>
                <w:bCs/>
                <w:color w:val="000000"/>
                <w:sz w:val="16"/>
                <w:szCs w:val="16"/>
              </w:rPr>
            </w:pPr>
            <w:r w:rsidRPr="00AC1CAC">
              <w:rPr>
                <w:rFonts w:ascii="Arial" w:hAnsi="Arial" w:cs="Arial"/>
                <w:b/>
                <w:bCs/>
                <w:color w:val="000000"/>
                <w:sz w:val="16"/>
                <w:szCs w:val="16"/>
              </w:rPr>
              <w:t>% of Total</w:t>
            </w:r>
          </w:p>
        </w:tc>
      </w:tr>
      <w:tr w:rsidR="00EB7CB2" w:rsidRPr="00AC1CAC" w:rsidTr="00EB7CB2">
        <w:trPr>
          <w:trHeight w:val="240"/>
          <w:jc w:val="center"/>
        </w:trPr>
        <w:tc>
          <w:tcPr>
            <w:tcW w:w="6340" w:type="dxa"/>
            <w:gridSpan w:val="5"/>
            <w:tcBorders>
              <w:top w:val="single" w:sz="8" w:space="0" w:color="009900"/>
              <w:left w:val="single" w:sz="8" w:space="0" w:color="009900"/>
              <w:bottom w:val="dotted" w:sz="4" w:space="0" w:color="009900"/>
              <w:right w:val="single" w:sz="8" w:space="0" w:color="009900"/>
            </w:tcBorders>
            <w:shd w:val="clear" w:color="000000" w:fill="FFFFE1"/>
            <w:noWrap/>
            <w:vAlign w:val="center"/>
            <w:hideMark/>
          </w:tcPr>
          <w:p w:rsidR="00EB7CB2" w:rsidRPr="00AC1CAC" w:rsidRDefault="00EB7CB2" w:rsidP="001857F9">
            <w:pPr>
              <w:jc w:val="center"/>
              <w:rPr>
                <w:rFonts w:ascii="Arial" w:hAnsi="Arial" w:cs="Arial"/>
                <w:b/>
                <w:bCs/>
                <w:color w:val="000000"/>
                <w:sz w:val="16"/>
                <w:szCs w:val="16"/>
              </w:rPr>
            </w:pPr>
            <w:r w:rsidRPr="00AC1CAC">
              <w:rPr>
                <w:rFonts w:ascii="Arial" w:hAnsi="Arial" w:cs="Arial"/>
                <w:b/>
                <w:bCs/>
                <w:color w:val="000000"/>
                <w:sz w:val="16"/>
                <w:szCs w:val="16"/>
              </w:rPr>
              <w:t>Owner With a Mortgage</w:t>
            </w:r>
          </w:p>
        </w:tc>
      </w:tr>
      <w:tr w:rsidR="00EB7CB2" w:rsidRPr="00AC1CAC" w:rsidTr="00EB7CB2">
        <w:trPr>
          <w:trHeight w:val="240"/>
          <w:jc w:val="center"/>
        </w:trPr>
        <w:tc>
          <w:tcPr>
            <w:tcW w:w="1908" w:type="dxa"/>
            <w:tcBorders>
              <w:top w:val="nil"/>
              <w:left w:val="single" w:sz="8" w:space="0" w:color="009900"/>
              <w:bottom w:val="nil"/>
              <w:right w:val="nil"/>
            </w:tcBorders>
            <w:shd w:val="clear" w:color="000000" w:fill="FFFFE1"/>
            <w:noWrap/>
            <w:vAlign w:val="center"/>
            <w:hideMark/>
          </w:tcPr>
          <w:p w:rsidR="00EB7CB2" w:rsidRPr="00AC1CAC" w:rsidRDefault="00EB7CB2" w:rsidP="001857F9">
            <w:pPr>
              <w:rPr>
                <w:rFonts w:ascii="Arial" w:hAnsi="Arial" w:cs="Arial"/>
                <w:color w:val="000000"/>
                <w:sz w:val="16"/>
                <w:szCs w:val="16"/>
              </w:rPr>
            </w:pPr>
            <w:r w:rsidRPr="00AC1CAC">
              <w:rPr>
                <w:rFonts w:ascii="Arial" w:hAnsi="Arial" w:cs="Arial"/>
                <w:color w:val="000000"/>
                <w:sz w:val="16"/>
                <w:szCs w:val="16"/>
              </w:rPr>
              <w:t>2000 Census</w:t>
            </w:r>
          </w:p>
        </w:tc>
        <w:tc>
          <w:tcPr>
            <w:tcW w:w="1204" w:type="dxa"/>
            <w:tcBorders>
              <w:top w:val="nil"/>
              <w:left w:val="dotted" w:sz="4" w:space="0" w:color="009900"/>
              <w:bottom w:val="nil"/>
              <w:right w:val="nil"/>
            </w:tcBorders>
            <w:shd w:val="clear" w:color="000000" w:fill="FFFFE1"/>
            <w:noWrap/>
            <w:vAlign w:val="center"/>
            <w:hideMark/>
          </w:tcPr>
          <w:p w:rsidR="00EB7CB2" w:rsidRPr="00AC1CAC" w:rsidRDefault="00EB7CB2" w:rsidP="001857F9">
            <w:pPr>
              <w:jc w:val="center"/>
              <w:rPr>
                <w:rFonts w:ascii="Arial" w:hAnsi="Arial" w:cs="Arial"/>
                <w:color w:val="000000"/>
                <w:sz w:val="16"/>
                <w:szCs w:val="16"/>
              </w:rPr>
            </w:pPr>
            <w:r w:rsidRPr="00AC1CAC">
              <w:rPr>
                <w:rFonts w:ascii="Arial" w:hAnsi="Arial" w:cs="Arial"/>
                <w:color w:val="000000"/>
                <w:sz w:val="16"/>
                <w:szCs w:val="16"/>
              </w:rPr>
              <w:t>39,869</w:t>
            </w:r>
          </w:p>
        </w:tc>
        <w:tc>
          <w:tcPr>
            <w:tcW w:w="1012" w:type="dxa"/>
            <w:tcBorders>
              <w:top w:val="nil"/>
              <w:left w:val="nil"/>
              <w:bottom w:val="nil"/>
              <w:right w:val="dotted" w:sz="4" w:space="0" w:color="009900"/>
            </w:tcBorders>
            <w:shd w:val="clear" w:color="000000" w:fill="FFFFE1"/>
            <w:noWrap/>
            <w:vAlign w:val="center"/>
            <w:hideMark/>
          </w:tcPr>
          <w:p w:rsidR="00EB7CB2" w:rsidRPr="00AC1CAC" w:rsidRDefault="00EB7CB2" w:rsidP="001857F9">
            <w:pPr>
              <w:jc w:val="center"/>
              <w:rPr>
                <w:rFonts w:ascii="Arial" w:hAnsi="Arial" w:cs="Arial"/>
                <w:color w:val="000000"/>
                <w:sz w:val="16"/>
                <w:szCs w:val="16"/>
              </w:rPr>
            </w:pPr>
            <w:r w:rsidRPr="00AC1CAC">
              <w:rPr>
                <w:rFonts w:ascii="Arial" w:hAnsi="Arial" w:cs="Arial"/>
                <w:color w:val="000000"/>
                <w:sz w:val="16"/>
                <w:szCs w:val="16"/>
              </w:rPr>
              <w:t>18.50%</w:t>
            </w:r>
          </w:p>
        </w:tc>
        <w:tc>
          <w:tcPr>
            <w:tcW w:w="1204" w:type="dxa"/>
            <w:tcBorders>
              <w:top w:val="nil"/>
              <w:left w:val="nil"/>
              <w:bottom w:val="nil"/>
              <w:right w:val="nil"/>
            </w:tcBorders>
            <w:shd w:val="clear" w:color="000000" w:fill="FFFFE1"/>
            <w:noWrap/>
            <w:vAlign w:val="center"/>
            <w:hideMark/>
          </w:tcPr>
          <w:p w:rsidR="00EB7CB2" w:rsidRPr="00AC1CAC" w:rsidRDefault="00EB7CB2" w:rsidP="001857F9">
            <w:pPr>
              <w:jc w:val="center"/>
              <w:rPr>
                <w:rFonts w:ascii="Arial" w:hAnsi="Arial" w:cs="Arial"/>
                <w:color w:val="000000"/>
                <w:sz w:val="16"/>
                <w:szCs w:val="16"/>
              </w:rPr>
            </w:pPr>
            <w:r w:rsidRPr="00AC1CAC">
              <w:rPr>
                <w:rFonts w:ascii="Arial" w:hAnsi="Arial" w:cs="Arial"/>
                <w:color w:val="000000"/>
                <w:sz w:val="16"/>
                <w:szCs w:val="16"/>
              </w:rPr>
              <w:t>22,087</w:t>
            </w:r>
          </w:p>
        </w:tc>
        <w:tc>
          <w:tcPr>
            <w:tcW w:w="1012" w:type="dxa"/>
            <w:tcBorders>
              <w:top w:val="nil"/>
              <w:left w:val="nil"/>
              <w:bottom w:val="nil"/>
              <w:right w:val="single" w:sz="8" w:space="0" w:color="009900"/>
            </w:tcBorders>
            <w:shd w:val="clear" w:color="000000" w:fill="FFFFE1"/>
            <w:noWrap/>
            <w:vAlign w:val="center"/>
            <w:hideMark/>
          </w:tcPr>
          <w:p w:rsidR="00EB7CB2" w:rsidRPr="00AC1CAC" w:rsidRDefault="00EB7CB2" w:rsidP="001857F9">
            <w:pPr>
              <w:jc w:val="center"/>
              <w:rPr>
                <w:rFonts w:ascii="Arial" w:hAnsi="Arial" w:cs="Arial"/>
                <w:color w:val="000000"/>
                <w:sz w:val="16"/>
                <w:szCs w:val="16"/>
              </w:rPr>
            </w:pPr>
            <w:r w:rsidRPr="00AC1CAC">
              <w:rPr>
                <w:rFonts w:ascii="Arial" w:hAnsi="Arial" w:cs="Arial"/>
                <w:color w:val="000000"/>
                <w:sz w:val="16"/>
                <w:szCs w:val="16"/>
              </w:rPr>
              <w:t>10.20%</w:t>
            </w:r>
          </w:p>
        </w:tc>
      </w:tr>
      <w:tr w:rsidR="00EB7CB2" w:rsidRPr="00AC1CAC" w:rsidTr="00EB7CB2">
        <w:trPr>
          <w:trHeight w:val="240"/>
          <w:jc w:val="center"/>
        </w:trPr>
        <w:tc>
          <w:tcPr>
            <w:tcW w:w="1908" w:type="dxa"/>
            <w:tcBorders>
              <w:top w:val="nil"/>
              <w:left w:val="single" w:sz="8" w:space="0" w:color="009900"/>
              <w:bottom w:val="nil"/>
              <w:right w:val="nil"/>
            </w:tcBorders>
            <w:shd w:val="clear" w:color="000000" w:fill="FFFFE1"/>
            <w:noWrap/>
            <w:vAlign w:val="center"/>
            <w:hideMark/>
          </w:tcPr>
          <w:p w:rsidR="00EB7CB2" w:rsidRPr="00AC1CAC" w:rsidRDefault="00EB7CB2" w:rsidP="001857F9">
            <w:pPr>
              <w:rPr>
                <w:rFonts w:ascii="Arial" w:hAnsi="Arial" w:cs="Arial"/>
                <w:color w:val="000000"/>
                <w:sz w:val="16"/>
                <w:szCs w:val="16"/>
              </w:rPr>
            </w:pPr>
            <w:r w:rsidRPr="00AC1CAC">
              <w:rPr>
                <w:rFonts w:ascii="Arial" w:hAnsi="Arial" w:cs="Arial"/>
                <w:color w:val="000000"/>
                <w:sz w:val="16"/>
                <w:szCs w:val="16"/>
              </w:rPr>
              <w:t>2012 Five-Year ACS</w:t>
            </w:r>
          </w:p>
        </w:tc>
        <w:tc>
          <w:tcPr>
            <w:tcW w:w="1204" w:type="dxa"/>
            <w:tcBorders>
              <w:top w:val="nil"/>
              <w:left w:val="dotted" w:sz="4" w:space="0" w:color="009900"/>
              <w:bottom w:val="single" w:sz="8" w:space="0" w:color="009900"/>
              <w:right w:val="nil"/>
            </w:tcBorders>
            <w:shd w:val="clear" w:color="000000" w:fill="FFFFE1"/>
            <w:noWrap/>
            <w:vAlign w:val="center"/>
            <w:hideMark/>
          </w:tcPr>
          <w:p w:rsidR="00EB7CB2" w:rsidRPr="00AC1CAC" w:rsidRDefault="00EB7CB2" w:rsidP="001857F9">
            <w:pPr>
              <w:jc w:val="center"/>
              <w:rPr>
                <w:rFonts w:ascii="Arial" w:hAnsi="Arial" w:cs="Arial"/>
                <w:color w:val="000000"/>
                <w:sz w:val="16"/>
                <w:szCs w:val="16"/>
              </w:rPr>
            </w:pPr>
            <w:r w:rsidRPr="00AC1CAC">
              <w:rPr>
                <w:rFonts w:ascii="Arial" w:hAnsi="Arial" w:cs="Arial"/>
                <w:color w:val="000000"/>
                <w:sz w:val="16"/>
                <w:szCs w:val="16"/>
              </w:rPr>
              <w:t>64,224</w:t>
            </w:r>
          </w:p>
        </w:tc>
        <w:tc>
          <w:tcPr>
            <w:tcW w:w="1012" w:type="dxa"/>
            <w:tcBorders>
              <w:top w:val="nil"/>
              <w:left w:val="nil"/>
              <w:bottom w:val="single" w:sz="8" w:space="0" w:color="009900"/>
              <w:right w:val="dotted" w:sz="4" w:space="0" w:color="009900"/>
            </w:tcBorders>
            <w:shd w:val="clear" w:color="000000" w:fill="FFFFE1"/>
            <w:noWrap/>
            <w:vAlign w:val="center"/>
            <w:hideMark/>
          </w:tcPr>
          <w:p w:rsidR="00EB7CB2" w:rsidRPr="00AC1CAC" w:rsidRDefault="00EB7CB2" w:rsidP="001857F9">
            <w:pPr>
              <w:jc w:val="center"/>
              <w:rPr>
                <w:rFonts w:ascii="Arial" w:hAnsi="Arial" w:cs="Arial"/>
                <w:color w:val="000000"/>
                <w:sz w:val="16"/>
                <w:szCs w:val="16"/>
              </w:rPr>
            </w:pPr>
            <w:r w:rsidRPr="00AC1CAC">
              <w:rPr>
                <w:rFonts w:ascii="Arial" w:hAnsi="Arial" w:cs="Arial"/>
                <w:color w:val="000000"/>
                <w:sz w:val="16"/>
                <w:szCs w:val="16"/>
              </w:rPr>
              <w:t>20.30%</w:t>
            </w:r>
          </w:p>
        </w:tc>
        <w:tc>
          <w:tcPr>
            <w:tcW w:w="1204" w:type="dxa"/>
            <w:tcBorders>
              <w:top w:val="nil"/>
              <w:left w:val="nil"/>
              <w:bottom w:val="nil"/>
              <w:right w:val="nil"/>
            </w:tcBorders>
            <w:shd w:val="clear" w:color="000000" w:fill="FFFFE1"/>
            <w:noWrap/>
            <w:vAlign w:val="center"/>
            <w:hideMark/>
          </w:tcPr>
          <w:p w:rsidR="00EB7CB2" w:rsidRPr="00AC1CAC" w:rsidRDefault="00EB7CB2" w:rsidP="001857F9">
            <w:pPr>
              <w:jc w:val="center"/>
              <w:rPr>
                <w:rFonts w:ascii="Arial" w:hAnsi="Arial" w:cs="Arial"/>
                <w:color w:val="000000"/>
                <w:sz w:val="16"/>
                <w:szCs w:val="16"/>
              </w:rPr>
            </w:pPr>
            <w:r w:rsidRPr="00AC1CAC">
              <w:rPr>
                <w:rFonts w:ascii="Arial" w:hAnsi="Arial" w:cs="Arial"/>
                <w:color w:val="000000"/>
                <w:sz w:val="16"/>
                <w:szCs w:val="16"/>
              </w:rPr>
              <w:t>44,273</w:t>
            </w:r>
          </w:p>
        </w:tc>
        <w:tc>
          <w:tcPr>
            <w:tcW w:w="1012" w:type="dxa"/>
            <w:tcBorders>
              <w:top w:val="nil"/>
              <w:left w:val="nil"/>
              <w:bottom w:val="nil"/>
              <w:right w:val="single" w:sz="8" w:space="0" w:color="009900"/>
            </w:tcBorders>
            <w:shd w:val="clear" w:color="000000" w:fill="FFFFE1"/>
            <w:noWrap/>
            <w:vAlign w:val="center"/>
            <w:hideMark/>
          </w:tcPr>
          <w:p w:rsidR="00EB7CB2" w:rsidRPr="00AC1CAC" w:rsidRDefault="00EB7CB2" w:rsidP="001857F9">
            <w:pPr>
              <w:jc w:val="center"/>
              <w:rPr>
                <w:rFonts w:ascii="Arial" w:hAnsi="Arial" w:cs="Arial"/>
                <w:color w:val="000000"/>
                <w:sz w:val="16"/>
                <w:szCs w:val="16"/>
              </w:rPr>
            </w:pPr>
            <w:r w:rsidRPr="00AC1CAC">
              <w:rPr>
                <w:rFonts w:ascii="Arial" w:hAnsi="Arial" w:cs="Arial"/>
                <w:color w:val="000000"/>
                <w:sz w:val="16"/>
                <w:szCs w:val="16"/>
              </w:rPr>
              <w:t>14.00%</w:t>
            </w:r>
          </w:p>
        </w:tc>
      </w:tr>
      <w:tr w:rsidR="00EB7CB2" w:rsidRPr="00AC1CAC" w:rsidTr="00EB7CB2">
        <w:trPr>
          <w:trHeight w:val="240"/>
          <w:jc w:val="center"/>
        </w:trPr>
        <w:tc>
          <w:tcPr>
            <w:tcW w:w="6340" w:type="dxa"/>
            <w:gridSpan w:val="5"/>
            <w:tcBorders>
              <w:top w:val="single" w:sz="8" w:space="0" w:color="009900"/>
              <w:left w:val="single" w:sz="8" w:space="0" w:color="009900"/>
              <w:bottom w:val="dotted" w:sz="4" w:space="0" w:color="009900"/>
              <w:right w:val="single" w:sz="8" w:space="0" w:color="009900"/>
            </w:tcBorders>
            <w:shd w:val="clear" w:color="000000" w:fill="FFFFE1"/>
            <w:noWrap/>
            <w:vAlign w:val="center"/>
            <w:hideMark/>
          </w:tcPr>
          <w:p w:rsidR="00EB7CB2" w:rsidRPr="00AC1CAC" w:rsidRDefault="00EB7CB2" w:rsidP="001857F9">
            <w:pPr>
              <w:jc w:val="center"/>
              <w:rPr>
                <w:rFonts w:ascii="Arial" w:hAnsi="Arial" w:cs="Arial"/>
                <w:b/>
                <w:bCs/>
                <w:color w:val="000000"/>
                <w:sz w:val="16"/>
                <w:szCs w:val="16"/>
              </w:rPr>
            </w:pPr>
            <w:r w:rsidRPr="00AC1CAC">
              <w:rPr>
                <w:rFonts w:ascii="Arial" w:hAnsi="Arial" w:cs="Arial"/>
                <w:b/>
                <w:bCs/>
                <w:color w:val="000000"/>
                <w:sz w:val="16"/>
                <w:szCs w:val="16"/>
              </w:rPr>
              <w:t>Owner Without a Mortgage</w:t>
            </w:r>
          </w:p>
        </w:tc>
      </w:tr>
      <w:tr w:rsidR="00EB7CB2" w:rsidRPr="00AC1CAC" w:rsidTr="00EB7CB2">
        <w:trPr>
          <w:trHeight w:val="240"/>
          <w:jc w:val="center"/>
        </w:trPr>
        <w:tc>
          <w:tcPr>
            <w:tcW w:w="1908" w:type="dxa"/>
            <w:tcBorders>
              <w:top w:val="nil"/>
              <w:left w:val="single" w:sz="8" w:space="0" w:color="009900"/>
              <w:bottom w:val="nil"/>
              <w:right w:val="nil"/>
            </w:tcBorders>
            <w:shd w:val="clear" w:color="000000" w:fill="FFFFE1"/>
            <w:noWrap/>
            <w:vAlign w:val="center"/>
            <w:hideMark/>
          </w:tcPr>
          <w:p w:rsidR="00EB7CB2" w:rsidRPr="00AC1CAC" w:rsidRDefault="00EB7CB2" w:rsidP="001857F9">
            <w:pPr>
              <w:rPr>
                <w:rFonts w:ascii="Arial" w:hAnsi="Arial" w:cs="Arial"/>
                <w:color w:val="000000"/>
                <w:sz w:val="16"/>
                <w:szCs w:val="16"/>
              </w:rPr>
            </w:pPr>
            <w:r w:rsidRPr="00AC1CAC">
              <w:rPr>
                <w:rFonts w:ascii="Arial" w:hAnsi="Arial" w:cs="Arial"/>
                <w:color w:val="000000"/>
                <w:sz w:val="16"/>
                <w:szCs w:val="16"/>
              </w:rPr>
              <w:t>2000 Census</w:t>
            </w:r>
          </w:p>
        </w:tc>
        <w:tc>
          <w:tcPr>
            <w:tcW w:w="1204" w:type="dxa"/>
            <w:tcBorders>
              <w:top w:val="nil"/>
              <w:left w:val="dotted" w:sz="4" w:space="0" w:color="009900"/>
              <w:bottom w:val="nil"/>
              <w:right w:val="nil"/>
            </w:tcBorders>
            <w:shd w:val="clear" w:color="000000" w:fill="FFFFE1"/>
            <w:noWrap/>
            <w:vAlign w:val="center"/>
            <w:hideMark/>
          </w:tcPr>
          <w:p w:rsidR="00EB7CB2" w:rsidRPr="00AC1CAC" w:rsidRDefault="00EB7CB2" w:rsidP="001857F9">
            <w:pPr>
              <w:jc w:val="center"/>
              <w:rPr>
                <w:rFonts w:ascii="Arial" w:hAnsi="Arial" w:cs="Arial"/>
                <w:color w:val="000000"/>
                <w:sz w:val="16"/>
                <w:szCs w:val="16"/>
              </w:rPr>
            </w:pPr>
            <w:r w:rsidRPr="00AC1CAC">
              <w:rPr>
                <w:rFonts w:ascii="Arial" w:hAnsi="Arial" w:cs="Arial"/>
                <w:color w:val="000000"/>
                <w:sz w:val="16"/>
                <w:szCs w:val="16"/>
              </w:rPr>
              <w:t>7,268</w:t>
            </w:r>
          </w:p>
        </w:tc>
        <w:tc>
          <w:tcPr>
            <w:tcW w:w="1012" w:type="dxa"/>
            <w:tcBorders>
              <w:top w:val="nil"/>
              <w:left w:val="nil"/>
              <w:bottom w:val="nil"/>
              <w:right w:val="dotted" w:sz="4" w:space="0" w:color="009900"/>
            </w:tcBorders>
            <w:shd w:val="clear" w:color="000000" w:fill="FFFFE1"/>
            <w:noWrap/>
            <w:vAlign w:val="center"/>
            <w:hideMark/>
          </w:tcPr>
          <w:p w:rsidR="00EB7CB2" w:rsidRPr="00AC1CAC" w:rsidRDefault="00EB7CB2" w:rsidP="001857F9">
            <w:pPr>
              <w:jc w:val="center"/>
              <w:rPr>
                <w:rFonts w:ascii="Arial" w:hAnsi="Arial" w:cs="Arial"/>
                <w:color w:val="000000"/>
                <w:sz w:val="16"/>
                <w:szCs w:val="16"/>
              </w:rPr>
            </w:pPr>
            <w:r w:rsidRPr="00AC1CAC">
              <w:rPr>
                <w:rFonts w:ascii="Arial" w:hAnsi="Arial" w:cs="Arial"/>
                <w:color w:val="000000"/>
                <w:sz w:val="16"/>
                <w:szCs w:val="16"/>
              </w:rPr>
              <w:t>5.90%</w:t>
            </w:r>
          </w:p>
        </w:tc>
        <w:tc>
          <w:tcPr>
            <w:tcW w:w="1204" w:type="dxa"/>
            <w:tcBorders>
              <w:top w:val="nil"/>
              <w:left w:val="nil"/>
              <w:bottom w:val="nil"/>
              <w:right w:val="nil"/>
            </w:tcBorders>
            <w:shd w:val="clear" w:color="000000" w:fill="FFFFE1"/>
            <w:noWrap/>
            <w:vAlign w:val="center"/>
            <w:hideMark/>
          </w:tcPr>
          <w:p w:rsidR="00EB7CB2" w:rsidRPr="00AC1CAC" w:rsidRDefault="00EB7CB2" w:rsidP="001857F9">
            <w:pPr>
              <w:jc w:val="center"/>
              <w:rPr>
                <w:rFonts w:ascii="Arial" w:hAnsi="Arial" w:cs="Arial"/>
                <w:color w:val="000000"/>
                <w:sz w:val="16"/>
                <w:szCs w:val="16"/>
              </w:rPr>
            </w:pPr>
            <w:r w:rsidRPr="00AC1CAC">
              <w:rPr>
                <w:rFonts w:ascii="Arial" w:hAnsi="Arial" w:cs="Arial"/>
                <w:color w:val="000000"/>
                <w:sz w:val="16"/>
                <w:szCs w:val="16"/>
              </w:rPr>
              <w:t>4,920</w:t>
            </w:r>
          </w:p>
        </w:tc>
        <w:tc>
          <w:tcPr>
            <w:tcW w:w="1012" w:type="dxa"/>
            <w:tcBorders>
              <w:top w:val="nil"/>
              <w:left w:val="nil"/>
              <w:bottom w:val="nil"/>
              <w:right w:val="single" w:sz="8" w:space="0" w:color="009900"/>
            </w:tcBorders>
            <w:shd w:val="clear" w:color="000000" w:fill="FFFFE1"/>
            <w:noWrap/>
            <w:vAlign w:val="center"/>
            <w:hideMark/>
          </w:tcPr>
          <w:p w:rsidR="00EB7CB2" w:rsidRPr="00AC1CAC" w:rsidRDefault="00EB7CB2" w:rsidP="001857F9">
            <w:pPr>
              <w:jc w:val="center"/>
              <w:rPr>
                <w:rFonts w:ascii="Arial" w:hAnsi="Arial" w:cs="Arial"/>
                <w:color w:val="000000"/>
                <w:sz w:val="16"/>
                <w:szCs w:val="16"/>
              </w:rPr>
            </w:pPr>
            <w:r w:rsidRPr="00AC1CAC">
              <w:rPr>
                <w:rFonts w:ascii="Arial" w:hAnsi="Arial" w:cs="Arial"/>
                <w:color w:val="000000"/>
                <w:sz w:val="16"/>
                <w:szCs w:val="16"/>
              </w:rPr>
              <w:t>4.00%</w:t>
            </w:r>
          </w:p>
        </w:tc>
      </w:tr>
      <w:tr w:rsidR="00EB7CB2" w:rsidRPr="00AC1CAC" w:rsidTr="00EB7CB2">
        <w:trPr>
          <w:trHeight w:val="240"/>
          <w:jc w:val="center"/>
        </w:trPr>
        <w:tc>
          <w:tcPr>
            <w:tcW w:w="1908" w:type="dxa"/>
            <w:tcBorders>
              <w:top w:val="nil"/>
              <w:left w:val="single" w:sz="8" w:space="0" w:color="009900"/>
              <w:bottom w:val="nil"/>
              <w:right w:val="nil"/>
            </w:tcBorders>
            <w:shd w:val="clear" w:color="000000" w:fill="FFFFE1"/>
            <w:noWrap/>
            <w:vAlign w:val="center"/>
            <w:hideMark/>
          </w:tcPr>
          <w:p w:rsidR="00EB7CB2" w:rsidRPr="00AC1CAC" w:rsidRDefault="00EB7CB2" w:rsidP="001857F9">
            <w:pPr>
              <w:rPr>
                <w:rFonts w:ascii="Arial" w:hAnsi="Arial" w:cs="Arial"/>
                <w:color w:val="000000"/>
                <w:sz w:val="16"/>
                <w:szCs w:val="16"/>
              </w:rPr>
            </w:pPr>
            <w:r w:rsidRPr="00AC1CAC">
              <w:rPr>
                <w:rFonts w:ascii="Arial" w:hAnsi="Arial" w:cs="Arial"/>
                <w:color w:val="000000"/>
                <w:sz w:val="16"/>
                <w:szCs w:val="16"/>
              </w:rPr>
              <w:t>2012 Five-Year ACS</w:t>
            </w:r>
          </w:p>
        </w:tc>
        <w:tc>
          <w:tcPr>
            <w:tcW w:w="1204" w:type="dxa"/>
            <w:tcBorders>
              <w:top w:val="nil"/>
              <w:left w:val="dotted" w:sz="4" w:space="0" w:color="009900"/>
              <w:bottom w:val="single" w:sz="8" w:space="0" w:color="009900"/>
              <w:right w:val="nil"/>
            </w:tcBorders>
            <w:shd w:val="clear" w:color="000000" w:fill="FFFFE1"/>
            <w:noWrap/>
            <w:vAlign w:val="center"/>
            <w:hideMark/>
          </w:tcPr>
          <w:p w:rsidR="00EB7CB2" w:rsidRPr="00AC1CAC" w:rsidRDefault="00EB7CB2" w:rsidP="001857F9">
            <w:pPr>
              <w:jc w:val="center"/>
              <w:rPr>
                <w:rFonts w:ascii="Arial" w:hAnsi="Arial" w:cs="Arial"/>
                <w:color w:val="000000"/>
                <w:sz w:val="16"/>
                <w:szCs w:val="16"/>
              </w:rPr>
            </w:pPr>
            <w:r w:rsidRPr="00AC1CAC">
              <w:rPr>
                <w:rFonts w:ascii="Arial" w:hAnsi="Arial" w:cs="Arial"/>
                <w:color w:val="000000"/>
                <w:sz w:val="16"/>
                <w:szCs w:val="16"/>
              </w:rPr>
              <w:t>14,361</w:t>
            </w:r>
          </w:p>
        </w:tc>
        <w:tc>
          <w:tcPr>
            <w:tcW w:w="1012" w:type="dxa"/>
            <w:tcBorders>
              <w:top w:val="nil"/>
              <w:left w:val="nil"/>
              <w:bottom w:val="single" w:sz="8" w:space="0" w:color="009900"/>
              <w:right w:val="dotted" w:sz="4" w:space="0" w:color="009900"/>
            </w:tcBorders>
            <w:shd w:val="clear" w:color="000000" w:fill="FFFFE1"/>
            <w:noWrap/>
            <w:vAlign w:val="center"/>
            <w:hideMark/>
          </w:tcPr>
          <w:p w:rsidR="00EB7CB2" w:rsidRPr="00AC1CAC" w:rsidRDefault="00EB7CB2" w:rsidP="001857F9">
            <w:pPr>
              <w:jc w:val="center"/>
              <w:rPr>
                <w:rFonts w:ascii="Arial" w:hAnsi="Arial" w:cs="Arial"/>
                <w:color w:val="000000"/>
                <w:sz w:val="16"/>
                <w:szCs w:val="16"/>
              </w:rPr>
            </w:pPr>
            <w:r w:rsidRPr="00AC1CAC">
              <w:rPr>
                <w:rFonts w:ascii="Arial" w:hAnsi="Arial" w:cs="Arial"/>
                <w:color w:val="000000"/>
                <w:sz w:val="16"/>
                <w:szCs w:val="16"/>
              </w:rPr>
              <w:t>6.80%</w:t>
            </w:r>
          </w:p>
        </w:tc>
        <w:tc>
          <w:tcPr>
            <w:tcW w:w="1204" w:type="dxa"/>
            <w:tcBorders>
              <w:top w:val="nil"/>
              <w:left w:val="nil"/>
              <w:bottom w:val="nil"/>
              <w:right w:val="nil"/>
            </w:tcBorders>
            <w:shd w:val="clear" w:color="000000" w:fill="FFFFE1"/>
            <w:noWrap/>
            <w:vAlign w:val="center"/>
            <w:hideMark/>
          </w:tcPr>
          <w:p w:rsidR="00EB7CB2" w:rsidRPr="00AC1CAC" w:rsidRDefault="00EB7CB2" w:rsidP="001857F9">
            <w:pPr>
              <w:jc w:val="center"/>
              <w:rPr>
                <w:rFonts w:ascii="Arial" w:hAnsi="Arial" w:cs="Arial"/>
                <w:color w:val="000000"/>
                <w:sz w:val="16"/>
                <w:szCs w:val="16"/>
              </w:rPr>
            </w:pPr>
            <w:r w:rsidRPr="00AC1CAC">
              <w:rPr>
                <w:rFonts w:ascii="Arial" w:hAnsi="Arial" w:cs="Arial"/>
                <w:color w:val="000000"/>
                <w:sz w:val="16"/>
                <w:szCs w:val="16"/>
              </w:rPr>
              <w:t>9,514</w:t>
            </w:r>
          </w:p>
        </w:tc>
        <w:tc>
          <w:tcPr>
            <w:tcW w:w="1012" w:type="dxa"/>
            <w:tcBorders>
              <w:top w:val="nil"/>
              <w:left w:val="nil"/>
              <w:bottom w:val="nil"/>
              <w:right w:val="single" w:sz="8" w:space="0" w:color="009900"/>
            </w:tcBorders>
            <w:shd w:val="clear" w:color="000000" w:fill="FFFFE1"/>
            <w:noWrap/>
            <w:vAlign w:val="center"/>
            <w:hideMark/>
          </w:tcPr>
          <w:p w:rsidR="00EB7CB2" w:rsidRPr="00AC1CAC" w:rsidRDefault="00EB7CB2" w:rsidP="001857F9">
            <w:pPr>
              <w:jc w:val="center"/>
              <w:rPr>
                <w:rFonts w:ascii="Arial" w:hAnsi="Arial" w:cs="Arial"/>
                <w:color w:val="000000"/>
                <w:sz w:val="16"/>
                <w:szCs w:val="16"/>
              </w:rPr>
            </w:pPr>
            <w:r w:rsidRPr="00AC1CAC">
              <w:rPr>
                <w:rFonts w:ascii="Arial" w:hAnsi="Arial" w:cs="Arial"/>
                <w:color w:val="000000"/>
                <w:sz w:val="16"/>
                <w:szCs w:val="16"/>
              </w:rPr>
              <w:t>4.50%</w:t>
            </w:r>
          </w:p>
        </w:tc>
      </w:tr>
      <w:tr w:rsidR="00EB7CB2" w:rsidRPr="00AC1CAC" w:rsidTr="00EB7CB2">
        <w:trPr>
          <w:trHeight w:val="240"/>
          <w:jc w:val="center"/>
        </w:trPr>
        <w:tc>
          <w:tcPr>
            <w:tcW w:w="6340" w:type="dxa"/>
            <w:gridSpan w:val="5"/>
            <w:tcBorders>
              <w:top w:val="single" w:sz="8" w:space="0" w:color="009900"/>
              <w:left w:val="single" w:sz="8" w:space="0" w:color="009900"/>
              <w:bottom w:val="dotted" w:sz="4" w:space="0" w:color="009900"/>
              <w:right w:val="single" w:sz="8" w:space="0" w:color="009900"/>
            </w:tcBorders>
            <w:shd w:val="clear" w:color="000000" w:fill="FFFFE1"/>
            <w:noWrap/>
            <w:vAlign w:val="center"/>
            <w:hideMark/>
          </w:tcPr>
          <w:p w:rsidR="00EB7CB2" w:rsidRPr="00AC1CAC" w:rsidRDefault="00EB7CB2" w:rsidP="001857F9">
            <w:pPr>
              <w:jc w:val="center"/>
              <w:rPr>
                <w:rFonts w:ascii="Arial" w:hAnsi="Arial" w:cs="Arial"/>
                <w:b/>
                <w:bCs/>
                <w:color w:val="000000"/>
                <w:sz w:val="16"/>
                <w:szCs w:val="16"/>
              </w:rPr>
            </w:pPr>
            <w:r w:rsidRPr="00AC1CAC">
              <w:rPr>
                <w:rFonts w:ascii="Arial" w:hAnsi="Arial" w:cs="Arial"/>
                <w:b/>
                <w:bCs/>
                <w:color w:val="000000"/>
                <w:sz w:val="16"/>
                <w:szCs w:val="16"/>
              </w:rPr>
              <w:t>Renter</w:t>
            </w:r>
          </w:p>
        </w:tc>
      </w:tr>
      <w:tr w:rsidR="00EB7CB2" w:rsidRPr="00AC1CAC" w:rsidTr="00EB7CB2">
        <w:trPr>
          <w:trHeight w:val="240"/>
          <w:jc w:val="center"/>
        </w:trPr>
        <w:tc>
          <w:tcPr>
            <w:tcW w:w="1908" w:type="dxa"/>
            <w:tcBorders>
              <w:top w:val="nil"/>
              <w:left w:val="single" w:sz="8" w:space="0" w:color="009900"/>
              <w:bottom w:val="nil"/>
              <w:right w:val="nil"/>
            </w:tcBorders>
            <w:shd w:val="clear" w:color="000000" w:fill="FFFFE1"/>
            <w:noWrap/>
            <w:vAlign w:val="center"/>
            <w:hideMark/>
          </w:tcPr>
          <w:p w:rsidR="00EB7CB2" w:rsidRPr="00AC1CAC" w:rsidRDefault="00EB7CB2" w:rsidP="001857F9">
            <w:pPr>
              <w:rPr>
                <w:rFonts w:ascii="Arial" w:hAnsi="Arial" w:cs="Arial"/>
                <w:color w:val="000000"/>
                <w:sz w:val="16"/>
                <w:szCs w:val="16"/>
              </w:rPr>
            </w:pPr>
            <w:r w:rsidRPr="00AC1CAC">
              <w:rPr>
                <w:rFonts w:ascii="Arial" w:hAnsi="Arial" w:cs="Arial"/>
                <w:color w:val="000000"/>
                <w:sz w:val="16"/>
                <w:szCs w:val="16"/>
              </w:rPr>
              <w:t>2000 Census</w:t>
            </w:r>
          </w:p>
        </w:tc>
        <w:tc>
          <w:tcPr>
            <w:tcW w:w="1204" w:type="dxa"/>
            <w:tcBorders>
              <w:top w:val="nil"/>
              <w:left w:val="dotted" w:sz="4" w:space="0" w:color="009900"/>
              <w:bottom w:val="nil"/>
              <w:right w:val="nil"/>
            </w:tcBorders>
            <w:shd w:val="clear" w:color="000000" w:fill="FFFFE1"/>
            <w:noWrap/>
            <w:vAlign w:val="center"/>
            <w:hideMark/>
          </w:tcPr>
          <w:p w:rsidR="00EB7CB2" w:rsidRPr="00AC1CAC" w:rsidRDefault="00EB7CB2" w:rsidP="001857F9">
            <w:pPr>
              <w:jc w:val="center"/>
              <w:rPr>
                <w:rFonts w:ascii="Arial" w:hAnsi="Arial" w:cs="Arial"/>
                <w:color w:val="000000"/>
                <w:sz w:val="16"/>
                <w:szCs w:val="16"/>
              </w:rPr>
            </w:pPr>
            <w:r w:rsidRPr="00AC1CAC">
              <w:rPr>
                <w:rFonts w:ascii="Arial" w:hAnsi="Arial" w:cs="Arial"/>
                <w:color w:val="000000"/>
                <w:sz w:val="16"/>
                <w:szCs w:val="16"/>
              </w:rPr>
              <w:t>39,452</w:t>
            </w:r>
          </w:p>
        </w:tc>
        <w:tc>
          <w:tcPr>
            <w:tcW w:w="1012" w:type="dxa"/>
            <w:tcBorders>
              <w:top w:val="nil"/>
              <w:left w:val="nil"/>
              <w:bottom w:val="nil"/>
              <w:right w:val="dotted" w:sz="4" w:space="0" w:color="009900"/>
            </w:tcBorders>
            <w:shd w:val="clear" w:color="000000" w:fill="FFFFE1"/>
            <w:noWrap/>
            <w:vAlign w:val="center"/>
            <w:hideMark/>
          </w:tcPr>
          <w:p w:rsidR="00EB7CB2" w:rsidRPr="00AC1CAC" w:rsidRDefault="00EB7CB2" w:rsidP="001857F9">
            <w:pPr>
              <w:jc w:val="center"/>
              <w:rPr>
                <w:rFonts w:ascii="Arial" w:hAnsi="Arial" w:cs="Arial"/>
                <w:color w:val="000000"/>
                <w:sz w:val="16"/>
                <w:szCs w:val="16"/>
              </w:rPr>
            </w:pPr>
            <w:r w:rsidRPr="00AC1CAC">
              <w:rPr>
                <w:rFonts w:ascii="Arial" w:hAnsi="Arial" w:cs="Arial"/>
                <w:color w:val="000000"/>
                <w:sz w:val="16"/>
                <w:szCs w:val="16"/>
              </w:rPr>
              <w:t>19.60%</w:t>
            </w:r>
          </w:p>
        </w:tc>
        <w:tc>
          <w:tcPr>
            <w:tcW w:w="1204" w:type="dxa"/>
            <w:tcBorders>
              <w:top w:val="nil"/>
              <w:left w:val="nil"/>
              <w:bottom w:val="nil"/>
              <w:right w:val="nil"/>
            </w:tcBorders>
            <w:shd w:val="clear" w:color="000000" w:fill="FFFFE1"/>
            <w:noWrap/>
            <w:vAlign w:val="center"/>
            <w:hideMark/>
          </w:tcPr>
          <w:p w:rsidR="00EB7CB2" w:rsidRPr="00AC1CAC" w:rsidRDefault="00EB7CB2" w:rsidP="001857F9">
            <w:pPr>
              <w:jc w:val="center"/>
              <w:rPr>
                <w:rFonts w:ascii="Arial" w:hAnsi="Arial" w:cs="Arial"/>
                <w:color w:val="000000"/>
                <w:sz w:val="16"/>
                <w:szCs w:val="16"/>
              </w:rPr>
            </w:pPr>
            <w:r w:rsidRPr="00AC1CAC">
              <w:rPr>
                <w:rFonts w:ascii="Arial" w:hAnsi="Arial" w:cs="Arial"/>
                <w:color w:val="000000"/>
                <w:sz w:val="16"/>
                <w:szCs w:val="16"/>
              </w:rPr>
              <w:t>36,130</w:t>
            </w:r>
          </w:p>
        </w:tc>
        <w:tc>
          <w:tcPr>
            <w:tcW w:w="1012" w:type="dxa"/>
            <w:tcBorders>
              <w:top w:val="nil"/>
              <w:left w:val="nil"/>
              <w:bottom w:val="nil"/>
              <w:right w:val="single" w:sz="8" w:space="0" w:color="009900"/>
            </w:tcBorders>
            <w:shd w:val="clear" w:color="000000" w:fill="FFFFE1"/>
            <w:noWrap/>
            <w:vAlign w:val="center"/>
            <w:hideMark/>
          </w:tcPr>
          <w:p w:rsidR="00EB7CB2" w:rsidRPr="00AC1CAC" w:rsidRDefault="00EB7CB2" w:rsidP="001857F9">
            <w:pPr>
              <w:jc w:val="center"/>
              <w:rPr>
                <w:rFonts w:ascii="Arial" w:hAnsi="Arial" w:cs="Arial"/>
                <w:color w:val="000000"/>
                <w:sz w:val="16"/>
                <w:szCs w:val="16"/>
              </w:rPr>
            </w:pPr>
            <w:r w:rsidRPr="00AC1CAC">
              <w:rPr>
                <w:rFonts w:ascii="Arial" w:hAnsi="Arial" w:cs="Arial"/>
                <w:color w:val="000000"/>
                <w:sz w:val="16"/>
                <w:szCs w:val="16"/>
              </w:rPr>
              <w:t>18.00%</w:t>
            </w:r>
          </w:p>
        </w:tc>
      </w:tr>
      <w:tr w:rsidR="00EB7CB2" w:rsidRPr="00AC1CAC" w:rsidTr="00EB7CB2">
        <w:trPr>
          <w:trHeight w:val="240"/>
          <w:jc w:val="center"/>
        </w:trPr>
        <w:tc>
          <w:tcPr>
            <w:tcW w:w="1908" w:type="dxa"/>
            <w:tcBorders>
              <w:top w:val="nil"/>
              <w:left w:val="single" w:sz="8" w:space="0" w:color="009900"/>
              <w:bottom w:val="nil"/>
              <w:right w:val="nil"/>
            </w:tcBorders>
            <w:shd w:val="clear" w:color="000000" w:fill="FFFFE1"/>
            <w:noWrap/>
            <w:vAlign w:val="center"/>
            <w:hideMark/>
          </w:tcPr>
          <w:p w:rsidR="00EB7CB2" w:rsidRPr="00AC1CAC" w:rsidRDefault="00EB7CB2" w:rsidP="001857F9">
            <w:pPr>
              <w:rPr>
                <w:rFonts w:ascii="Arial" w:hAnsi="Arial" w:cs="Arial"/>
                <w:color w:val="000000"/>
                <w:sz w:val="16"/>
                <w:szCs w:val="16"/>
              </w:rPr>
            </w:pPr>
            <w:r w:rsidRPr="00AC1CAC">
              <w:rPr>
                <w:rFonts w:ascii="Arial" w:hAnsi="Arial" w:cs="Arial"/>
                <w:color w:val="000000"/>
                <w:sz w:val="16"/>
                <w:szCs w:val="16"/>
              </w:rPr>
              <w:t>2012 Five-Year ACS</w:t>
            </w:r>
          </w:p>
        </w:tc>
        <w:tc>
          <w:tcPr>
            <w:tcW w:w="1204" w:type="dxa"/>
            <w:tcBorders>
              <w:top w:val="nil"/>
              <w:left w:val="dotted" w:sz="4" w:space="0" w:color="009900"/>
              <w:bottom w:val="single" w:sz="8" w:space="0" w:color="009900"/>
              <w:right w:val="nil"/>
            </w:tcBorders>
            <w:shd w:val="clear" w:color="000000" w:fill="FFFFE1"/>
            <w:noWrap/>
            <w:vAlign w:val="center"/>
            <w:hideMark/>
          </w:tcPr>
          <w:p w:rsidR="00EB7CB2" w:rsidRPr="00AC1CAC" w:rsidRDefault="00EB7CB2" w:rsidP="001857F9">
            <w:pPr>
              <w:jc w:val="center"/>
              <w:rPr>
                <w:rFonts w:ascii="Arial" w:hAnsi="Arial" w:cs="Arial"/>
                <w:color w:val="000000"/>
                <w:sz w:val="16"/>
                <w:szCs w:val="16"/>
              </w:rPr>
            </w:pPr>
            <w:r w:rsidRPr="00AC1CAC">
              <w:rPr>
                <w:rFonts w:ascii="Arial" w:hAnsi="Arial" w:cs="Arial"/>
                <w:color w:val="000000"/>
                <w:sz w:val="16"/>
                <w:szCs w:val="16"/>
              </w:rPr>
              <w:t>51,073</w:t>
            </w:r>
          </w:p>
        </w:tc>
        <w:tc>
          <w:tcPr>
            <w:tcW w:w="1012" w:type="dxa"/>
            <w:tcBorders>
              <w:top w:val="nil"/>
              <w:left w:val="nil"/>
              <w:bottom w:val="single" w:sz="8" w:space="0" w:color="009900"/>
              <w:right w:val="dotted" w:sz="4" w:space="0" w:color="009900"/>
            </w:tcBorders>
            <w:shd w:val="clear" w:color="000000" w:fill="FFFFE1"/>
            <w:noWrap/>
            <w:vAlign w:val="center"/>
            <w:hideMark/>
          </w:tcPr>
          <w:p w:rsidR="00EB7CB2" w:rsidRPr="00AC1CAC" w:rsidRDefault="00EB7CB2" w:rsidP="001857F9">
            <w:pPr>
              <w:jc w:val="center"/>
              <w:rPr>
                <w:rFonts w:ascii="Arial" w:hAnsi="Arial" w:cs="Arial"/>
                <w:color w:val="000000"/>
                <w:sz w:val="16"/>
                <w:szCs w:val="16"/>
              </w:rPr>
            </w:pPr>
            <w:r w:rsidRPr="00AC1CAC">
              <w:rPr>
                <w:rFonts w:ascii="Arial" w:hAnsi="Arial" w:cs="Arial"/>
                <w:color w:val="000000"/>
                <w:sz w:val="16"/>
                <w:szCs w:val="16"/>
              </w:rPr>
              <w:t>21.50%</w:t>
            </w:r>
          </w:p>
        </w:tc>
        <w:tc>
          <w:tcPr>
            <w:tcW w:w="1204" w:type="dxa"/>
            <w:tcBorders>
              <w:top w:val="nil"/>
              <w:left w:val="nil"/>
              <w:bottom w:val="nil"/>
              <w:right w:val="nil"/>
            </w:tcBorders>
            <w:shd w:val="clear" w:color="000000" w:fill="FFFFE1"/>
            <w:noWrap/>
            <w:vAlign w:val="center"/>
            <w:hideMark/>
          </w:tcPr>
          <w:p w:rsidR="00EB7CB2" w:rsidRPr="00AC1CAC" w:rsidRDefault="00EB7CB2" w:rsidP="001857F9">
            <w:pPr>
              <w:jc w:val="center"/>
              <w:rPr>
                <w:rFonts w:ascii="Arial" w:hAnsi="Arial" w:cs="Arial"/>
                <w:color w:val="000000"/>
                <w:sz w:val="16"/>
                <w:szCs w:val="16"/>
              </w:rPr>
            </w:pPr>
            <w:r w:rsidRPr="00AC1CAC">
              <w:rPr>
                <w:rFonts w:ascii="Arial" w:hAnsi="Arial" w:cs="Arial"/>
                <w:color w:val="000000"/>
                <w:sz w:val="16"/>
                <w:szCs w:val="16"/>
              </w:rPr>
              <w:t>53,594</w:t>
            </w:r>
          </w:p>
        </w:tc>
        <w:tc>
          <w:tcPr>
            <w:tcW w:w="1012" w:type="dxa"/>
            <w:tcBorders>
              <w:top w:val="nil"/>
              <w:left w:val="nil"/>
              <w:bottom w:val="nil"/>
              <w:right w:val="single" w:sz="8" w:space="0" w:color="009900"/>
            </w:tcBorders>
            <w:shd w:val="clear" w:color="000000" w:fill="FFFFE1"/>
            <w:noWrap/>
            <w:vAlign w:val="center"/>
            <w:hideMark/>
          </w:tcPr>
          <w:p w:rsidR="00EB7CB2" w:rsidRPr="00AC1CAC" w:rsidRDefault="00EB7CB2" w:rsidP="001857F9">
            <w:pPr>
              <w:jc w:val="center"/>
              <w:rPr>
                <w:rFonts w:ascii="Arial" w:hAnsi="Arial" w:cs="Arial"/>
                <w:color w:val="000000"/>
                <w:sz w:val="16"/>
                <w:szCs w:val="16"/>
              </w:rPr>
            </w:pPr>
            <w:r w:rsidRPr="00AC1CAC">
              <w:rPr>
                <w:rFonts w:ascii="Arial" w:hAnsi="Arial" w:cs="Arial"/>
                <w:color w:val="000000"/>
                <w:sz w:val="16"/>
                <w:szCs w:val="16"/>
              </w:rPr>
              <w:t>22.60%</w:t>
            </w:r>
          </w:p>
        </w:tc>
      </w:tr>
      <w:tr w:rsidR="00EB7CB2" w:rsidRPr="00AC1CAC" w:rsidTr="00EB7CB2">
        <w:trPr>
          <w:trHeight w:val="240"/>
          <w:jc w:val="center"/>
        </w:trPr>
        <w:tc>
          <w:tcPr>
            <w:tcW w:w="6340" w:type="dxa"/>
            <w:gridSpan w:val="5"/>
            <w:tcBorders>
              <w:top w:val="single" w:sz="8" w:space="0" w:color="009900"/>
              <w:left w:val="single" w:sz="8" w:space="0" w:color="009900"/>
              <w:bottom w:val="single" w:sz="8" w:space="0" w:color="009900"/>
              <w:right w:val="single" w:sz="8" w:space="0" w:color="009900"/>
            </w:tcBorders>
            <w:shd w:val="clear" w:color="000000" w:fill="FFFFE1"/>
            <w:noWrap/>
            <w:vAlign w:val="center"/>
            <w:hideMark/>
          </w:tcPr>
          <w:p w:rsidR="00EB7CB2" w:rsidRPr="00AC1CAC" w:rsidRDefault="00EB7CB2" w:rsidP="001857F9">
            <w:pPr>
              <w:jc w:val="center"/>
              <w:rPr>
                <w:rFonts w:ascii="Arial" w:hAnsi="Arial" w:cs="Arial"/>
                <w:b/>
                <w:bCs/>
                <w:color w:val="000000"/>
                <w:sz w:val="16"/>
                <w:szCs w:val="16"/>
              </w:rPr>
            </w:pPr>
            <w:r w:rsidRPr="00AC1CAC">
              <w:rPr>
                <w:rFonts w:ascii="Arial" w:hAnsi="Arial" w:cs="Arial"/>
                <w:b/>
                <w:bCs/>
                <w:color w:val="000000"/>
                <w:sz w:val="16"/>
                <w:szCs w:val="16"/>
              </w:rPr>
              <w:t>Total</w:t>
            </w:r>
          </w:p>
        </w:tc>
      </w:tr>
      <w:tr w:rsidR="00EB7CB2" w:rsidRPr="00AC1CAC" w:rsidTr="00EB7CB2">
        <w:trPr>
          <w:trHeight w:val="240"/>
          <w:jc w:val="center"/>
        </w:trPr>
        <w:tc>
          <w:tcPr>
            <w:tcW w:w="1908" w:type="dxa"/>
            <w:tcBorders>
              <w:top w:val="nil"/>
              <w:left w:val="single" w:sz="8" w:space="0" w:color="009900"/>
              <w:bottom w:val="nil"/>
              <w:right w:val="nil"/>
            </w:tcBorders>
            <w:shd w:val="clear" w:color="000000" w:fill="FFFFE1"/>
            <w:noWrap/>
            <w:vAlign w:val="center"/>
            <w:hideMark/>
          </w:tcPr>
          <w:p w:rsidR="00EB7CB2" w:rsidRPr="00AC1CAC" w:rsidRDefault="00EB7CB2" w:rsidP="001857F9">
            <w:pPr>
              <w:rPr>
                <w:rFonts w:ascii="Arial" w:hAnsi="Arial" w:cs="Arial"/>
                <w:color w:val="000000"/>
                <w:sz w:val="16"/>
                <w:szCs w:val="16"/>
              </w:rPr>
            </w:pPr>
            <w:r w:rsidRPr="00AC1CAC">
              <w:rPr>
                <w:rFonts w:ascii="Arial" w:hAnsi="Arial" w:cs="Arial"/>
                <w:color w:val="000000"/>
                <w:sz w:val="16"/>
                <w:szCs w:val="16"/>
              </w:rPr>
              <w:t>2000 Census</w:t>
            </w:r>
          </w:p>
        </w:tc>
        <w:tc>
          <w:tcPr>
            <w:tcW w:w="1204" w:type="dxa"/>
            <w:tcBorders>
              <w:top w:val="nil"/>
              <w:left w:val="dotted" w:sz="4" w:space="0" w:color="009900"/>
              <w:bottom w:val="nil"/>
              <w:right w:val="nil"/>
            </w:tcBorders>
            <w:shd w:val="clear" w:color="000000" w:fill="FFFFE1"/>
            <w:noWrap/>
            <w:vAlign w:val="center"/>
            <w:hideMark/>
          </w:tcPr>
          <w:p w:rsidR="00EB7CB2" w:rsidRPr="00AC1CAC" w:rsidRDefault="00EB7CB2" w:rsidP="001857F9">
            <w:pPr>
              <w:jc w:val="center"/>
              <w:rPr>
                <w:rFonts w:ascii="Arial" w:hAnsi="Arial" w:cs="Arial"/>
                <w:color w:val="000000"/>
                <w:sz w:val="16"/>
                <w:szCs w:val="16"/>
              </w:rPr>
            </w:pPr>
            <w:r w:rsidRPr="00AC1CAC">
              <w:rPr>
                <w:rFonts w:ascii="Arial" w:hAnsi="Arial" w:cs="Arial"/>
                <w:color w:val="000000"/>
                <w:sz w:val="16"/>
                <w:szCs w:val="16"/>
              </w:rPr>
              <w:t>86,589</w:t>
            </w:r>
          </w:p>
        </w:tc>
        <w:tc>
          <w:tcPr>
            <w:tcW w:w="1012" w:type="dxa"/>
            <w:tcBorders>
              <w:top w:val="nil"/>
              <w:left w:val="nil"/>
              <w:bottom w:val="nil"/>
              <w:right w:val="dotted" w:sz="4" w:space="0" w:color="009900"/>
            </w:tcBorders>
            <w:shd w:val="clear" w:color="000000" w:fill="FFFFE1"/>
            <w:noWrap/>
            <w:vAlign w:val="center"/>
            <w:hideMark/>
          </w:tcPr>
          <w:p w:rsidR="00EB7CB2" w:rsidRPr="00AC1CAC" w:rsidRDefault="00EB7CB2" w:rsidP="001857F9">
            <w:pPr>
              <w:jc w:val="center"/>
              <w:rPr>
                <w:rFonts w:ascii="Arial" w:hAnsi="Arial" w:cs="Arial"/>
                <w:color w:val="000000"/>
                <w:sz w:val="16"/>
                <w:szCs w:val="16"/>
              </w:rPr>
            </w:pPr>
            <w:r w:rsidRPr="00AC1CAC">
              <w:rPr>
                <w:rFonts w:ascii="Arial" w:hAnsi="Arial" w:cs="Arial"/>
                <w:color w:val="000000"/>
                <w:sz w:val="16"/>
                <w:szCs w:val="16"/>
              </w:rPr>
              <w:t>16.00%</w:t>
            </w:r>
          </w:p>
        </w:tc>
        <w:tc>
          <w:tcPr>
            <w:tcW w:w="1204" w:type="dxa"/>
            <w:tcBorders>
              <w:top w:val="nil"/>
              <w:left w:val="nil"/>
              <w:bottom w:val="nil"/>
              <w:right w:val="nil"/>
            </w:tcBorders>
            <w:shd w:val="clear" w:color="000000" w:fill="FFFFE1"/>
            <w:noWrap/>
            <w:vAlign w:val="center"/>
            <w:hideMark/>
          </w:tcPr>
          <w:p w:rsidR="00EB7CB2" w:rsidRPr="00AC1CAC" w:rsidRDefault="00EB7CB2" w:rsidP="001857F9">
            <w:pPr>
              <w:jc w:val="center"/>
              <w:rPr>
                <w:rFonts w:ascii="Arial" w:hAnsi="Arial" w:cs="Arial"/>
                <w:color w:val="000000"/>
                <w:sz w:val="16"/>
                <w:szCs w:val="16"/>
              </w:rPr>
            </w:pPr>
            <w:r w:rsidRPr="00AC1CAC">
              <w:rPr>
                <w:rFonts w:ascii="Arial" w:hAnsi="Arial" w:cs="Arial"/>
                <w:color w:val="000000"/>
                <w:sz w:val="16"/>
                <w:szCs w:val="16"/>
              </w:rPr>
              <w:t>63,137</w:t>
            </w:r>
          </w:p>
        </w:tc>
        <w:tc>
          <w:tcPr>
            <w:tcW w:w="1012" w:type="dxa"/>
            <w:tcBorders>
              <w:top w:val="nil"/>
              <w:left w:val="nil"/>
              <w:bottom w:val="nil"/>
              <w:right w:val="single" w:sz="8" w:space="0" w:color="009900"/>
            </w:tcBorders>
            <w:shd w:val="clear" w:color="000000" w:fill="FFFFE1"/>
            <w:noWrap/>
            <w:vAlign w:val="center"/>
            <w:hideMark/>
          </w:tcPr>
          <w:p w:rsidR="00EB7CB2" w:rsidRPr="00AC1CAC" w:rsidRDefault="00EB7CB2" w:rsidP="001857F9">
            <w:pPr>
              <w:jc w:val="center"/>
              <w:rPr>
                <w:rFonts w:ascii="Arial" w:hAnsi="Arial" w:cs="Arial"/>
                <w:color w:val="000000"/>
                <w:sz w:val="16"/>
                <w:szCs w:val="16"/>
              </w:rPr>
            </w:pPr>
            <w:r w:rsidRPr="00AC1CAC">
              <w:rPr>
                <w:rFonts w:ascii="Arial" w:hAnsi="Arial" w:cs="Arial"/>
                <w:color w:val="000000"/>
                <w:sz w:val="16"/>
                <w:szCs w:val="16"/>
              </w:rPr>
              <w:t>11.70%</w:t>
            </w:r>
          </w:p>
        </w:tc>
      </w:tr>
      <w:tr w:rsidR="00EB7CB2" w:rsidRPr="00AC1CAC" w:rsidTr="00EB7CB2">
        <w:trPr>
          <w:trHeight w:val="240"/>
          <w:jc w:val="center"/>
        </w:trPr>
        <w:tc>
          <w:tcPr>
            <w:tcW w:w="1908" w:type="dxa"/>
            <w:tcBorders>
              <w:top w:val="nil"/>
              <w:left w:val="single" w:sz="8" w:space="0" w:color="009900"/>
              <w:bottom w:val="single" w:sz="8" w:space="0" w:color="009900"/>
              <w:right w:val="nil"/>
            </w:tcBorders>
            <w:shd w:val="clear" w:color="000000" w:fill="FFFFE1"/>
            <w:noWrap/>
            <w:vAlign w:val="center"/>
            <w:hideMark/>
          </w:tcPr>
          <w:p w:rsidR="00EB7CB2" w:rsidRPr="00AC1CAC" w:rsidRDefault="00EB7CB2" w:rsidP="001857F9">
            <w:pPr>
              <w:rPr>
                <w:rFonts w:ascii="Arial" w:hAnsi="Arial" w:cs="Arial"/>
                <w:color w:val="000000"/>
                <w:sz w:val="16"/>
                <w:szCs w:val="16"/>
              </w:rPr>
            </w:pPr>
            <w:r w:rsidRPr="00AC1CAC">
              <w:rPr>
                <w:rFonts w:ascii="Arial" w:hAnsi="Arial" w:cs="Arial"/>
                <w:color w:val="000000"/>
                <w:sz w:val="16"/>
                <w:szCs w:val="16"/>
              </w:rPr>
              <w:t>2012 Five-Year ACS</w:t>
            </w:r>
          </w:p>
        </w:tc>
        <w:tc>
          <w:tcPr>
            <w:tcW w:w="1204" w:type="dxa"/>
            <w:tcBorders>
              <w:top w:val="nil"/>
              <w:left w:val="dotted" w:sz="4" w:space="0" w:color="009900"/>
              <w:bottom w:val="single" w:sz="8" w:space="0" w:color="009900"/>
              <w:right w:val="nil"/>
            </w:tcBorders>
            <w:shd w:val="clear" w:color="000000" w:fill="FFFFE1"/>
            <w:noWrap/>
            <w:vAlign w:val="center"/>
            <w:hideMark/>
          </w:tcPr>
          <w:p w:rsidR="00EB7CB2" w:rsidRPr="00AC1CAC" w:rsidRDefault="00EB7CB2" w:rsidP="001857F9">
            <w:pPr>
              <w:jc w:val="center"/>
              <w:rPr>
                <w:rFonts w:ascii="Arial" w:hAnsi="Arial" w:cs="Arial"/>
                <w:color w:val="000000"/>
                <w:sz w:val="16"/>
                <w:szCs w:val="16"/>
              </w:rPr>
            </w:pPr>
            <w:r w:rsidRPr="00AC1CAC">
              <w:rPr>
                <w:rFonts w:ascii="Arial" w:hAnsi="Arial" w:cs="Arial"/>
                <w:color w:val="000000"/>
                <w:sz w:val="16"/>
                <w:szCs w:val="16"/>
              </w:rPr>
              <w:t>129,658</w:t>
            </w:r>
          </w:p>
        </w:tc>
        <w:tc>
          <w:tcPr>
            <w:tcW w:w="1012" w:type="dxa"/>
            <w:tcBorders>
              <w:top w:val="nil"/>
              <w:left w:val="nil"/>
              <w:bottom w:val="single" w:sz="8" w:space="0" w:color="009900"/>
              <w:right w:val="dotted" w:sz="4" w:space="0" w:color="009900"/>
            </w:tcBorders>
            <w:shd w:val="clear" w:color="000000" w:fill="FFFFE1"/>
            <w:noWrap/>
            <w:vAlign w:val="center"/>
            <w:hideMark/>
          </w:tcPr>
          <w:p w:rsidR="00EB7CB2" w:rsidRPr="00AC1CAC" w:rsidRDefault="00EB7CB2" w:rsidP="001857F9">
            <w:pPr>
              <w:jc w:val="center"/>
              <w:rPr>
                <w:rFonts w:ascii="Arial" w:hAnsi="Arial" w:cs="Arial"/>
                <w:color w:val="000000"/>
                <w:sz w:val="16"/>
                <w:szCs w:val="16"/>
              </w:rPr>
            </w:pPr>
            <w:r w:rsidRPr="00AC1CAC">
              <w:rPr>
                <w:rFonts w:ascii="Arial" w:hAnsi="Arial" w:cs="Arial"/>
                <w:color w:val="000000"/>
                <w:sz w:val="16"/>
                <w:szCs w:val="16"/>
              </w:rPr>
              <w:t>17.00%</w:t>
            </w:r>
          </w:p>
        </w:tc>
        <w:tc>
          <w:tcPr>
            <w:tcW w:w="1204" w:type="dxa"/>
            <w:tcBorders>
              <w:top w:val="nil"/>
              <w:left w:val="nil"/>
              <w:bottom w:val="single" w:sz="8" w:space="0" w:color="009900"/>
              <w:right w:val="nil"/>
            </w:tcBorders>
            <w:shd w:val="clear" w:color="000000" w:fill="FFFFE1"/>
            <w:noWrap/>
            <w:vAlign w:val="center"/>
            <w:hideMark/>
          </w:tcPr>
          <w:p w:rsidR="00EB7CB2" w:rsidRPr="00AC1CAC" w:rsidRDefault="00EB7CB2" w:rsidP="001857F9">
            <w:pPr>
              <w:jc w:val="center"/>
              <w:rPr>
                <w:rFonts w:ascii="Arial" w:hAnsi="Arial" w:cs="Arial"/>
                <w:color w:val="000000"/>
                <w:sz w:val="16"/>
                <w:szCs w:val="16"/>
              </w:rPr>
            </w:pPr>
            <w:r w:rsidRPr="00AC1CAC">
              <w:rPr>
                <w:rFonts w:ascii="Arial" w:hAnsi="Arial" w:cs="Arial"/>
                <w:color w:val="000000"/>
                <w:sz w:val="16"/>
                <w:szCs w:val="16"/>
              </w:rPr>
              <w:t>107,381</w:t>
            </w:r>
          </w:p>
        </w:tc>
        <w:tc>
          <w:tcPr>
            <w:tcW w:w="1012" w:type="dxa"/>
            <w:tcBorders>
              <w:top w:val="nil"/>
              <w:left w:val="nil"/>
              <w:bottom w:val="single" w:sz="8" w:space="0" w:color="009900"/>
              <w:right w:val="single" w:sz="8" w:space="0" w:color="009900"/>
            </w:tcBorders>
            <w:shd w:val="clear" w:color="000000" w:fill="FFFFE1"/>
            <w:noWrap/>
            <w:vAlign w:val="center"/>
            <w:hideMark/>
          </w:tcPr>
          <w:p w:rsidR="00EB7CB2" w:rsidRPr="00AC1CAC" w:rsidRDefault="00EB7CB2" w:rsidP="001857F9">
            <w:pPr>
              <w:jc w:val="center"/>
              <w:rPr>
                <w:rFonts w:ascii="Arial" w:hAnsi="Arial" w:cs="Arial"/>
                <w:color w:val="000000"/>
                <w:sz w:val="16"/>
                <w:szCs w:val="16"/>
              </w:rPr>
            </w:pPr>
            <w:r w:rsidRPr="00AC1CAC">
              <w:rPr>
                <w:rFonts w:ascii="Arial" w:hAnsi="Arial" w:cs="Arial"/>
                <w:color w:val="000000"/>
                <w:sz w:val="16"/>
                <w:szCs w:val="16"/>
              </w:rPr>
              <w:t>14.10%</w:t>
            </w:r>
          </w:p>
        </w:tc>
      </w:tr>
    </w:tbl>
    <w:p w:rsidR="00781A37" w:rsidRPr="005F3668" w:rsidRDefault="00781A37" w:rsidP="00B17237">
      <w:pPr>
        <w:jc w:val="both"/>
        <w:rPr>
          <w:rFonts w:ascii="CG Omega" w:hAnsi="CG Omega"/>
          <w:highlight w:val="yellow"/>
        </w:rPr>
      </w:pPr>
    </w:p>
    <w:p w:rsidR="00B32AA7" w:rsidRPr="00781A37" w:rsidRDefault="00B32AA7" w:rsidP="00B32AA7">
      <w:pPr>
        <w:rPr>
          <w:rFonts w:ascii="CG Omega" w:hAnsi="CG Omega"/>
          <w:b/>
          <w:bCs/>
          <w:smallCaps/>
        </w:rPr>
      </w:pPr>
      <w:r w:rsidRPr="00781A37">
        <w:rPr>
          <w:rFonts w:ascii="CG Omega" w:hAnsi="CG Omega"/>
          <w:b/>
          <w:bCs/>
          <w:smallCaps/>
        </w:rPr>
        <w:t xml:space="preserve">Households with </w:t>
      </w:r>
      <w:r w:rsidR="004A07BF" w:rsidRPr="00781A37">
        <w:rPr>
          <w:rFonts w:ascii="CG Omega" w:hAnsi="CG Omega"/>
          <w:b/>
          <w:bCs/>
          <w:smallCaps/>
        </w:rPr>
        <w:t xml:space="preserve">Unmet </w:t>
      </w:r>
      <w:r w:rsidR="00AE2CEF" w:rsidRPr="00781A37">
        <w:rPr>
          <w:rFonts w:ascii="CG Omega" w:hAnsi="CG Omega"/>
          <w:b/>
          <w:bCs/>
          <w:smallCaps/>
        </w:rPr>
        <w:t xml:space="preserve">Housing </w:t>
      </w:r>
      <w:r w:rsidR="004A07BF" w:rsidRPr="00781A37">
        <w:rPr>
          <w:rFonts w:ascii="CG Omega" w:hAnsi="CG Omega"/>
          <w:b/>
          <w:bCs/>
          <w:smallCaps/>
        </w:rPr>
        <w:t>Needs</w:t>
      </w:r>
    </w:p>
    <w:p w:rsidR="00140B4C" w:rsidRPr="005F3668" w:rsidRDefault="00140B4C" w:rsidP="00815DC6">
      <w:pPr>
        <w:tabs>
          <w:tab w:val="left" w:pos="4110"/>
        </w:tabs>
        <w:jc w:val="both"/>
        <w:rPr>
          <w:rFonts w:ascii="CG Omega" w:hAnsi="CG Omega"/>
          <w:b/>
          <w:bCs/>
          <w:smallCaps/>
          <w:highlight w:val="yellow"/>
        </w:rPr>
      </w:pPr>
    </w:p>
    <w:p w:rsidR="00E13DE5" w:rsidRPr="005F3668" w:rsidRDefault="00E13DE5" w:rsidP="00E13DE5">
      <w:pPr>
        <w:tabs>
          <w:tab w:val="left" w:pos="4110"/>
        </w:tabs>
        <w:jc w:val="both"/>
        <w:rPr>
          <w:rFonts w:ascii="CG Omega" w:hAnsi="CG Omega"/>
        </w:rPr>
      </w:pPr>
      <w:r w:rsidRPr="005F3668">
        <w:rPr>
          <w:rFonts w:ascii="CG Omega" w:hAnsi="CG Omega"/>
        </w:rPr>
        <w:t>Households that experience one or more of these housing problems</w:t>
      </w:r>
      <w:r w:rsidR="004421C6" w:rsidRPr="005F3668">
        <w:rPr>
          <w:rFonts w:ascii="CG Omega" w:hAnsi="CG Omega"/>
        </w:rPr>
        <w:t xml:space="preserve">, </w:t>
      </w:r>
      <w:r w:rsidR="00FD1909" w:rsidRPr="005F3668">
        <w:rPr>
          <w:rFonts w:ascii="CG Omega" w:hAnsi="CG Omega"/>
        </w:rPr>
        <w:t xml:space="preserve">defined as </w:t>
      </w:r>
      <w:r w:rsidR="00FD1909" w:rsidRPr="005F3668">
        <w:rPr>
          <w:rFonts w:ascii="CG Omega" w:hAnsi="CG Omega"/>
          <w:bCs/>
        </w:rPr>
        <w:t>overcrowding, lack of complete plumbing or kitchen facilities, and cost burden</w:t>
      </w:r>
      <w:r w:rsidR="004421C6" w:rsidRPr="005F3668">
        <w:rPr>
          <w:rFonts w:ascii="CG Omega" w:hAnsi="CG Omega"/>
        </w:rPr>
        <w:t>,</w:t>
      </w:r>
      <w:r w:rsidRPr="005F3668">
        <w:rPr>
          <w:rFonts w:ascii="CG Omega" w:hAnsi="CG Omega"/>
        </w:rPr>
        <w:t xml:space="preserve"> are considered to have unmet housing needs.  Such householders can be of any income level, race, ethnicity or family type.  For the purposes presented herein, these data have been segmented by tenure, renters and homeowners, and by percent of median family income. </w:t>
      </w:r>
    </w:p>
    <w:p w:rsidR="00E13DE5" w:rsidRPr="005F3668" w:rsidRDefault="00E13DE5" w:rsidP="00E13DE5">
      <w:pPr>
        <w:jc w:val="both"/>
        <w:rPr>
          <w:rFonts w:ascii="CG Omega" w:hAnsi="CG Omega"/>
          <w:highlight w:val="yellow"/>
        </w:rPr>
      </w:pPr>
    </w:p>
    <w:p w:rsidR="00615AF4" w:rsidRPr="00955C8C" w:rsidRDefault="00615AF4" w:rsidP="00615AF4">
      <w:pPr>
        <w:jc w:val="both"/>
        <w:rPr>
          <w:rFonts w:ascii="CG Omega" w:hAnsi="CG Omega"/>
          <w:highlight w:val="yellow"/>
        </w:rPr>
      </w:pPr>
      <w:r w:rsidRPr="005F3668">
        <w:rPr>
          <w:rFonts w:ascii="CG Omega" w:hAnsi="CG Omega"/>
          <w:b/>
        </w:rPr>
        <w:t>Table IV.1</w:t>
      </w:r>
      <w:r w:rsidR="00321774" w:rsidRPr="005F3668">
        <w:rPr>
          <w:rFonts w:ascii="CG Omega" w:hAnsi="CG Omega"/>
          <w:b/>
        </w:rPr>
        <w:t>2</w:t>
      </w:r>
      <w:r w:rsidR="00C419B6">
        <w:rPr>
          <w:rFonts w:ascii="CG Omega" w:hAnsi="CG Omega"/>
        </w:rPr>
        <w:t>, on the following page,</w:t>
      </w:r>
      <w:r w:rsidRPr="00740E06">
        <w:rPr>
          <w:rFonts w:ascii="CG Omega" w:hAnsi="CG Omega"/>
        </w:rPr>
        <w:t xml:space="preserve"> presents </w:t>
      </w:r>
      <w:r w:rsidR="00BB2854">
        <w:rPr>
          <w:rFonts w:ascii="CG Omega" w:hAnsi="CG Omega"/>
        </w:rPr>
        <w:t>owner occupied</w:t>
      </w:r>
      <w:r>
        <w:rPr>
          <w:rFonts w:ascii="CG Omega" w:hAnsi="CG Omega"/>
        </w:rPr>
        <w:t xml:space="preserve"> </w:t>
      </w:r>
      <w:r w:rsidRPr="00740E06">
        <w:rPr>
          <w:rFonts w:ascii="CG Omega" w:hAnsi="CG Omega"/>
        </w:rPr>
        <w:t>households with housing problems by income as well as family type</w:t>
      </w:r>
      <w:r w:rsidRPr="00CC1D84">
        <w:rPr>
          <w:rFonts w:ascii="CG Omega" w:hAnsi="CG Omega"/>
        </w:rPr>
        <w:t>.</w:t>
      </w:r>
      <w:r>
        <w:rPr>
          <w:rFonts w:ascii="CG Omega" w:hAnsi="CG Omega"/>
        </w:rPr>
        <w:t xml:space="preserve"> Within these groups, there were 141,930 </w:t>
      </w:r>
      <w:r w:rsidR="00BB2854">
        <w:rPr>
          <w:rFonts w:ascii="CG Omega" w:hAnsi="CG Omega"/>
        </w:rPr>
        <w:t>owner occupied</w:t>
      </w:r>
      <w:r>
        <w:rPr>
          <w:rFonts w:ascii="CG Omega" w:hAnsi="CG Omega"/>
        </w:rPr>
        <w:t xml:space="preserve"> households with housing problems. </w:t>
      </w:r>
      <w:r w:rsidRPr="00CC1D84">
        <w:rPr>
          <w:rFonts w:ascii="CG Omega" w:hAnsi="CG Omega"/>
        </w:rPr>
        <w:t xml:space="preserve">However, the goals and objectives of the Consolidated Plan are designed specifically for assisting lower-income households or those with incomes 80.0 percent or less of the median family income. As such, this table also shows that there were 91,065 owner households with incomes of 80.0 percent MFI of less that had unmet housing needs during this time period.  </w:t>
      </w:r>
      <w:r>
        <w:rPr>
          <w:rFonts w:ascii="CG Omega" w:hAnsi="CG Omega"/>
        </w:rPr>
        <w:t>Large families within all income ranges have the highest rate, with 40.3 percent having a housing problem.</w:t>
      </w:r>
    </w:p>
    <w:p w:rsidR="00EB7CB2" w:rsidRDefault="00EB7CB2" w:rsidP="00615AF4">
      <w:pPr>
        <w:jc w:val="both"/>
        <w:rPr>
          <w:rFonts w:ascii="CG Omega" w:hAnsi="CG Omega"/>
          <w:bCs/>
          <w:highlight w:val="yellow"/>
        </w:rPr>
      </w:pPr>
    </w:p>
    <w:p w:rsidR="005F3668" w:rsidRPr="005F3668" w:rsidRDefault="005F3668" w:rsidP="00615AF4">
      <w:pPr>
        <w:jc w:val="both"/>
        <w:rPr>
          <w:rFonts w:ascii="CG Omega" w:hAnsi="CG Omega"/>
          <w:bCs/>
          <w:highlight w:val="yellow"/>
        </w:rPr>
      </w:pPr>
    </w:p>
    <w:tbl>
      <w:tblPr>
        <w:tblW w:w="8980" w:type="dxa"/>
        <w:jc w:val="center"/>
        <w:tblLook w:val="04A0" w:firstRow="1" w:lastRow="0" w:firstColumn="1" w:lastColumn="0" w:noHBand="0" w:noVBand="1"/>
      </w:tblPr>
      <w:tblGrid>
        <w:gridCol w:w="2500"/>
        <w:gridCol w:w="1080"/>
        <w:gridCol w:w="1080"/>
        <w:gridCol w:w="1080"/>
        <w:gridCol w:w="1080"/>
        <w:gridCol w:w="1080"/>
        <w:gridCol w:w="1080"/>
      </w:tblGrid>
      <w:tr w:rsidR="00BD68C6" w:rsidRPr="00AC2E7F" w:rsidTr="00AF45D4">
        <w:trPr>
          <w:trHeight w:val="890"/>
          <w:jc w:val="center"/>
        </w:trPr>
        <w:tc>
          <w:tcPr>
            <w:tcW w:w="8980" w:type="dxa"/>
            <w:gridSpan w:val="7"/>
            <w:shd w:val="clear" w:color="000000" w:fill="FFFFFF" w:themeFill="background1"/>
            <w:noWrap/>
            <w:vAlign w:val="center"/>
            <w:hideMark/>
          </w:tcPr>
          <w:p w:rsidR="00BD68C6" w:rsidRPr="00AC2E7F" w:rsidRDefault="00BD68C6" w:rsidP="00AF45D4">
            <w:pPr>
              <w:jc w:val="center"/>
              <w:rPr>
                <w:rFonts w:ascii="Arial" w:hAnsi="Arial" w:cs="Arial"/>
                <w:b/>
                <w:bCs/>
              </w:rPr>
            </w:pPr>
            <w:r w:rsidRPr="009E7733">
              <w:rPr>
                <w:rFonts w:ascii="Arial" w:hAnsi="Arial" w:cs="Arial"/>
                <w:b/>
                <w:bCs/>
              </w:rPr>
              <w:t xml:space="preserve">Table </w:t>
            </w:r>
            <w:r>
              <w:rPr>
                <w:rFonts w:ascii="Arial" w:hAnsi="Arial" w:cs="Arial"/>
                <w:b/>
                <w:bCs/>
              </w:rPr>
              <w:t>IV.12</w:t>
            </w:r>
          </w:p>
          <w:p w:rsidR="00BD68C6" w:rsidRPr="00AC2E7F" w:rsidRDefault="00BB2854" w:rsidP="00AF45D4">
            <w:pPr>
              <w:jc w:val="center"/>
              <w:rPr>
                <w:rFonts w:ascii="Arial" w:hAnsi="Arial" w:cs="Arial"/>
                <w:b/>
                <w:bCs/>
                <w:sz w:val="20"/>
                <w:szCs w:val="20"/>
              </w:rPr>
            </w:pPr>
            <w:r>
              <w:rPr>
                <w:rFonts w:ascii="Arial" w:hAnsi="Arial" w:cs="Arial"/>
                <w:b/>
                <w:bCs/>
                <w:sz w:val="20"/>
                <w:szCs w:val="20"/>
              </w:rPr>
              <w:t>Owner occupied</w:t>
            </w:r>
            <w:r w:rsidR="00BD68C6" w:rsidRPr="00AC2E7F">
              <w:rPr>
                <w:rFonts w:ascii="Arial" w:hAnsi="Arial" w:cs="Arial"/>
                <w:b/>
                <w:bCs/>
                <w:sz w:val="20"/>
                <w:szCs w:val="20"/>
              </w:rPr>
              <w:t xml:space="preserve"> Households by Income and Family Status</w:t>
            </w:r>
          </w:p>
          <w:p w:rsidR="00BD68C6" w:rsidRPr="00AC2E7F" w:rsidRDefault="00BD68C6" w:rsidP="00AF45D4">
            <w:pPr>
              <w:jc w:val="center"/>
              <w:rPr>
                <w:rFonts w:ascii="Arial" w:hAnsi="Arial" w:cs="Arial"/>
                <w:sz w:val="16"/>
                <w:szCs w:val="16"/>
              </w:rPr>
            </w:pPr>
            <w:r w:rsidRPr="00AC2E7F">
              <w:rPr>
                <w:rFonts w:ascii="Arial" w:hAnsi="Arial" w:cs="Arial"/>
                <w:sz w:val="16"/>
                <w:szCs w:val="16"/>
              </w:rPr>
              <w:t>State of New Mexico</w:t>
            </w:r>
          </w:p>
          <w:p w:rsidR="00BD68C6" w:rsidRPr="00AC2E7F" w:rsidRDefault="00BD68C6" w:rsidP="00AF45D4">
            <w:pPr>
              <w:jc w:val="center"/>
              <w:rPr>
                <w:rFonts w:ascii="Arial" w:hAnsi="Arial" w:cs="Arial"/>
                <w:b/>
                <w:bCs/>
              </w:rPr>
            </w:pPr>
            <w:r w:rsidRPr="00AC2E7F">
              <w:rPr>
                <w:rFonts w:ascii="Arial" w:hAnsi="Arial" w:cs="Arial"/>
                <w:sz w:val="16"/>
                <w:szCs w:val="16"/>
              </w:rPr>
              <w:t>2006–2010 HUD CHAS Data</w:t>
            </w:r>
          </w:p>
        </w:tc>
      </w:tr>
      <w:tr w:rsidR="00BD68C6" w:rsidRPr="00AC2E7F" w:rsidTr="00AF45D4">
        <w:trPr>
          <w:trHeight w:val="450"/>
          <w:jc w:val="center"/>
        </w:trPr>
        <w:tc>
          <w:tcPr>
            <w:tcW w:w="2500" w:type="dxa"/>
            <w:tcBorders>
              <w:top w:val="single" w:sz="4" w:space="0" w:color="009900"/>
              <w:left w:val="single" w:sz="4" w:space="0" w:color="009900"/>
              <w:bottom w:val="single" w:sz="4" w:space="0" w:color="009900"/>
              <w:right w:val="nil"/>
            </w:tcBorders>
            <w:shd w:val="clear" w:color="000000" w:fill="FFFFE1"/>
            <w:vAlign w:val="center"/>
            <w:hideMark/>
          </w:tcPr>
          <w:p w:rsidR="00BD68C6" w:rsidRPr="00AC2E7F" w:rsidRDefault="00BD68C6" w:rsidP="00AF45D4">
            <w:pPr>
              <w:rPr>
                <w:rFonts w:ascii="Arial" w:hAnsi="Arial" w:cs="Arial"/>
                <w:b/>
                <w:bCs/>
                <w:sz w:val="16"/>
                <w:szCs w:val="16"/>
              </w:rPr>
            </w:pPr>
            <w:r w:rsidRPr="00AC2E7F">
              <w:rPr>
                <w:rFonts w:ascii="Arial" w:hAnsi="Arial" w:cs="Arial"/>
                <w:b/>
                <w:bCs/>
                <w:sz w:val="16"/>
                <w:szCs w:val="16"/>
              </w:rPr>
              <w:t>Income</w:t>
            </w:r>
          </w:p>
        </w:tc>
        <w:tc>
          <w:tcPr>
            <w:tcW w:w="1080" w:type="dxa"/>
            <w:tcBorders>
              <w:top w:val="single" w:sz="4" w:space="0" w:color="009900"/>
              <w:left w:val="nil"/>
              <w:bottom w:val="single" w:sz="4" w:space="0" w:color="009900"/>
              <w:right w:val="nil"/>
            </w:tcBorders>
            <w:shd w:val="clear" w:color="FFFFFF" w:fill="FFFFE1"/>
            <w:vAlign w:val="center"/>
            <w:hideMark/>
          </w:tcPr>
          <w:p w:rsidR="00BD68C6" w:rsidRPr="00AC2E7F" w:rsidRDefault="00BD68C6" w:rsidP="00AF45D4">
            <w:pPr>
              <w:jc w:val="center"/>
              <w:rPr>
                <w:rFonts w:ascii="Arial" w:hAnsi="Arial" w:cs="Arial"/>
                <w:b/>
                <w:bCs/>
                <w:color w:val="000000"/>
                <w:sz w:val="16"/>
                <w:szCs w:val="16"/>
              </w:rPr>
            </w:pPr>
            <w:r w:rsidRPr="00AC2E7F">
              <w:rPr>
                <w:rFonts w:ascii="Arial" w:hAnsi="Arial" w:cs="Arial"/>
                <w:b/>
                <w:bCs/>
                <w:color w:val="000000"/>
                <w:sz w:val="16"/>
                <w:szCs w:val="16"/>
              </w:rPr>
              <w:t>Elderly Family</w:t>
            </w:r>
          </w:p>
        </w:tc>
        <w:tc>
          <w:tcPr>
            <w:tcW w:w="1080" w:type="dxa"/>
            <w:tcBorders>
              <w:top w:val="single" w:sz="4" w:space="0" w:color="009900"/>
              <w:left w:val="nil"/>
              <w:bottom w:val="single" w:sz="4" w:space="0" w:color="009900"/>
              <w:right w:val="nil"/>
            </w:tcBorders>
            <w:shd w:val="clear" w:color="FFFFFF" w:fill="FFFFE1"/>
            <w:vAlign w:val="center"/>
            <w:hideMark/>
          </w:tcPr>
          <w:p w:rsidR="00BD68C6" w:rsidRPr="00AC2E7F" w:rsidRDefault="00BD68C6" w:rsidP="00AF45D4">
            <w:pPr>
              <w:jc w:val="center"/>
              <w:rPr>
                <w:rFonts w:ascii="Arial" w:hAnsi="Arial" w:cs="Arial"/>
                <w:b/>
                <w:bCs/>
                <w:color w:val="000000"/>
                <w:sz w:val="16"/>
                <w:szCs w:val="16"/>
              </w:rPr>
            </w:pPr>
            <w:r w:rsidRPr="00AC2E7F">
              <w:rPr>
                <w:rFonts w:ascii="Arial" w:hAnsi="Arial" w:cs="Arial"/>
                <w:b/>
                <w:bCs/>
                <w:color w:val="000000"/>
                <w:sz w:val="16"/>
                <w:szCs w:val="16"/>
              </w:rPr>
              <w:t>Small Family</w:t>
            </w:r>
          </w:p>
        </w:tc>
        <w:tc>
          <w:tcPr>
            <w:tcW w:w="1080" w:type="dxa"/>
            <w:tcBorders>
              <w:top w:val="single" w:sz="4" w:space="0" w:color="009900"/>
              <w:left w:val="nil"/>
              <w:bottom w:val="single" w:sz="4" w:space="0" w:color="009900"/>
              <w:right w:val="nil"/>
            </w:tcBorders>
            <w:shd w:val="clear" w:color="FFFFFF" w:fill="FFFFE1"/>
            <w:vAlign w:val="center"/>
            <w:hideMark/>
          </w:tcPr>
          <w:p w:rsidR="00BD68C6" w:rsidRPr="00AC2E7F" w:rsidRDefault="00BD68C6" w:rsidP="00AF45D4">
            <w:pPr>
              <w:jc w:val="center"/>
              <w:rPr>
                <w:rFonts w:ascii="Arial" w:hAnsi="Arial" w:cs="Arial"/>
                <w:b/>
                <w:bCs/>
                <w:color w:val="000000"/>
                <w:sz w:val="16"/>
                <w:szCs w:val="16"/>
              </w:rPr>
            </w:pPr>
            <w:r w:rsidRPr="00AC2E7F">
              <w:rPr>
                <w:rFonts w:ascii="Arial" w:hAnsi="Arial" w:cs="Arial"/>
                <w:b/>
                <w:bCs/>
                <w:color w:val="000000"/>
                <w:sz w:val="16"/>
                <w:szCs w:val="16"/>
              </w:rPr>
              <w:t>Large Family</w:t>
            </w:r>
          </w:p>
        </w:tc>
        <w:tc>
          <w:tcPr>
            <w:tcW w:w="1080" w:type="dxa"/>
            <w:tcBorders>
              <w:top w:val="single" w:sz="4" w:space="0" w:color="009900"/>
              <w:left w:val="nil"/>
              <w:bottom w:val="single" w:sz="4" w:space="0" w:color="009900"/>
              <w:right w:val="nil"/>
            </w:tcBorders>
            <w:shd w:val="clear" w:color="FFFFFF" w:fill="FFFFE1"/>
            <w:vAlign w:val="center"/>
            <w:hideMark/>
          </w:tcPr>
          <w:p w:rsidR="00BD68C6" w:rsidRPr="00AC2E7F" w:rsidRDefault="00BD68C6" w:rsidP="00AF45D4">
            <w:pPr>
              <w:jc w:val="center"/>
              <w:rPr>
                <w:rFonts w:ascii="Arial" w:hAnsi="Arial" w:cs="Arial"/>
                <w:b/>
                <w:bCs/>
                <w:color w:val="000000"/>
                <w:sz w:val="16"/>
                <w:szCs w:val="16"/>
              </w:rPr>
            </w:pPr>
            <w:r w:rsidRPr="00AC2E7F">
              <w:rPr>
                <w:rFonts w:ascii="Arial" w:hAnsi="Arial" w:cs="Arial"/>
                <w:b/>
                <w:bCs/>
                <w:color w:val="000000"/>
                <w:sz w:val="16"/>
                <w:szCs w:val="16"/>
              </w:rPr>
              <w:t>Elderly Non-Family</w:t>
            </w:r>
          </w:p>
        </w:tc>
        <w:tc>
          <w:tcPr>
            <w:tcW w:w="1080" w:type="dxa"/>
            <w:tcBorders>
              <w:top w:val="single" w:sz="4" w:space="0" w:color="009900"/>
              <w:left w:val="nil"/>
              <w:bottom w:val="single" w:sz="4" w:space="0" w:color="009900"/>
              <w:right w:val="nil"/>
            </w:tcBorders>
            <w:shd w:val="clear" w:color="FFFFFF" w:fill="FFFFE1"/>
            <w:vAlign w:val="center"/>
            <w:hideMark/>
          </w:tcPr>
          <w:p w:rsidR="00BD68C6" w:rsidRPr="00AC2E7F" w:rsidRDefault="00BD68C6" w:rsidP="00AF45D4">
            <w:pPr>
              <w:jc w:val="center"/>
              <w:rPr>
                <w:rFonts w:ascii="Arial" w:hAnsi="Arial" w:cs="Arial"/>
                <w:b/>
                <w:bCs/>
                <w:color w:val="000000"/>
                <w:sz w:val="16"/>
                <w:szCs w:val="16"/>
              </w:rPr>
            </w:pPr>
            <w:r w:rsidRPr="00AC2E7F">
              <w:rPr>
                <w:rFonts w:ascii="Arial" w:hAnsi="Arial" w:cs="Arial"/>
                <w:b/>
                <w:bCs/>
                <w:color w:val="000000"/>
                <w:sz w:val="16"/>
                <w:szCs w:val="16"/>
              </w:rPr>
              <w:t>Other Household</w:t>
            </w:r>
          </w:p>
        </w:tc>
        <w:tc>
          <w:tcPr>
            <w:tcW w:w="1080" w:type="dxa"/>
            <w:tcBorders>
              <w:top w:val="single" w:sz="4" w:space="0" w:color="009900"/>
              <w:left w:val="nil"/>
              <w:bottom w:val="single" w:sz="4" w:space="0" w:color="009900"/>
              <w:right w:val="single" w:sz="4" w:space="0" w:color="009900"/>
            </w:tcBorders>
            <w:shd w:val="clear" w:color="FFFFFF" w:fill="FFFFE1"/>
            <w:vAlign w:val="center"/>
            <w:hideMark/>
          </w:tcPr>
          <w:p w:rsidR="00BD68C6" w:rsidRPr="00AC2E7F" w:rsidRDefault="00BD68C6" w:rsidP="00AF45D4">
            <w:pPr>
              <w:jc w:val="center"/>
              <w:rPr>
                <w:rFonts w:ascii="Arial" w:hAnsi="Arial" w:cs="Arial"/>
                <w:b/>
                <w:bCs/>
                <w:color w:val="000000"/>
                <w:sz w:val="16"/>
                <w:szCs w:val="16"/>
              </w:rPr>
            </w:pPr>
            <w:r w:rsidRPr="00AC2E7F">
              <w:rPr>
                <w:rFonts w:ascii="Arial" w:hAnsi="Arial" w:cs="Arial"/>
                <w:b/>
                <w:bCs/>
                <w:color w:val="000000"/>
                <w:sz w:val="16"/>
                <w:szCs w:val="16"/>
              </w:rPr>
              <w:t>Total</w:t>
            </w:r>
          </w:p>
        </w:tc>
      </w:tr>
      <w:tr w:rsidR="00BD68C6" w:rsidRPr="00AC2E7F" w:rsidTr="00AF45D4">
        <w:trPr>
          <w:trHeight w:val="285"/>
          <w:jc w:val="center"/>
        </w:trPr>
        <w:tc>
          <w:tcPr>
            <w:tcW w:w="8980" w:type="dxa"/>
            <w:gridSpan w:val="7"/>
            <w:tcBorders>
              <w:top w:val="single" w:sz="4" w:space="0" w:color="009900"/>
              <w:left w:val="single" w:sz="4" w:space="0" w:color="009900"/>
              <w:bottom w:val="single" w:sz="4" w:space="0" w:color="009900"/>
              <w:right w:val="single" w:sz="4" w:space="0" w:color="009900"/>
            </w:tcBorders>
            <w:shd w:val="clear" w:color="000000" w:fill="FFFFE1"/>
            <w:noWrap/>
            <w:vAlign w:val="center"/>
            <w:hideMark/>
          </w:tcPr>
          <w:p w:rsidR="00BD68C6" w:rsidRPr="00AC2E7F" w:rsidRDefault="00BD68C6" w:rsidP="00AF45D4">
            <w:pPr>
              <w:jc w:val="center"/>
              <w:rPr>
                <w:rFonts w:ascii="Arial" w:hAnsi="Arial" w:cs="Arial"/>
                <w:b/>
                <w:bCs/>
                <w:sz w:val="16"/>
                <w:szCs w:val="16"/>
              </w:rPr>
            </w:pPr>
            <w:r w:rsidRPr="00AC2E7F">
              <w:rPr>
                <w:rFonts w:ascii="Arial" w:hAnsi="Arial" w:cs="Arial"/>
                <w:b/>
                <w:bCs/>
                <w:sz w:val="16"/>
                <w:szCs w:val="16"/>
              </w:rPr>
              <w:t>Housing Problem</w:t>
            </w:r>
            <w:r>
              <w:rPr>
                <w:rFonts w:ascii="Arial" w:hAnsi="Arial" w:cs="Arial"/>
                <w:b/>
                <w:bCs/>
                <w:sz w:val="16"/>
                <w:szCs w:val="16"/>
              </w:rPr>
              <w:t>s</w:t>
            </w:r>
          </w:p>
        </w:tc>
      </w:tr>
      <w:tr w:rsidR="00BD68C6" w:rsidRPr="00AC2E7F" w:rsidTr="00AF45D4">
        <w:trPr>
          <w:trHeight w:val="255"/>
          <w:jc w:val="center"/>
        </w:trPr>
        <w:tc>
          <w:tcPr>
            <w:tcW w:w="2500" w:type="dxa"/>
            <w:tcBorders>
              <w:top w:val="nil"/>
              <w:left w:val="single" w:sz="4" w:space="0" w:color="009900"/>
              <w:bottom w:val="nil"/>
              <w:right w:val="nil"/>
            </w:tcBorders>
            <w:shd w:val="clear" w:color="FFFFFF" w:fill="FFFFE1"/>
            <w:vAlign w:val="center"/>
            <w:hideMark/>
          </w:tcPr>
          <w:p w:rsidR="00BD68C6" w:rsidRPr="00AC2E7F" w:rsidRDefault="00BD68C6" w:rsidP="00AF45D4">
            <w:pPr>
              <w:rPr>
                <w:rFonts w:ascii="Arial" w:hAnsi="Arial" w:cs="Arial"/>
                <w:color w:val="000000"/>
                <w:sz w:val="16"/>
                <w:szCs w:val="16"/>
              </w:rPr>
            </w:pPr>
            <w:r w:rsidRPr="00AC2E7F">
              <w:rPr>
                <w:rFonts w:ascii="Arial" w:hAnsi="Arial" w:cs="Arial"/>
                <w:color w:val="000000"/>
                <w:sz w:val="16"/>
                <w:szCs w:val="16"/>
              </w:rPr>
              <w:t>30% HAMFI or less</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2,880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8,275</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2,085</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8,250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7,585</w:t>
            </w:r>
          </w:p>
        </w:tc>
        <w:tc>
          <w:tcPr>
            <w:tcW w:w="1080" w:type="dxa"/>
            <w:tcBorders>
              <w:top w:val="nil"/>
              <w:left w:val="nil"/>
              <w:bottom w:val="nil"/>
              <w:right w:val="single" w:sz="4" w:space="0" w:color="009900"/>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29,075</w:t>
            </w:r>
          </w:p>
        </w:tc>
      </w:tr>
      <w:tr w:rsidR="00BD68C6" w:rsidRPr="00AC2E7F" w:rsidTr="00AF45D4">
        <w:trPr>
          <w:trHeight w:val="255"/>
          <w:jc w:val="center"/>
        </w:trPr>
        <w:tc>
          <w:tcPr>
            <w:tcW w:w="2500" w:type="dxa"/>
            <w:tcBorders>
              <w:top w:val="nil"/>
              <w:left w:val="single" w:sz="4" w:space="0" w:color="009900"/>
              <w:bottom w:val="nil"/>
              <w:right w:val="nil"/>
            </w:tcBorders>
            <w:shd w:val="clear" w:color="FFFFFF" w:fill="FFFFE1"/>
            <w:vAlign w:val="center"/>
            <w:hideMark/>
          </w:tcPr>
          <w:p w:rsidR="00BD68C6" w:rsidRPr="00AC2E7F" w:rsidRDefault="00BD68C6" w:rsidP="00AF45D4">
            <w:pPr>
              <w:rPr>
                <w:rFonts w:ascii="Arial" w:hAnsi="Arial" w:cs="Arial"/>
                <w:color w:val="000000"/>
                <w:sz w:val="16"/>
                <w:szCs w:val="16"/>
              </w:rPr>
            </w:pPr>
            <w:r w:rsidRPr="00AC2E7F">
              <w:rPr>
                <w:rFonts w:ascii="Arial" w:hAnsi="Arial" w:cs="Arial"/>
                <w:color w:val="000000"/>
                <w:sz w:val="16"/>
                <w:szCs w:val="16"/>
              </w:rPr>
              <w:t>30.1-50% HAMFI</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3,535</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9,535</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3,320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5,905</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5,045</w:t>
            </w:r>
          </w:p>
        </w:tc>
        <w:tc>
          <w:tcPr>
            <w:tcW w:w="1080" w:type="dxa"/>
            <w:tcBorders>
              <w:top w:val="nil"/>
              <w:left w:val="nil"/>
              <w:bottom w:val="nil"/>
              <w:right w:val="single" w:sz="4" w:space="0" w:color="009900"/>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27,340</w:t>
            </w:r>
          </w:p>
        </w:tc>
      </w:tr>
      <w:tr w:rsidR="00BD68C6" w:rsidRPr="00AC2E7F" w:rsidTr="00AF45D4">
        <w:trPr>
          <w:trHeight w:val="255"/>
          <w:jc w:val="center"/>
        </w:trPr>
        <w:tc>
          <w:tcPr>
            <w:tcW w:w="2500" w:type="dxa"/>
            <w:tcBorders>
              <w:top w:val="nil"/>
              <w:left w:val="single" w:sz="4" w:space="0" w:color="009900"/>
              <w:bottom w:val="nil"/>
              <w:right w:val="nil"/>
            </w:tcBorders>
            <w:shd w:val="clear" w:color="FFFFFF" w:fill="FFFFE1"/>
            <w:vAlign w:val="center"/>
            <w:hideMark/>
          </w:tcPr>
          <w:p w:rsidR="00BD68C6" w:rsidRPr="00AC2E7F" w:rsidRDefault="00BD68C6" w:rsidP="00AF45D4">
            <w:pPr>
              <w:rPr>
                <w:rFonts w:ascii="Arial" w:hAnsi="Arial" w:cs="Arial"/>
                <w:color w:val="000000"/>
                <w:sz w:val="16"/>
                <w:szCs w:val="16"/>
              </w:rPr>
            </w:pPr>
            <w:r w:rsidRPr="00AC2E7F">
              <w:rPr>
                <w:rFonts w:ascii="Arial" w:hAnsi="Arial" w:cs="Arial"/>
                <w:color w:val="000000"/>
                <w:sz w:val="16"/>
                <w:szCs w:val="16"/>
              </w:rPr>
              <w:t>50.1-80% HAMFI</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3,930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13,875</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5,145</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4,465</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7,235</w:t>
            </w:r>
          </w:p>
        </w:tc>
        <w:tc>
          <w:tcPr>
            <w:tcW w:w="1080" w:type="dxa"/>
            <w:tcBorders>
              <w:top w:val="nil"/>
              <w:left w:val="nil"/>
              <w:bottom w:val="nil"/>
              <w:right w:val="single" w:sz="4" w:space="0" w:color="009900"/>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34,650</w:t>
            </w:r>
          </w:p>
        </w:tc>
      </w:tr>
      <w:tr w:rsidR="00BD68C6" w:rsidRPr="00AC2E7F" w:rsidTr="00AF45D4">
        <w:trPr>
          <w:trHeight w:val="255"/>
          <w:jc w:val="center"/>
        </w:trPr>
        <w:tc>
          <w:tcPr>
            <w:tcW w:w="2500" w:type="dxa"/>
            <w:tcBorders>
              <w:top w:val="nil"/>
              <w:left w:val="single" w:sz="4" w:space="0" w:color="009900"/>
              <w:bottom w:val="nil"/>
              <w:right w:val="nil"/>
            </w:tcBorders>
            <w:shd w:val="clear" w:color="FFFFFF" w:fill="FFFFE1"/>
            <w:vAlign w:val="center"/>
            <w:hideMark/>
          </w:tcPr>
          <w:p w:rsidR="00BD68C6" w:rsidRPr="00AC2E7F" w:rsidRDefault="00BD68C6" w:rsidP="00AF45D4">
            <w:pPr>
              <w:rPr>
                <w:rFonts w:ascii="Arial" w:hAnsi="Arial" w:cs="Arial"/>
                <w:color w:val="000000"/>
                <w:sz w:val="16"/>
                <w:szCs w:val="16"/>
              </w:rPr>
            </w:pPr>
            <w:r w:rsidRPr="00AC2E7F">
              <w:rPr>
                <w:rFonts w:ascii="Arial" w:hAnsi="Arial" w:cs="Arial"/>
                <w:color w:val="000000"/>
                <w:sz w:val="16"/>
                <w:szCs w:val="16"/>
              </w:rPr>
              <w:t>80.1% HAMFI or more</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5,800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22,340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8,090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3,485</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11,150</w:t>
            </w:r>
          </w:p>
        </w:tc>
        <w:tc>
          <w:tcPr>
            <w:tcW w:w="1080" w:type="dxa"/>
            <w:tcBorders>
              <w:top w:val="nil"/>
              <w:left w:val="nil"/>
              <w:bottom w:val="nil"/>
              <w:right w:val="single" w:sz="4" w:space="0" w:color="009900"/>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50,865</w:t>
            </w:r>
          </w:p>
        </w:tc>
      </w:tr>
      <w:tr w:rsidR="00BD68C6" w:rsidRPr="00AC2E7F" w:rsidTr="00AF45D4">
        <w:trPr>
          <w:trHeight w:val="255"/>
          <w:jc w:val="center"/>
        </w:trPr>
        <w:tc>
          <w:tcPr>
            <w:tcW w:w="2500" w:type="dxa"/>
            <w:tcBorders>
              <w:top w:val="dotted" w:sz="4" w:space="0" w:color="009900"/>
              <w:left w:val="single" w:sz="4" w:space="0" w:color="009900"/>
              <w:bottom w:val="single" w:sz="4" w:space="0" w:color="009900"/>
              <w:right w:val="nil"/>
            </w:tcBorders>
            <w:shd w:val="clear" w:color="000000" w:fill="FFFFE1"/>
            <w:noWrap/>
            <w:vAlign w:val="center"/>
            <w:hideMark/>
          </w:tcPr>
          <w:p w:rsidR="00BD68C6" w:rsidRPr="00AC2E7F" w:rsidRDefault="00BD68C6" w:rsidP="00AF45D4">
            <w:pPr>
              <w:rPr>
                <w:rFonts w:ascii="Arial" w:hAnsi="Arial" w:cs="Arial"/>
                <w:sz w:val="16"/>
                <w:szCs w:val="16"/>
              </w:rPr>
            </w:pPr>
            <w:r w:rsidRPr="00AC2E7F">
              <w:rPr>
                <w:rFonts w:ascii="Arial" w:hAnsi="Arial" w:cs="Arial"/>
                <w:sz w:val="16"/>
                <w:szCs w:val="16"/>
              </w:rPr>
              <w:t>Total</w:t>
            </w:r>
          </w:p>
        </w:tc>
        <w:tc>
          <w:tcPr>
            <w:tcW w:w="1080" w:type="dxa"/>
            <w:tcBorders>
              <w:top w:val="dotted" w:sz="4" w:space="0" w:color="009900"/>
              <w:left w:val="nil"/>
              <w:bottom w:val="single" w:sz="4" w:space="0" w:color="009900"/>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16,145</w:t>
            </w:r>
          </w:p>
        </w:tc>
        <w:tc>
          <w:tcPr>
            <w:tcW w:w="1080" w:type="dxa"/>
            <w:tcBorders>
              <w:top w:val="dotted" w:sz="4" w:space="0" w:color="009900"/>
              <w:left w:val="nil"/>
              <w:bottom w:val="single" w:sz="4" w:space="0" w:color="009900"/>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54,025</w:t>
            </w:r>
          </w:p>
        </w:tc>
        <w:tc>
          <w:tcPr>
            <w:tcW w:w="1080" w:type="dxa"/>
            <w:tcBorders>
              <w:top w:val="dotted" w:sz="4" w:space="0" w:color="009900"/>
              <w:left w:val="nil"/>
              <w:bottom w:val="single" w:sz="4" w:space="0" w:color="009900"/>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18,640</w:t>
            </w:r>
          </w:p>
        </w:tc>
        <w:tc>
          <w:tcPr>
            <w:tcW w:w="1080" w:type="dxa"/>
            <w:tcBorders>
              <w:top w:val="dotted" w:sz="4" w:space="0" w:color="009900"/>
              <w:left w:val="nil"/>
              <w:bottom w:val="single" w:sz="4" w:space="0" w:color="009900"/>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22,105</w:t>
            </w:r>
          </w:p>
        </w:tc>
        <w:tc>
          <w:tcPr>
            <w:tcW w:w="1080" w:type="dxa"/>
            <w:tcBorders>
              <w:top w:val="dotted" w:sz="4" w:space="0" w:color="009900"/>
              <w:left w:val="nil"/>
              <w:bottom w:val="single" w:sz="4" w:space="0" w:color="009900"/>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31,015</w:t>
            </w:r>
          </w:p>
        </w:tc>
        <w:tc>
          <w:tcPr>
            <w:tcW w:w="1080" w:type="dxa"/>
            <w:tcBorders>
              <w:top w:val="dotted" w:sz="4" w:space="0" w:color="009900"/>
              <w:left w:val="nil"/>
              <w:bottom w:val="single" w:sz="4" w:space="0" w:color="009900"/>
              <w:right w:val="single" w:sz="4" w:space="0" w:color="009900"/>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141,930</w:t>
            </w:r>
          </w:p>
        </w:tc>
      </w:tr>
      <w:tr w:rsidR="00BD68C6" w:rsidRPr="00AC2E7F" w:rsidTr="00AF45D4">
        <w:trPr>
          <w:trHeight w:val="255"/>
          <w:jc w:val="center"/>
        </w:trPr>
        <w:tc>
          <w:tcPr>
            <w:tcW w:w="8980" w:type="dxa"/>
            <w:gridSpan w:val="7"/>
            <w:tcBorders>
              <w:top w:val="single" w:sz="4" w:space="0" w:color="009900"/>
              <w:left w:val="single" w:sz="4" w:space="0" w:color="009900"/>
              <w:bottom w:val="single" w:sz="4" w:space="0" w:color="009900"/>
              <w:right w:val="single" w:sz="4" w:space="0" w:color="009900"/>
            </w:tcBorders>
            <w:shd w:val="clear" w:color="000000" w:fill="FFFFE1"/>
            <w:noWrap/>
            <w:vAlign w:val="center"/>
            <w:hideMark/>
          </w:tcPr>
          <w:p w:rsidR="00BD68C6" w:rsidRPr="00AC2E7F" w:rsidRDefault="00BD68C6" w:rsidP="00AF45D4">
            <w:pPr>
              <w:jc w:val="center"/>
              <w:rPr>
                <w:rFonts w:ascii="Arial" w:hAnsi="Arial" w:cs="Arial"/>
                <w:b/>
                <w:bCs/>
                <w:sz w:val="16"/>
                <w:szCs w:val="16"/>
              </w:rPr>
            </w:pPr>
            <w:r w:rsidRPr="00AC2E7F">
              <w:rPr>
                <w:rFonts w:ascii="Arial" w:hAnsi="Arial" w:cs="Arial"/>
                <w:b/>
                <w:bCs/>
                <w:sz w:val="16"/>
                <w:szCs w:val="16"/>
              </w:rPr>
              <w:t>No Housing Problem</w:t>
            </w:r>
            <w:r>
              <w:rPr>
                <w:rFonts w:ascii="Arial" w:hAnsi="Arial" w:cs="Arial"/>
                <w:b/>
                <w:bCs/>
                <w:sz w:val="16"/>
                <w:szCs w:val="16"/>
              </w:rPr>
              <w:t>s</w:t>
            </w:r>
          </w:p>
        </w:tc>
      </w:tr>
      <w:tr w:rsidR="00BD68C6" w:rsidRPr="00AC2E7F" w:rsidTr="00AF45D4">
        <w:trPr>
          <w:trHeight w:val="255"/>
          <w:jc w:val="center"/>
        </w:trPr>
        <w:tc>
          <w:tcPr>
            <w:tcW w:w="2500" w:type="dxa"/>
            <w:tcBorders>
              <w:top w:val="nil"/>
              <w:left w:val="single" w:sz="4" w:space="0" w:color="009900"/>
              <w:bottom w:val="nil"/>
              <w:right w:val="nil"/>
            </w:tcBorders>
            <w:shd w:val="clear" w:color="FFFFFF" w:fill="FFFFE1"/>
            <w:vAlign w:val="center"/>
            <w:hideMark/>
          </w:tcPr>
          <w:p w:rsidR="00BD68C6" w:rsidRPr="00AC2E7F" w:rsidRDefault="00BD68C6" w:rsidP="00AF45D4">
            <w:pPr>
              <w:rPr>
                <w:rFonts w:ascii="Arial" w:hAnsi="Arial" w:cs="Arial"/>
                <w:color w:val="000000"/>
                <w:sz w:val="16"/>
                <w:szCs w:val="16"/>
              </w:rPr>
            </w:pPr>
            <w:r w:rsidRPr="00AC2E7F">
              <w:rPr>
                <w:rFonts w:ascii="Arial" w:hAnsi="Arial" w:cs="Arial"/>
                <w:color w:val="000000"/>
                <w:sz w:val="16"/>
                <w:szCs w:val="16"/>
              </w:rPr>
              <w:t>30% HAMFI or less</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820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1,875</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265</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3,125</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1,250</w:t>
            </w:r>
          </w:p>
        </w:tc>
        <w:tc>
          <w:tcPr>
            <w:tcW w:w="1080" w:type="dxa"/>
            <w:tcBorders>
              <w:top w:val="nil"/>
              <w:left w:val="nil"/>
              <w:bottom w:val="nil"/>
              <w:right w:val="single" w:sz="4" w:space="0" w:color="009900"/>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7,335</w:t>
            </w:r>
          </w:p>
        </w:tc>
      </w:tr>
      <w:tr w:rsidR="00BD68C6" w:rsidRPr="00AC2E7F" w:rsidTr="00AF45D4">
        <w:trPr>
          <w:trHeight w:val="255"/>
          <w:jc w:val="center"/>
        </w:trPr>
        <w:tc>
          <w:tcPr>
            <w:tcW w:w="2500" w:type="dxa"/>
            <w:tcBorders>
              <w:top w:val="nil"/>
              <w:left w:val="single" w:sz="4" w:space="0" w:color="009900"/>
              <w:bottom w:val="nil"/>
              <w:right w:val="nil"/>
            </w:tcBorders>
            <w:shd w:val="clear" w:color="FFFFFF" w:fill="FFFFE1"/>
            <w:vAlign w:val="center"/>
            <w:hideMark/>
          </w:tcPr>
          <w:p w:rsidR="00BD68C6" w:rsidRPr="00AC2E7F" w:rsidRDefault="00BD68C6" w:rsidP="00AF45D4">
            <w:pPr>
              <w:rPr>
                <w:rFonts w:ascii="Arial" w:hAnsi="Arial" w:cs="Arial"/>
                <w:color w:val="000000"/>
                <w:sz w:val="16"/>
                <w:szCs w:val="16"/>
              </w:rPr>
            </w:pPr>
            <w:r w:rsidRPr="00AC2E7F">
              <w:rPr>
                <w:rFonts w:ascii="Arial" w:hAnsi="Arial" w:cs="Arial"/>
                <w:color w:val="000000"/>
                <w:sz w:val="16"/>
                <w:szCs w:val="16"/>
              </w:rPr>
              <w:t>30.1-50% HAMFI</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5,605</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5,735</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985</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7,800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2,760</w:t>
            </w:r>
          </w:p>
        </w:tc>
        <w:tc>
          <w:tcPr>
            <w:tcW w:w="1080" w:type="dxa"/>
            <w:tcBorders>
              <w:top w:val="nil"/>
              <w:left w:val="nil"/>
              <w:bottom w:val="nil"/>
              <w:right w:val="single" w:sz="4" w:space="0" w:color="009900"/>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22,885</w:t>
            </w:r>
          </w:p>
        </w:tc>
      </w:tr>
      <w:tr w:rsidR="00BD68C6" w:rsidRPr="00AC2E7F" w:rsidTr="00AF45D4">
        <w:trPr>
          <w:trHeight w:val="255"/>
          <w:jc w:val="center"/>
        </w:trPr>
        <w:tc>
          <w:tcPr>
            <w:tcW w:w="2500" w:type="dxa"/>
            <w:tcBorders>
              <w:top w:val="nil"/>
              <w:left w:val="single" w:sz="4" w:space="0" w:color="009900"/>
              <w:bottom w:val="nil"/>
              <w:right w:val="nil"/>
            </w:tcBorders>
            <w:shd w:val="clear" w:color="FFFFFF" w:fill="FFFFE1"/>
            <w:vAlign w:val="center"/>
            <w:hideMark/>
          </w:tcPr>
          <w:p w:rsidR="00BD68C6" w:rsidRPr="00AC2E7F" w:rsidRDefault="00BD68C6" w:rsidP="00AF45D4">
            <w:pPr>
              <w:rPr>
                <w:rFonts w:ascii="Arial" w:hAnsi="Arial" w:cs="Arial"/>
                <w:color w:val="000000"/>
                <w:sz w:val="16"/>
                <w:szCs w:val="16"/>
              </w:rPr>
            </w:pPr>
            <w:r w:rsidRPr="00AC2E7F">
              <w:rPr>
                <w:rFonts w:ascii="Arial" w:hAnsi="Arial" w:cs="Arial"/>
                <w:color w:val="000000"/>
                <w:sz w:val="16"/>
                <w:szCs w:val="16"/>
              </w:rPr>
              <w:t>50.1-80% HAMFI</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11,250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15,565</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3,205</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9,530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5,280</w:t>
            </w:r>
          </w:p>
        </w:tc>
        <w:tc>
          <w:tcPr>
            <w:tcW w:w="1080" w:type="dxa"/>
            <w:tcBorders>
              <w:top w:val="nil"/>
              <w:left w:val="nil"/>
              <w:bottom w:val="nil"/>
              <w:right w:val="single" w:sz="4" w:space="0" w:color="009900"/>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44,830</w:t>
            </w:r>
          </w:p>
        </w:tc>
      </w:tr>
      <w:tr w:rsidR="00BD68C6" w:rsidRPr="00AC2E7F" w:rsidTr="00AF45D4">
        <w:trPr>
          <w:trHeight w:val="255"/>
          <w:jc w:val="center"/>
        </w:trPr>
        <w:tc>
          <w:tcPr>
            <w:tcW w:w="2500" w:type="dxa"/>
            <w:tcBorders>
              <w:top w:val="nil"/>
              <w:left w:val="single" w:sz="4" w:space="0" w:color="009900"/>
              <w:bottom w:val="nil"/>
              <w:right w:val="nil"/>
            </w:tcBorders>
            <w:shd w:val="clear" w:color="FFFFFF" w:fill="FFFFE1"/>
            <w:vAlign w:val="center"/>
            <w:hideMark/>
          </w:tcPr>
          <w:p w:rsidR="00BD68C6" w:rsidRPr="00AC2E7F" w:rsidRDefault="00BD68C6" w:rsidP="00AF45D4">
            <w:pPr>
              <w:rPr>
                <w:rFonts w:ascii="Arial" w:hAnsi="Arial" w:cs="Arial"/>
                <w:color w:val="000000"/>
                <w:sz w:val="16"/>
                <w:szCs w:val="16"/>
              </w:rPr>
            </w:pPr>
            <w:r w:rsidRPr="00AC2E7F">
              <w:rPr>
                <w:rFonts w:ascii="Arial" w:hAnsi="Arial" w:cs="Arial"/>
                <w:color w:val="000000"/>
                <w:sz w:val="16"/>
                <w:szCs w:val="16"/>
              </w:rPr>
              <w:t>80.1% HAMFI or more</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59,490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160,880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23,170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22,485</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40,260</w:t>
            </w:r>
          </w:p>
        </w:tc>
        <w:tc>
          <w:tcPr>
            <w:tcW w:w="1080" w:type="dxa"/>
            <w:tcBorders>
              <w:top w:val="nil"/>
              <w:left w:val="nil"/>
              <w:bottom w:val="nil"/>
              <w:right w:val="single" w:sz="4" w:space="0" w:color="009900"/>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306,285</w:t>
            </w:r>
          </w:p>
        </w:tc>
      </w:tr>
      <w:tr w:rsidR="00BD68C6" w:rsidRPr="00AC2E7F" w:rsidTr="00AF45D4">
        <w:trPr>
          <w:trHeight w:val="255"/>
          <w:jc w:val="center"/>
        </w:trPr>
        <w:tc>
          <w:tcPr>
            <w:tcW w:w="2500" w:type="dxa"/>
            <w:tcBorders>
              <w:top w:val="dotted" w:sz="4" w:space="0" w:color="009900"/>
              <w:left w:val="single" w:sz="4" w:space="0" w:color="009900"/>
              <w:bottom w:val="single" w:sz="4" w:space="0" w:color="009900"/>
              <w:right w:val="nil"/>
            </w:tcBorders>
            <w:shd w:val="clear" w:color="000000" w:fill="FFFFE1"/>
            <w:noWrap/>
            <w:vAlign w:val="center"/>
            <w:hideMark/>
          </w:tcPr>
          <w:p w:rsidR="00BD68C6" w:rsidRPr="00AC2E7F" w:rsidRDefault="00BD68C6" w:rsidP="00AF45D4">
            <w:pPr>
              <w:rPr>
                <w:rFonts w:ascii="Arial" w:hAnsi="Arial" w:cs="Arial"/>
                <w:sz w:val="16"/>
                <w:szCs w:val="16"/>
              </w:rPr>
            </w:pPr>
            <w:r w:rsidRPr="00AC2E7F">
              <w:rPr>
                <w:rFonts w:ascii="Arial" w:hAnsi="Arial" w:cs="Arial"/>
                <w:sz w:val="16"/>
                <w:szCs w:val="16"/>
              </w:rPr>
              <w:t>Total</w:t>
            </w:r>
          </w:p>
        </w:tc>
        <w:tc>
          <w:tcPr>
            <w:tcW w:w="1080" w:type="dxa"/>
            <w:tcBorders>
              <w:top w:val="dotted" w:sz="4" w:space="0" w:color="009900"/>
              <w:left w:val="nil"/>
              <w:bottom w:val="single" w:sz="4" w:space="0" w:color="009900"/>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77,165</w:t>
            </w:r>
          </w:p>
        </w:tc>
        <w:tc>
          <w:tcPr>
            <w:tcW w:w="1080" w:type="dxa"/>
            <w:tcBorders>
              <w:top w:val="dotted" w:sz="4" w:space="0" w:color="009900"/>
              <w:left w:val="nil"/>
              <w:bottom w:val="single" w:sz="4" w:space="0" w:color="009900"/>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184,055</w:t>
            </w:r>
          </w:p>
        </w:tc>
        <w:tc>
          <w:tcPr>
            <w:tcW w:w="1080" w:type="dxa"/>
            <w:tcBorders>
              <w:top w:val="dotted" w:sz="4" w:space="0" w:color="009900"/>
              <w:left w:val="nil"/>
              <w:bottom w:val="single" w:sz="4" w:space="0" w:color="009900"/>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27,625</w:t>
            </w:r>
          </w:p>
        </w:tc>
        <w:tc>
          <w:tcPr>
            <w:tcW w:w="1080" w:type="dxa"/>
            <w:tcBorders>
              <w:top w:val="dotted" w:sz="4" w:space="0" w:color="009900"/>
              <w:left w:val="nil"/>
              <w:bottom w:val="single" w:sz="4" w:space="0" w:color="009900"/>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42,940</w:t>
            </w:r>
          </w:p>
        </w:tc>
        <w:tc>
          <w:tcPr>
            <w:tcW w:w="1080" w:type="dxa"/>
            <w:tcBorders>
              <w:top w:val="dotted" w:sz="4" w:space="0" w:color="009900"/>
              <w:left w:val="nil"/>
              <w:bottom w:val="single" w:sz="4" w:space="0" w:color="009900"/>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49,550</w:t>
            </w:r>
          </w:p>
        </w:tc>
        <w:tc>
          <w:tcPr>
            <w:tcW w:w="1080" w:type="dxa"/>
            <w:tcBorders>
              <w:top w:val="dotted" w:sz="4" w:space="0" w:color="009900"/>
              <w:left w:val="nil"/>
              <w:bottom w:val="single" w:sz="4" w:space="0" w:color="009900"/>
              <w:right w:val="single" w:sz="4" w:space="0" w:color="009900"/>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381,335</w:t>
            </w:r>
          </w:p>
        </w:tc>
      </w:tr>
      <w:tr w:rsidR="00BD68C6" w:rsidRPr="00AC2E7F" w:rsidTr="00AF45D4">
        <w:trPr>
          <w:trHeight w:val="255"/>
          <w:jc w:val="center"/>
        </w:trPr>
        <w:tc>
          <w:tcPr>
            <w:tcW w:w="8980" w:type="dxa"/>
            <w:gridSpan w:val="7"/>
            <w:tcBorders>
              <w:top w:val="single" w:sz="4" w:space="0" w:color="009900"/>
              <w:left w:val="single" w:sz="4" w:space="0" w:color="009900"/>
              <w:bottom w:val="single" w:sz="4" w:space="0" w:color="009900"/>
              <w:right w:val="single" w:sz="4" w:space="0" w:color="009900"/>
            </w:tcBorders>
            <w:shd w:val="clear" w:color="000000" w:fill="FFFFE1"/>
            <w:noWrap/>
            <w:vAlign w:val="center"/>
            <w:hideMark/>
          </w:tcPr>
          <w:p w:rsidR="00BD68C6" w:rsidRPr="00AC2E7F" w:rsidRDefault="00BD68C6" w:rsidP="00AF45D4">
            <w:pPr>
              <w:jc w:val="center"/>
              <w:rPr>
                <w:rFonts w:ascii="Arial" w:hAnsi="Arial" w:cs="Arial"/>
                <w:b/>
                <w:bCs/>
                <w:sz w:val="16"/>
                <w:szCs w:val="16"/>
              </w:rPr>
            </w:pPr>
            <w:r>
              <w:rPr>
                <w:rFonts w:ascii="Arial" w:hAnsi="Arial" w:cs="Arial"/>
                <w:b/>
                <w:bCs/>
                <w:sz w:val="16"/>
                <w:szCs w:val="16"/>
              </w:rPr>
              <w:t xml:space="preserve">Housing Problems </w:t>
            </w:r>
            <w:r w:rsidRPr="00AC2E7F">
              <w:rPr>
                <w:rFonts w:ascii="Arial" w:hAnsi="Arial" w:cs="Arial"/>
                <w:b/>
                <w:bCs/>
                <w:sz w:val="16"/>
                <w:szCs w:val="16"/>
              </w:rPr>
              <w:t>Not Computed</w:t>
            </w:r>
          </w:p>
        </w:tc>
      </w:tr>
      <w:tr w:rsidR="00BD68C6" w:rsidRPr="00AC2E7F" w:rsidTr="00AF45D4">
        <w:trPr>
          <w:trHeight w:val="255"/>
          <w:jc w:val="center"/>
        </w:trPr>
        <w:tc>
          <w:tcPr>
            <w:tcW w:w="2500" w:type="dxa"/>
            <w:tcBorders>
              <w:top w:val="nil"/>
              <w:left w:val="single" w:sz="4" w:space="0" w:color="009900"/>
              <w:bottom w:val="nil"/>
              <w:right w:val="nil"/>
            </w:tcBorders>
            <w:shd w:val="clear" w:color="FFFFFF" w:fill="FFFFE1"/>
            <w:vAlign w:val="center"/>
            <w:hideMark/>
          </w:tcPr>
          <w:p w:rsidR="00BD68C6" w:rsidRPr="00AC2E7F" w:rsidRDefault="00BD68C6" w:rsidP="00AF45D4">
            <w:pPr>
              <w:rPr>
                <w:rFonts w:ascii="Arial" w:hAnsi="Arial" w:cs="Arial"/>
                <w:color w:val="000000"/>
                <w:sz w:val="16"/>
                <w:szCs w:val="16"/>
              </w:rPr>
            </w:pPr>
            <w:r w:rsidRPr="00AC2E7F">
              <w:rPr>
                <w:rFonts w:ascii="Arial" w:hAnsi="Arial" w:cs="Arial"/>
                <w:color w:val="000000"/>
                <w:sz w:val="16"/>
                <w:szCs w:val="16"/>
              </w:rPr>
              <w:t>30% HAMFI or less</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250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670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40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765</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1,580</w:t>
            </w:r>
          </w:p>
        </w:tc>
        <w:tc>
          <w:tcPr>
            <w:tcW w:w="1080" w:type="dxa"/>
            <w:tcBorders>
              <w:top w:val="nil"/>
              <w:left w:val="nil"/>
              <w:bottom w:val="nil"/>
              <w:right w:val="single" w:sz="4" w:space="0" w:color="009900"/>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3,305</w:t>
            </w:r>
          </w:p>
        </w:tc>
      </w:tr>
      <w:tr w:rsidR="00BD68C6" w:rsidRPr="00AC2E7F" w:rsidTr="00AF45D4">
        <w:trPr>
          <w:trHeight w:val="255"/>
          <w:jc w:val="center"/>
        </w:trPr>
        <w:tc>
          <w:tcPr>
            <w:tcW w:w="2500" w:type="dxa"/>
            <w:tcBorders>
              <w:top w:val="nil"/>
              <w:left w:val="single" w:sz="4" w:space="0" w:color="009900"/>
              <w:bottom w:val="nil"/>
              <w:right w:val="nil"/>
            </w:tcBorders>
            <w:shd w:val="clear" w:color="FFFFFF" w:fill="FFFFE1"/>
            <w:vAlign w:val="center"/>
            <w:hideMark/>
          </w:tcPr>
          <w:p w:rsidR="00BD68C6" w:rsidRPr="00AC2E7F" w:rsidRDefault="00BD68C6" w:rsidP="00AF45D4">
            <w:pPr>
              <w:rPr>
                <w:rFonts w:ascii="Arial" w:hAnsi="Arial" w:cs="Arial"/>
                <w:color w:val="000000"/>
                <w:sz w:val="16"/>
                <w:szCs w:val="16"/>
              </w:rPr>
            </w:pPr>
            <w:r w:rsidRPr="00AC2E7F">
              <w:rPr>
                <w:rFonts w:ascii="Arial" w:hAnsi="Arial" w:cs="Arial"/>
                <w:color w:val="000000"/>
                <w:sz w:val="16"/>
                <w:szCs w:val="16"/>
              </w:rPr>
              <w:t>30.1-50% HAMFI</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0</w:t>
            </w:r>
          </w:p>
        </w:tc>
        <w:tc>
          <w:tcPr>
            <w:tcW w:w="1080" w:type="dxa"/>
            <w:tcBorders>
              <w:top w:val="nil"/>
              <w:left w:val="nil"/>
              <w:bottom w:val="nil"/>
              <w:right w:val="single" w:sz="4" w:space="0" w:color="009900"/>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0</w:t>
            </w:r>
          </w:p>
        </w:tc>
      </w:tr>
      <w:tr w:rsidR="00BD68C6" w:rsidRPr="00AC2E7F" w:rsidTr="00AF45D4">
        <w:trPr>
          <w:trHeight w:val="255"/>
          <w:jc w:val="center"/>
        </w:trPr>
        <w:tc>
          <w:tcPr>
            <w:tcW w:w="2500" w:type="dxa"/>
            <w:tcBorders>
              <w:top w:val="nil"/>
              <w:left w:val="single" w:sz="4" w:space="0" w:color="009900"/>
              <w:bottom w:val="nil"/>
              <w:right w:val="nil"/>
            </w:tcBorders>
            <w:shd w:val="clear" w:color="FFFFFF" w:fill="FFFFE1"/>
            <w:vAlign w:val="center"/>
            <w:hideMark/>
          </w:tcPr>
          <w:p w:rsidR="00BD68C6" w:rsidRPr="00AC2E7F" w:rsidRDefault="00BD68C6" w:rsidP="00AF45D4">
            <w:pPr>
              <w:rPr>
                <w:rFonts w:ascii="Arial" w:hAnsi="Arial" w:cs="Arial"/>
                <w:color w:val="000000"/>
                <w:sz w:val="16"/>
                <w:szCs w:val="16"/>
              </w:rPr>
            </w:pPr>
            <w:r w:rsidRPr="00AC2E7F">
              <w:rPr>
                <w:rFonts w:ascii="Arial" w:hAnsi="Arial" w:cs="Arial"/>
                <w:color w:val="000000"/>
                <w:sz w:val="16"/>
                <w:szCs w:val="16"/>
              </w:rPr>
              <w:t>50.1-80% HAMFI</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0</w:t>
            </w:r>
          </w:p>
        </w:tc>
        <w:tc>
          <w:tcPr>
            <w:tcW w:w="1080" w:type="dxa"/>
            <w:tcBorders>
              <w:top w:val="nil"/>
              <w:left w:val="nil"/>
              <w:bottom w:val="nil"/>
              <w:right w:val="single" w:sz="4" w:space="0" w:color="009900"/>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0</w:t>
            </w:r>
          </w:p>
        </w:tc>
      </w:tr>
      <w:tr w:rsidR="00BD68C6" w:rsidRPr="00AC2E7F" w:rsidTr="00AF45D4">
        <w:trPr>
          <w:trHeight w:val="255"/>
          <w:jc w:val="center"/>
        </w:trPr>
        <w:tc>
          <w:tcPr>
            <w:tcW w:w="2500" w:type="dxa"/>
            <w:tcBorders>
              <w:top w:val="nil"/>
              <w:left w:val="single" w:sz="4" w:space="0" w:color="009900"/>
              <w:bottom w:val="nil"/>
              <w:right w:val="nil"/>
            </w:tcBorders>
            <w:shd w:val="clear" w:color="FFFFFF" w:fill="FFFFE1"/>
            <w:vAlign w:val="center"/>
            <w:hideMark/>
          </w:tcPr>
          <w:p w:rsidR="00BD68C6" w:rsidRPr="00AC2E7F" w:rsidRDefault="00BD68C6" w:rsidP="00AF45D4">
            <w:pPr>
              <w:rPr>
                <w:rFonts w:ascii="Arial" w:hAnsi="Arial" w:cs="Arial"/>
                <w:color w:val="000000"/>
                <w:sz w:val="16"/>
                <w:szCs w:val="16"/>
              </w:rPr>
            </w:pPr>
            <w:r w:rsidRPr="00AC2E7F">
              <w:rPr>
                <w:rFonts w:ascii="Arial" w:hAnsi="Arial" w:cs="Arial"/>
                <w:color w:val="000000"/>
                <w:sz w:val="16"/>
                <w:szCs w:val="16"/>
              </w:rPr>
              <w:t>80.1% HAMFI or more</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0</w:t>
            </w:r>
          </w:p>
        </w:tc>
        <w:tc>
          <w:tcPr>
            <w:tcW w:w="1080" w:type="dxa"/>
            <w:tcBorders>
              <w:top w:val="nil"/>
              <w:left w:val="nil"/>
              <w:bottom w:val="nil"/>
              <w:right w:val="single" w:sz="4" w:space="0" w:color="009900"/>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0</w:t>
            </w:r>
          </w:p>
        </w:tc>
      </w:tr>
      <w:tr w:rsidR="00BD68C6" w:rsidRPr="00AC2E7F" w:rsidTr="00AF45D4">
        <w:trPr>
          <w:trHeight w:val="255"/>
          <w:jc w:val="center"/>
        </w:trPr>
        <w:tc>
          <w:tcPr>
            <w:tcW w:w="2500" w:type="dxa"/>
            <w:tcBorders>
              <w:top w:val="dotted" w:sz="4" w:space="0" w:color="009900"/>
              <w:left w:val="single" w:sz="4" w:space="0" w:color="009900"/>
              <w:bottom w:val="single" w:sz="4" w:space="0" w:color="009900"/>
              <w:right w:val="nil"/>
            </w:tcBorders>
            <w:shd w:val="clear" w:color="000000" w:fill="FFFFE1"/>
            <w:noWrap/>
            <w:vAlign w:val="center"/>
            <w:hideMark/>
          </w:tcPr>
          <w:p w:rsidR="00BD68C6" w:rsidRPr="00AC2E7F" w:rsidRDefault="00BD68C6" w:rsidP="00AF45D4">
            <w:pPr>
              <w:rPr>
                <w:rFonts w:ascii="Arial" w:hAnsi="Arial" w:cs="Arial"/>
                <w:sz w:val="16"/>
                <w:szCs w:val="16"/>
              </w:rPr>
            </w:pPr>
            <w:r w:rsidRPr="00AC2E7F">
              <w:rPr>
                <w:rFonts w:ascii="Arial" w:hAnsi="Arial" w:cs="Arial"/>
                <w:sz w:val="16"/>
                <w:szCs w:val="16"/>
              </w:rPr>
              <w:t>Total</w:t>
            </w:r>
          </w:p>
        </w:tc>
        <w:tc>
          <w:tcPr>
            <w:tcW w:w="1080" w:type="dxa"/>
            <w:tcBorders>
              <w:top w:val="dotted" w:sz="4" w:space="0" w:color="009900"/>
              <w:left w:val="nil"/>
              <w:bottom w:val="single" w:sz="4" w:space="0" w:color="009900"/>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250</w:t>
            </w:r>
          </w:p>
        </w:tc>
        <w:tc>
          <w:tcPr>
            <w:tcW w:w="1080" w:type="dxa"/>
            <w:tcBorders>
              <w:top w:val="dotted" w:sz="4" w:space="0" w:color="009900"/>
              <w:left w:val="nil"/>
              <w:bottom w:val="single" w:sz="4" w:space="0" w:color="009900"/>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670</w:t>
            </w:r>
          </w:p>
        </w:tc>
        <w:tc>
          <w:tcPr>
            <w:tcW w:w="1080" w:type="dxa"/>
            <w:tcBorders>
              <w:top w:val="dotted" w:sz="4" w:space="0" w:color="009900"/>
              <w:left w:val="nil"/>
              <w:bottom w:val="single" w:sz="4" w:space="0" w:color="009900"/>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40</w:t>
            </w:r>
          </w:p>
        </w:tc>
        <w:tc>
          <w:tcPr>
            <w:tcW w:w="1080" w:type="dxa"/>
            <w:tcBorders>
              <w:top w:val="dotted" w:sz="4" w:space="0" w:color="009900"/>
              <w:left w:val="nil"/>
              <w:bottom w:val="single" w:sz="4" w:space="0" w:color="009900"/>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765</w:t>
            </w:r>
          </w:p>
        </w:tc>
        <w:tc>
          <w:tcPr>
            <w:tcW w:w="1080" w:type="dxa"/>
            <w:tcBorders>
              <w:top w:val="dotted" w:sz="4" w:space="0" w:color="009900"/>
              <w:left w:val="nil"/>
              <w:bottom w:val="single" w:sz="4" w:space="0" w:color="009900"/>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1,580</w:t>
            </w:r>
          </w:p>
        </w:tc>
        <w:tc>
          <w:tcPr>
            <w:tcW w:w="1080" w:type="dxa"/>
            <w:tcBorders>
              <w:top w:val="dotted" w:sz="4" w:space="0" w:color="009900"/>
              <w:left w:val="nil"/>
              <w:bottom w:val="single" w:sz="4" w:space="0" w:color="009900"/>
              <w:right w:val="single" w:sz="4" w:space="0" w:color="009900"/>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3,305</w:t>
            </w:r>
          </w:p>
        </w:tc>
      </w:tr>
      <w:tr w:rsidR="00BD68C6" w:rsidRPr="00AC2E7F" w:rsidTr="00AF45D4">
        <w:trPr>
          <w:trHeight w:val="255"/>
          <w:jc w:val="center"/>
        </w:trPr>
        <w:tc>
          <w:tcPr>
            <w:tcW w:w="8980" w:type="dxa"/>
            <w:gridSpan w:val="7"/>
            <w:tcBorders>
              <w:top w:val="single" w:sz="4" w:space="0" w:color="009900"/>
              <w:left w:val="single" w:sz="4" w:space="0" w:color="009900"/>
              <w:bottom w:val="single" w:sz="4" w:space="0" w:color="009900"/>
              <w:right w:val="single" w:sz="4" w:space="0" w:color="009900"/>
            </w:tcBorders>
            <w:shd w:val="clear" w:color="000000" w:fill="FFFFE1"/>
            <w:noWrap/>
            <w:vAlign w:val="center"/>
            <w:hideMark/>
          </w:tcPr>
          <w:p w:rsidR="00BD68C6" w:rsidRPr="00AC2E7F" w:rsidRDefault="00BD68C6" w:rsidP="00AF45D4">
            <w:pPr>
              <w:jc w:val="center"/>
              <w:rPr>
                <w:rFonts w:ascii="Arial" w:hAnsi="Arial" w:cs="Arial"/>
                <w:b/>
                <w:bCs/>
                <w:sz w:val="16"/>
                <w:szCs w:val="16"/>
              </w:rPr>
            </w:pPr>
            <w:r w:rsidRPr="00AC2E7F">
              <w:rPr>
                <w:rFonts w:ascii="Arial" w:hAnsi="Arial" w:cs="Arial"/>
                <w:b/>
                <w:bCs/>
                <w:sz w:val="16"/>
                <w:szCs w:val="16"/>
              </w:rPr>
              <w:t>Total</w:t>
            </w:r>
          </w:p>
        </w:tc>
      </w:tr>
      <w:tr w:rsidR="00BD68C6" w:rsidRPr="00AC2E7F" w:rsidTr="00AF45D4">
        <w:trPr>
          <w:trHeight w:val="255"/>
          <w:jc w:val="center"/>
        </w:trPr>
        <w:tc>
          <w:tcPr>
            <w:tcW w:w="2500" w:type="dxa"/>
            <w:tcBorders>
              <w:top w:val="nil"/>
              <w:left w:val="single" w:sz="4" w:space="0" w:color="009900"/>
              <w:bottom w:val="nil"/>
              <w:right w:val="nil"/>
            </w:tcBorders>
            <w:shd w:val="clear" w:color="FFFFFF" w:fill="FFFFE1"/>
            <w:vAlign w:val="center"/>
            <w:hideMark/>
          </w:tcPr>
          <w:p w:rsidR="00BD68C6" w:rsidRPr="00AC2E7F" w:rsidRDefault="00BD68C6" w:rsidP="00AF45D4">
            <w:pPr>
              <w:rPr>
                <w:rFonts w:ascii="Arial" w:hAnsi="Arial" w:cs="Arial"/>
                <w:color w:val="000000"/>
                <w:sz w:val="16"/>
                <w:szCs w:val="16"/>
              </w:rPr>
            </w:pPr>
            <w:r w:rsidRPr="00AC2E7F">
              <w:rPr>
                <w:rFonts w:ascii="Arial" w:hAnsi="Arial" w:cs="Arial"/>
                <w:color w:val="000000"/>
                <w:sz w:val="16"/>
                <w:szCs w:val="16"/>
              </w:rPr>
              <w:t>30% HAMFI or less</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3,950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10,820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2,390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12,140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10,415</w:t>
            </w:r>
          </w:p>
        </w:tc>
        <w:tc>
          <w:tcPr>
            <w:tcW w:w="1080" w:type="dxa"/>
            <w:tcBorders>
              <w:top w:val="nil"/>
              <w:left w:val="nil"/>
              <w:bottom w:val="nil"/>
              <w:right w:val="single" w:sz="4" w:space="0" w:color="009900"/>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39,715</w:t>
            </w:r>
          </w:p>
        </w:tc>
      </w:tr>
      <w:tr w:rsidR="00BD68C6" w:rsidRPr="00AC2E7F" w:rsidTr="00AF45D4">
        <w:trPr>
          <w:trHeight w:val="255"/>
          <w:jc w:val="center"/>
        </w:trPr>
        <w:tc>
          <w:tcPr>
            <w:tcW w:w="2500" w:type="dxa"/>
            <w:tcBorders>
              <w:top w:val="nil"/>
              <w:left w:val="single" w:sz="4" w:space="0" w:color="009900"/>
              <w:bottom w:val="nil"/>
              <w:right w:val="nil"/>
            </w:tcBorders>
            <w:shd w:val="clear" w:color="FFFFFF" w:fill="FFFFE1"/>
            <w:vAlign w:val="center"/>
            <w:hideMark/>
          </w:tcPr>
          <w:p w:rsidR="00BD68C6" w:rsidRPr="00AC2E7F" w:rsidRDefault="00BD68C6" w:rsidP="00AF45D4">
            <w:pPr>
              <w:rPr>
                <w:rFonts w:ascii="Arial" w:hAnsi="Arial" w:cs="Arial"/>
                <w:color w:val="000000"/>
                <w:sz w:val="16"/>
                <w:szCs w:val="16"/>
              </w:rPr>
            </w:pPr>
            <w:r w:rsidRPr="00AC2E7F">
              <w:rPr>
                <w:rFonts w:ascii="Arial" w:hAnsi="Arial" w:cs="Arial"/>
                <w:color w:val="000000"/>
                <w:sz w:val="16"/>
                <w:szCs w:val="16"/>
              </w:rPr>
              <w:t>30.1-50% HAMFI</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9,140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15,270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4,305</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13,705</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7,805</w:t>
            </w:r>
          </w:p>
        </w:tc>
        <w:tc>
          <w:tcPr>
            <w:tcW w:w="1080" w:type="dxa"/>
            <w:tcBorders>
              <w:top w:val="nil"/>
              <w:left w:val="nil"/>
              <w:bottom w:val="nil"/>
              <w:right w:val="single" w:sz="4" w:space="0" w:color="009900"/>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50,225</w:t>
            </w:r>
          </w:p>
        </w:tc>
      </w:tr>
      <w:tr w:rsidR="00BD68C6" w:rsidRPr="00AC2E7F" w:rsidTr="00AF45D4">
        <w:trPr>
          <w:trHeight w:val="255"/>
          <w:jc w:val="center"/>
        </w:trPr>
        <w:tc>
          <w:tcPr>
            <w:tcW w:w="2500" w:type="dxa"/>
            <w:tcBorders>
              <w:top w:val="nil"/>
              <w:left w:val="single" w:sz="4" w:space="0" w:color="009900"/>
              <w:bottom w:val="nil"/>
              <w:right w:val="nil"/>
            </w:tcBorders>
            <w:shd w:val="clear" w:color="FFFFFF" w:fill="FFFFE1"/>
            <w:vAlign w:val="center"/>
            <w:hideMark/>
          </w:tcPr>
          <w:p w:rsidR="00BD68C6" w:rsidRPr="00AC2E7F" w:rsidRDefault="00BD68C6" w:rsidP="00AF45D4">
            <w:pPr>
              <w:rPr>
                <w:rFonts w:ascii="Arial" w:hAnsi="Arial" w:cs="Arial"/>
                <w:color w:val="000000"/>
                <w:sz w:val="16"/>
                <w:szCs w:val="16"/>
              </w:rPr>
            </w:pPr>
            <w:r w:rsidRPr="00AC2E7F">
              <w:rPr>
                <w:rFonts w:ascii="Arial" w:hAnsi="Arial" w:cs="Arial"/>
                <w:color w:val="000000"/>
                <w:sz w:val="16"/>
                <w:szCs w:val="16"/>
              </w:rPr>
              <w:t>50.1-80% HAMFI</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15,180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29,440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8,350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13,995</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12,515</w:t>
            </w:r>
          </w:p>
        </w:tc>
        <w:tc>
          <w:tcPr>
            <w:tcW w:w="1080" w:type="dxa"/>
            <w:tcBorders>
              <w:top w:val="nil"/>
              <w:left w:val="nil"/>
              <w:bottom w:val="nil"/>
              <w:right w:val="single" w:sz="4" w:space="0" w:color="009900"/>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79,480</w:t>
            </w:r>
          </w:p>
        </w:tc>
      </w:tr>
      <w:tr w:rsidR="00BD68C6" w:rsidRPr="00AC2E7F" w:rsidTr="00AF45D4">
        <w:trPr>
          <w:trHeight w:val="255"/>
          <w:jc w:val="center"/>
        </w:trPr>
        <w:tc>
          <w:tcPr>
            <w:tcW w:w="2500" w:type="dxa"/>
            <w:tcBorders>
              <w:top w:val="nil"/>
              <w:left w:val="single" w:sz="4" w:space="0" w:color="009900"/>
              <w:bottom w:val="nil"/>
              <w:right w:val="nil"/>
            </w:tcBorders>
            <w:shd w:val="clear" w:color="FFFFFF" w:fill="FFFFE1"/>
            <w:vAlign w:val="center"/>
            <w:hideMark/>
          </w:tcPr>
          <w:p w:rsidR="00BD68C6" w:rsidRPr="00AC2E7F" w:rsidRDefault="00BD68C6" w:rsidP="00AF45D4">
            <w:pPr>
              <w:rPr>
                <w:rFonts w:ascii="Arial" w:hAnsi="Arial" w:cs="Arial"/>
                <w:color w:val="000000"/>
                <w:sz w:val="16"/>
                <w:szCs w:val="16"/>
              </w:rPr>
            </w:pPr>
            <w:r w:rsidRPr="00AC2E7F">
              <w:rPr>
                <w:rFonts w:ascii="Arial" w:hAnsi="Arial" w:cs="Arial"/>
                <w:color w:val="000000"/>
                <w:sz w:val="16"/>
                <w:szCs w:val="16"/>
              </w:rPr>
              <w:t>80.1% HAMFI or more</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65,290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183,220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31,260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25,970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51,410</w:t>
            </w:r>
          </w:p>
        </w:tc>
        <w:tc>
          <w:tcPr>
            <w:tcW w:w="1080" w:type="dxa"/>
            <w:tcBorders>
              <w:top w:val="nil"/>
              <w:left w:val="nil"/>
              <w:bottom w:val="nil"/>
              <w:right w:val="single" w:sz="4" w:space="0" w:color="009900"/>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357,150</w:t>
            </w:r>
          </w:p>
        </w:tc>
      </w:tr>
      <w:tr w:rsidR="00BD68C6" w:rsidRPr="00AC2E7F" w:rsidTr="00AF45D4">
        <w:trPr>
          <w:trHeight w:val="255"/>
          <w:jc w:val="center"/>
        </w:trPr>
        <w:tc>
          <w:tcPr>
            <w:tcW w:w="2500" w:type="dxa"/>
            <w:tcBorders>
              <w:top w:val="double" w:sz="6" w:space="0" w:color="009900"/>
              <w:left w:val="single" w:sz="4" w:space="0" w:color="009900"/>
              <w:bottom w:val="single" w:sz="4" w:space="0" w:color="009900"/>
              <w:right w:val="nil"/>
            </w:tcBorders>
            <w:shd w:val="clear" w:color="000000" w:fill="FFFFE1"/>
            <w:noWrap/>
            <w:vAlign w:val="center"/>
            <w:hideMark/>
          </w:tcPr>
          <w:p w:rsidR="00BD68C6" w:rsidRPr="00AC2E7F" w:rsidRDefault="00BD68C6" w:rsidP="00AF45D4">
            <w:pPr>
              <w:rPr>
                <w:rFonts w:ascii="Arial" w:hAnsi="Arial" w:cs="Arial"/>
                <w:b/>
                <w:bCs/>
                <w:sz w:val="16"/>
                <w:szCs w:val="16"/>
              </w:rPr>
            </w:pPr>
            <w:r w:rsidRPr="00AC2E7F">
              <w:rPr>
                <w:rFonts w:ascii="Arial" w:hAnsi="Arial" w:cs="Arial"/>
                <w:b/>
                <w:bCs/>
                <w:sz w:val="16"/>
                <w:szCs w:val="16"/>
              </w:rPr>
              <w:t>Total</w:t>
            </w:r>
          </w:p>
        </w:tc>
        <w:tc>
          <w:tcPr>
            <w:tcW w:w="1080" w:type="dxa"/>
            <w:tcBorders>
              <w:top w:val="double" w:sz="6" w:space="0" w:color="009900"/>
              <w:left w:val="nil"/>
              <w:bottom w:val="single" w:sz="4" w:space="0" w:color="009900"/>
              <w:right w:val="nil"/>
            </w:tcBorders>
            <w:shd w:val="clear" w:color="000000" w:fill="FFFFE1"/>
            <w:noWrap/>
            <w:vAlign w:val="center"/>
            <w:hideMark/>
          </w:tcPr>
          <w:p w:rsidR="00BD68C6" w:rsidRPr="00AC2E7F" w:rsidRDefault="00BD68C6" w:rsidP="00AF45D4">
            <w:pPr>
              <w:jc w:val="center"/>
              <w:rPr>
                <w:rFonts w:ascii="Arial" w:hAnsi="Arial" w:cs="Arial"/>
                <w:b/>
                <w:bCs/>
                <w:sz w:val="16"/>
                <w:szCs w:val="16"/>
              </w:rPr>
            </w:pPr>
            <w:r w:rsidRPr="00AC2E7F">
              <w:rPr>
                <w:rFonts w:ascii="Arial" w:hAnsi="Arial" w:cs="Arial"/>
                <w:b/>
                <w:bCs/>
                <w:sz w:val="16"/>
                <w:szCs w:val="16"/>
              </w:rPr>
              <w:t>93,560</w:t>
            </w:r>
          </w:p>
        </w:tc>
        <w:tc>
          <w:tcPr>
            <w:tcW w:w="1080" w:type="dxa"/>
            <w:tcBorders>
              <w:top w:val="double" w:sz="6" w:space="0" w:color="009900"/>
              <w:left w:val="nil"/>
              <w:bottom w:val="single" w:sz="4" w:space="0" w:color="009900"/>
              <w:right w:val="nil"/>
            </w:tcBorders>
            <w:shd w:val="clear" w:color="000000" w:fill="FFFFE1"/>
            <w:noWrap/>
            <w:vAlign w:val="center"/>
            <w:hideMark/>
          </w:tcPr>
          <w:p w:rsidR="00BD68C6" w:rsidRPr="00AC2E7F" w:rsidRDefault="00BD68C6" w:rsidP="00AF45D4">
            <w:pPr>
              <w:jc w:val="center"/>
              <w:rPr>
                <w:rFonts w:ascii="Arial" w:hAnsi="Arial" w:cs="Arial"/>
                <w:b/>
                <w:bCs/>
                <w:sz w:val="16"/>
                <w:szCs w:val="16"/>
              </w:rPr>
            </w:pPr>
            <w:r w:rsidRPr="00AC2E7F">
              <w:rPr>
                <w:rFonts w:ascii="Arial" w:hAnsi="Arial" w:cs="Arial"/>
                <w:b/>
                <w:bCs/>
                <w:sz w:val="16"/>
                <w:szCs w:val="16"/>
              </w:rPr>
              <w:t>238,750</w:t>
            </w:r>
          </w:p>
        </w:tc>
        <w:tc>
          <w:tcPr>
            <w:tcW w:w="1080" w:type="dxa"/>
            <w:tcBorders>
              <w:top w:val="double" w:sz="6" w:space="0" w:color="009900"/>
              <w:left w:val="nil"/>
              <w:bottom w:val="single" w:sz="4" w:space="0" w:color="009900"/>
              <w:right w:val="nil"/>
            </w:tcBorders>
            <w:shd w:val="clear" w:color="000000" w:fill="FFFFE1"/>
            <w:noWrap/>
            <w:vAlign w:val="center"/>
            <w:hideMark/>
          </w:tcPr>
          <w:p w:rsidR="00BD68C6" w:rsidRPr="00AC2E7F" w:rsidRDefault="00BD68C6" w:rsidP="00AF45D4">
            <w:pPr>
              <w:jc w:val="center"/>
              <w:rPr>
                <w:rFonts w:ascii="Arial" w:hAnsi="Arial" w:cs="Arial"/>
                <w:b/>
                <w:bCs/>
                <w:sz w:val="16"/>
                <w:szCs w:val="16"/>
              </w:rPr>
            </w:pPr>
            <w:r w:rsidRPr="00AC2E7F">
              <w:rPr>
                <w:rFonts w:ascii="Arial" w:hAnsi="Arial" w:cs="Arial"/>
                <w:b/>
                <w:bCs/>
                <w:sz w:val="16"/>
                <w:szCs w:val="16"/>
              </w:rPr>
              <w:t>46,305</w:t>
            </w:r>
          </w:p>
        </w:tc>
        <w:tc>
          <w:tcPr>
            <w:tcW w:w="1080" w:type="dxa"/>
            <w:tcBorders>
              <w:top w:val="double" w:sz="6" w:space="0" w:color="009900"/>
              <w:left w:val="nil"/>
              <w:bottom w:val="single" w:sz="4" w:space="0" w:color="009900"/>
              <w:right w:val="nil"/>
            </w:tcBorders>
            <w:shd w:val="clear" w:color="000000" w:fill="FFFFE1"/>
            <w:noWrap/>
            <w:vAlign w:val="center"/>
            <w:hideMark/>
          </w:tcPr>
          <w:p w:rsidR="00BD68C6" w:rsidRPr="00AC2E7F" w:rsidRDefault="00BD68C6" w:rsidP="00AF45D4">
            <w:pPr>
              <w:jc w:val="center"/>
              <w:rPr>
                <w:rFonts w:ascii="Arial" w:hAnsi="Arial" w:cs="Arial"/>
                <w:b/>
                <w:bCs/>
                <w:sz w:val="16"/>
                <w:szCs w:val="16"/>
              </w:rPr>
            </w:pPr>
            <w:r w:rsidRPr="00AC2E7F">
              <w:rPr>
                <w:rFonts w:ascii="Arial" w:hAnsi="Arial" w:cs="Arial"/>
                <w:b/>
                <w:bCs/>
                <w:sz w:val="16"/>
                <w:szCs w:val="16"/>
              </w:rPr>
              <w:t>65,810</w:t>
            </w:r>
          </w:p>
        </w:tc>
        <w:tc>
          <w:tcPr>
            <w:tcW w:w="1080" w:type="dxa"/>
            <w:tcBorders>
              <w:top w:val="double" w:sz="6" w:space="0" w:color="009900"/>
              <w:left w:val="nil"/>
              <w:bottom w:val="single" w:sz="4" w:space="0" w:color="009900"/>
              <w:right w:val="nil"/>
            </w:tcBorders>
            <w:shd w:val="clear" w:color="000000" w:fill="FFFFE1"/>
            <w:noWrap/>
            <w:vAlign w:val="center"/>
            <w:hideMark/>
          </w:tcPr>
          <w:p w:rsidR="00BD68C6" w:rsidRPr="00AC2E7F" w:rsidRDefault="00BD68C6" w:rsidP="00AF45D4">
            <w:pPr>
              <w:jc w:val="center"/>
              <w:rPr>
                <w:rFonts w:ascii="Arial" w:hAnsi="Arial" w:cs="Arial"/>
                <w:b/>
                <w:bCs/>
                <w:sz w:val="16"/>
                <w:szCs w:val="16"/>
              </w:rPr>
            </w:pPr>
            <w:r w:rsidRPr="00AC2E7F">
              <w:rPr>
                <w:rFonts w:ascii="Arial" w:hAnsi="Arial" w:cs="Arial"/>
                <w:b/>
                <w:bCs/>
                <w:sz w:val="16"/>
                <w:szCs w:val="16"/>
              </w:rPr>
              <w:t>82,145</w:t>
            </w:r>
          </w:p>
        </w:tc>
        <w:tc>
          <w:tcPr>
            <w:tcW w:w="1080" w:type="dxa"/>
            <w:tcBorders>
              <w:top w:val="double" w:sz="6" w:space="0" w:color="009900"/>
              <w:left w:val="nil"/>
              <w:bottom w:val="single" w:sz="4" w:space="0" w:color="009900"/>
              <w:right w:val="single" w:sz="4" w:space="0" w:color="009900"/>
            </w:tcBorders>
            <w:shd w:val="clear" w:color="000000" w:fill="FFFFE1"/>
            <w:noWrap/>
            <w:vAlign w:val="center"/>
            <w:hideMark/>
          </w:tcPr>
          <w:p w:rsidR="00BD68C6" w:rsidRPr="00AC2E7F" w:rsidRDefault="00BD68C6" w:rsidP="00AF45D4">
            <w:pPr>
              <w:jc w:val="center"/>
              <w:rPr>
                <w:rFonts w:ascii="Arial" w:hAnsi="Arial" w:cs="Arial"/>
                <w:b/>
                <w:bCs/>
                <w:sz w:val="16"/>
                <w:szCs w:val="16"/>
              </w:rPr>
            </w:pPr>
            <w:r w:rsidRPr="00AC2E7F">
              <w:rPr>
                <w:rFonts w:ascii="Arial" w:hAnsi="Arial" w:cs="Arial"/>
                <w:b/>
                <w:bCs/>
                <w:sz w:val="16"/>
                <w:szCs w:val="16"/>
              </w:rPr>
              <w:t>526,570</w:t>
            </w:r>
          </w:p>
        </w:tc>
      </w:tr>
    </w:tbl>
    <w:p w:rsidR="00BD68C6" w:rsidRDefault="00BD68C6" w:rsidP="00BD68C6">
      <w:pPr>
        <w:jc w:val="both"/>
        <w:rPr>
          <w:rFonts w:ascii="CG Omega" w:hAnsi="CG Omega" w:cs="Arial"/>
          <w:bCs/>
        </w:rPr>
      </w:pPr>
    </w:p>
    <w:p w:rsidR="005F3668" w:rsidRDefault="005F3668" w:rsidP="00BD68C6">
      <w:pPr>
        <w:jc w:val="both"/>
        <w:rPr>
          <w:rFonts w:ascii="CG Omega" w:hAnsi="CG Omega" w:cs="Arial"/>
          <w:bCs/>
        </w:rPr>
      </w:pPr>
    </w:p>
    <w:p w:rsidR="00BD68C6" w:rsidRPr="00432D2C" w:rsidRDefault="00BD68C6" w:rsidP="00BD68C6">
      <w:pPr>
        <w:jc w:val="both"/>
        <w:rPr>
          <w:rFonts w:ascii="CG Omega" w:hAnsi="CG Omega" w:cs="Arial"/>
          <w:bCs/>
        </w:rPr>
      </w:pPr>
      <w:r w:rsidRPr="009E7733">
        <w:rPr>
          <w:rFonts w:ascii="CG Omega" w:hAnsi="CG Omega" w:cs="Arial"/>
          <w:bCs/>
        </w:rPr>
        <w:t>Table IV.1</w:t>
      </w:r>
      <w:r>
        <w:rPr>
          <w:rFonts w:ascii="CG Omega" w:hAnsi="CG Omega" w:cs="Arial"/>
          <w:bCs/>
        </w:rPr>
        <w:t>3</w:t>
      </w:r>
      <w:r w:rsidRPr="009E7733">
        <w:rPr>
          <w:rFonts w:ascii="CG Omega" w:hAnsi="CG Omega" w:cs="Arial"/>
          <w:bCs/>
        </w:rPr>
        <w:t>,</w:t>
      </w:r>
      <w:r>
        <w:rPr>
          <w:rFonts w:ascii="CG Omega" w:hAnsi="CG Omega" w:cs="Arial"/>
          <w:bCs/>
        </w:rPr>
        <w:t xml:space="preserve"> on the following page, displays renter occupied households with housing problems.  In this group, there are 101,985 households with housing problems. Large families had the highest rate of housing problems with 61.7 percent having a housing problem. The average for all renter occupied households is 44.4 percent. 74.0 percent of households below 30 percent median family income have a housing problem. 75.1 percent of household between 30.01 and 50 percent median family income have housing problems, and 45.7 percent of households between 50.01 and 80 percent median family income have housing problems. There were 92,045 </w:t>
      </w:r>
      <w:r w:rsidR="00BB2854">
        <w:rPr>
          <w:rFonts w:ascii="CG Omega" w:hAnsi="CG Omega" w:cs="Arial"/>
          <w:bCs/>
        </w:rPr>
        <w:t>renter occupied</w:t>
      </w:r>
      <w:r>
        <w:rPr>
          <w:rFonts w:ascii="CG Omega" w:hAnsi="CG Omega" w:cs="Arial"/>
          <w:bCs/>
        </w:rPr>
        <w:t xml:space="preserve"> households with housing problems at or below 80 percent MFI in the state during this time.  </w:t>
      </w:r>
    </w:p>
    <w:p w:rsidR="00BD68C6" w:rsidRDefault="00BD68C6" w:rsidP="00BD68C6"/>
    <w:p w:rsidR="00BD68C6" w:rsidRPr="00AC2E7F" w:rsidRDefault="00BD68C6" w:rsidP="00BD68C6">
      <w:pPr>
        <w:jc w:val="center"/>
        <w:rPr>
          <w:rFonts w:ascii="Arial" w:hAnsi="Arial" w:cs="Arial"/>
          <w:b/>
          <w:bCs/>
        </w:rPr>
      </w:pPr>
      <w:r w:rsidRPr="009E7733">
        <w:rPr>
          <w:rFonts w:ascii="Arial" w:hAnsi="Arial" w:cs="Arial"/>
          <w:b/>
          <w:bCs/>
        </w:rPr>
        <w:t>Table IV.</w:t>
      </w:r>
      <w:r>
        <w:rPr>
          <w:rFonts w:ascii="Arial" w:hAnsi="Arial" w:cs="Arial"/>
          <w:b/>
          <w:bCs/>
        </w:rPr>
        <w:t>13</w:t>
      </w:r>
    </w:p>
    <w:p w:rsidR="00BD68C6" w:rsidRPr="00AC2E7F" w:rsidRDefault="00BD68C6" w:rsidP="00BD68C6">
      <w:pPr>
        <w:jc w:val="center"/>
        <w:rPr>
          <w:rFonts w:ascii="Arial" w:hAnsi="Arial" w:cs="Arial"/>
          <w:b/>
          <w:bCs/>
          <w:sz w:val="20"/>
          <w:szCs w:val="20"/>
        </w:rPr>
      </w:pPr>
      <w:r w:rsidRPr="00AC2E7F">
        <w:rPr>
          <w:rFonts w:ascii="Arial" w:hAnsi="Arial" w:cs="Arial"/>
          <w:b/>
          <w:bCs/>
          <w:sz w:val="20"/>
          <w:szCs w:val="20"/>
        </w:rPr>
        <w:t>Renter-Occupied Households by Income and Family Status</w:t>
      </w:r>
    </w:p>
    <w:p w:rsidR="00BD68C6" w:rsidRPr="00AC2E7F" w:rsidRDefault="00BD68C6" w:rsidP="00BD68C6">
      <w:pPr>
        <w:jc w:val="center"/>
        <w:rPr>
          <w:rFonts w:ascii="Arial" w:hAnsi="Arial" w:cs="Arial"/>
          <w:sz w:val="16"/>
          <w:szCs w:val="16"/>
        </w:rPr>
      </w:pPr>
      <w:r w:rsidRPr="00AC2E7F">
        <w:rPr>
          <w:rFonts w:ascii="Arial" w:hAnsi="Arial" w:cs="Arial"/>
          <w:sz w:val="16"/>
          <w:szCs w:val="16"/>
        </w:rPr>
        <w:t>State of New Mexico</w:t>
      </w:r>
    </w:p>
    <w:p w:rsidR="00BD68C6" w:rsidRDefault="00BD68C6" w:rsidP="00BD68C6">
      <w:pPr>
        <w:jc w:val="center"/>
        <w:rPr>
          <w:rFonts w:ascii="Arial" w:hAnsi="Arial" w:cs="Arial"/>
          <w:sz w:val="16"/>
          <w:szCs w:val="16"/>
        </w:rPr>
      </w:pPr>
      <w:r w:rsidRPr="00AC2E7F">
        <w:rPr>
          <w:rFonts w:ascii="Arial" w:hAnsi="Arial" w:cs="Arial"/>
          <w:sz w:val="16"/>
          <w:szCs w:val="16"/>
        </w:rPr>
        <w:t>2006–2010 HUD CHAS Data</w:t>
      </w:r>
    </w:p>
    <w:tbl>
      <w:tblPr>
        <w:tblW w:w="8980" w:type="dxa"/>
        <w:jc w:val="center"/>
        <w:tblLook w:val="04A0" w:firstRow="1" w:lastRow="0" w:firstColumn="1" w:lastColumn="0" w:noHBand="0" w:noVBand="1"/>
      </w:tblPr>
      <w:tblGrid>
        <w:gridCol w:w="2500"/>
        <w:gridCol w:w="1080"/>
        <w:gridCol w:w="1080"/>
        <w:gridCol w:w="1080"/>
        <w:gridCol w:w="1080"/>
        <w:gridCol w:w="1080"/>
        <w:gridCol w:w="1080"/>
      </w:tblGrid>
      <w:tr w:rsidR="00BD68C6" w:rsidRPr="00AC2E7F" w:rsidTr="00AF45D4">
        <w:trPr>
          <w:trHeight w:val="450"/>
          <w:jc w:val="center"/>
        </w:trPr>
        <w:tc>
          <w:tcPr>
            <w:tcW w:w="2500" w:type="dxa"/>
            <w:tcBorders>
              <w:top w:val="single" w:sz="4" w:space="0" w:color="009900"/>
              <w:left w:val="single" w:sz="4" w:space="0" w:color="009900"/>
              <w:bottom w:val="single" w:sz="4" w:space="0" w:color="009900"/>
              <w:right w:val="nil"/>
            </w:tcBorders>
            <w:shd w:val="clear" w:color="000000" w:fill="FFFFE1"/>
            <w:vAlign w:val="center"/>
            <w:hideMark/>
          </w:tcPr>
          <w:p w:rsidR="00BD68C6" w:rsidRPr="00AC2E7F" w:rsidRDefault="00BD68C6" w:rsidP="00AF45D4">
            <w:pPr>
              <w:rPr>
                <w:rFonts w:ascii="Arial" w:hAnsi="Arial" w:cs="Arial"/>
                <w:b/>
                <w:bCs/>
                <w:sz w:val="16"/>
                <w:szCs w:val="16"/>
              </w:rPr>
            </w:pPr>
            <w:r w:rsidRPr="00AC2E7F">
              <w:rPr>
                <w:rFonts w:ascii="Arial" w:hAnsi="Arial" w:cs="Arial"/>
                <w:b/>
                <w:bCs/>
                <w:sz w:val="16"/>
                <w:szCs w:val="16"/>
              </w:rPr>
              <w:t>Income</w:t>
            </w:r>
          </w:p>
        </w:tc>
        <w:tc>
          <w:tcPr>
            <w:tcW w:w="1080" w:type="dxa"/>
            <w:tcBorders>
              <w:top w:val="single" w:sz="4" w:space="0" w:color="009900"/>
              <w:left w:val="nil"/>
              <w:bottom w:val="single" w:sz="4" w:space="0" w:color="009900"/>
              <w:right w:val="nil"/>
            </w:tcBorders>
            <w:shd w:val="clear" w:color="FFFFFF" w:fill="FFFFE1"/>
            <w:vAlign w:val="center"/>
            <w:hideMark/>
          </w:tcPr>
          <w:p w:rsidR="00BD68C6" w:rsidRPr="00AC2E7F" w:rsidRDefault="00BD68C6" w:rsidP="00AF45D4">
            <w:pPr>
              <w:jc w:val="center"/>
              <w:rPr>
                <w:rFonts w:ascii="Arial" w:hAnsi="Arial" w:cs="Arial"/>
                <w:b/>
                <w:bCs/>
                <w:color w:val="000000"/>
                <w:sz w:val="16"/>
                <w:szCs w:val="16"/>
              </w:rPr>
            </w:pPr>
            <w:r w:rsidRPr="00AC2E7F">
              <w:rPr>
                <w:rFonts w:ascii="Arial" w:hAnsi="Arial" w:cs="Arial"/>
                <w:b/>
                <w:bCs/>
                <w:color w:val="000000"/>
                <w:sz w:val="16"/>
                <w:szCs w:val="16"/>
              </w:rPr>
              <w:t>Elderly Family</w:t>
            </w:r>
          </w:p>
        </w:tc>
        <w:tc>
          <w:tcPr>
            <w:tcW w:w="1080" w:type="dxa"/>
            <w:tcBorders>
              <w:top w:val="single" w:sz="4" w:space="0" w:color="009900"/>
              <w:left w:val="nil"/>
              <w:bottom w:val="single" w:sz="4" w:space="0" w:color="009900"/>
              <w:right w:val="nil"/>
            </w:tcBorders>
            <w:shd w:val="clear" w:color="FFFFFF" w:fill="FFFFE1"/>
            <w:vAlign w:val="center"/>
            <w:hideMark/>
          </w:tcPr>
          <w:p w:rsidR="00BD68C6" w:rsidRPr="00AC2E7F" w:rsidRDefault="00BD68C6" w:rsidP="00AF45D4">
            <w:pPr>
              <w:jc w:val="center"/>
              <w:rPr>
                <w:rFonts w:ascii="Arial" w:hAnsi="Arial" w:cs="Arial"/>
                <w:b/>
                <w:bCs/>
                <w:color w:val="000000"/>
                <w:sz w:val="16"/>
                <w:szCs w:val="16"/>
              </w:rPr>
            </w:pPr>
            <w:r w:rsidRPr="00AC2E7F">
              <w:rPr>
                <w:rFonts w:ascii="Arial" w:hAnsi="Arial" w:cs="Arial"/>
                <w:b/>
                <w:bCs/>
                <w:color w:val="000000"/>
                <w:sz w:val="16"/>
                <w:szCs w:val="16"/>
              </w:rPr>
              <w:t>Small Family</w:t>
            </w:r>
          </w:p>
        </w:tc>
        <w:tc>
          <w:tcPr>
            <w:tcW w:w="1080" w:type="dxa"/>
            <w:tcBorders>
              <w:top w:val="single" w:sz="4" w:space="0" w:color="009900"/>
              <w:left w:val="nil"/>
              <w:bottom w:val="single" w:sz="4" w:space="0" w:color="009900"/>
              <w:right w:val="nil"/>
            </w:tcBorders>
            <w:shd w:val="clear" w:color="FFFFFF" w:fill="FFFFE1"/>
            <w:vAlign w:val="center"/>
            <w:hideMark/>
          </w:tcPr>
          <w:p w:rsidR="00BD68C6" w:rsidRPr="00AC2E7F" w:rsidRDefault="00BD68C6" w:rsidP="00AF45D4">
            <w:pPr>
              <w:jc w:val="center"/>
              <w:rPr>
                <w:rFonts w:ascii="Arial" w:hAnsi="Arial" w:cs="Arial"/>
                <w:b/>
                <w:bCs/>
                <w:color w:val="000000"/>
                <w:sz w:val="16"/>
                <w:szCs w:val="16"/>
              </w:rPr>
            </w:pPr>
            <w:r w:rsidRPr="00AC2E7F">
              <w:rPr>
                <w:rFonts w:ascii="Arial" w:hAnsi="Arial" w:cs="Arial"/>
                <w:b/>
                <w:bCs/>
                <w:color w:val="000000"/>
                <w:sz w:val="16"/>
                <w:szCs w:val="16"/>
              </w:rPr>
              <w:t>Large Family</w:t>
            </w:r>
          </w:p>
        </w:tc>
        <w:tc>
          <w:tcPr>
            <w:tcW w:w="1080" w:type="dxa"/>
            <w:tcBorders>
              <w:top w:val="single" w:sz="4" w:space="0" w:color="009900"/>
              <w:left w:val="nil"/>
              <w:bottom w:val="single" w:sz="4" w:space="0" w:color="009900"/>
              <w:right w:val="nil"/>
            </w:tcBorders>
            <w:shd w:val="clear" w:color="FFFFFF" w:fill="FFFFE1"/>
            <w:vAlign w:val="center"/>
            <w:hideMark/>
          </w:tcPr>
          <w:p w:rsidR="00BD68C6" w:rsidRPr="00AC2E7F" w:rsidRDefault="00BD68C6" w:rsidP="00AF45D4">
            <w:pPr>
              <w:jc w:val="center"/>
              <w:rPr>
                <w:rFonts w:ascii="Arial" w:hAnsi="Arial" w:cs="Arial"/>
                <w:b/>
                <w:bCs/>
                <w:color w:val="000000"/>
                <w:sz w:val="16"/>
                <w:szCs w:val="16"/>
              </w:rPr>
            </w:pPr>
            <w:r w:rsidRPr="00AC2E7F">
              <w:rPr>
                <w:rFonts w:ascii="Arial" w:hAnsi="Arial" w:cs="Arial"/>
                <w:b/>
                <w:bCs/>
                <w:color w:val="000000"/>
                <w:sz w:val="16"/>
                <w:szCs w:val="16"/>
              </w:rPr>
              <w:t>Elderly Non-Family</w:t>
            </w:r>
          </w:p>
        </w:tc>
        <w:tc>
          <w:tcPr>
            <w:tcW w:w="1080" w:type="dxa"/>
            <w:tcBorders>
              <w:top w:val="single" w:sz="4" w:space="0" w:color="009900"/>
              <w:left w:val="nil"/>
              <w:bottom w:val="single" w:sz="4" w:space="0" w:color="009900"/>
              <w:right w:val="nil"/>
            </w:tcBorders>
            <w:shd w:val="clear" w:color="FFFFFF" w:fill="FFFFE1"/>
            <w:vAlign w:val="center"/>
            <w:hideMark/>
          </w:tcPr>
          <w:p w:rsidR="00BD68C6" w:rsidRPr="00AC2E7F" w:rsidRDefault="00BD68C6" w:rsidP="00AF45D4">
            <w:pPr>
              <w:jc w:val="center"/>
              <w:rPr>
                <w:rFonts w:ascii="Arial" w:hAnsi="Arial" w:cs="Arial"/>
                <w:b/>
                <w:bCs/>
                <w:color w:val="000000"/>
                <w:sz w:val="16"/>
                <w:szCs w:val="16"/>
              </w:rPr>
            </w:pPr>
            <w:r w:rsidRPr="00AC2E7F">
              <w:rPr>
                <w:rFonts w:ascii="Arial" w:hAnsi="Arial" w:cs="Arial"/>
                <w:b/>
                <w:bCs/>
                <w:color w:val="000000"/>
                <w:sz w:val="16"/>
                <w:szCs w:val="16"/>
              </w:rPr>
              <w:t>Other Household</w:t>
            </w:r>
          </w:p>
        </w:tc>
        <w:tc>
          <w:tcPr>
            <w:tcW w:w="1080" w:type="dxa"/>
            <w:tcBorders>
              <w:top w:val="single" w:sz="4" w:space="0" w:color="009900"/>
              <w:left w:val="nil"/>
              <w:bottom w:val="single" w:sz="4" w:space="0" w:color="009900"/>
              <w:right w:val="single" w:sz="4" w:space="0" w:color="009900"/>
            </w:tcBorders>
            <w:shd w:val="clear" w:color="FFFFFF" w:fill="FFFFE1"/>
            <w:vAlign w:val="center"/>
            <w:hideMark/>
          </w:tcPr>
          <w:p w:rsidR="00BD68C6" w:rsidRPr="00AC2E7F" w:rsidRDefault="00BD68C6" w:rsidP="00AF45D4">
            <w:pPr>
              <w:jc w:val="center"/>
              <w:rPr>
                <w:rFonts w:ascii="Arial" w:hAnsi="Arial" w:cs="Arial"/>
                <w:b/>
                <w:bCs/>
                <w:color w:val="000000"/>
                <w:sz w:val="16"/>
                <w:szCs w:val="16"/>
              </w:rPr>
            </w:pPr>
            <w:r w:rsidRPr="00AC2E7F">
              <w:rPr>
                <w:rFonts w:ascii="Arial" w:hAnsi="Arial" w:cs="Arial"/>
                <w:b/>
                <w:bCs/>
                <w:color w:val="000000"/>
                <w:sz w:val="16"/>
                <w:szCs w:val="16"/>
              </w:rPr>
              <w:t>Total</w:t>
            </w:r>
          </w:p>
        </w:tc>
      </w:tr>
      <w:tr w:rsidR="00BD68C6" w:rsidRPr="00AC2E7F" w:rsidTr="00AF45D4">
        <w:trPr>
          <w:trHeight w:val="285"/>
          <w:jc w:val="center"/>
        </w:trPr>
        <w:tc>
          <w:tcPr>
            <w:tcW w:w="8980" w:type="dxa"/>
            <w:gridSpan w:val="7"/>
            <w:tcBorders>
              <w:top w:val="single" w:sz="4" w:space="0" w:color="009900"/>
              <w:left w:val="single" w:sz="4" w:space="0" w:color="009900"/>
              <w:bottom w:val="single" w:sz="4" w:space="0" w:color="009900"/>
              <w:right w:val="single" w:sz="4" w:space="0" w:color="009900"/>
            </w:tcBorders>
            <w:shd w:val="clear" w:color="000000" w:fill="FFFFE1"/>
            <w:noWrap/>
            <w:vAlign w:val="center"/>
            <w:hideMark/>
          </w:tcPr>
          <w:p w:rsidR="00BD68C6" w:rsidRPr="00AC2E7F" w:rsidRDefault="00BD68C6" w:rsidP="00AF45D4">
            <w:pPr>
              <w:jc w:val="center"/>
              <w:rPr>
                <w:rFonts w:ascii="Arial" w:hAnsi="Arial" w:cs="Arial"/>
                <w:b/>
                <w:bCs/>
                <w:sz w:val="16"/>
                <w:szCs w:val="16"/>
              </w:rPr>
            </w:pPr>
            <w:r w:rsidRPr="00AC2E7F">
              <w:rPr>
                <w:rFonts w:ascii="Arial" w:hAnsi="Arial" w:cs="Arial"/>
                <w:b/>
                <w:bCs/>
                <w:sz w:val="16"/>
                <w:szCs w:val="16"/>
              </w:rPr>
              <w:t>Housing Problem</w:t>
            </w:r>
            <w:r>
              <w:rPr>
                <w:rFonts w:ascii="Arial" w:hAnsi="Arial" w:cs="Arial"/>
                <w:b/>
                <w:bCs/>
                <w:sz w:val="16"/>
                <w:szCs w:val="16"/>
              </w:rPr>
              <w:t>s</w:t>
            </w:r>
          </w:p>
        </w:tc>
      </w:tr>
      <w:tr w:rsidR="00BD68C6" w:rsidRPr="00AC2E7F" w:rsidTr="00AF45D4">
        <w:trPr>
          <w:trHeight w:val="255"/>
          <w:jc w:val="center"/>
        </w:trPr>
        <w:tc>
          <w:tcPr>
            <w:tcW w:w="2500" w:type="dxa"/>
            <w:tcBorders>
              <w:top w:val="nil"/>
              <w:left w:val="single" w:sz="4" w:space="0" w:color="009900"/>
              <w:bottom w:val="nil"/>
              <w:right w:val="nil"/>
            </w:tcBorders>
            <w:shd w:val="clear" w:color="FFFFFF" w:fill="FFFFE1"/>
            <w:vAlign w:val="center"/>
            <w:hideMark/>
          </w:tcPr>
          <w:p w:rsidR="00BD68C6" w:rsidRPr="00AC2E7F" w:rsidRDefault="00BD68C6" w:rsidP="00AF45D4">
            <w:pPr>
              <w:rPr>
                <w:rFonts w:ascii="Arial" w:hAnsi="Arial" w:cs="Arial"/>
                <w:color w:val="000000"/>
                <w:sz w:val="16"/>
                <w:szCs w:val="16"/>
              </w:rPr>
            </w:pPr>
            <w:r w:rsidRPr="00AC2E7F">
              <w:rPr>
                <w:rFonts w:ascii="Arial" w:hAnsi="Arial" w:cs="Arial"/>
                <w:color w:val="000000"/>
                <w:sz w:val="16"/>
                <w:szCs w:val="16"/>
              </w:rPr>
              <w:t>30% HAMFI or less</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595</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14,975</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3,835</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5,030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15,435</w:t>
            </w:r>
          </w:p>
        </w:tc>
        <w:tc>
          <w:tcPr>
            <w:tcW w:w="1080" w:type="dxa"/>
            <w:tcBorders>
              <w:top w:val="nil"/>
              <w:left w:val="nil"/>
              <w:bottom w:val="nil"/>
              <w:right w:val="single" w:sz="4" w:space="0" w:color="009900"/>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39,870</w:t>
            </w:r>
          </w:p>
        </w:tc>
      </w:tr>
      <w:tr w:rsidR="00BD68C6" w:rsidRPr="00AC2E7F" w:rsidTr="00AF45D4">
        <w:trPr>
          <w:trHeight w:val="255"/>
          <w:jc w:val="center"/>
        </w:trPr>
        <w:tc>
          <w:tcPr>
            <w:tcW w:w="2500" w:type="dxa"/>
            <w:tcBorders>
              <w:top w:val="nil"/>
              <w:left w:val="single" w:sz="4" w:space="0" w:color="009900"/>
              <w:bottom w:val="nil"/>
              <w:right w:val="nil"/>
            </w:tcBorders>
            <w:shd w:val="clear" w:color="FFFFFF" w:fill="FFFFE1"/>
            <w:vAlign w:val="center"/>
            <w:hideMark/>
          </w:tcPr>
          <w:p w:rsidR="00BD68C6" w:rsidRPr="00AC2E7F" w:rsidRDefault="00BD68C6" w:rsidP="00AF45D4">
            <w:pPr>
              <w:rPr>
                <w:rFonts w:ascii="Arial" w:hAnsi="Arial" w:cs="Arial"/>
                <w:color w:val="000000"/>
                <w:sz w:val="16"/>
                <w:szCs w:val="16"/>
              </w:rPr>
            </w:pPr>
            <w:r w:rsidRPr="00AC2E7F">
              <w:rPr>
                <w:rFonts w:ascii="Arial" w:hAnsi="Arial" w:cs="Arial"/>
                <w:color w:val="000000"/>
                <w:sz w:val="16"/>
                <w:szCs w:val="16"/>
              </w:rPr>
              <w:t>30.1-50% HAMFI</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745</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12,275</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2,605</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3,215</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11,090</w:t>
            </w:r>
          </w:p>
        </w:tc>
        <w:tc>
          <w:tcPr>
            <w:tcW w:w="1080" w:type="dxa"/>
            <w:tcBorders>
              <w:top w:val="nil"/>
              <w:left w:val="nil"/>
              <w:bottom w:val="nil"/>
              <w:right w:val="single" w:sz="4" w:space="0" w:color="009900"/>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29,930</w:t>
            </w:r>
          </w:p>
        </w:tc>
      </w:tr>
      <w:tr w:rsidR="00BD68C6" w:rsidRPr="00AC2E7F" w:rsidTr="00AF45D4">
        <w:trPr>
          <w:trHeight w:val="255"/>
          <w:jc w:val="center"/>
        </w:trPr>
        <w:tc>
          <w:tcPr>
            <w:tcW w:w="2500" w:type="dxa"/>
            <w:tcBorders>
              <w:top w:val="nil"/>
              <w:left w:val="single" w:sz="4" w:space="0" w:color="009900"/>
              <w:bottom w:val="nil"/>
              <w:right w:val="nil"/>
            </w:tcBorders>
            <w:shd w:val="clear" w:color="FFFFFF" w:fill="FFFFE1"/>
            <w:vAlign w:val="center"/>
            <w:hideMark/>
          </w:tcPr>
          <w:p w:rsidR="00BD68C6" w:rsidRPr="00AC2E7F" w:rsidRDefault="00BD68C6" w:rsidP="00AF45D4">
            <w:pPr>
              <w:rPr>
                <w:rFonts w:ascii="Arial" w:hAnsi="Arial" w:cs="Arial"/>
                <w:color w:val="000000"/>
                <w:sz w:val="16"/>
                <w:szCs w:val="16"/>
              </w:rPr>
            </w:pPr>
            <w:r w:rsidRPr="00AC2E7F">
              <w:rPr>
                <w:rFonts w:ascii="Arial" w:hAnsi="Arial" w:cs="Arial"/>
                <w:color w:val="000000"/>
                <w:sz w:val="16"/>
                <w:szCs w:val="16"/>
              </w:rPr>
              <w:t>50.1-80% HAMFI</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955</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8,525</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2,480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2,155</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8,130</w:t>
            </w:r>
          </w:p>
        </w:tc>
        <w:tc>
          <w:tcPr>
            <w:tcW w:w="1080" w:type="dxa"/>
            <w:tcBorders>
              <w:top w:val="nil"/>
              <w:left w:val="nil"/>
              <w:bottom w:val="nil"/>
              <w:right w:val="single" w:sz="4" w:space="0" w:color="009900"/>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22,245</w:t>
            </w:r>
          </w:p>
        </w:tc>
      </w:tr>
      <w:tr w:rsidR="00BD68C6" w:rsidRPr="00AC2E7F" w:rsidTr="00AF45D4">
        <w:trPr>
          <w:trHeight w:val="255"/>
          <w:jc w:val="center"/>
        </w:trPr>
        <w:tc>
          <w:tcPr>
            <w:tcW w:w="2500" w:type="dxa"/>
            <w:tcBorders>
              <w:top w:val="nil"/>
              <w:left w:val="single" w:sz="4" w:space="0" w:color="009900"/>
              <w:bottom w:val="nil"/>
              <w:right w:val="nil"/>
            </w:tcBorders>
            <w:shd w:val="clear" w:color="FFFFFF" w:fill="FFFFE1"/>
            <w:vAlign w:val="center"/>
            <w:hideMark/>
          </w:tcPr>
          <w:p w:rsidR="00BD68C6" w:rsidRPr="00AC2E7F" w:rsidRDefault="00BD68C6" w:rsidP="00AF45D4">
            <w:pPr>
              <w:rPr>
                <w:rFonts w:ascii="Arial" w:hAnsi="Arial" w:cs="Arial"/>
                <w:color w:val="000000"/>
                <w:sz w:val="16"/>
                <w:szCs w:val="16"/>
              </w:rPr>
            </w:pPr>
            <w:r w:rsidRPr="00AC2E7F">
              <w:rPr>
                <w:rFonts w:ascii="Arial" w:hAnsi="Arial" w:cs="Arial"/>
                <w:color w:val="000000"/>
                <w:sz w:val="16"/>
                <w:szCs w:val="16"/>
              </w:rPr>
              <w:t>80.1% HAMFI or more</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515</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2,800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2,325</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1,235</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3,065</w:t>
            </w:r>
          </w:p>
        </w:tc>
        <w:tc>
          <w:tcPr>
            <w:tcW w:w="1080" w:type="dxa"/>
            <w:tcBorders>
              <w:top w:val="nil"/>
              <w:left w:val="nil"/>
              <w:bottom w:val="nil"/>
              <w:right w:val="single" w:sz="4" w:space="0" w:color="009900"/>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9,940</w:t>
            </w:r>
          </w:p>
        </w:tc>
      </w:tr>
      <w:tr w:rsidR="00BD68C6" w:rsidRPr="00AC2E7F" w:rsidTr="00AF45D4">
        <w:trPr>
          <w:trHeight w:val="255"/>
          <w:jc w:val="center"/>
        </w:trPr>
        <w:tc>
          <w:tcPr>
            <w:tcW w:w="2500" w:type="dxa"/>
            <w:tcBorders>
              <w:top w:val="dotted" w:sz="4" w:space="0" w:color="009900"/>
              <w:left w:val="single" w:sz="4" w:space="0" w:color="009900"/>
              <w:bottom w:val="single" w:sz="4" w:space="0" w:color="009900"/>
              <w:right w:val="nil"/>
            </w:tcBorders>
            <w:shd w:val="clear" w:color="000000" w:fill="FFFFE1"/>
            <w:noWrap/>
            <w:vAlign w:val="center"/>
            <w:hideMark/>
          </w:tcPr>
          <w:p w:rsidR="00BD68C6" w:rsidRPr="00AC2E7F" w:rsidRDefault="00BD68C6" w:rsidP="00AF45D4">
            <w:pPr>
              <w:rPr>
                <w:rFonts w:ascii="Arial" w:hAnsi="Arial" w:cs="Arial"/>
                <w:sz w:val="16"/>
                <w:szCs w:val="16"/>
              </w:rPr>
            </w:pPr>
            <w:r w:rsidRPr="00AC2E7F">
              <w:rPr>
                <w:rFonts w:ascii="Arial" w:hAnsi="Arial" w:cs="Arial"/>
                <w:sz w:val="16"/>
                <w:szCs w:val="16"/>
              </w:rPr>
              <w:t>Total</w:t>
            </w:r>
          </w:p>
        </w:tc>
        <w:tc>
          <w:tcPr>
            <w:tcW w:w="1080" w:type="dxa"/>
            <w:tcBorders>
              <w:top w:val="dotted" w:sz="4" w:space="0" w:color="009900"/>
              <w:left w:val="nil"/>
              <w:bottom w:val="single" w:sz="4" w:space="0" w:color="009900"/>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2,810</w:t>
            </w:r>
          </w:p>
        </w:tc>
        <w:tc>
          <w:tcPr>
            <w:tcW w:w="1080" w:type="dxa"/>
            <w:tcBorders>
              <w:top w:val="dotted" w:sz="4" w:space="0" w:color="009900"/>
              <w:left w:val="nil"/>
              <w:bottom w:val="single" w:sz="4" w:space="0" w:color="009900"/>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38,575</w:t>
            </w:r>
          </w:p>
        </w:tc>
        <w:tc>
          <w:tcPr>
            <w:tcW w:w="1080" w:type="dxa"/>
            <w:tcBorders>
              <w:top w:val="dotted" w:sz="4" w:space="0" w:color="009900"/>
              <w:left w:val="nil"/>
              <w:bottom w:val="single" w:sz="4" w:space="0" w:color="009900"/>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11,245</w:t>
            </w:r>
          </w:p>
        </w:tc>
        <w:tc>
          <w:tcPr>
            <w:tcW w:w="1080" w:type="dxa"/>
            <w:tcBorders>
              <w:top w:val="dotted" w:sz="4" w:space="0" w:color="009900"/>
              <w:left w:val="nil"/>
              <w:bottom w:val="single" w:sz="4" w:space="0" w:color="009900"/>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11,635</w:t>
            </w:r>
          </w:p>
        </w:tc>
        <w:tc>
          <w:tcPr>
            <w:tcW w:w="1080" w:type="dxa"/>
            <w:tcBorders>
              <w:top w:val="dotted" w:sz="4" w:space="0" w:color="009900"/>
              <w:left w:val="nil"/>
              <w:bottom w:val="single" w:sz="4" w:space="0" w:color="009900"/>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37,720</w:t>
            </w:r>
          </w:p>
        </w:tc>
        <w:tc>
          <w:tcPr>
            <w:tcW w:w="1080" w:type="dxa"/>
            <w:tcBorders>
              <w:top w:val="dotted" w:sz="4" w:space="0" w:color="009900"/>
              <w:left w:val="nil"/>
              <w:bottom w:val="single" w:sz="4" w:space="0" w:color="009900"/>
              <w:right w:val="single" w:sz="4" w:space="0" w:color="009900"/>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101,985</w:t>
            </w:r>
          </w:p>
        </w:tc>
      </w:tr>
      <w:tr w:rsidR="00BD68C6" w:rsidRPr="00AC2E7F" w:rsidTr="00AF45D4">
        <w:trPr>
          <w:trHeight w:val="255"/>
          <w:jc w:val="center"/>
        </w:trPr>
        <w:tc>
          <w:tcPr>
            <w:tcW w:w="8980" w:type="dxa"/>
            <w:gridSpan w:val="7"/>
            <w:tcBorders>
              <w:top w:val="single" w:sz="4" w:space="0" w:color="009900"/>
              <w:left w:val="single" w:sz="4" w:space="0" w:color="009900"/>
              <w:bottom w:val="single" w:sz="4" w:space="0" w:color="009900"/>
              <w:right w:val="single" w:sz="4" w:space="0" w:color="009900"/>
            </w:tcBorders>
            <w:shd w:val="clear" w:color="000000" w:fill="FFFFE1"/>
            <w:noWrap/>
            <w:vAlign w:val="center"/>
            <w:hideMark/>
          </w:tcPr>
          <w:p w:rsidR="00BD68C6" w:rsidRPr="00AC2E7F" w:rsidRDefault="00BD68C6" w:rsidP="00AF45D4">
            <w:pPr>
              <w:jc w:val="center"/>
              <w:rPr>
                <w:rFonts w:ascii="Arial" w:hAnsi="Arial" w:cs="Arial"/>
                <w:b/>
                <w:bCs/>
                <w:sz w:val="16"/>
                <w:szCs w:val="16"/>
              </w:rPr>
            </w:pPr>
            <w:r w:rsidRPr="00AC2E7F">
              <w:rPr>
                <w:rFonts w:ascii="Arial" w:hAnsi="Arial" w:cs="Arial"/>
                <w:b/>
                <w:bCs/>
                <w:sz w:val="16"/>
                <w:szCs w:val="16"/>
              </w:rPr>
              <w:t>No Housing Problem</w:t>
            </w:r>
            <w:r>
              <w:rPr>
                <w:rFonts w:ascii="Arial" w:hAnsi="Arial" w:cs="Arial"/>
                <w:b/>
                <w:bCs/>
                <w:sz w:val="16"/>
                <w:szCs w:val="16"/>
              </w:rPr>
              <w:t>s</w:t>
            </w:r>
          </w:p>
        </w:tc>
      </w:tr>
      <w:tr w:rsidR="00BD68C6" w:rsidRPr="00AC2E7F" w:rsidTr="00AF45D4">
        <w:trPr>
          <w:trHeight w:val="255"/>
          <w:jc w:val="center"/>
        </w:trPr>
        <w:tc>
          <w:tcPr>
            <w:tcW w:w="2500" w:type="dxa"/>
            <w:tcBorders>
              <w:top w:val="nil"/>
              <w:left w:val="single" w:sz="4" w:space="0" w:color="009900"/>
              <w:bottom w:val="nil"/>
              <w:right w:val="nil"/>
            </w:tcBorders>
            <w:shd w:val="clear" w:color="FFFFFF" w:fill="FFFFE1"/>
            <w:vAlign w:val="center"/>
            <w:hideMark/>
          </w:tcPr>
          <w:p w:rsidR="00BD68C6" w:rsidRPr="00AC2E7F" w:rsidRDefault="00BD68C6" w:rsidP="00AF45D4">
            <w:pPr>
              <w:rPr>
                <w:rFonts w:ascii="Arial" w:hAnsi="Arial" w:cs="Arial"/>
                <w:color w:val="000000"/>
                <w:sz w:val="16"/>
                <w:szCs w:val="16"/>
              </w:rPr>
            </w:pPr>
            <w:r w:rsidRPr="00AC2E7F">
              <w:rPr>
                <w:rFonts w:ascii="Arial" w:hAnsi="Arial" w:cs="Arial"/>
                <w:color w:val="000000"/>
                <w:sz w:val="16"/>
                <w:szCs w:val="16"/>
              </w:rPr>
              <w:t>30% HAMFI or less</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245</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2,470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390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2,690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2,980</w:t>
            </w:r>
          </w:p>
        </w:tc>
        <w:tc>
          <w:tcPr>
            <w:tcW w:w="1080" w:type="dxa"/>
            <w:tcBorders>
              <w:top w:val="nil"/>
              <w:left w:val="nil"/>
              <w:bottom w:val="nil"/>
              <w:right w:val="single" w:sz="4" w:space="0" w:color="009900"/>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8,775</w:t>
            </w:r>
          </w:p>
        </w:tc>
      </w:tr>
      <w:tr w:rsidR="00BD68C6" w:rsidRPr="00AC2E7F" w:rsidTr="00AF45D4">
        <w:trPr>
          <w:trHeight w:val="255"/>
          <w:jc w:val="center"/>
        </w:trPr>
        <w:tc>
          <w:tcPr>
            <w:tcW w:w="2500" w:type="dxa"/>
            <w:tcBorders>
              <w:top w:val="nil"/>
              <w:left w:val="single" w:sz="4" w:space="0" w:color="009900"/>
              <w:bottom w:val="nil"/>
              <w:right w:val="nil"/>
            </w:tcBorders>
            <w:shd w:val="clear" w:color="FFFFFF" w:fill="FFFFE1"/>
            <w:vAlign w:val="center"/>
            <w:hideMark/>
          </w:tcPr>
          <w:p w:rsidR="00BD68C6" w:rsidRPr="00AC2E7F" w:rsidRDefault="00BD68C6" w:rsidP="00AF45D4">
            <w:pPr>
              <w:rPr>
                <w:rFonts w:ascii="Arial" w:hAnsi="Arial" w:cs="Arial"/>
                <w:color w:val="000000"/>
                <w:sz w:val="16"/>
                <w:szCs w:val="16"/>
              </w:rPr>
            </w:pPr>
            <w:r w:rsidRPr="00AC2E7F">
              <w:rPr>
                <w:rFonts w:ascii="Arial" w:hAnsi="Arial" w:cs="Arial"/>
                <w:color w:val="000000"/>
                <w:sz w:val="16"/>
                <w:szCs w:val="16"/>
              </w:rPr>
              <w:t>30.1-50% HAMFI</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765</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3,600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635</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2,140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2,760</w:t>
            </w:r>
          </w:p>
        </w:tc>
        <w:tc>
          <w:tcPr>
            <w:tcW w:w="1080" w:type="dxa"/>
            <w:tcBorders>
              <w:top w:val="nil"/>
              <w:left w:val="nil"/>
              <w:bottom w:val="nil"/>
              <w:right w:val="single" w:sz="4" w:space="0" w:color="009900"/>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9,900</w:t>
            </w:r>
          </w:p>
        </w:tc>
      </w:tr>
      <w:tr w:rsidR="00BD68C6" w:rsidRPr="00AC2E7F" w:rsidTr="00AF45D4">
        <w:trPr>
          <w:trHeight w:val="255"/>
          <w:jc w:val="center"/>
        </w:trPr>
        <w:tc>
          <w:tcPr>
            <w:tcW w:w="2500" w:type="dxa"/>
            <w:tcBorders>
              <w:top w:val="nil"/>
              <w:left w:val="single" w:sz="4" w:space="0" w:color="009900"/>
              <w:bottom w:val="nil"/>
              <w:right w:val="nil"/>
            </w:tcBorders>
            <w:shd w:val="clear" w:color="FFFFFF" w:fill="FFFFE1"/>
            <w:vAlign w:val="center"/>
            <w:hideMark/>
          </w:tcPr>
          <w:p w:rsidR="00BD68C6" w:rsidRPr="00AC2E7F" w:rsidRDefault="00BD68C6" w:rsidP="00AF45D4">
            <w:pPr>
              <w:rPr>
                <w:rFonts w:ascii="Arial" w:hAnsi="Arial" w:cs="Arial"/>
                <w:color w:val="000000"/>
                <w:sz w:val="16"/>
                <w:szCs w:val="16"/>
              </w:rPr>
            </w:pPr>
            <w:r w:rsidRPr="00AC2E7F">
              <w:rPr>
                <w:rFonts w:ascii="Arial" w:hAnsi="Arial" w:cs="Arial"/>
                <w:color w:val="000000"/>
                <w:sz w:val="16"/>
                <w:szCs w:val="16"/>
              </w:rPr>
              <w:t>50.1-80% HAMFI</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1,115</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11,530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1,895</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2,140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9,795</w:t>
            </w:r>
          </w:p>
        </w:tc>
        <w:tc>
          <w:tcPr>
            <w:tcW w:w="1080" w:type="dxa"/>
            <w:tcBorders>
              <w:top w:val="nil"/>
              <w:left w:val="nil"/>
              <w:bottom w:val="nil"/>
              <w:right w:val="single" w:sz="4" w:space="0" w:color="009900"/>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26,475</w:t>
            </w:r>
          </w:p>
        </w:tc>
      </w:tr>
      <w:tr w:rsidR="00BD68C6" w:rsidRPr="00AC2E7F" w:rsidTr="00AF45D4">
        <w:trPr>
          <w:trHeight w:val="255"/>
          <w:jc w:val="center"/>
        </w:trPr>
        <w:tc>
          <w:tcPr>
            <w:tcW w:w="2500" w:type="dxa"/>
            <w:tcBorders>
              <w:top w:val="nil"/>
              <w:left w:val="single" w:sz="4" w:space="0" w:color="009900"/>
              <w:bottom w:val="nil"/>
              <w:right w:val="nil"/>
            </w:tcBorders>
            <w:shd w:val="clear" w:color="FFFFFF" w:fill="FFFFE1"/>
            <w:vAlign w:val="center"/>
            <w:hideMark/>
          </w:tcPr>
          <w:p w:rsidR="00BD68C6" w:rsidRPr="00AC2E7F" w:rsidRDefault="00BD68C6" w:rsidP="00AF45D4">
            <w:pPr>
              <w:rPr>
                <w:rFonts w:ascii="Arial" w:hAnsi="Arial" w:cs="Arial"/>
                <w:color w:val="000000"/>
                <w:sz w:val="16"/>
                <w:szCs w:val="16"/>
              </w:rPr>
            </w:pPr>
            <w:r w:rsidRPr="00AC2E7F">
              <w:rPr>
                <w:rFonts w:ascii="Arial" w:hAnsi="Arial" w:cs="Arial"/>
                <w:color w:val="000000"/>
                <w:sz w:val="16"/>
                <w:szCs w:val="16"/>
              </w:rPr>
              <w:t>80.1% HAMFI or more</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3,220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34,160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4,005</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4,505</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31,285</w:t>
            </w:r>
          </w:p>
        </w:tc>
        <w:tc>
          <w:tcPr>
            <w:tcW w:w="1080" w:type="dxa"/>
            <w:tcBorders>
              <w:top w:val="nil"/>
              <w:left w:val="nil"/>
              <w:bottom w:val="nil"/>
              <w:right w:val="single" w:sz="4" w:space="0" w:color="009900"/>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77,175</w:t>
            </w:r>
          </w:p>
        </w:tc>
      </w:tr>
      <w:tr w:rsidR="00BD68C6" w:rsidRPr="00AC2E7F" w:rsidTr="00AF45D4">
        <w:trPr>
          <w:trHeight w:val="255"/>
          <w:jc w:val="center"/>
        </w:trPr>
        <w:tc>
          <w:tcPr>
            <w:tcW w:w="2500" w:type="dxa"/>
            <w:tcBorders>
              <w:top w:val="dotted" w:sz="4" w:space="0" w:color="009900"/>
              <w:left w:val="single" w:sz="4" w:space="0" w:color="009900"/>
              <w:bottom w:val="single" w:sz="4" w:space="0" w:color="009900"/>
              <w:right w:val="nil"/>
            </w:tcBorders>
            <w:shd w:val="clear" w:color="000000" w:fill="FFFFE1"/>
            <w:noWrap/>
            <w:vAlign w:val="center"/>
            <w:hideMark/>
          </w:tcPr>
          <w:p w:rsidR="00BD68C6" w:rsidRPr="00AC2E7F" w:rsidRDefault="00BD68C6" w:rsidP="00AF45D4">
            <w:pPr>
              <w:rPr>
                <w:rFonts w:ascii="Arial" w:hAnsi="Arial" w:cs="Arial"/>
                <w:sz w:val="16"/>
                <w:szCs w:val="16"/>
              </w:rPr>
            </w:pPr>
            <w:r w:rsidRPr="00AC2E7F">
              <w:rPr>
                <w:rFonts w:ascii="Arial" w:hAnsi="Arial" w:cs="Arial"/>
                <w:sz w:val="16"/>
                <w:szCs w:val="16"/>
              </w:rPr>
              <w:t>Total</w:t>
            </w:r>
          </w:p>
        </w:tc>
        <w:tc>
          <w:tcPr>
            <w:tcW w:w="1080" w:type="dxa"/>
            <w:tcBorders>
              <w:top w:val="dotted" w:sz="4" w:space="0" w:color="009900"/>
              <w:left w:val="nil"/>
              <w:bottom w:val="single" w:sz="4" w:space="0" w:color="009900"/>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5,345</w:t>
            </w:r>
          </w:p>
        </w:tc>
        <w:tc>
          <w:tcPr>
            <w:tcW w:w="1080" w:type="dxa"/>
            <w:tcBorders>
              <w:top w:val="dotted" w:sz="4" w:space="0" w:color="009900"/>
              <w:left w:val="nil"/>
              <w:bottom w:val="single" w:sz="4" w:space="0" w:color="009900"/>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51,760</w:t>
            </w:r>
          </w:p>
        </w:tc>
        <w:tc>
          <w:tcPr>
            <w:tcW w:w="1080" w:type="dxa"/>
            <w:tcBorders>
              <w:top w:val="dotted" w:sz="4" w:space="0" w:color="009900"/>
              <w:left w:val="nil"/>
              <w:bottom w:val="single" w:sz="4" w:space="0" w:color="009900"/>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6,925</w:t>
            </w:r>
          </w:p>
        </w:tc>
        <w:tc>
          <w:tcPr>
            <w:tcW w:w="1080" w:type="dxa"/>
            <w:tcBorders>
              <w:top w:val="dotted" w:sz="4" w:space="0" w:color="009900"/>
              <w:left w:val="nil"/>
              <w:bottom w:val="single" w:sz="4" w:space="0" w:color="009900"/>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11,475</w:t>
            </w:r>
          </w:p>
        </w:tc>
        <w:tc>
          <w:tcPr>
            <w:tcW w:w="1080" w:type="dxa"/>
            <w:tcBorders>
              <w:top w:val="dotted" w:sz="4" w:space="0" w:color="009900"/>
              <w:left w:val="nil"/>
              <w:bottom w:val="single" w:sz="4" w:space="0" w:color="009900"/>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46,820</w:t>
            </w:r>
          </w:p>
        </w:tc>
        <w:tc>
          <w:tcPr>
            <w:tcW w:w="1080" w:type="dxa"/>
            <w:tcBorders>
              <w:top w:val="dotted" w:sz="4" w:space="0" w:color="009900"/>
              <w:left w:val="nil"/>
              <w:bottom w:val="single" w:sz="4" w:space="0" w:color="009900"/>
              <w:right w:val="single" w:sz="4" w:space="0" w:color="009900"/>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122,325</w:t>
            </w:r>
          </w:p>
        </w:tc>
      </w:tr>
      <w:tr w:rsidR="00BD68C6" w:rsidRPr="00AC2E7F" w:rsidTr="00AF45D4">
        <w:trPr>
          <w:trHeight w:val="255"/>
          <w:jc w:val="center"/>
        </w:trPr>
        <w:tc>
          <w:tcPr>
            <w:tcW w:w="8980" w:type="dxa"/>
            <w:gridSpan w:val="7"/>
            <w:tcBorders>
              <w:top w:val="single" w:sz="4" w:space="0" w:color="009900"/>
              <w:left w:val="single" w:sz="4" w:space="0" w:color="009900"/>
              <w:bottom w:val="single" w:sz="4" w:space="0" w:color="009900"/>
              <w:right w:val="single" w:sz="4" w:space="0" w:color="009900"/>
            </w:tcBorders>
            <w:shd w:val="clear" w:color="000000" w:fill="FFFFE1"/>
            <w:noWrap/>
            <w:vAlign w:val="center"/>
            <w:hideMark/>
          </w:tcPr>
          <w:p w:rsidR="00BD68C6" w:rsidRPr="00AC2E7F" w:rsidRDefault="00BD68C6" w:rsidP="00AF45D4">
            <w:pPr>
              <w:jc w:val="center"/>
              <w:rPr>
                <w:rFonts w:ascii="Arial" w:hAnsi="Arial" w:cs="Arial"/>
                <w:b/>
                <w:bCs/>
                <w:sz w:val="16"/>
                <w:szCs w:val="16"/>
              </w:rPr>
            </w:pPr>
            <w:r>
              <w:rPr>
                <w:rFonts w:ascii="Arial" w:hAnsi="Arial" w:cs="Arial"/>
                <w:b/>
                <w:bCs/>
                <w:sz w:val="16"/>
                <w:szCs w:val="16"/>
              </w:rPr>
              <w:t xml:space="preserve">Housing Problems </w:t>
            </w:r>
            <w:r w:rsidRPr="00AC2E7F">
              <w:rPr>
                <w:rFonts w:ascii="Arial" w:hAnsi="Arial" w:cs="Arial"/>
                <w:b/>
                <w:bCs/>
                <w:sz w:val="16"/>
                <w:szCs w:val="16"/>
              </w:rPr>
              <w:t>Not Computed</w:t>
            </w:r>
          </w:p>
        </w:tc>
      </w:tr>
      <w:tr w:rsidR="00BD68C6" w:rsidRPr="00AC2E7F" w:rsidTr="00AF45D4">
        <w:trPr>
          <w:trHeight w:val="255"/>
          <w:jc w:val="center"/>
        </w:trPr>
        <w:tc>
          <w:tcPr>
            <w:tcW w:w="2500" w:type="dxa"/>
            <w:tcBorders>
              <w:top w:val="nil"/>
              <w:left w:val="single" w:sz="4" w:space="0" w:color="009900"/>
              <w:bottom w:val="nil"/>
              <w:right w:val="nil"/>
            </w:tcBorders>
            <w:shd w:val="clear" w:color="FFFFFF" w:fill="FFFFE1"/>
            <w:vAlign w:val="center"/>
            <w:hideMark/>
          </w:tcPr>
          <w:p w:rsidR="00BD68C6" w:rsidRPr="00AC2E7F" w:rsidRDefault="00BD68C6" w:rsidP="00AF45D4">
            <w:pPr>
              <w:rPr>
                <w:rFonts w:ascii="Arial" w:hAnsi="Arial" w:cs="Arial"/>
                <w:color w:val="000000"/>
                <w:sz w:val="16"/>
                <w:szCs w:val="16"/>
              </w:rPr>
            </w:pPr>
            <w:r w:rsidRPr="00AC2E7F">
              <w:rPr>
                <w:rFonts w:ascii="Arial" w:hAnsi="Arial" w:cs="Arial"/>
                <w:color w:val="000000"/>
                <w:sz w:val="16"/>
                <w:szCs w:val="16"/>
              </w:rPr>
              <w:t>30% HAMFI or less</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35</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1,975</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65</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235</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2,895</w:t>
            </w:r>
          </w:p>
        </w:tc>
        <w:tc>
          <w:tcPr>
            <w:tcW w:w="1080" w:type="dxa"/>
            <w:tcBorders>
              <w:top w:val="nil"/>
              <w:left w:val="nil"/>
              <w:bottom w:val="nil"/>
              <w:right w:val="single" w:sz="4" w:space="0" w:color="009900"/>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5,205</w:t>
            </w:r>
          </w:p>
        </w:tc>
      </w:tr>
      <w:tr w:rsidR="00BD68C6" w:rsidRPr="00AC2E7F" w:rsidTr="00AF45D4">
        <w:trPr>
          <w:trHeight w:val="255"/>
          <w:jc w:val="center"/>
        </w:trPr>
        <w:tc>
          <w:tcPr>
            <w:tcW w:w="2500" w:type="dxa"/>
            <w:tcBorders>
              <w:top w:val="nil"/>
              <w:left w:val="single" w:sz="4" w:space="0" w:color="009900"/>
              <w:bottom w:val="nil"/>
              <w:right w:val="nil"/>
            </w:tcBorders>
            <w:shd w:val="clear" w:color="FFFFFF" w:fill="FFFFE1"/>
            <w:vAlign w:val="center"/>
            <w:hideMark/>
          </w:tcPr>
          <w:p w:rsidR="00BD68C6" w:rsidRPr="00AC2E7F" w:rsidRDefault="00BD68C6" w:rsidP="00AF45D4">
            <w:pPr>
              <w:rPr>
                <w:rFonts w:ascii="Arial" w:hAnsi="Arial" w:cs="Arial"/>
                <w:color w:val="000000"/>
                <w:sz w:val="16"/>
                <w:szCs w:val="16"/>
              </w:rPr>
            </w:pPr>
            <w:r w:rsidRPr="00AC2E7F">
              <w:rPr>
                <w:rFonts w:ascii="Arial" w:hAnsi="Arial" w:cs="Arial"/>
                <w:color w:val="000000"/>
                <w:sz w:val="16"/>
                <w:szCs w:val="16"/>
              </w:rPr>
              <w:t>30.1-50% HAMFI</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0</w:t>
            </w:r>
          </w:p>
        </w:tc>
        <w:tc>
          <w:tcPr>
            <w:tcW w:w="1080" w:type="dxa"/>
            <w:tcBorders>
              <w:top w:val="nil"/>
              <w:left w:val="nil"/>
              <w:bottom w:val="nil"/>
              <w:right w:val="single" w:sz="4" w:space="0" w:color="009900"/>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0</w:t>
            </w:r>
          </w:p>
        </w:tc>
      </w:tr>
      <w:tr w:rsidR="00BD68C6" w:rsidRPr="00AC2E7F" w:rsidTr="00AF45D4">
        <w:trPr>
          <w:trHeight w:val="255"/>
          <w:jc w:val="center"/>
        </w:trPr>
        <w:tc>
          <w:tcPr>
            <w:tcW w:w="2500" w:type="dxa"/>
            <w:tcBorders>
              <w:top w:val="nil"/>
              <w:left w:val="single" w:sz="4" w:space="0" w:color="009900"/>
              <w:bottom w:val="nil"/>
              <w:right w:val="nil"/>
            </w:tcBorders>
            <w:shd w:val="clear" w:color="FFFFFF" w:fill="FFFFE1"/>
            <w:vAlign w:val="center"/>
            <w:hideMark/>
          </w:tcPr>
          <w:p w:rsidR="00BD68C6" w:rsidRPr="00AC2E7F" w:rsidRDefault="00BD68C6" w:rsidP="00AF45D4">
            <w:pPr>
              <w:rPr>
                <w:rFonts w:ascii="Arial" w:hAnsi="Arial" w:cs="Arial"/>
                <w:color w:val="000000"/>
                <w:sz w:val="16"/>
                <w:szCs w:val="16"/>
              </w:rPr>
            </w:pPr>
            <w:r w:rsidRPr="00AC2E7F">
              <w:rPr>
                <w:rFonts w:ascii="Arial" w:hAnsi="Arial" w:cs="Arial"/>
                <w:color w:val="000000"/>
                <w:sz w:val="16"/>
                <w:szCs w:val="16"/>
              </w:rPr>
              <w:t>50.1-80% HAMFI</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0</w:t>
            </w:r>
          </w:p>
        </w:tc>
        <w:tc>
          <w:tcPr>
            <w:tcW w:w="1080" w:type="dxa"/>
            <w:tcBorders>
              <w:top w:val="nil"/>
              <w:left w:val="nil"/>
              <w:bottom w:val="nil"/>
              <w:right w:val="single" w:sz="4" w:space="0" w:color="009900"/>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0</w:t>
            </w:r>
          </w:p>
        </w:tc>
      </w:tr>
      <w:tr w:rsidR="00BD68C6" w:rsidRPr="00AC2E7F" w:rsidTr="00AF45D4">
        <w:trPr>
          <w:trHeight w:val="255"/>
          <w:jc w:val="center"/>
        </w:trPr>
        <w:tc>
          <w:tcPr>
            <w:tcW w:w="2500" w:type="dxa"/>
            <w:tcBorders>
              <w:top w:val="nil"/>
              <w:left w:val="single" w:sz="4" w:space="0" w:color="009900"/>
              <w:bottom w:val="nil"/>
              <w:right w:val="nil"/>
            </w:tcBorders>
            <w:shd w:val="clear" w:color="FFFFFF" w:fill="FFFFE1"/>
            <w:vAlign w:val="center"/>
            <w:hideMark/>
          </w:tcPr>
          <w:p w:rsidR="00BD68C6" w:rsidRPr="00AC2E7F" w:rsidRDefault="00BD68C6" w:rsidP="00AF45D4">
            <w:pPr>
              <w:rPr>
                <w:rFonts w:ascii="Arial" w:hAnsi="Arial" w:cs="Arial"/>
                <w:color w:val="000000"/>
                <w:sz w:val="16"/>
                <w:szCs w:val="16"/>
              </w:rPr>
            </w:pPr>
            <w:r w:rsidRPr="00AC2E7F">
              <w:rPr>
                <w:rFonts w:ascii="Arial" w:hAnsi="Arial" w:cs="Arial"/>
                <w:color w:val="000000"/>
                <w:sz w:val="16"/>
                <w:szCs w:val="16"/>
              </w:rPr>
              <w:t>80.1% HAMFI or more</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0</w:t>
            </w:r>
          </w:p>
        </w:tc>
        <w:tc>
          <w:tcPr>
            <w:tcW w:w="1080" w:type="dxa"/>
            <w:tcBorders>
              <w:top w:val="nil"/>
              <w:left w:val="nil"/>
              <w:bottom w:val="nil"/>
              <w:right w:val="single" w:sz="4" w:space="0" w:color="009900"/>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0</w:t>
            </w:r>
          </w:p>
        </w:tc>
      </w:tr>
      <w:tr w:rsidR="00BD68C6" w:rsidRPr="00AC2E7F" w:rsidTr="00AF45D4">
        <w:trPr>
          <w:trHeight w:val="255"/>
          <w:jc w:val="center"/>
        </w:trPr>
        <w:tc>
          <w:tcPr>
            <w:tcW w:w="2500" w:type="dxa"/>
            <w:tcBorders>
              <w:top w:val="dotted" w:sz="4" w:space="0" w:color="009900"/>
              <w:left w:val="single" w:sz="4" w:space="0" w:color="009900"/>
              <w:bottom w:val="single" w:sz="4" w:space="0" w:color="009900"/>
              <w:right w:val="nil"/>
            </w:tcBorders>
            <w:shd w:val="clear" w:color="000000" w:fill="FFFFE1"/>
            <w:noWrap/>
            <w:vAlign w:val="center"/>
            <w:hideMark/>
          </w:tcPr>
          <w:p w:rsidR="00BD68C6" w:rsidRPr="00AC2E7F" w:rsidRDefault="00BD68C6" w:rsidP="00AF45D4">
            <w:pPr>
              <w:rPr>
                <w:rFonts w:ascii="Arial" w:hAnsi="Arial" w:cs="Arial"/>
                <w:sz w:val="16"/>
                <w:szCs w:val="16"/>
              </w:rPr>
            </w:pPr>
            <w:r w:rsidRPr="00AC2E7F">
              <w:rPr>
                <w:rFonts w:ascii="Arial" w:hAnsi="Arial" w:cs="Arial"/>
                <w:sz w:val="16"/>
                <w:szCs w:val="16"/>
              </w:rPr>
              <w:t>Total</w:t>
            </w:r>
          </w:p>
        </w:tc>
        <w:tc>
          <w:tcPr>
            <w:tcW w:w="1080" w:type="dxa"/>
            <w:tcBorders>
              <w:top w:val="dotted" w:sz="4" w:space="0" w:color="009900"/>
              <w:left w:val="nil"/>
              <w:bottom w:val="single" w:sz="4" w:space="0" w:color="009900"/>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35</w:t>
            </w:r>
          </w:p>
        </w:tc>
        <w:tc>
          <w:tcPr>
            <w:tcW w:w="1080" w:type="dxa"/>
            <w:tcBorders>
              <w:top w:val="dotted" w:sz="4" w:space="0" w:color="009900"/>
              <w:left w:val="nil"/>
              <w:bottom w:val="single" w:sz="4" w:space="0" w:color="009900"/>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1,975</w:t>
            </w:r>
          </w:p>
        </w:tc>
        <w:tc>
          <w:tcPr>
            <w:tcW w:w="1080" w:type="dxa"/>
            <w:tcBorders>
              <w:top w:val="dotted" w:sz="4" w:space="0" w:color="009900"/>
              <w:left w:val="nil"/>
              <w:bottom w:val="single" w:sz="4" w:space="0" w:color="009900"/>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65</w:t>
            </w:r>
          </w:p>
        </w:tc>
        <w:tc>
          <w:tcPr>
            <w:tcW w:w="1080" w:type="dxa"/>
            <w:tcBorders>
              <w:top w:val="dotted" w:sz="4" w:space="0" w:color="009900"/>
              <w:left w:val="nil"/>
              <w:bottom w:val="single" w:sz="4" w:space="0" w:color="009900"/>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235</w:t>
            </w:r>
          </w:p>
        </w:tc>
        <w:tc>
          <w:tcPr>
            <w:tcW w:w="1080" w:type="dxa"/>
            <w:tcBorders>
              <w:top w:val="dotted" w:sz="4" w:space="0" w:color="009900"/>
              <w:left w:val="nil"/>
              <w:bottom w:val="single" w:sz="4" w:space="0" w:color="009900"/>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2,895</w:t>
            </w:r>
          </w:p>
        </w:tc>
        <w:tc>
          <w:tcPr>
            <w:tcW w:w="1080" w:type="dxa"/>
            <w:tcBorders>
              <w:top w:val="dotted" w:sz="4" w:space="0" w:color="009900"/>
              <w:left w:val="nil"/>
              <w:bottom w:val="single" w:sz="4" w:space="0" w:color="009900"/>
              <w:right w:val="single" w:sz="4" w:space="0" w:color="009900"/>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5,205</w:t>
            </w:r>
          </w:p>
        </w:tc>
      </w:tr>
      <w:tr w:rsidR="00BD68C6" w:rsidRPr="00AC2E7F" w:rsidTr="00AF45D4">
        <w:trPr>
          <w:trHeight w:val="255"/>
          <w:jc w:val="center"/>
        </w:trPr>
        <w:tc>
          <w:tcPr>
            <w:tcW w:w="8980" w:type="dxa"/>
            <w:gridSpan w:val="7"/>
            <w:tcBorders>
              <w:top w:val="single" w:sz="4" w:space="0" w:color="009900"/>
              <w:left w:val="single" w:sz="4" w:space="0" w:color="009900"/>
              <w:bottom w:val="single" w:sz="4" w:space="0" w:color="009900"/>
              <w:right w:val="single" w:sz="4" w:space="0" w:color="009900"/>
            </w:tcBorders>
            <w:shd w:val="clear" w:color="000000" w:fill="FFFFE1"/>
            <w:noWrap/>
            <w:vAlign w:val="center"/>
            <w:hideMark/>
          </w:tcPr>
          <w:p w:rsidR="00BD68C6" w:rsidRPr="00AC2E7F" w:rsidRDefault="00BD68C6" w:rsidP="00AF45D4">
            <w:pPr>
              <w:jc w:val="center"/>
              <w:rPr>
                <w:rFonts w:ascii="Arial" w:hAnsi="Arial" w:cs="Arial"/>
                <w:b/>
                <w:bCs/>
                <w:sz w:val="16"/>
                <w:szCs w:val="16"/>
              </w:rPr>
            </w:pPr>
            <w:r w:rsidRPr="00AC2E7F">
              <w:rPr>
                <w:rFonts w:ascii="Arial" w:hAnsi="Arial" w:cs="Arial"/>
                <w:b/>
                <w:bCs/>
                <w:sz w:val="16"/>
                <w:szCs w:val="16"/>
              </w:rPr>
              <w:t>Total</w:t>
            </w:r>
          </w:p>
        </w:tc>
      </w:tr>
      <w:tr w:rsidR="00BD68C6" w:rsidRPr="00AC2E7F" w:rsidTr="00AF45D4">
        <w:trPr>
          <w:trHeight w:val="255"/>
          <w:jc w:val="center"/>
        </w:trPr>
        <w:tc>
          <w:tcPr>
            <w:tcW w:w="2500" w:type="dxa"/>
            <w:tcBorders>
              <w:top w:val="nil"/>
              <w:left w:val="single" w:sz="4" w:space="0" w:color="009900"/>
              <w:bottom w:val="nil"/>
              <w:right w:val="nil"/>
            </w:tcBorders>
            <w:shd w:val="clear" w:color="FFFFFF" w:fill="FFFFE1"/>
            <w:vAlign w:val="center"/>
            <w:hideMark/>
          </w:tcPr>
          <w:p w:rsidR="00BD68C6" w:rsidRPr="00AC2E7F" w:rsidRDefault="00BD68C6" w:rsidP="00AF45D4">
            <w:pPr>
              <w:rPr>
                <w:rFonts w:ascii="Arial" w:hAnsi="Arial" w:cs="Arial"/>
                <w:color w:val="000000"/>
                <w:sz w:val="16"/>
                <w:szCs w:val="16"/>
              </w:rPr>
            </w:pPr>
            <w:r w:rsidRPr="00AC2E7F">
              <w:rPr>
                <w:rFonts w:ascii="Arial" w:hAnsi="Arial" w:cs="Arial"/>
                <w:color w:val="000000"/>
                <w:sz w:val="16"/>
                <w:szCs w:val="16"/>
              </w:rPr>
              <w:t>30% HAMFI or less</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875</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19,420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4,290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7,955</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21,310</w:t>
            </w:r>
          </w:p>
        </w:tc>
        <w:tc>
          <w:tcPr>
            <w:tcW w:w="1080" w:type="dxa"/>
            <w:tcBorders>
              <w:top w:val="nil"/>
              <w:left w:val="nil"/>
              <w:bottom w:val="nil"/>
              <w:right w:val="single" w:sz="4" w:space="0" w:color="009900"/>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53,850</w:t>
            </w:r>
          </w:p>
        </w:tc>
      </w:tr>
      <w:tr w:rsidR="00BD68C6" w:rsidRPr="00AC2E7F" w:rsidTr="00AF45D4">
        <w:trPr>
          <w:trHeight w:val="255"/>
          <w:jc w:val="center"/>
        </w:trPr>
        <w:tc>
          <w:tcPr>
            <w:tcW w:w="2500" w:type="dxa"/>
            <w:tcBorders>
              <w:top w:val="nil"/>
              <w:left w:val="single" w:sz="4" w:space="0" w:color="009900"/>
              <w:bottom w:val="nil"/>
              <w:right w:val="nil"/>
            </w:tcBorders>
            <w:shd w:val="clear" w:color="FFFFFF" w:fill="FFFFE1"/>
            <w:vAlign w:val="center"/>
            <w:hideMark/>
          </w:tcPr>
          <w:p w:rsidR="00BD68C6" w:rsidRPr="00AC2E7F" w:rsidRDefault="00BD68C6" w:rsidP="00AF45D4">
            <w:pPr>
              <w:rPr>
                <w:rFonts w:ascii="Arial" w:hAnsi="Arial" w:cs="Arial"/>
                <w:color w:val="000000"/>
                <w:sz w:val="16"/>
                <w:szCs w:val="16"/>
              </w:rPr>
            </w:pPr>
            <w:r w:rsidRPr="00AC2E7F">
              <w:rPr>
                <w:rFonts w:ascii="Arial" w:hAnsi="Arial" w:cs="Arial"/>
                <w:color w:val="000000"/>
                <w:sz w:val="16"/>
                <w:szCs w:val="16"/>
              </w:rPr>
              <w:t>30.1-50% HAMFI</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1,510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15,875</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3,240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5,355</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13,850</w:t>
            </w:r>
          </w:p>
        </w:tc>
        <w:tc>
          <w:tcPr>
            <w:tcW w:w="1080" w:type="dxa"/>
            <w:tcBorders>
              <w:top w:val="nil"/>
              <w:left w:val="nil"/>
              <w:bottom w:val="nil"/>
              <w:right w:val="single" w:sz="4" w:space="0" w:color="009900"/>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39,830</w:t>
            </w:r>
          </w:p>
        </w:tc>
      </w:tr>
      <w:tr w:rsidR="00BD68C6" w:rsidRPr="00AC2E7F" w:rsidTr="00AF45D4">
        <w:trPr>
          <w:trHeight w:val="255"/>
          <w:jc w:val="center"/>
        </w:trPr>
        <w:tc>
          <w:tcPr>
            <w:tcW w:w="2500" w:type="dxa"/>
            <w:tcBorders>
              <w:top w:val="nil"/>
              <w:left w:val="single" w:sz="4" w:space="0" w:color="009900"/>
              <w:bottom w:val="nil"/>
              <w:right w:val="nil"/>
            </w:tcBorders>
            <w:shd w:val="clear" w:color="FFFFFF" w:fill="FFFFE1"/>
            <w:vAlign w:val="center"/>
            <w:hideMark/>
          </w:tcPr>
          <w:p w:rsidR="00BD68C6" w:rsidRPr="00AC2E7F" w:rsidRDefault="00BD68C6" w:rsidP="00AF45D4">
            <w:pPr>
              <w:rPr>
                <w:rFonts w:ascii="Arial" w:hAnsi="Arial" w:cs="Arial"/>
                <w:color w:val="000000"/>
                <w:sz w:val="16"/>
                <w:szCs w:val="16"/>
              </w:rPr>
            </w:pPr>
            <w:r w:rsidRPr="00AC2E7F">
              <w:rPr>
                <w:rFonts w:ascii="Arial" w:hAnsi="Arial" w:cs="Arial"/>
                <w:color w:val="000000"/>
                <w:sz w:val="16"/>
                <w:szCs w:val="16"/>
              </w:rPr>
              <w:t>50.1-80% HAMFI</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2,070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20,055</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4,375</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4,295</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17,925</w:t>
            </w:r>
          </w:p>
        </w:tc>
        <w:tc>
          <w:tcPr>
            <w:tcW w:w="1080" w:type="dxa"/>
            <w:tcBorders>
              <w:top w:val="nil"/>
              <w:left w:val="nil"/>
              <w:bottom w:val="nil"/>
              <w:right w:val="single" w:sz="4" w:space="0" w:color="009900"/>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48,720</w:t>
            </w:r>
          </w:p>
        </w:tc>
      </w:tr>
      <w:tr w:rsidR="00BD68C6" w:rsidRPr="00AC2E7F" w:rsidTr="00AF45D4">
        <w:trPr>
          <w:trHeight w:val="255"/>
          <w:jc w:val="center"/>
        </w:trPr>
        <w:tc>
          <w:tcPr>
            <w:tcW w:w="2500" w:type="dxa"/>
            <w:tcBorders>
              <w:top w:val="nil"/>
              <w:left w:val="single" w:sz="4" w:space="0" w:color="009900"/>
              <w:bottom w:val="nil"/>
              <w:right w:val="nil"/>
            </w:tcBorders>
            <w:shd w:val="clear" w:color="FFFFFF" w:fill="FFFFE1"/>
            <w:vAlign w:val="center"/>
            <w:hideMark/>
          </w:tcPr>
          <w:p w:rsidR="00BD68C6" w:rsidRPr="00AC2E7F" w:rsidRDefault="00BD68C6" w:rsidP="00AF45D4">
            <w:pPr>
              <w:rPr>
                <w:rFonts w:ascii="Arial" w:hAnsi="Arial" w:cs="Arial"/>
                <w:color w:val="000000"/>
                <w:sz w:val="16"/>
                <w:szCs w:val="16"/>
              </w:rPr>
            </w:pPr>
            <w:r w:rsidRPr="00AC2E7F">
              <w:rPr>
                <w:rFonts w:ascii="Arial" w:hAnsi="Arial" w:cs="Arial"/>
                <w:color w:val="000000"/>
                <w:sz w:val="16"/>
                <w:szCs w:val="16"/>
              </w:rPr>
              <w:t>80.1% HAMFI or more</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3,735</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36,960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6,330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5,740</w:t>
            </w:r>
          </w:p>
        </w:tc>
        <w:tc>
          <w:tcPr>
            <w:tcW w:w="1080" w:type="dxa"/>
            <w:tcBorders>
              <w:top w:val="nil"/>
              <w:left w:val="nil"/>
              <w:bottom w:val="nil"/>
              <w:right w:val="nil"/>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34,350</w:t>
            </w:r>
          </w:p>
        </w:tc>
        <w:tc>
          <w:tcPr>
            <w:tcW w:w="1080" w:type="dxa"/>
            <w:tcBorders>
              <w:top w:val="nil"/>
              <w:left w:val="nil"/>
              <w:bottom w:val="nil"/>
              <w:right w:val="single" w:sz="4" w:space="0" w:color="009900"/>
            </w:tcBorders>
            <w:shd w:val="clear" w:color="000000" w:fill="FFFFE1"/>
            <w:noWrap/>
            <w:vAlign w:val="center"/>
            <w:hideMark/>
          </w:tcPr>
          <w:p w:rsidR="00BD68C6" w:rsidRPr="00AC2E7F" w:rsidRDefault="00BD68C6" w:rsidP="00AF45D4">
            <w:pPr>
              <w:jc w:val="center"/>
              <w:rPr>
                <w:rFonts w:ascii="Arial" w:hAnsi="Arial" w:cs="Arial"/>
                <w:sz w:val="16"/>
                <w:szCs w:val="16"/>
              </w:rPr>
            </w:pPr>
            <w:r w:rsidRPr="00AC2E7F">
              <w:rPr>
                <w:rFonts w:ascii="Arial" w:hAnsi="Arial" w:cs="Arial"/>
                <w:sz w:val="16"/>
                <w:szCs w:val="16"/>
              </w:rPr>
              <w:t>87,115</w:t>
            </w:r>
          </w:p>
        </w:tc>
      </w:tr>
      <w:tr w:rsidR="00BD68C6" w:rsidRPr="00AC2E7F" w:rsidTr="00AF45D4">
        <w:trPr>
          <w:trHeight w:val="255"/>
          <w:jc w:val="center"/>
        </w:trPr>
        <w:tc>
          <w:tcPr>
            <w:tcW w:w="2500" w:type="dxa"/>
            <w:tcBorders>
              <w:top w:val="double" w:sz="6" w:space="0" w:color="009900"/>
              <w:left w:val="single" w:sz="4" w:space="0" w:color="009900"/>
              <w:bottom w:val="single" w:sz="4" w:space="0" w:color="009900"/>
              <w:right w:val="nil"/>
            </w:tcBorders>
            <w:shd w:val="clear" w:color="000000" w:fill="FFFFE1"/>
            <w:noWrap/>
            <w:vAlign w:val="center"/>
            <w:hideMark/>
          </w:tcPr>
          <w:p w:rsidR="00BD68C6" w:rsidRPr="00AC2E7F" w:rsidRDefault="00BD68C6" w:rsidP="00AF45D4">
            <w:pPr>
              <w:rPr>
                <w:rFonts w:ascii="Arial" w:hAnsi="Arial" w:cs="Arial"/>
                <w:b/>
                <w:bCs/>
                <w:sz w:val="16"/>
                <w:szCs w:val="16"/>
              </w:rPr>
            </w:pPr>
            <w:r w:rsidRPr="00AC2E7F">
              <w:rPr>
                <w:rFonts w:ascii="Arial" w:hAnsi="Arial" w:cs="Arial"/>
                <w:b/>
                <w:bCs/>
                <w:sz w:val="16"/>
                <w:szCs w:val="16"/>
              </w:rPr>
              <w:t>Total</w:t>
            </w:r>
          </w:p>
        </w:tc>
        <w:tc>
          <w:tcPr>
            <w:tcW w:w="1080" w:type="dxa"/>
            <w:tcBorders>
              <w:top w:val="double" w:sz="6" w:space="0" w:color="009900"/>
              <w:left w:val="nil"/>
              <w:bottom w:val="single" w:sz="4" w:space="0" w:color="009900"/>
              <w:right w:val="nil"/>
            </w:tcBorders>
            <w:shd w:val="clear" w:color="000000" w:fill="FFFFE1"/>
            <w:noWrap/>
            <w:vAlign w:val="center"/>
            <w:hideMark/>
          </w:tcPr>
          <w:p w:rsidR="00BD68C6" w:rsidRPr="00AC2E7F" w:rsidRDefault="00BD68C6" w:rsidP="00AF45D4">
            <w:pPr>
              <w:jc w:val="center"/>
              <w:rPr>
                <w:rFonts w:ascii="Arial" w:hAnsi="Arial" w:cs="Arial"/>
                <w:b/>
                <w:bCs/>
                <w:sz w:val="16"/>
                <w:szCs w:val="16"/>
              </w:rPr>
            </w:pPr>
            <w:r w:rsidRPr="00AC2E7F">
              <w:rPr>
                <w:rFonts w:ascii="Arial" w:hAnsi="Arial" w:cs="Arial"/>
                <w:b/>
                <w:bCs/>
                <w:sz w:val="16"/>
                <w:szCs w:val="16"/>
              </w:rPr>
              <w:t>8,190</w:t>
            </w:r>
          </w:p>
        </w:tc>
        <w:tc>
          <w:tcPr>
            <w:tcW w:w="1080" w:type="dxa"/>
            <w:tcBorders>
              <w:top w:val="double" w:sz="6" w:space="0" w:color="009900"/>
              <w:left w:val="nil"/>
              <w:bottom w:val="single" w:sz="4" w:space="0" w:color="009900"/>
              <w:right w:val="nil"/>
            </w:tcBorders>
            <w:shd w:val="clear" w:color="000000" w:fill="FFFFE1"/>
            <w:noWrap/>
            <w:vAlign w:val="center"/>
            <w:hideMark/>
          </w:tcPr>
          <w:p w:rsidR="00BD68C6" w:rsidRPr="00AC2E7F" w:rsidRDefault="00BD68C6" w:rsidP="00AF45D4">
            <w:pPr>
              <w:jc w:val="center"/>
              <w:rPr>
                <w:rFonts w:ascii="Arial" w:hAnsi="Arial" w:cs="Arial"/>
                <w:b/>
                <w:bCs/>
                <w:sz w:val="16"/>
                <w:szCs w:val="16"/>
              </w:rPr>
            </w:pPr>
            <w:r w:rsidRPr="00AC2E7F">
              <w:rPr>
                <w:rFonts w:ascii="Arial" w:hAnsi="Arial" w:cs="Arial"/>
                <w:b/>
                <w:bCs/>
                <w:sz w:val="16"/>
                <w:szCs w:val="16"/>
              </w:rPr>
              <w:t>92,310</w:t>
            </w:r>
          </w:p>
        </w:tc>
        <w:tc>
          <w:tcPr>
            <w:tcW w:w="1080" w:type="dxa"/>
            <w:tcBorders>
              <w:top w:val="double" w:sz="6" w:space="0" w:color="009900"/>
              <w:left w:val="nil"/>
              <w:bottom w:val="single" w:sz="4" w:space="0" w:color="009900"/>
              <w:right w:val="nil"/>
            </w:tcBorders>
            <w:shd w:val="clear" w:color="000000" w:fill="FFFFE1"/>
            <w:noWrap/>
            <w:vAlign w:val="center"/>
            <w:hideMark/>
          </w:tcPr>
          <w:p w:rsidR="00BD68C6" w:rsidRPr="00AC2E7F" w:rsidRDefault="00BD68C6" w:rsidP="00AF45D4">
            <w:pPr>
              <w:jc w:val="center"/>
              <w:rPr>
                <w:rFonts w:ascii="Arial" w:hAnsi="Arial" w:cs="Arial"/>
                <w:b/>
                <w:bCs/>
                <w:sz w:val="16"/>
                <w:szCs w:val="16"/>
              </w:rPr>
            </w:pPr>
            <w:r w:rsidRPr="00AC2E7F">
              <w:rPr>
                <w:rFonts w:ascii="Arial" w:hAnsi="Arial" w:cs="Arial"/>
                <w:b/>
                <w:bCs/>
                <w:sz w:val="16"/>
                <w:szCs w:val="16"/>
              </w:rPr>
              <w:t>18,235</w:t>
            </w:r>
          </w:p>
        </w:tc>
        <w:tc>
          <w:tcPr>
            <w:tcW w:w="1080" w:type="dxa"/>
            <w:tcBorders>
              <w:top w:val="double" w:sz="6" w:space="0" w:color="009900"/>
              <w:left w:val="nil"/>
              <w:bottom w:val="single" w:sz="4" w:space="0" w:color="009900"/>
              <w:right w:val="nil"/>
            </w:tcBorders>
            <w:shd w:val="clear" w:color="000000" w:fill="FFFFE1"/>
            <w:noWrap/>
            <w:vAlign w:val="center"/>
            <w:hideMark/>
          </w:tcPr>
          <w:p w:rsidR="00BD68C6" w:rsidRPr="00AC2E7F" w:rsidRDefault="00BD68C6" w:rsidP="00AF45D4">
            <w:pPr>
              <w:jc w:val="center"/>
              <w:rPr>
                <w:rFonts w:ascii="Arial" w:hAnsi="Arial" w:cs="Arial"/>
                <w:b/>
                <w:bCs/>
                <w:sz w:val="16"/>
                <w:szCs w:val="16"/>
              </w:rPr>
            </w:pPr>
            <w:r w:rsidRPr="00AC2E7F">
              <w:rPr>
                <w:rFonts w:ascii="Arial" w:hAnsi="Arial" w:cs="Arial"/>
                <w:b/>
                <w:bCs/>
                <w:sz w:val="16"/>
                <w:szCs w:val="16"/>
              </w:rPr>
              <w:t>23,345</w:t>
            </w:r>
          </w:p>
        </w:tc>
        <w:tc>
          <w:tcPr>
            <w:tcW w:w="1080" w:type="dxa"/>
            <w:tcBorders>
              <w:top w:val="double" w:sz="6" w:space="0" w:color="009900"/>
              <w:left w:val="nil"/>
              <w:bottom w:val="single" w:sz="4" w:space="0" w:color="009900"/>
              <w:right w:val="nil"/>
            </w:tcBorders>
            <w:shd w:val="clear" w:color="000000" w:fill="FFFFE1"/>
            <w:noWrap/>
            <w:vAlign w:val="center"/>
            <w:hideMark/>
          </w:tcPr>
          <w:p w:rsidR="00BD68C6" w:rsidRPr="00AC2E7F" w:rsidRDefault="00BD68C6" w:rsidP="00AF45D4">
            <w:pPr>
              <w:jc w:val="center"/>
              <w:rPr>
                <w:rFonts w:ascii="Arial" w:hAnsi="Arial" w:cs="Arial"/>
                <w:b/>
                <w:bCs/>
                <w:sz w:val="16"/>
                <w:szCs w:val="16"/>
              </w:rPr>
            </w:pPr>
            <w:r w:rsidRPr="00AC2E7F">
              <w:rPr>
                <w:rFonts w:ascii="Arial" w:hAnsi="Arial" w:cs="Arial"/>
                <w:b/>
                <w:bCs/>
                <w:sz w:val="16"/>
                <w:szCs w:val="16"/>
              </w:rPr>
              <w:t>87,435</w:t>
            </w:r>
          </w:p>
        </w:tc>
        <w:tc>
          <w:tcPr>
            <w:tcW w:w="1080" w:type="dxa"/>
            <w:tcBorders>
              <w:top w:val="double" w:sz="6" w:space="0" w:color="009900"/>
              <w:left w:val="nil"/>
              <w:bottom w:val="single" w:sz="4" w:space="0" w:color="009900"/>
              <w:right w:val="single" w:sz="4" w:space="0" w:color="009900"/>
            </w:tcBorders>
            <w:shd w:val="clear" w:color="000000" w:fill="FFFFE1"/>
            <w:noWrap/>
            <w:vAlign w:val="center"/>
            <w:hideMark/>
          </w:tcPr>
          <w:p w:rsidR="00BD68C6" w:rsidRPr="00AC2E7F" w:rsidRDefault="00BD68C6" w:rsidP="00AF45D4">
            <w:pPr>
              <w:jc w:val="center"/>
              <w:rPr>
                <w:rFonts w:ascii="Arial" w:hAnsi="Arial" w:cs="Arial"/>
                <w:b/>
                <w:bCs/>
                <w:sz w:val="16"/>
                <w:szCs w:val="16"/>
              </w:rPr>
            </w:pPr>
            <w:r w:rsidRPr="00AC2E7F">
              <w:rPr>
                <w:rFonts w:ascii="Arial" w:hAnsi="Arial" w:cs="Arial"/>
                <w:b/>
                <w:bCs/>
                <w:sz w:val="16"/>
                <w:szCs w:val="16"/>
              </w:rPr>
              <w:t>229,515</w:t>
            </w:r>
          </w:p>
        </w:tc>
      </w:tr>
    </w:tbl>
    <w:p w:rsidR="00D438C6" w:rsidRPr="005F3668" w:rsidRDefault="00D438C6" w:rsidP="002552B0">
      <w:pPr>
        <w:jc w:val="both"/>
        <w:rPr>
          <w:rFonts w:ascii="CG Omega" w:hAnsi="CG Omega"/>
          <w:highlight w:val="yellow"/>
        </w:rPr>
      </w:pPr>
    </w:p>
    <w:p w:rsidR="00EB7CB2" w:rsidRDefault="00EB7CB2" w:rsidP="002552B0">
      <w:pPr>
        <w:jc w:val="both"/>
        <w:rPr>
          <w:rFonts w:ascii="CG Omega" w:hAnsi="CG Omega"/>
        </w:rPr>
      </w:pPr>
      <w:r w:rsidRPr="00EB7CB2">
        <w:rPr>
          <w:rFonts w:ascii="CG Omega" w:hAnsi="CG Omega"/>
        </w:rPr>
        <w:t xml:space="preserve">There were a total of </w:t>
      </w:r>
      <w:r>
        <w:rPr>
          <w:rFonts w:ascii="CG Omega" w:hAnsi="CG Omega"/>
        </w:rPr>
        <w:t>183,110 households with unmet housing needs</w:t>
      </w:r>
      <w:r w:rsidR="00E540EE">
        <w:rPr>
          <w:rFonts w:ascii="CG Omega" w:hAnsi="CG Omega"/>
        </w:rPr>
        <w:t>,</w:t>
      </w:r>
      <w:r w:rsidR="005F3668">
        <w:rPr>
          <w:rFonts w:ascii="CG Omega" w:hAnsi="CG Omega"/>
        </w:rPr>
        <w:t xml:space="preserve"> as defined by the p</w:t>
      </w:r>
      <w:r w:rsidR="00D8786B">
        <w:rPr>
          <w:rFonts w:ascii="CG Omega" w:hAnsi="CG Omega"/>
        </w:rPr>
        <w:t>r</w:t>
      </w:r>
      <w:r w:rsidR="005F3668">
        <w:rPr>
          <w:rFonts w:ascii="CG Omega" w:hAnsi="CG Omega"/>
        </w:rPr>
        <w:t>e</w:t>
      </w:r>
      <w:r w:rsidR="00D8786B">
        <w:rPr>
          <w:rFonts w:ascii="CG Omega" w:hAnsi="CG Omega"/>
        </w:rPr>
        <w:t>vious section</w:t>
      </w:r>
      <w:r w:rsidR="00E540EE">
        <w:rPr>
          <w:rFonts w:ascii="CG Omega" w:hAnsi="CG Omega"/>
        </w:rPr>
        <w:t>,</w:t>
      </w:r>
      <w:r>
        <w:rPr>
          <w:rFonts w:ascii="CG Omega" w:hAnsi="CG Omega"/>
        </w:rPr>
        <w:t xml:space="preserve"> in 2010. </w:t>
      </w:r>
      <w:r w:rsidR="005F3668">
        <w:rPr>
          <w:rFonts w:ascii="CG Omega" w:hAnsi="CG Omega"/>
        </w:rPr>
        <w:t xml:space="preserve"> </w:t>
      </w:r>
      <w:r>
        <w:rPr>
          <w:rFonts w:ascii="CG Omega" w:hAnsi="CG Omega"/>
        </w:rPr>
        <w:t xml:space="preserve">Of these, there were 91,065 </w:t>
      </w:r>
      <w:r w:rsidR="00BB2854">
        <w:rPr>
          <w:rFonts w:ascii="CG Omega" w:hAnsi="CG Omega"/>
        </w:rPr>
        <w:t>owner occupied</w:t>
      </w:r>
      <w:r>
        <w:rPr>
          <w:rFonts w:ascii="CG Omega" w:hAnsi="CG Omega"/>
        </w:rPr>
        <w:t xml:space="preserve"> households with unmet housing needs and 92,045 </w:t>
      </w:r>
      <w:r w:rsidR="00BB2854">
        <w:rPr>
          <w:rFonts w:ascii="CG Omega" w:hAnsi="CG Omega"/>
        </w:rPr>
        <w:t>renter occupied</w:t>
      </w:r>
      <w:r>
        <w:rPr>
          <w:rFonts w:ascii="CG Omega" w:hAnsi="CG Omega"/>
        </w:rPr>
        <w:t xml:space="preserve"> households with unmet housing needs.</w:t>
      </w:r>
    </w:p>
    <w:p w:rsidR="00EB7CB2" w:rsidRPr="005F3668" w:rsidRDefault="00EB7CB2" w:rsidP="002552B0">
      <w:pPr>
        <w:jc w:val="both"/>
        <w:rPr>
          <w:rFonts w:ascii="CG Omega" w:hAnsi="CG Omega"/>
        </w:rPr>
      </w:pPr>
    </w:p>
    <w:p w:rsidR="00CF4D65" w:rsidRPr="00815780" w:rsidRDefault="00CF4D65" w:rsidP="00BB666B">
      <w:pPr>
        <w:pStyle w:val="FirstHead"/>
      </w:pPr>
      <w:bookmarkStart w:id="78" w:name="_Toc399834572"/>
      <w:r w:rsidRPr="00815780">
        <w:t>E. Lead-Based Paint Hazards and Actions to Overcome Hazards</w:t>
      </w:r>
      <w:bookmarkEnd w:id="78"/>
    </w:p>
    <w:p w:rsidR="00CF4D65" w:rsidRPr="005F3668" w:rsidRDefault="00CF4D65" w:rsidP="00484BF2">
      <w:pPr>
        <w:jc w:val="both"/>
        <w:rPr>
          <w:rFonts w:ascii="CG Omega" w:hAnsi="CG Omega"/>
          <w:b/>
          <w:bCs/>
          <w:smallCaps/>
        </w:rPr>
      </w:pPr>
    </w:p>
    <w:p w:rsidR="008C55A4" w:rsidRPr="005F3668" w:rsidRDefault="008C55A4" w:rsidP="008C55A4">
      <w:pPr>
        <w:jc w:val="both"/>
        <w:rPr>
          <w:rFonts w:ascii="CG Omega" w:hAnsi="CG Omega"/>
        </w:rPr>
      </w:pPr>
      <w:r w:rsidRPr="005F3668">
        <w:rPr>
          <w:rFonts w:ascii="CG Omega" w:hAnsi="CG Omega"/>
          <w:b/>
          <w:bCs/>
          <w:smallCaps/>
        </w:rPr>
        <w:t xml:space="preserve">Lead-Based Paint Hazards </w:t>
      </w:r>
    </w:p>
    <w:p w:rsidR="008C55A4" w:rsidRPr="005F3668" w:rsidRDefault="008C55A4" w:rsidP="008C55A4">
      <w:pPr>
        <w:jc w:val="both"/>
        <w:rPr>
          <w:rFonts w:ascii="CG Omega" w:hAnsi="CG Omega"/>
        </w:rPr>
      </w:pPr>
    </w:p>
    <w:p w:rsidR="008C55A4" w:rsidRPr="00955C8C" w:rsidRDefault="008C55A4" w:rsidP="008C55A4">
      <w:pPr>
        <w:jc w:val="both"/>
        <w:rPr>
          <w:rFonts w:ascii="CG Omega" w:hAnsi="CG Omega"/>
          <w:highlight w:val="yellow"/>
        </w:rPr>
      </w:pPr>
      <w:r w:rsidRPr="003B14F8">
        <w:rPr>
          <w:rFonts w:ascii="CG Omega" w:hAnsi="CG Omega"/>
        </w:rPr>
        <w:t>Older homes, particularly those built prior to 19</w:t>
      </w:r>
      <w:r>
        <w:rPr>
          <w:rFonts w:ascii="CG Omega" w:hAnsi="CG Omega"/>
        </w:rPr>
        <w:t xml:space="preserve">78, have </w:t>
      </w:r>
      <w:r w:rsidRPr="003B14F8">
        <w:rPr>
          <w:rFonts w:ascii="CG Omega" w:hAnsi="CG Omega"/>
        </w:rPr>
        <w:t>a greater likelihood of lead-based paint hazards than homes built after 19</w:t>
      </w:r>
      <w:r>
        <w:rPr>
          <w:rFonts w:ascii="CG Omega" w:hAnsi="CG Omega"/>
        </w:rPr>
        <w:t>78, when lead as an ingredient in paint was banned</w:t>
      </w:r>
      <w:r w:rsidR="00EE72EC">
        <w:rPr>
          <w:rFonts w:ascii="CG Omega" w:hAnsi="CG Omega"/>
        </w:rPr>
        <w:t>.</w:t>
      </w:r>
      <w:r w:rsidRPr="003B14F8">
        <w:rPr>
          <w:rFonts w:ascii="CG Omega" w:hAnsi="CG Omega"/>
        </w:rPr>
        <w:t xml:space="preserve"> Indeed, environmental issues play an important role in the quality of housing. Exposure to lead-based paint, which is more likely to occur in </w:t>
      </w:r>
      <w:r>
        <w:rPr>
          <w:rFonts w:ascii="CG Omega" w:hAnsi="CG Omega"/>
        </w:rPr>
        <w:t xml:space="preserve">these </w:t>
      </w:r>
      <w:r w:rsidRPr="003B14F8">
        <w:rPr>
          <w:rFonts w:ascii="CG Omega" w:hAnsi="CG Omega"/>
        </w:rPr>
        <w:t>older homes, is one of the most significant environmental threats posed to homeowners and renters.</w:t>
      </w:r>
    </w:p>
    <w:p w:rsidR="008C55A4" w:rsidRPr="008C0D1A" w:rsidRDefault="008C55A4" w:rsidP="008C55A4">
      <w:pPr>
        <w:jc w:val="both"/>
        <w:rPr>
          <w:rFonts w:ascii="CG Omega" w:hAnsi="CG Omega"/>
          <w:sz w:val="16"/>
          <w:szCs w:val="16"/>
          <w:highlight w:val="yellow"/>
        </w:rPr>
      </w:pPr>
    </w:p>
    <w:p w:rsidR="008C55A4" w:rsidRDefault="008C55A4" w:rsidP="008C55A4">
      <w:pPr>
        <w:jc w:val="both"/>
        <w:rPr>
          <w:rFonts w:ascii="CG Omega" w:hAnsi="CG Omega"/>
        </w:rPr>
      </w:pPr>
      <w:r w:rsidRPr="003B14F8">
        <w:rPr>
          <w:rFonts w:ascii="CG Omega" w:hAnsi="CG Omega"/>
        </w:rPr>
        <w:t xml:space="preserve">Medical understanding of the harmful effects of lead poisoning on children and adults in both the short- and long-term is increasing. Evidence shows that lead dust is a more serious hazard than ingestion of </w:t>
      </w:r>
      <w:r>
        <w:rPr>
          <w:rFonts w:ascii="CG Omega" w:hAnsi="CG Omega"/>
        </w:rPr>
        <w:t xml:space="preserve">lead-based </w:t>
      </w:r>
      <w:r w:rsidRPr="003B14F8">
        <w:rPr>
          <w:rFonts w:ascii="CG Omega" w:hAnsi="CG Omega"/>
        </w:rPr>
        <w:t xml:space="preserve">paint chips. Dust from surfaces with intact lead-based paint is pervasive and poisonous when inhaled or ingested. Making the situation more difficult is the fact that lead dust is so fine that it cannot be collected by conventional vacuum cleaners. </w:t>
      </w:r>
    </w:p>
    <w:p w:rsidR="005F3668" w:rsidRPr="008C0D1A" w:rsidRDefault="005F3668" w:rsidP="008C55A4">
      <w:pPr>
        <w:jc w:val="both"/>
        <w:rPr>
          <w:rFonts w:ascii="CG Omega" w:hAnsi="CG Omega"/>
        </w:rPr>
      </w:pPr>
    </w:p>
    <w:p w:rsidR="008C55A4" w:rsidRPr="003B14F8" w:rsidRDefault="008C55A4" w:rsidP="008C55A4">
      <w:pPr>
        <w:jc w:val="both"/>
        <w:rPr>
          <w:rFonts w:ascii="CG Omega" w:hAnsi="CG Omega"/>
        </w:rPr>
      </w:pPr>
      <w:r w:rsidRPr="003B14F8">
        <w:rPr>
          <w:rFonts w:ascii="CG Omega" w:hAnsi="CG Omega"/>
        </w:rPr>
        <w:t>Lead-based paint was banned from residential use because of the health risk it posed, particularly to children. Homes built prior to 1980 have some chance of containing lead-based paint on interior or exterior surfaces. The chances increase with the age of the housing units. HUD has established estimates for determining the likelihood of housing units containing lead-based paint. These estimates are as follows:</w:t>
      </w:r>
    </w:p>
    <w:p w:rsidR="008C55A4" w:rsidRPr="005F3668" w:rsidRDefault="008C55A4" w:rsidP="008C55A4">
      <w:pPr>
        <w:jc w:val="both"/>
        <w:rPr>
          <w:rFonts w:ascii="CG Omega" w:hAnsi="CG Omega"/>
        </w:rPr>
      </w:pPr>
    </w:p>
    <w:p w:rsidR="008C55A4" w:rsidRPr="00EA48FE" w:rsidRDefault="008C55A4" w:rsidP="0049477B">
      <w:pPr>
        <w:numPr>
          <w:ilvl w:val="0"/>
          <w:numId w:val="13"/>
        </w:numPr>
        <w:tabs>
          <w:tab w:val="clear" w:pos="1080"/>
          <w:tab w:val="num" w:pos="720"/>
        </w:tabs>
        <w:ind w:left="720"/>
        <w:jc w:val="both"/>
        <w:rPr>
          <w:rFonts w:ascii="CG Omega" w:hAnsi="CG Omega"/>
        </w:rPr>
      </w:pPr>
      <w:r w:rsidRPr="00EA48FE">
        <w:rPr>
          <w:rFonts w:ascii="CG Omega" w:hAnsi="CG Omega"/>
        </w:rPr>
        <w:t>90 percent of units built before 1940</w:t>
      </w:r>
      <w:r w:rsidR="005F3668">
        <w:rPr>
          <w:rFonts w:ascii="CG Omega" w:hAnsi="CG Omega"/>
        </w:rPr>
        <w:t>.</w:t>
      </w:r>
    </w:p>
    <w:p w:rsidR="008C55A4" w:rsidRPr="00EA48FE" w:rsidRDefault="008C55A4" w:rsidP="0049477B">
      <w:pPr>
        <w:numPr>
          <w:ilvl w:val="0"/>
          <w:numId w:val="13"/>
        </w:numPr>
        <w:tabs>
          <w:tab w:val="clear" w:pos="1080"/>
          <w:tab w:val="num" w:pos="720"/>
        </w:tabs>
        <w:ind w:left="720"/>
        <w:jc w:val="both"/>
        <w:rPr>
          <w:rFonts w:ascii="CG Omega" w:hAnsi="CG Omega"/>
        </w:rPr>
      </w:pPr>
      <w:r w:rsidRPr="00EA48FE">
        <w:rPr>
          <w:rFonts w:ascii="CG Omega" w:hAnsi="CG Omega"/>
        </w:rPr>
        <w:t>80 percent of units built from 1940 through 1959</w:t>
      </w:r>
      <w:r w:rsidR="005F3668">
        <w:rPr>
          <w:rFonts w:ascii="CG Omega" w:hAnsi="CG Omega"/>
        </w:rPr>
        <w:t>.</w:t>
      </w:r>
    </w:p>
    <w:p w:rsidR="008C55A4" w:rsidRPr="00EA48FE" w:rsidRDefault="008C55A4" w:rsidP="0049477B">
      <w:pPr>
        <w:numPr>
          <w:ilvl w:val="0"/>
          <w:numId w:val="13"/>
        </w:numPr>
        <w:tabs>
          <w:tab w:val="clear" w:pos="1080"/>
          <w:tab w:val="num" w:pos="720"/>
        </w:tabs>
        <w:ind w:left="720"/>
        <w:jc w:val="both"/>
        <w:rPr>
          <w:rFonts w:ascii="CG Omega" w:hAnsi="CG Omega"/>
        </w:rPr>
      </w:pPr>
      <w:r w:rsidRPr="00EA48FE">
        <w:rPr>
          <w:rFonts w:ascii="CG Omega" w:hAnsi="CG Omega"/>
        </w:rPr>
        <w:t>62 percent of units built from 1960 through 1979.</w:t>
      </w:r>
    </w:p>
    <w:p w:rsidR="008C55A4" w:rsidRPr="005F3668" w:rsidRDefault="008C55A4" w:rsidP="008C55A4">
      <w:pPr>
        <w:jc w:val="both"/>
        <w:rPr>
          <w:rFonts w:ascii="CG Omega" w:hAnsi="CG Omega"/>
          <w:highlight w:val="yellow"/>
        </w:rPr>
      </w:pPr>
    </w:p>
    <w:p w:rsidR="008C55A4" w:rsidRPr="00955C8C" w:rsidRDefault="008C55A4" w:rsidP="008C55A4">
      <w:pPr>
        <w:jc w:val="both"/>
        <w:rPr>
          <w:rFonts w:ascii="CG Omega" w:hAnsi="CG Omega"/>
          <w:highlight w:val="yellow"/>
        </w:rPr>
      </w:pPr>
      <w:r w:rsidRPr="005F3668">
        <w:rPr>
          <w:rFonts w:ascii="CG Omega" w:hAnsi="CG Omega"/>
        </w:rPr>
        <w:t>O</w:t>
      </w:r>
      <w:r w:rsidRPr="00637020">
        <w:rPr>
          <w:rFonts w:ascii="CG Omega" w:hAnsi="CG Omega"/>
        </w:rPr>
        <w:t>ther factors used to determine the risk for lead-based paint problems include the condition of the housing unit, tenure and household income. Households with young children are also at greater risk because young children have more hand-to-mouth activity and absorb lead more readily than adults. The two factors most correlated with higher risks of lead-based paint hazards are residing in rental or lower-income households. Low-income residents are less likely to be able to afford proper maintenance of their homes, leading to issues such as chipped and peeling paint, and renters are not as likely or are not allowed to renovate their rental units.</w:t>
      </w:r>
      <w:r w:rsidRPr="00955C8C">
        <w:rPr>
          <w:rFonts w:ascii="CG Omega" w:hAnsi="CG Omega"/>
          <w:highlight w:val="yellow"/>
        </w:rPr>
        <w:t xml:space="preserve"> </w:t>
      </w:r>
    </w:p>
    <w:p w:rsidR="008C55A4" w:rsidRPr="005F3668" w:rsidRDefault="008C55A4" w:rsidP="008C55A4">
      <w:pPr>
        <w:pStyle w:val="BodyText"/>
        <w:rPr>
          <w:rFonts w:ascii="CG Omega" w:hAnsi="CG Omega"/>
          <w:bCs/>
          <w:szCs w:val="24"/>
        </w:rPr>
      </w:pPr>
    </w:p>
    <w:p w:rsidR="008C55A4" w:rsidRPr="005F3668" w:rsidRDefault="008C55A4" w:rsidP="008C55A4">
      <w:pPr>
        <w:jc w:val="both"/>
        <w:rPr>
          <w:rFonts w:ascii="CG Omega" w:hAnsi="CG Omega"/>
          <w:b/>
        </w:rPr>
      </w:pPr>
      <w:r w:rsidRPr="005F3668">
        <w:rPr>
          <w:rFonts w:ascii="CG Omega" w:hAnsi="CG Omega"/>
          <w:b/>
        </w:rPr>
        <w:t>National Efforts to Reduce Lead-Based Paint Hazards</w:t>
      </w:r>
    </w:p>
    <w:p w:rsidR="008C55A4" w:rsidRPr="005F3668" w:rsidRDefault="008C55A4" w:rsidP="008C55A4">
      <w:pPr>
        <w:jc w:val="both"/>
        <w:rPr>
          <w:rFonts w:ascii="CG Omega" w:hAnsi="CG Omega"/>
          <w:b/>
        </w:rPr>
      </w:pPr>
    </w:p>
    <w:p w:rsidR="008C55A4" w:rsidRPr="00637020" w:rsidRDefault="008C55A4" w:rsidP="008C55A4">
      <w:pPr>
        <w:pStyle w:val="NormalWeb"/>
        <w:spacing w:before="0" w:beforeAutospacing="0" w:after="0" w:afterAutospacing="0"/>
        <w:jc w:val="both"/>
        <w:rPr>
          <w:rFonts w:ascii="CG Omega" w:hAnsi="CG Omega"/>
        </w:rPr>
      </w:pPr>
      <w:r w:rsidRPr="00637020">
        <w:rPr>
          <w:rFonts w:ascii="CG Omega" w:hAnsi="CG Omega"/>
        </w:rPr>
        <w:t>In 1991 Congress formed HUD's Office of Healthy Homes and Lead Hazard Control to eradicate lead-based paint hazards in privately-owned and low-income housing in the U</w:t>
      </w:r>
      <w:r w:rsidR="005F3668">
        <w:rPr>
          <w:rFonts w:ascii="CG Omega" w:hAnsi="CG Omega"/>
        </w:rPr>
        <w:t>nited States.</w:t>
      </w:r>
      <w:r w:rsidRPr="00637020">
        <w:rPr>
          <w:rFonts w:ascii="CG Omega" w:hAnsi="CG Omega"/>
        </w:rPr>
        <w:t xml:space="preserve">  One way it has done this is by providing grants for communities to address their own lead paint hazards.  Other responsibilities of this office are enforcement of HUD’s lead-based paint regulations, public outreach and technical assistance, and technical studies to help protect children and their families from health and safety hazards in the home.</w:t>
      </w:r>
      <w:r w:rsidRPr="00637020">
        <w:rPr>
          <w:rStyle w:val="FootnoteReference"/>
          <w:rFonts w:ascii="CG Omega" w:hAnsi="CG Omega"/>
        </w:rPr>
        <w:footnoteReference w:id="14"/>
      </w:r>
      <w:r w:rsidRPr="00637020">
        <w:rPr>
          <w:rFonts w:ascii="CG Omega" w:hAnsi="CG Omega"/>
        </w:rPr>
        <w:t xml:space="preserve"> </w:t>
      </w:r>
    </w:p>
    <w:p w:rsidR="008C55A4" w:rsidRPr="005F3668" w:rsidRDefault="008C55A4" w:rsidP="008C55A4">
      <w:pPr>
        <w:pStyle w:val="NormalWeb"/>
        <w:spacing w:before="0" w:beforeAutospacing="0" w:after="0" w:afterAutospacing="0"/>
        <w:jc w:val="both"/>
        <w:rPr>
          <w:rFonts w:ascii="CG Omega" w:hAnsi="CG Omega"/>
        </w:rPr>
      </w:pPr>
    </w:p>
    <w:p w:rsidR="008C55A4" w:rsidRPr="00637020" w:rsidRDefault="008C55A4" w:rsidP="008C55A4">
      <w:pPr>
        <w:pStyle w:val="NormalWeb"/>
        <w:spacing w:before="0" w:beforeAutospacing="0" w:after="0" w:afterAutospacing="0"/>
        <w:jc w:val="both"/>
        <w:rPr>
          <w:rFonts w:ascii="CG Omega" w:hAnsi="CG Omega"/>
        </w:rPr>
      </w:pPr>
      <w:r w:rsidRPr="00637020">
        <w:rPr>
          <w:rFonts w:ascii="CG Omega" w:hAnsi="CG Omega"/>
        </w:rPr>
        <w:t xml:space="preserve">Then in 1992, to address the problem more directly, Congress passed the Residential Lead-Based Paint Hazard Reduction Act, also known as Title X, which developed a comprehensive federal strategy for reducing lead exposure from paint, dust and soil, and provided authority for several rules and regulations, including the following: </w:t>
      </w:r>
    </w:p>
    <w:p w:rsidR="008C55A4" w:rsidRPr="008C0D1A" w:rsidRDefault="008C55A4" w:rsidP="008C55A4">
      <w:pPr>
        <w:pStyle w:val="NormalWeb"/>
        <w:spacing w:before="0" w:beforeAutospacing="0" w:after="0" w:afterAutospacing="0"/>
        <w:jc w:val="both"/>
        <w:rPr>
          <w:rFonts w:ascii="CG Omega" w:hAnsi="CG Omega"/>
          <w:sz w:val="16"/>
          <w:szCs w:val="16"/>
        </w:rPr>
      </w:pPr>
    </w:p>
    <w:p w:rsidR="008C55A4" w:rsidRPr="005F3668" w:rsidRDefault="008C55A4" w:rsidP="0049477B">
      <w:pPr>
        <w:pStyle w:val="NormalWeb"/>
        <w:numPr>
          <w:ilvl w:val="0"/>
          <w:numId w:val="6"/>
        </w:numPr>
        <w:spacing w:before="0" w:beforeAutospacing="0" w:after="0" w:afterAutospacing="0"/>
        <w:jc w:val="both"/>
        <w:rPr>
          <w:rFonts w:ascii="CG Omega" w:hAnsi="CG Omega"/>
        </w:rPr>
      </w:pPr>
      <w:r w:rsidRPr="005F3668">
        <w:rPr>
          <w:rFonts w:ascii="CG Omega" w:hAnsi="CG Omega"/>
          <w:b/>
        </w:rPr>
        <w:t>Lead Safe Housing Rule</w:t>
      </w:r>
      <w:r w:rsidRPr="005F3668">
        <w:rPr>
          <w:rFonts w:ascii="CG Omega" w:hAnsi="CG Omega"/>
        </w:rPr>
        <w:t xml:space="preserve"> – mandates that federally-assisted or owned housing facilities notify residents about, evaluate, and reduce lead-based paint hazards.</w:t>
      </w:r>
    </w:p>
    <w:p w:rsidR="008C55A4" w:rsidRPr="005F3668" w:rsidRDefault="008C55A4" w:rsidP="0049477B">
      <w:pPr>
        <w:pStyle w:val="NormalWeb"/>
        <w:numPr>
          <w:ilvl w:val="0"/>
          <w:numId w:val="6"/>
        </w:numPr>
        <w:spacing w:before="0" w:beforeAutospacing="0" w:after="0" w:afterAutospacing="0"/>
        <w:jc w:val="both"/>
        <w:rPr>
          <w:rFonts w:ascii="CG Omega" w:hAnsi="CG Omega"/>
        </w:rPr>
      </w:pPr>
      <w:r w:rsidRPr="005F3668">
        <w:rPr>
          <w:rFonts w:ascii="CG Omega" w:hAnsi="CG Omega"/>
          <w:b/>
        </w:rPr>
        <w:t>Lead Disclosure Rule</w:t>
      </w:r>
      <w:r w:rsidRPr="005F3668">
        <w:rPr>
          <w:rFonts w:ascii="CG Omega" w:hAnsi="CG Omega"/>
        </w:rPr>
        <w:t xml:space="preserve"> – requires homeowners to disclose all known lead-based paint hazards when selling or leasing a residential property built before 1978. Violations of the Lead Disclosure Rule may result in civil money penalties of up to $11,000 per violation.</w:t>
      </w:r>
      <w:r w:rsidRPr="005F3668">
        <w:rPr>
          <w:rStyle w:val="FootnoteReference"/>
          <w:rFonts w:ascii="CG Omega" w:hAnsi="CG Omega"/>
        </w:rPr>
        <w:footnoteReference w:id="15"/>
      </w:r>
      <w:r w:rsidRPr="005F3668">
        <w:rPr>
          <w:rFonts w:ascii="CG Omega" w:hAnsi="CG Omega"/>
        </w:rPr>
        <w:t xml:space="preserve"> </w:t>
      </w:r>
    </w:p>
    <w:p w:rsidR="008C55A4" w:rsidRPr="005F3668" w:rsidRDefault="008C55A4" w:rsidP="0049477B">
      <w:pPr>
        <w:pStyle w:val="NormalWeb"/>
        <w:numPr>
          <w:ilvl w:val="0"/>
          <w:numId w:val="6"/>
        </w:numPr>
        <w:spacing w:before="0" w:beforeAutospacing="0" w:after="0" w:afterAutospacing="0"/>
        <w:jc w:val="both"/>
        <w:rPr>
          <w:rFonts w:ascii="CG Omega" w:hAnsi="CG Omega"/>
        </w:rPr>
      </w:pPr>
      <w:r w:rsidRPr="005F3668">
        <w:rPr>
          <w:rFonts w:ascii="CG Omega" w:hAnsi="CG Omega"/>
          <w:b/>
        </w:rPr>
        <w:t>Pre-Renovation Education Rule</w:t>
      </w:r>
      <w:r w:rsidRPr="005F3668">
        <w:rPr>
          <w:rFonts w:ascii="CG Omega" w:hAnsi="CG Omega"/>
        </w:rPr>
        <w:t xml:space="preserve"> – ensures that owners and occupants of most pre-1978 housing are given information about potential hazards of lead-based paint exposure before certain renovations happen on that unit.</w:t>
      </w:r>
    </w:p>
    <w:p w:rsidR="008C55A4" w:rsidRPr="00637020" w:rsidRDefault="008C55A4" w:rsidP="0049477B">
      <w:pPr>
        <w:pStyle w:val="NormalWeb"/>
        <w:numPr>
          <w:ilvl w:val="0"/>
          <w:numId w:val="6"/>
        </w:numPr>
        <w:spacing w:before="0" w:beforeAutospacing="0" w:after="0" w:afterAutospacing="0"/>
        <w:jc w:val="both"/>
        <w:rPr>
          <w:rFonts w:ascii="CG Omega" w:hAnsi="CG Omega"/>
          <w:sz w:val="22"/>
          <w:szCs w:val="22"/>
        </w:rPr>
      </w:pPr>
      <w:r w:rsidRPr="005F3668">
        <w:rPr>
          <w:rFonts w:ascii="CG Omega" w:hAnsi="CG Omega"/>
          <w:b/>
        </w:rPr>
        <w:t>Lead Renovation, Repair and Painting Program Rule</w:t>
      </w:r>
      <w:r w:rsidRPr="005F3668">
        <w:rPr>
          <w:rFonts w:ascii="CG Omega" w:hAnsi="CG Omega"/>
        </w:rPr>
        <w:t xml:space="preserve"> – establishes standards for anyone engaging in target housing renovation that creates lead-based paint hazards</w:t>
      </w:r>
      <w:r w:rsidRPr="00637020">
        <w:rPr>
          <w:rFonts w:ascii="CG Omega" w:hAnsi="CG Omega"/>
          <w:sz w:val="22"/>
          <w:szCs w:val="22"/>
        </w:rPr>
        <w:t>.</w:t>
      </w:r>
      <w:r w:rsidRPr="00637020">
        <w:rPr>
          <w:rStyle w:val="FootnoteReference"/>
          <w:rFonts w:ascii="CG Omega" w:hAnsi="CG Omega"/>
          <w:sz w:val="22"/>
          <w:szCs w:val="22"/>
        </w:rPr>
        <w:footnoteReference w:id="16"/>
      </w:r>
      <w:r w:rsidRPr="00637020">
        <w:rPr>
          <w:rFonts w:ascii="CG Omega" w:hAnsi="CG Omega"/>
          <w:sz w:val="22"/>
          <w:szCs w:val="22"/>
        </w:rPr>
        <w:t xml:space="preserve"> </w:t>
      </w:r>
    </w:p>
    <w:p w:rsidR="008C55A4" w:rsidRPr="005F3668" w:rsidRDefault="008C55A4" w:rsidP="008C55A4">
      <w:pPr>
        <w:pStyle w:val="NormalWeb"/>
        <w:spacing w:before="0" w:beforeAutospacing="0" w:after="0" w:afterAutospacing="0"/>
        <w:jc w:val="both"/>
        <w:rPr>
          <w:rFonts w:ascii="CG Omega" w:hAnsi="CG Omega"/>
        </w:rPr>
      </w:pPr>
    </w:p>
    <w:p w:rsidR="008C55A4" w:rsidRPr="005F3668" w:rsidRDefault="008C55A4" w:rsidP="008C55A4">
      <w:pPr>
        <w:pStyle w:val="NormalWeb"/>
        <w:spacing w:before="0" w:beforeAutospacing="0" w:after="0" w:afterAutospacing="0"/>
        <w:jc w:val="both"/>
        <w:rPr>
          <w:rFonts w:ascii="CG Omega" w:hAnsi="CG Omega"/>
        </w:rPr>
      </w:pPr>
      <w:r w:rsidRPr="005F3668">
        <w:rPr>
          <w:rFonts w:ascii="CG Omega" w:hAnsi="CG Omega"/>
        </w:rPr>
        <w:t xml:space="preserve">A ten-year goal was set in February 2000 by President Clinton’s Task Force on Environmental Health Risks and Safety Risks to Children to eliminate childhood lead poisoning in the </w:t>
      </w:r>
      <w:r w:rsidR="005F3668" w:rsidRPr="005F3668">
        <w:rPr>
          <w:rFonts w:ascii="CG Omega" w:hAnsi="CG Omega"/>
        </w:rPr>
        <w:t>United States</w:t>
      </w:r>
      <w:r w:rsidRPr="005F3668">
        <w:rPr>
          <w:rFonts w:ascii="CG Omega" w:hAnsi="CG Omega"/>
        </w:rPr>
        <w:t>. as a major public health issue by 2010.  As a means to achieve this goal, they released the following four broad recommendations in their “Eliminating Childhood Lead Poisoning: A Federal Strategy Targeting Lead Paint Hazards,” report:</w:t>
      </w:r>
    </w:p>
    <w:p w:rsidR="008C55A4" w:rsidRPr="005F3668" w:rsidRDefault="008C55A4" w:rsidP="008C55A4">
      <w:pPr>
        <w:pStyle w:val="NormalWeb"/>
        <w:spacing w:before="0" w:beforeAutospacing="0" w:after="0" w:afterAutospacing="0"/>
        <w:jc w:val="both"/>
        <w:rPr>
          <w:rFonts w:ascii="CG Omega" w:hAnsi="CG Omega"/>
        </w:rPr>
      </w:pPr>
    </w:p>
    <w:p w:rsidR="008C55A4" w:rsidRPr="005F3668" w:rsidRDefault="008C55A4" w:rsidP="0049477B">
      <w:pPr>
        <w:pStyle w:val="NormalWeb"/>
        <w:numPr>
          <w:ilvl w:val="0"/>
          <w:numId w:val="7"/>
        </w:numPr>
        <w:spacing w:before="0" w:beforeAutospacing="0" w:after="0" w:afterAutospacing="0"/>
        <w:jc w:val="both"/>
        <w:rPr>
          <w:rFonts w:ascii="CG Omega" w:hAnsi="CG Omega"/>
        </w:rPr>
      </w:pPr>
      <w:r w:rsidRPr="005F3668">
        <w:rPr>
          <w:rFonts w:ascii="CG Omega" w:hAnsi="CG Omega"/>
          <w:b/>
        </w:rPr>
        <w:t>Prevent lead exposure in children</w:t>
      </w:r>
      <w:r w:rsidRPr="005F3668">
        <w:rPr>
          <w:rFonts w:ascii="CG Omega" w:hAnsi="CG Omega"/>
        </w:rPr>
        <w:t xml:space="preserve"> by, among other actions, increasing the availability of lead-safe dwellings through increased funding of HUD’s lead hazard control program, controlling lead paint hazards, educating the public about lead-safe painting, renovation and maintenance work, and enforcing compliance with lead paint laws.</w:t>
      </w:r>
    </w:p>
    <w:p w:rsidR="008C55A4" w:rsidRPr="005F3668" w:rsidRDefault="008C55A4" w:rsidP="0049477B">
      <w:pPr>
        <w:pStyle w:val="NormalWeb"/>
        <w:numPr>
          <w:ilvl w:val="0"/>
          <w:numId w:val="7"/>
        </w:numPr>
        <w:spacing w:before="0" w:beforeAutospacing="0" w:after="0" w:afterAutospacing="0"/>
        <w:jc w:val="both"/>
        <w:rPr>
          <w:rFonts w:ascii="CG Omega" w:hAnsi="CG Omega"/>
        </w:rPr>
      </w:pPr>
      <w:r w:rsidRPr="005F3668">
        <w:rPr>
          <w:rFonts w:ascii="CG Omega" w:hAnsi="CG Omega"/>
          <w:b/>
        </w:rPr>
        <w:t>Increase early intervention to identify and care for lead-poisoned children</w:t>
      </w:r>
      <w:r w:rsidRPr="005F3668">
        <w:rPr>
          <w:rFonts w:ascii="CG Omega" w:hAnsi="CG Omega"/>
        </w:rPr>
        <w:t xml:space="preserve"> through screening and follow-up services for at-risk children, especially Medicaid-eligible children, and increasing coordination between federal, state and local agencies who are responsible for lead hazard control, among other measures.</w:t>
      </w:r>
    </w:p>
    <w:p w:rsidR="008C55A4" w:rsidRPr="005F3668" w:rsidRDefault="008C55A4" w:rsidP="0049477B">
      <w:pPr>
        <w:pStyle w:val="NormalWeb"/>
        <w:numPr>
          <w:ilvl w:val="0"/>
          <w:numId w:val="7"/>
        </w:numPr>
        <w:spacing w:before="0" w:beforeAutospacing="0" w:after="0" w:afterAutospacing="0"/>
        <w:jc w:val="both"/>
        <w:rPr>
          <w:rFonts w:ascii="CG Omega" w:hAnsi="CG Omega"/>
        </w:rPr>
      </w:pPr>
      <w:r w:rsidRPr="005F3668">
        <w:rPr>
          <w:rFonts w:ascii="CG Omega" w:hAnsi="CG Omega"/>
          <w:b/>
        </w:rPr>
        <w:t>Conduct research</w:t>
      </w:r>
      <w:r w:rsidRPr="005F3668">
        <w:rPr>
          <w:rFonts w:ascii="CG Omega" w:hAnsi="CG Omega"/>
        </w:rPr>
        <w:t xml:space="preserve"> to, for example, develop new lead hazard control technologies, improve prevention strategies, promote innovative ways to decrease lead hazard control costs, and quantify the ways in which children are exposed to lead.</w:t>
      </w:r>
    </w:p>
    <w:p w:rsidR="008C55A4" w:rsidRPr="005F3668" w:rsidRDefault="008C55A4" w:rsidP="0049477B">
      <w:pPr>
        <w:pStyle w:val="NormalWeb"/>
        <w:numPr>
          <w:ilvl w:val="0"/>
          <w:numId w:val="7"/>
        </w:numPr>
        <w:spacing w:before="0" w:beforeAutospacing="0" w:after="0" w:afterAutospacing="0"/>
        <w:jc w:val="both"/>
        <w:rPr>
          <w:rFonts w:ascii="CG Omega" w:hAnsi="CG Omega"/>
        </w:rPr>
      </w:pPr>
      <w:r w:rsidRPr="005F3668">
        <w:rPr>
          <w:rFonts w:ascii="CG Omega" w:hAnsi="CG Omega"/>
          <w:b/>
        </w:rPr>
        <w:t>Measure progress and refine lead poisoning prevention strategies</w:t>
      </w:r>
      <w:r w:rsidRPr="005F3668">
        <w:rPr>
          <w:rFonts w:ascii="CG Omega" w:hAnsi="CG Omega"/>
        </w:rPr>
        <w:t xml:space="preserve"> by, for instance, implementing monitoring and surveillance programs.</w:t>
      </w:r>
    </w:p>
    <w:p w:rsidR="008C55A4" w:rsidRPr="008C0D1A" w:rsidRDefault="008C55A4" w:rsidP="008C55A4">
      <w:pPr>
        <w:pStyle w:val="NormalWeb"/>
        <w:spacing w:before="0" w:beforeAutospacing="0" w:after="0" w:afterAutospacing="0"/>
        <w:jc w:val="both"/>
        <w:rPr>
          <w:rFonts w:ascii="CG Omega" w:hAnsi="CG Omega"/>
          <w:b/>
          <w:sz w:val="16"/>
          <w:szCs w:val="16"/>
        </w:rPr>
      </w:pPr>
    </w:p>
    <w:p w:rsidR="008C55A4" w:rsidRDefault="008C55A4" w:rsidP="008C55A4">
      <w:pPr>
        <w:pStyle w:val="BodyText"/>
        <w:rPr>
          <w:rFonts w:ascii="CG Omega" w:hAnsi="CG Omega"/>
        </w:rPr>
      </w:pPr>
      <w:r>
        <w:rPr>
          <w:rFonts w:ascii="CG Omega" w:hAnsi="CG Omega"/>
        </w:rPr>
        <w:t>Continuing these efforts, the U.S. Department of Health and Human Services</w:t>
      </w:r>
      <w:r w:rsidR="005F3668">
        <w:rPr>
          <w:rFonts w:ascii="CG Omega" w:hAnsi="CG Omega"/>
        </w:rPr>
        <w:t xml:space="preserve"> (HHS)</w:t>
      </w:r>
      <w:r>
        <w:rPr>
          <w:rFonts w:ascii="CG Omega" w:hAnsi="CG Omega"/>
        </w:rPr>
        <w:t xml:space="preserve"> launched Healthy People 2020, which included the goal of eliminating childhood blood lead levels ≥10</w:t>
      </w:r>
      <w:r w:rsidRPr="002C13E1">
        <w:rPr>
          <w:rFonts w:ascii="CG Omega" w:hAnsi="CG Omega"/>
        </w:rPr>
        <w:t xml:space="preserve"> </w:t>
      </w:r>
      <w:r w:rsidRPr="00375D1A">
        <w:rPr>
          <w:rFonts w:ascii="CG Omega" w:hAnsi="CG Omega"/>
        </w:rPr>
        <w:t>µg/dL</w:t>
      </w:r>
      <w:r>
        <w:rPr>
          <w:rFonts w:ascii="CG Omega" w:hAnsi="CG Omega"/>
        </w:rPr>
        <w:t>.</w:t>
      </w:r>
      <w:r>
        <w:rPr>
          <w:rStyle w:val="FootnoteReference"/>
          <w:rFonts w:ascii="CG Omega" w:hAnsi="CG Omega"/>
        </w:rPr>
        <w:footnoteReference w:id="17"/>
      </w:r>
      <w:r>
        <w:rPr>
          <w:rFonts w:ascii="CG Omega" w:hAnsi="CG Omega"/>
        </w:rPr>
        <w:t xml:space="preserve">  As part of the National Center for Environmental Health, the program works with other agencies to address the problem of unhealthy and unsafe housing through surveillance, research and comprehensive prevention programs.</w:t>
      </w:r>
      <w:r>
        <w:rPr>
          <w:rStyle w:val="FootnoteReference"/>
          <w:rFonts w:ascii="CG Omega" w:hAnsi="CG Omega"/>
        </w:rPr>
        <w:footnoteReference w:id="18"/>
      </w:r>
    </w:p>
    <w:p w:rsidR="000B66F9" w:rsidRPr="005F3668" w:rsidRDefault="000B66F9" w:rsidP="008C55A4">
      <w:pPr>
        <w:pStyle w:val="BodyText"/>
        <w:rPr>
          <w:rFonts w:ascii="CG Omega" w:hAnsi="CG Omega"/>
          <w:szCs w:val="24"/>
        </w:rPr>
      </w:pPr>
    </w:p>
    <w:p w:rsidR="000B66F9" w:rsidRPr="005F3668" w:rsidRDefault="000B66F9" w:rsidP="008C55A4">
      <w:pPr>
        <w:pStyle w:val="BodyText"/>
        <w:rPr>
          <w:rFonts w:ascii="CG Omega" w:hAnsi="CG Omega"/>
          <w:szCs w:val="24"/>
        </w:rPr>
      </w:pPr>
      <w:r w:rsidRPr="005F3668">
        <w:rPr>
          <w:rFonts w:ascii="CG Omega" w:hAnsi="CG Omega"/>
          <w:szCs w:val="24"/>
        </w:rPr>
        <w:t xml:space="preserve">In 2010, the Environmental Protection Agency (EPA) enacted the Lead Renovation, Repair, and Painting Rule (RRP).  This rule requires that any firms performing renovation, repair, and painting projects that disturb lead-based paint in homes, </w:t>
      </w:r>
      <w:r w:rsidR="00B71DBB" w:rsidRPr="005F3668">
        <w:rPr>
          <w:rFonts w:ascii="CG Omega" w:hAnsi="CG Omega"/>
          <w:szCs w:val="24"/>
        </w:rPr>
        <w:t>childcare</w:t>
      </w:r>
      <w:r w:rsidRPr="005F3668">
        <w:rPr>
          <w:rFonts w:ascii="CG Omega" w:hAnsi="CG Omega"/>
          <w:szCs w:val="24"/>
        </w:rPr>
        <w:t xml:space="preserve"> facilities and pre-schools built before 1978 must be certified by the EPA.</w:t>
      </w:r>
      <w:r w:rsidRPr="005F3668">
        <w:rPr>
          <w:rStyle w:val="FootnoteReference"/>
          <w:rFonts w:ascii="CG Omega" w:hAnsi="CG Omega"/>
          <w:szCs w:val="24"/>
        </w:rPr>
        <w:footnoteReference w:id="19"/>
      </w:r>
    </w:p>
    <w:p w:rsidR="008C55A4" w:rsidRPr="005F3668" w:rsidRDefault="008C55A4" w:rsidP="008C55A4">
      <w:pPr>
        <w:pStyle w:val="BodyText"/>
        <w:rPr>
          <w:rFonts w:ascii="CG Omega" w:hAnsi="CG Omega"/>
          <w:bCs/>
          <w:szCs w:val="24"/>
          <w:highlight w:val="yellow"/>
        </w:rPr>
      </w:pPr>
    </w:p>
    <w:p w:rsidR="008C55A4" w:rsidRPr="005F3668" w:rsidRDefault="008C55A4" w:rsidP="008C55A4">
      <w:pPr>
        <w:jc w:val="both"/>
        <w:rPr>
          <w:rFonts w:ascii="CG Omega" w:hAnsi="CG Omega"/>
          <w:b/>
          <w:bCs/>
        </w:rPr>
      </w:pPr>
      <w:r w:rsidRPr="005F3668">
        <w:rPr>
          <w:rFonts w:ascii="CG Omega" w:hAnsi="CG Omega"/>
          <w:b/>
          <w:bCs/>
        </w:rPr>
        <w:t>Lead-Based Paint Hazards for Children</w:t>
      </w:r>
    </w:p>
    <w:p w:rsidR="008C55A4" w:rsidRPr="005F3668" w:rsidRDefault="008C55A4" w:rsidP="008C55A4">
      <w:pPr>
        <w:jc w:val="both"/>
        <w:rPr>
          <w:rFonts w:ascii="CG Omega" w:hAnsi="CG Omega"/>
          <w:b/>
          <w:bCs/>
          <w:i/>
        </w:rPr>
      </w:pPr>
    </w:p>
    <w:p w:rsidR="008C55A4" w:rsidRPr="00637020" w:rsidRDefault="008C55A4" w:rsidP="008C55A4">
      <w:pPr>
        <w:jc w:val="both"/>
        <w:rPr>
          <w:rFonts w:ascii="CG Omega" w:hAnsi="CG Omega"/>
        </w:rPr>
      </w:pPr>
      <w:r w:rsidRPr="00637020">
        <w:rPr>
          <w:rFonts w:ascii="CG Omega" w:hAnsi="CG Omega"/>
        </w:rPr>
        <w:t xml:space="preserve">Children’s exposure to lead has decreased dramatically over the past few decades due to federal mandates that lead be phased out of items such as gasoline, food and beverage cans, water pipes, and industrial emissions.  However, despite a ban in 1978 on the use of lead in new paint, children living in older homes are still at risk from deteriorating lead-based paint and its resulting lead contaminated household dust and soil.  Today lead-based paint in older housing remains </w:t>
      </w:r>
      <w:r>
        <w:rPr>
          <w:rFonts w:ascii="CG Omega" w:hAnsi="CG Omega"/>
        </w:rPr>
        <w:t xml:space="preserve">one of </w:t>
      </w:r>
      <w:r w:rsidRPr="00637020">
        <w:rPr>
          <w:rFonts w:ascii="CG Omega" w:hAnsi="CG Omega"/>
        </w:rPr>
        <w:t>the most common source</w:t>
      </w:r>
      <w:r>
        <w:rPr>
          <w:rFonts w:ascii="CG Omega" w:hAnsi="CG Omega"/>
        </w:rPr>
        <w:t>s</w:t>
      </w:r>
      <w:r w:rsidRPr="00637020">
        <w:rPr>
          <w:rFonts w:ascii="CG Omega" w:hAnsi="CG Omega"/>
        </w:rPr>
        <w:t xml:space="preserve"> of lead exposure for children</w:t>
      </w:r>
      <w:r>
        <w:rPr>
          <w:rStyle w:val="FootnoteReference"/>
          <w:rFonts w:ascii="CG Omega" w:hAnsi="CG Omega"/>
        </w:rPr>
        <w:footnoteReference w:id="20"/>
      </w:r>
      <w:r w:rsidRPr="00637020">
        <w:rPr>
          <w:rFonts w:ascii="CG Omega" w:hAnsi="CG Omega"/>
        </w:rPr>
        <w:t>.</w:t>
      </w:r>
    </w:p>
    <w:p w:rsidR="008C55A4" w:rsidRPr="005F3668" w:rsidRDefault="008C55A4" w:rsidP="008C55A4">
      <w:pPr>
        <w:jc w:val="both"/>
        <w:rPr>
          <w:rFonts w:ascii="CG Omega" w:hAnsi="CG Omega"/>
          <w:highlight w:val="yellow"/>
        </w:rPr>
      </w:pPr>
    </w:p>
    <w:p w:rsidR="008C55A4" w:rsidRPr="005F3668" w:rsidRDefault="008C55A4" w:rsidP="008C55A4">
      <w:pPr>
        <w:jc w:val="both"/>
        <w:rPr>
          <w:rFonts w:ascii="CG Omega" w:hAnsi="CG Omega"/>
        </w:rPr>
      </w:pPr>
      <w:r w:rsidRPr="005F3668">
        <w:rPr>
          <w:rFonts w:ascii="CG Omega" w:hAnsi="CG Omega"/>
        </w:rPr>
        <w:t>Thirty-eight million housing units in the United States had lead-based paint during a 1998 to 2000 survey, down from the 1990 estimate of 64 million. Still, 24 million housing units in the survey contained significant lead-based paint hazards. Of those with hazards, 1.2 million were homes to low-income families with children under 6 years of age.</w:t>
      </w:r>
      <w:r w:rsidRPr="005F3668">
        <w:rPr>
          <w:rStyle w:val="FootnoteReference"/>
          <w:rFonts w:ascii="CG Omega" w:hAnsi="CG Omega"/>
        </w:rPr>
        <w:footnoteReference w:id="21"/>
      </w:r>
      <w:r w:rsidRPr="005F3668">
        <w:rPr>
          <w:rFonts w:ascii="CG Omega" w:hAnsi="CG Omega"/>
        </w:rPr>
        <w:t xml:space="preserve">  </w:t>
      </w:r>
    </w:p>
    <w:p w:rsidR="008C55A4" w:rsidRPr="005F3668" w:rsidRDefault="008C55A4" w:rsidP="008C55A4">
      <w:pPr>
        <w:jc w:val="both"/>
        <w:rPr>
          <w:rFonts w:ascii="CG Omega" w:hAnsi="CG Omega"/>
          <w:highlight w:val="yellow"/>
        </w:rPr>
      </w:pPr>
    </w:p>
    <w:p w:rsidR="008C55A4" w:rsidRPr="005F3668" w:rsidRDefault="008C55A4" w:rsidP="008C55A4">
      <w:pPr>
        <w:jc w:val="both"/>
        <w:rPr>
          <w:rFonts w:ascii="CG Omega" w:hAnsi="CG Omega"/>
          <w:b/>
        </w:rPr>
      </w:pPr>
      <w:r w:rsidRPr="005F3668">
        <w:rPr>
          <w:rFonts w:ascii="CG Omega" w:hAnsi="CG Omega"/>
          <w:b/>
        </w:rPr>
        <w:t>National Efforts to Reduce Lead Exposure in Children</w:t>
      </w:r>
    </w:p>
    <w:p w:rsidR="008C55A4" w:rsidRPr="005F3668" w:rsidRDefault="008C55A4" w:rsidP="008C55A4">
      <w:pPr>
        <w:jc w:val="both"/>
        <w:rPr>
          <w:rFonts w:ascii="CG Omega" w:hAnsi="CG Omega"/>
          <w:i/>
        </w:rPr>
      </w:pPr>
    </w:p>
    <w:p w:rsidR="008C55A4" w:rsidRPr="00375D1A" w:rsidRDefault="008C55A4" w:rsidP="008C55A4">
      <w:pPr>
        <w:jc w:val="both"/>
        <w:rPr>
          <w:rFonts w:ascii="CG Omega" w:hAnsi="CG Omega"/>
        </w:rPr>
      </w:pPr>
      <w:r w:rsidRPr="00375D1A">
        <w:rPr>
          <w:rFonts w:ascii="CG Omega" w:hAnsi="CG Omega"/>
        </w:rPr>
        <w:t xml:space="preserve">There have been a number of substantive steps taken by the </w:t>
      </w:r>
      <w:r w:rsidR="005F3668">
        <w:rPr>
          <w:rFonts w:ascii="CG Omega" w:hAnsi="CG Omega"/>
        </w:rPr>
        <w:t>United States</w:t>
      </w:r>
      <w:r w:rsidRPr="00375D1A">
        <w:rPr>
          <w:rFonts w:ascii="CG Omega" w:hAnsi="CG Omega"/>
        </w:rPr>
        <w:t>. to reduce and eliminate blood lead poisoning in children. The Lead Contamination Control Act (LCCA) of 1988 authorized the Centers for Disease Control and Prevention (CDC</w:t>
      </w:r>
      <w:r w:rsidR="00F56A40">
        <w:rPr>
          <w:rFonts w:ascii="CG Omega" w:hAnsi="CG Omega"/>
        </w:rPr>
        <w:t>P</w:t>
      </w:r>
      <w:r w:rsidRPr="00375D1A">
        <w:rPr>
          <w:rFonts w:ascii="CG Omega" w:hAnsi="CG Omega"/>
        </w:rPr>
        <w:t>) to make grants to state and local agencies for childhood lead poisoning prevention programs that develop prevention programs and policies, educate the public, and support research to determine the effectiveness of prevention efforts at fe</w:t>
      </w:r>
      <w:r w:rsidR="00EE72EC">
        <w:rPr>
          <w:rFonts w:ascii="CG Omega" w:hAnsi="CG Omega"/>
        </w:rPr>
        <w:t>deral, state, and local levels.</w:t>
      </w:r>
      <w:r w:rsidRPr="00375D1A">
        <w:rPr>
          <w:rFonts w:ascii="CG Omega" w:hAnsi="CG Omega"/>
        </w:rPr>
        <w:t xml:space="preserve"> The CDC</w:t>
      </w:r>
      <w:r w:rsidR="00F56A40">
        <w:rPr>
          <w:rFonts w:ascii="CG Omega" w:hAnsi="CG Omega"/>
        </w:rPr>
        <w:t>P</w:t>
      </w:r>
      <w:r w:rsidRPr="00375D1A">
        <w:rPr>
          <w:rFonts w:ascii="CG Omega" w:hAnsi="CG Omega"/>
        </w:rPr>
        <w:t xml:space="preserve"> has carried out these activities through its Childhood Lead Poisoning Prevention Program.</w:t>
      </w:r>
      <w:r w:rsidRPr="00375D1A">
        <w:rPr>
          <w:rStyle w:val="FootnoteReference"/>
          <w:rFonts w:ascii="CG Omega" w:hAnsi="CG Omega"/>
        </w:rPr>
        <w:footnoteReference w:id="22"/>
      </w:r>
      <w:r w:rsidR="00EE72EC">
        <w:rPr>
          <w:rFonts w:ascii="CG Omega" w:hAnsi="CG Omega"/>
        </w:rPr>
        <w:t xml:space="preserve"> </w:t>
      </w:r>
      <w:r w:rsidRPr="00375D1A">
        <w:rPr>
          <w:rFonts w:ascii="CG Omega" w:hAnsi="CG Omega"/>
        </w:rPr>
        <w:t>One of the most significant actions the CDC</w:t>
      </w:r>
      <w:r w:rsidR="00F56A40">
        <w:rPr>
          <w:rFonts w:ascii="CG Omega" w:hAnsi="CG Omega"/>
        </w:rPr>
        <w:t>P</w:t>
      </w:r>
      <w:r w:rsidRPr="00375D1A">
        <w:rPr>
          <w:rFonts w:ascii="CG Omega" w:hAnsi="CG Omega"/>
        </w:rPr>
        <w:t xml:space="preserve"> has taken to lower blood lead levels (BLLs) in children over the past few decades is their gradual changing of the definition of an </w:t>
      </w:r>
      <w:r w:rsidR="009440E4">
        <w:rPr>
          <w:rFonts w:ascii="CG Omega" w:hAnsi="CG Omega"/>
        </w:rPr>
        <w:t>elevated blood lead level (</w:t>
      </w:r>
      <w:r w:rsidRPr="00375D1A">
        <w:rPr>
          <w:rFonts w:ascii="CG Omega" w:hAnsi="CG Omega"/>
        </w:rPr>
        <w:t>EBLL</w:t>
      </w:r>
      <w:r w:rsidR="009440E4">
        <w:rPr>
          <w:rFonts w:ascii="CG Omega" w:hAnsi="CG Omega"/>
        </w:rPr>
        <w:t>)</w:t>
      </w:r>
      <w:r w:rsidRPr="00375D1A">
        <w:rPr>
          <w:rFonts w:ascii="CG Omega" w:hAnsi="CG Omega"/>
        </w:rPr>
        <w:t xml:space="preserve">.  For example, during the 1960s the </w:t>
      </w:r>
      <w:r w:rsidR="005F3668" w:rsidRPr="00375D1A">
        <w:rPr>
          <w:rFonts w:ascii="CG Omega" w:hAnsi="CG Omega"/>
        </w:rPr>
        <w:t>criterion for an EBLL was</w:t>
      </w:r>
      <w:r w:rsidRPr="00375D1A">
        <w:rPr>
          <w:rFonts w:ascii="CG Omega" w:hAnsi="CG Omega"/>
        </w:rPr>
        <w:t xml:space="preserve"> </w:t>
      </w:r>
      <w:r>
        <w:rPr>
          <w:rFonts w:ascii="CG Omega" w:hAnsi="CG Omega"/>
        </w:rPr>
        <w:t>≥</w:t>
      </w:r>
      <w:r w:rsidRPr="00375D1A">
        <w:rPr>
          <w:rFonts w:ascii="CG Omega" w:hAnsi="CG Omega"/>
        </w:rPr>
        <w:t xml:space="preserve">60 micrograms per deciliter (µg/dL).  It then dropped to </w:t>
      </w:r>
      <w:r>
        <w:rPr>
          <w:rFonts w:ascii="CG Omega" w:hAnsi="CG Omega"/>
        </w:rPr>
        <w:t>≥</w:t>
      </w:r>
      <w:r w:rsidRPr="00375D1A">
        <w:rPr>
          <w:rFonts w:ascii="CG Omega" w:hAnsi="CG Omega"/>
        </w:rPr>
        <w:t xml:space="preserve">40 µg/dL in 1971, to </w:t>
      </w:r>
      <w:r>
        <w:rPr>
          <w:rFonts w:ascii="CG Omega" w:hAnsi="CG Omega"/>
        </w:rPr>
        <w:t>≥</w:t>
      </w:r>
      <w:r w:rsidRPr="00375D1A">
        <w:rPr>
          <w:rFonts w:ascii="CG Omega" w:hAnsi="CG Omega"/>
        </w:rPr>
        <w:t xml:space="preserve">30 µg/dL in 1978, </w:t>
      </w:r>
      <w:r>
        <w:rPr>
          <w:rFonts w:ascii="CG Omega" w:hAnsi="CG Omega"/>
        </w:rPr>
        <w:t>≥</w:t>
      </w:r>
      <w:r w:rsidRPr="00375D1A">
        <w:rPr>
          <w:rFonts w:ascii="CG Omega" w:hAnsi="CG Omega"/>
        </w:rPr>
        <w:t xml:space="preserve">25 µg/dL in 1985, and most recently, </w:t>
      </w:r>
      <w:r>
        <w:rPr>
          <w:rFonts w:ascii="CG Omega" w:hAnsi="CG Omega"/>
        </w:rPr>
        <w:t>≥</w:t>
      </w:r>
      <w:r w:rsidRPr="00375D1A">
        <w:rPr>
          <w:rFonts w:ascii="CG Omega" w:hAnsi="CG Omega"/>
        </w:rPr>
        <w:t xml:space="preserve"> 10 µg/dL in 1991.</w:t>
      </w:r>
      <w:r w:rsidRPr="00375D1A">
        <w:rPr>
          <w:rStyle w:val="FootnoteReference"/>
          <w:rFonts w:ascii="CG Omega" w:hAnsi="CG Omega"/>
        </w:rPr>
        <w:footnoteReference w:id="23"/>
      </w:r>
      <w:r>
        <w:rPr>
          <w:rFonts w:ascii="CG Omega" w:hAnsi="CG Omega"/>
        </w:rPr>
        <w:t xml:space="preserve">  </w:t>
      </w:r>
    </w:p>
    <w:p w:rsidR="008C55A4" w:rsidRPr="008503F8" w:rsidRDefault="008C55A4" w:rsidP="008C55A4">
      <w:pPr>
        <w:jc w:val="both"/>
        <w:rPr>
          <w:rFonts w:ascii="CG Omega" w:hAnsi="CG Omega"/>
          <w:highlight w:val="yellow"/>
        </w:rPr>
      </w:pPr>
    </w:p>
    <w:p w:rsidR="008C55A4" w:rsidRPr="008503F8" w:rsidRDefault="008C55A4" w:rsidP="008C55A4">
      <w:pPr>
        <w:jc w:val="both"/>
        <w:rPr>
          <w:rFonts w:ascii="CG Omega" w:hAnsi="CG Omega"/>
        </w:rPr>
      </w:pPr>
      <w:r w:rsidRPr="008503F8">
        <w:rPr>
          <w:rFonts w:ascii="CG Omega" w:hAnsi="CG Omega"/>
        </w:rPr>
        <w:t xml:space="preserve">Roughly 14 out of every 1,000 children in the United States between the ages of </w:t>
      </w:r>
      <w:r w:rsidR="008503F8" w:rsidRPr="008503F8">
        <w:rPr>
          <w:rFonts w:ascii="CG Omega" w:hAnsi="CG Omega"/>
        </w:rPr>
        <w:t>one</w:t>
      </w:r>
      <w:r w:rsidRPr="008503F8">
        <w:rPr>
          <w:rFonts w:ascii="CG Omega" w:hAnsi="CG Omega"/>
        </w:rPr>
        <w:t xml:space="preserve"> and </w:t>
      </w:r>
      <w:r w:rsidR="008503F8" w:rsidRPr="008503F8">
        <w:rPr>
          <w:rFonts w:ascii="CG Omega" w:hAnsi="CG Omega"/>
        </w:rPr>
        <w:t>five</w:t>
      </w:r>
      <w:r w:rsidRPr="008503F8">
        <w:rPr>
          <w:rFonts w:ascii="CG Omega" w:hAnsi="CG Omega"/>
        </w:rPr>
        <w:t xml:space="preserve"> have blood lead levels greater than 10 micrograms of lead per deciliter of blood.  This is the level at which public health actions should be initiated according to the </w:t>
      </w:r>
      <w:r w:rsidR="00F56A40" w:rsidRPr="008503F8">
        <w:rPr>
          <w:rFonts w:ascii="CG Omega" w:hAnsi="CG Omega"/>
        </w:rPr>
        <w:t>CDCP</w:t>
      </w:r>
      <w:r w:rsidRPr="008503F8">
        <w:rPr>
          <w:rFonts w:ascii="CG Omega" w:hAnsi="CG Omega"/>
        </w:rPr>
        <w:t xml:space="preserve">.  </w:t>
      </w:r>
    </w:p>
    <w:p w:rsidR="008C55A4" w:rsidRPr="008503F8" w:rsidRDefault="008C55A4" w:rsidP="008C55A4">
      <w:pPr>
        <w:jc w:val="both"/>
        <w:rPr>
          <w:rFonts w:ascii="CG Omega" w:hAnsi="CG Omega"/>
          <w:highlight w:val="yellow"/>
        </w:rPr>
      </w:pPr>
    </w:p>
    <w:p w:rsidR="008C55A4" w:rsidRPr="008503F8" w:rsidRDefault="008C55A4" w:rsidP="008C55A4">
      <w:pPr>
        <w:jc w:val="both"/>
        <w:rPr>
          <w:rFonts w:ascii="CG Omega" w:hAnsi="CG Omega"/>
          <w:b/>
        </w:rPr>
      </w:pPr>
      <w:r w:rsidRPr="008503F8">
        <w:rPr>
          <w:rFonts w:ascii="CG Omega" w:hAnsi="CG Omega"/>
          <w:b/>
        </w:rPr>
        <w:t>Results of National Efforts</w:t>
      </w:r>
    </w:p>
    <w:p w:rsidR="008C55A4" w:rsidRPr="008503F8" w:rsidRDefault="008C55A4" w:rsidP="008C55A4">
      <w:pPr>
        <w:jc w:val="both"/>
        <w:rPr>
          <w:rFonts w:ascii="CG Omega" w:hAnsi="CG Omega"/>
        </w:rPr>
      </w:pPr>
    </w:p>
    <w:p w:rsidR="008C55A4" w:rsidRPr="00955C8C" w:rsidRDefault="008C55A4" w:rsidP="008C55A4">
      <w:pPr>
        <w:jc w:val="both"/>
        <w:rPr>
          <w:rFonts w:ascii="CG Omega" w:hAnsi="CG Omega"/>
          <w:highlight w:val="yellow"/>
        </w:rPr>
      </w:pPr>
      <w:r w:rsidRPr="008503F8">
        <w:rPr>
          <w:rFonts w:ascii="CG Omega" w:hAnsi="CG Omega"/>
        </w:rPr>
        <w:t>All</w:t>
      </w:r>
      <w:r w:rsidRPr="00375D1A">
        <w:rPr>
          <w:rFonts w:ascii="CG Omega" w:hAnsi="CG Omega"/>
        </w:rPr>
        <w:t xml:space="preserve"> of these coordinated and cooperative efforts at the national, state and local levels have created the infrastructure needed to identify high-risk housing and to prevent and control lead hazards.  Consequently, EBLLs in U.S. children have decreased dramatically.  </w:t>
      </w:r>
      <w:r w:rsidRPr="00680F7D">
        <w:rPr>
          <w:rFonts w:ascii="CG Omega" w:hAnsi="CG Omega"/>
        </w:rPr>
        <w:t>For example, in 1978 nearly 14.8 million children in the U.S. had lead poisoning; however, by the early 90s that number had dropped substantially to 890,000.</w:t>
      </w:r>
      <w:r w:rsidRPr="00680F7D">
        <w:rPr>
          <w:rStyle w:val="FootnoteReference"/>
          <w:rFonts w:ascii="CG Omega" w:hAnsi="CG Omega"/>
        </w:rPr>
        <w:footnoteReference w:id="24"/>
      </w:r>
      <w:r w:rsidRPr="00680F7D">
        <w:rPr>
          <w:rFonts w:ascii="CG Omega" w:hAnsi="CG Omega"/>
        </w:rPr>
        <w:t xml:space="preserve">  </w:t>
      </w:r>
      <w:r>
        <w:rPr>
          <w:rFonts w:ascii="CG Omega" w:hAnsi="CG Omega"/>
        </w:rPr>
        <w:t>According to data collected by the CDC</w:t>
      </w:r>
      <w:r w:rsidR="00F56A40">
        <w:rPr>
          <w:rFonts w:ascii="CG Omega" w:hAnsi="CG Omega"/>
        </w:rPr>
        <w:t>P</w:t>
      </w:r>
      <w:r>
        <w:rPr>
          <w:rFonts w:ascii="CG Omega" w:hAnsi="CG Omega"/>
        </w:rPr>
        <w:t>, this number is dropping even more.  In 1997, 7.6 percent of children under 6 tested had lead levels ≥10</w:t>
      </w:r>
      <w:r w:rsidRPr="002C13E1">
        <w:rPr>
          <w:rFonts w:ascii="CG Omega" w:hAnsi="CG Omega"/>
        </w:rPr>
        <w:t xml:space="preserve"> </w:t>
      </w:r>
      <w:r w:rsidRPr="00375D1A">
        <w:rPr>
          <w:rFonts w:ascii="CG Omega" w:hAnsi="CG Omega"/>
        </w:rPr>
        <w:t>µg/dL</w:t>
      </w:r>
      <w:r>
        <w:rPr>
          <w:rFonts w:ascii="CG Omega" w:hAnsi="CG Omega"/>
        </w:rPr>
        <w:t>. By 2012, even after the number of children being tested had grown significantly, only 0.62 percent had lead levels ≥10</w:t>
      </w:r>
      <w:r w:rsidRPr="002C13E1">
        <w:rPr>
          <w:rFonts w:ascii="CG Omega" w:hAnsi="CG Omega"/>
        </w:rPr>
        <w:t xml:space="preserve"> </w:t>
      </w:r>
      <w:r w:rsidRPr="00375D1A">
        <w:rPr>
          <w:rFonts w:ascii="CG Omega" w:hAnsi="CG Omega"/>
        </w:rPr>
        <w:t>µg/dL</w:t>
      </w:r>
      <w:r>
        <w:rPr>
          <w:rFonts w:ascii="CG Omega" w:hAnsi="CG Omega"/>
        </w:rPr>
        <w:t>.</w:t>
      </w:r>
      <w:r>
        <w:rPr>
          <w:rStyle w:val="FootnoteReference"/>
          <w:rFonts w:ascii="CG Omega" w:hAnsi="CG Omega"/>
        </w:rPr>
        <w:footnoteReference w:id="25"/>
      </w:r>
      <w:r>
        <w:rPr>
          <w:rFonts w:ascii="CG Omega" w:hAnsi="CG Omega"/>
        </w:rPr>
        <w:t xml:space="preserve"> </w:t>
      </w:r>
    </w:p>
    <w:p w:rsidR="008C55A4" w:rsidRPr="008503F8" w:rsidRDefault="008C55A4" w:rsidP="008C55A4">
      <w:pPr>
        <w:jc w:val="both"/>
        <w:rPr>
          <w:rFonts w:ascii="CG Omega" w:hAnsi="CG Omega"/>
          <w:highlight w:val="yellow"/>
        </w:rPr>
      </w:pPr>
      <w:bookmarkStart w:id="79" w:name="_MON_1330420694"/>
      <w:bookmarkStart w:id="80" w:name="_MON_1341657109"/>
      <w:bookmarkStart w:id="81" w:name="_MON_1341660861"/>
      <w:bookmarkStart w:id="82" w:name="_MON_1329110686"/>
      <w:bookmarkEnd w:id="79"/>
      <w:bookmarkEnd w:id="80"/>
      <w:bookmarkEnd w:id="81"/>
      <w:bookmarkEnd w:id="82"/>
    </w:p>
    <w:p w:rsidR="008C55A4" w:rsidRPr="008503F8" w:rsidRDefault="008C55A4" w:rsidP="008C55A4">
      <w:pPr>
        <w:jc w:val="both"/>
        <w:rPr>
          <w:rFonts w:ascii="CG Omega" w:hAnsi="CG Omega"/>
        </w:rPr>
      </w:pPr>
      <w:r w:rsidRPr="008503F8">
        <w:rPr>
          <w:rFonts w:ascii="CG Omega" w:hAnsi="CG Omega"/>
        </w:rPr>
        <w:t>Amidst all of this success, a debate exists in the field of epidemiology about the definition of EBLLs in children. A growing body of research suggests that considerable damage occurs even at BLLs below 10 µg/dL. For example, inverse correlations have been found between BLLs &lt;10 µg/dL and IQ, cognitive function and somatic growth.</w:t>
      </w:r>
      <w:r w:rsidRPr="008503F8">
        <w:rPr>
          <w:rStyle w:val="FootnoteReference"/>
          <w:rFonts w:ascii="CG Omega" w:hAnsi="CG Omega"/>
        </w:rPr>
        <w:footnoteReference w:id="26"/>
      </w:r>
      <w:r w:rsidRPr="008503F8">
        <w:rPr>
          <w:rFonts w:ascii="CG Omega" w:hAnsi="CG Omega"/>
        </w:rPr>
        <w:t xml:space="preserve"> Further, some studies assert that some effects can be more negative at BLLs below 10 µg/dL than above it.</w:t>
      </w:r>
      <w:r w:rsidRPr="008503F8">
        <w:rPr>
          <w:rStyle w:val="FootnoteReference"/>
          <w:rFonts w:ascii="CG Omega" w:hAnsi="CG Omega"/>
        </w:rPr>
        <w:footnoteReference w:id="27"/>
      </w:r>
    </w:p>
    <w:p w:rsidR="008C55A4" w:rsidRPr="008503F8" w:rsidRDefault="008C55A4" w:rsidP="008C55A4">
      <w:pPr>
        <w:jc w:val="both"/>
        <w:rPr>
          <w:rFonts w:ascii="CG Omega" w:hAnsi="CG Omega"/>
        </w:rPr>
      </w:pPr>
    </w:p>
    <w:p w:rsidR="008C55A4" w:rsidRPr="00375D1A" w:rsidRDefault="008C55A4" w:rsidP="008C55A4">
      <w:pPr>
        <w:jc w:val="both"/>
        <w:rPr>
          <w:rFonts w:ascii="CG Omega" w:hAnsi="CG Omega"/>
        </w:rPr>
      </w:pPr>
      <w:r w:rsidRPr="008503F8">
        <w:rPr>
          <w:rFonts w:ascii="CG Omega" w:hAnsi="CG Omega"/>
        </w:rPr>
        <w:t>While</w:t>
      </w:r>
      <w:r w:rsidRPr="00375D1A">
        <w:rPr>
          <w:rFonts w:ascii="CG Omega" w:hAnsi="CG Omega"/>
        </w:rPr>
        <w:t xml:space="preserve"> the CDC</w:t>
      </w:r>
      <w:r w:rsidR="00F56A40">
        <w:rPr>
          <w:rFonts w:ascii="CG Omega" w:hAnsi="CG Omega"/>
        </w:rPr>
        <w:t>P</w:t>
      </w:r>
      <w:r w:rsidRPr="00375D1A">
        <w:rPr>
          <w:rFonts w:ascii="CG Omega" w:hAnsi="CG Omega"/>
        </w:rPr>
        <w:t xml:space="preserve"> acknowledges these associations and does not refute that they are, at least in part, causal, they have yet to lower the level of concern below 10 µg/dL.  The reasons the CDC</w:t>
      </w:r>
      <w:r w:rsidR="00F56A40">
        <w:rPr>
          <w:rFonts w:ascii="CG Omega" w:hAnsi="CG Omega"/>
        </w:rPr>
        <w:t>P</w:t>
      </w:r>
      <w:r w:rsidRPr="00375D1A">
        <w:rPr>
          <w:rFonts w:ascii="CG Omega" w:hAnsi="CG Omega"/>
        </w:rPr>
        <w:t xml:space="preserve"> gives for this decision are as follows: it is critical to focus available resources where negative effects are greatest, setting a new level would be arbitrary since no exact threshold has been established for adverse health effects from lead, and the ability to successfully and consistently reduce BLLs below 10 µg/dL has not been demonstrated.</w:t>
      </w:r>
      <w:r w:rsidRPr="00375D1A">
        <w:rPr>
          <w:rStyle w:val="FootnoteReference"/>
          <w:rFonts w:ascii="CG Omega" w:hAnsi="CG Omega"/>
        </w:rPr>
        <w:t xml:space="preserve"> </w:t>
      </w:r>
      <w:r w:rsidRPr="00375D1A">
        <w:rPr>
          <w:rStyle w:val="FootnoteReference"/>
          <w:rFonts w:ascii="CG Omega" w:hAnsi="CG Omega"/>
        </w:rPr>
        <w:footnoteReference w:id="28"/>
      </w:r>
    </w:p>
    <w:p w:rsidR="008C55A4" w:rsidRDefault="008C55A4" w:rsidP="008C55A4">
      <w:pPr>
        <w:jc w:val="both"/>
        <w:rPr>
          <w:rFonts w:ascii="CG Omega" w:hAnsi="CG Omega"/>
          <w:b/>
          <w:sz w:val="12"/>
          <w:szCs w:val="12"/>
          <w:highlight w:val="yellow"/>
        </w:rPr>
      </w:pPr>
    </w:p>
    <w:p w:rsidR="008503F8" w:rsidRDefault="008503F8" w:rsidP="008C55A4">
      <w:pPr>
        <w:jc w:val="both"/>
        <w:rPr>
          <w:rFonts w:ascii="CG Omega" w:hAnsi="CG Omega"/>
          <w:b/>
          <w:sz w:val="12"/>
          <w:szCs w:val="12"/>
          <w:highlight w:val="yellow"/>
        </w:rPr>
      </w:pPr>
    </w:p>
    <w:p w:rsidR="008503F8" w:rsidRDefault="008503F8" w:rsidP="008C55A4">
      <w:pPr>
        <w:jc w:val="both"/>
        <w:rPr>
          <w:rFonts w:ascii="CG Omega" w:hAnsi="CG Omega"/>
          <w:b/>
          <w:sz w:val="12"/>
          <w:szCs w:val="12"/>
          <w:highlight w:val="yellow"/>
        </w:rPr>
      </w:pPr>
    </w:p>
    <w:p w:rsidR="008503F8" w:rsidRDefault="008503F8" w:rsidP="008C55A4">
      <w:pPr>
        <w:jc w:val="both"/>
        <w:rPr>
          <w:rFonts w:ascii="CG Omega" w:hAnsi="CG Omega"/>
          <w:b/>
          <w:sz w:val="12"/>
          <w:szCs w:val="12"/>
          <w:highlight w:val="yellow"/>
        </w:rPr>
      </w:pPr>
    </w:p>
    <w:p w:rsidR="008503F8" w:rsidRPr="008503F8" w:rsidRDefault="008503F8" w:rsidP="008C55A4">
      <w:pPr>
        <w:jc w:val="both"/>
        <w:rPr>
          <w:rFonts w:ascii="CG Omega" w:hAnsi="CG Omega"/>
          <w:b/>
          <w:highlight w:val="yellow"/>
        </w:rPr>
      </w:pPr>
    </w:p>
    <w:p w:rsidR="008C55A4" w:rsidRPr="008503F8" w:rsidRDefault="008C55A4" w:rsidP="008C55A4">
      <w:pPr>
        <w:jc w:val="both"/>
        <w:rPr>
          <w:rFonts w:ascii="CG Omega" w:hAnsi="CG Omega"/>
          <w:b/>
          <w:smallCaps/>
        </w:rPr>
      </w:pPr>
      <w:r w:rsidRPr="008503F8">
        <w:rPr>
          <w:rFonts w:ascii="CG Omega" w:hAnsi="CG Omega"/>
          <w:b/>
          <w:smallCaps/>
        </w:rPr>
        <w:t>Lead-Based Paint Hazards in New Mexico</w:t>
      </w:r>
    </w:p>
    <w:p w:rsidR="008C55A4" w:rsidRPr="008503F8" w:rsidRDefault="008C55A4" w:rsidP="008C55A4">
      <w:pPr>
        <w:jc w:val="both"/>
        <w:rPr>
          <w:rFonts w:ascii="CG Omega" w:hAnsi="CG Omega"/>
          <w:highlight w:val="yellow"/>
        </w:rPr>
      </w:pPr>
    </w:p>
    <w:p w:rsidR="008C55A4" w:rsidRPr="00955C8C" w:rsidRDefault="008C55A4" w:rsidP="008C55A4">
      <w:pPr>
        <w:jc w:val="both"/>
        <w:rPr>
          <w:rFonts w:ascii="CG Omega" w:hAnsi="CG Omega"/>
          <w:highlight w:val="yellow"/>
        </w:rPr>
      </w:pPr>
      <w:bookmarkStart w:id="83" w:name="_MON_1341657117"/>
      <w:bookmarkStart w:id="84" w:name="_MON_1341660958"/>
      <w:bookmarkStart w:id="85" w:name="_MON_1340792771"/>
      <w:bookmarkEnd w:id="83"/>
      <w:bookmarkEnd w:id="84"/>
      <w:bookmarkEnd w:id="85"/>
      <w:r w:rsidRPr="008503F8">
        <w:rPr>
          <w:rFonts w:ascii="CG Omega" w:hAnsi="CG Omega"/>
          <w:b/>
        </w:rPr>
        <w:t>Table I</w:t>
      </w:r>
      <w:r w:rsidR="005B00C5" w:rsidRPr="008503F8">
        <w:rPr>
          <w:rFonts w:ascii="CG Omega" w:hAnsi="CG Omega"/>
          <w:b/>
        </w:rPr>
        <w:t>V.</w:t>
      </w:r>
      <w:r w:rsidR="009E7733" w:rsidRPr="008503F8">
        <w:rPr>
          <w:rFonts w:ascii="CG Omega" w:hAnsi="CG Omega"/>
          <w:b/>
        </w:rPr>
        <w:t>1</w:t>
      </w:r>
      <w:r w:rsidR="00F92737" w:rsidRPr="008503F8">
        <w:rPr>
          <w:rFonts w:ascii="CG Omega" w:hAnsi="CG Omega"/>
          <w:b/>
        </w:rPr>
        <w:t>4</w:t>
      </w:r>
      <w:r w:rsidRPr="009E7733">
        <w:rPr>
          <w:rFonts w:ascii="CG Omega" w:hAnsi="CG Omega"/>
        </w:rPr>
        <w:t xml:space="preserve">, </w:t>
      </w:r>
      <w:r w:rsidR="0020186E">
        <w:rPr>
          <w:rFonts w:ascii="CG Omega" w:hAnsi="CG Omega"/>
        </w:rPr>
        <w:t>below</w:t>
      </w:r>
      <w:r w:rsidRPr="004D3113">
        <w:rPr>
          <w:rFonts w:ascii="CG Omega" w:hAnsi="CG Omega"/>
        </w:rPr>
        <w:t xml:space="preserve"> presents the total number of housing units estimated to have lead-based paint risks and shows that a significant number of housing units in the state were at risk of lead-based paint contamination, a total of 271,324</w:t>
      </w:r>
      <w:r w:rsidR="00941B07">
        <w:rPr>
          <w:rFonts w:ascii="CG Omega" w:hAnsi="CG Omega"/>
        </w:rPr>
        <w:t xml:space="preserve"> in 2000</w:t>
      </w:r>
      <w:r w:rsidRPr="004D3113">
        <w:rPr>
          <w:rFonts w:ascii="CG Omega" w:hAnsi="CG Omega"/>
        </w:rPr>
        <w:t xml:space="preserve">. </w:t>
      </w:r>
      <w:r>
        <w:rPr>
          <w:rFonts w:ascii="CG Omega" w:hAnsi="CG Omega"/>
        </w:rPr>
        <w:t>By 2012, an estimated 258,901 housing units were at risk of lead-based paint contamination, showing a slight decrease in the number of units with lead-based risks.</w:t>
      </w:r>
    </w:p>
    <w:p w:rsidR="008C55A4" w:rsidRPr="008503F8" w:rsidRDefault="008C55A4" w:rsidP="008C55A4">
      <w:pPr>
        <w:jc w:val="both"/>
        <w:rPr>
          <w:rFonts w:ascii="CG Omega" w:hAnsi="CG Omega"/>
          <w:highlight w:val="yellow"/>
        </w:rPr>
      </w:pPr>
    </w:p>
    <w:tbl>
      <w:tblPr>
        <w:tblW w:w="4620" w:type="dxa"/>
        <w:jc w:val="center"/>
        <w:tblLook w:val="04A0" w:firstRow="1" w:lastRow="0" w:firstColumn="1" w:lastColumn="0" w:noHBand="0" w:noVBand="1"/>
      </w:tblPr>
      <w:tblGrid>
        <w:gridCol w:w="1377"/>
        <w:gridCol w:w="1287"/>
        <w:gridCol w:w="1956"/>
      </w:tblGrid>
      <w:tr w:rsidR="008C55A4" w:rsidRPr="0007672A" w:rsidTr="00EE72EC">
        <w:trPr>
          <w:trHeight w:val="990"/>
          <w:jc w:val="center"/>
        </w:trPr>
        <w:tc>
          <w:tcPr>
            <w:tcW w:w="4620" w:type="dxa"/>
            <w:gridSpan w:val="3"/>
            <w:tcBorders>
              <w:top w:val="nil"/>
              <w:left w:val="nil"/>
              <w:right w:val="nil"/>
            </w:tcBorders>
            <w:shd w:val="clear" w:color="auto" w:fill="auto"/>
            <w:noWrap/>
            <w:vAlign w:val="center"/>
            <w:hideMark/>
          </w:tcPr>
          <w:p w:rsidR="008C55A4" w:rsidRPr="0007672A" w:rsidRDefault="008C55A4" w:rsidP="00EE72EC">
            <w:pPr>
              <w:jc w:val="center"/>
              <w:rPr>
                <w:rFonts w:ascii="Arial" w:hAnsi="Arial" w:cs="Arial"/>
                <w:b/>
                <w:bCs/>
                <w:color w:val="000000"/>
              </w:rPr>
            </w:pPr>
            <w:r w:rsidRPr="009E7733">
              <w:rPr>
                <w:rFonts w:ascii="Arial" w:hAnsi="Arial" w:cs="Arial"/>
                <w:b/>
                <w:bCs/>
                <w:color w:val="000000"/>
              </w:rPr>
              <w:t>Table I</w:t>
            </w:r>
            <w:r w:rsidR="005B00C5" w:rsidRPr="009E7733">
              <w:rPr>
                <w:rFonts w:ascii="Arial" w:hAnsi="Arial" w:cs="Arial"/>
                <w:b/>
                <w:bCs/>
                <w:color w:val="000000"/>
              </w:rPr>
              <w:t>V.</w:t>
            </w:r>
            <w:r w:rsidR="009E7733">
              <w:rPr>
                <w:rFonts w:ascii="Arial" w:hAnsi="Arial" w:cs="Arial"/>
                <w:b/>
                <w:bCs/>
                <w:color w:val="000000"/>
              </w:rPr>
              <w:t>1</w:t>
            </w:r>
            <w:r w:rsidR="00F92737">
              <w:rPr>
                <w:rFonts w:ascii="Arial" w:hAnsi="Arial" w:cs="Arial"/>
                <w:b/>
                <w:bCs/>
                <w:color w:val="000000"/>
              </w:rPr>
              <w:t>4</w:t>
            </w:r>
          </w:p>
          <w:p w:rsidR="008C55A4" w:rsidRPr="0007672A" w:rsidRDefault="008C55A4" w:rsidP="00EE72EC">
            <w:pPr>
              <w:jc w:val="center"/>
              <w:rPr>
                <w:rFonts w:ascii="Arial" w:hAnsi="Arial" w:cs="Arial"/>
                <w:b/>
                <w:bCs/>
                <w:color w:val="000000"/>
                <w:sz w:val="20"/>
                <w:szCs w:val="20"/>
              </w:rPr>
            </w:pPr>
            <w:r w:rsidRPr="0007672A">
              <w:rPr>
                <w:rFonts w:ascii="Arial" w:hAnsi="Arial" w:cs="Arial"/>
                <w:b/>
                <w:bCs/>
                <w:color w:val="000000"/>
                <w:sz w:val="20"/>
                <w:szCs w:val="20"/>
              </w:rPr>
              <w:t>Lead-Based Risks to Occupied Housing Units</w:t>
            </w:r>
          </w:p>
          <w:p w:rsidR="008C55A4" w:rsidRPr="0007672A" w:rsidRDefault="008C55A4" w:rsidP="00EE72EC">
            <w:pPr>
              <w:jc w:val="center"/>
              <w:rPr>
                <w:rFonts w:ascii="Arial" w:hAnsi="Arial" w:cs="Arial"/>
                <w:color w:val="000000"/>
                <w:sz w:val="16"/>
                <w:szCs w:val="16"/>
              </w:rPr>
            </w:pPr>
            <w:r w:rsidRPr="0007672A">
              <w:rPr>
                <w:rFonts w:ascii="Arial" w:hAnsi="Arial" w:cs="Arial"/>
                <w:noProof/>
                <w:color w:val="000000"/>
                <w:sz w:val="16"/>
                <w:szCs w:val="16"/>
              </w:rPr>
              <w:t>State of New Mexico</w:t>
            </w:r>
          </w:p>
          <w:p w:rsidR="008C55A4" w:rsidRPr="0007672A" w:rsidRDefault="008C55A4" w:rsidP="00EE72EC">
            <w:pPr>
              <w:jc w:val="center"/>
              <w:rPr>
                <w:rFonts w:ascii="Arial" w:hAnsi="Arial" w:cs="Arial"/>
                <w:b/>
                <w:bCs/>
                <w:color w:val="000000"/>
              </w:rPr>
            </w:pPr>
            <w:r w:rsidRPr="0007672A">
              <w:rPr>
                <w:rFonts w:ascii="Arial" w:hAnsi="Arial" w:cs="Arial"/>
                <w:color w:val="000000"/>
                <w:sz w:val="16"/>
                <w:szCs w:val="16"/>
              </w:rPr>
              <w:t>2000 Census SF3 &amp; 2012 Five-Year ACS Data</w:t>
            </w:r>
          </w:p>
        </w:tc>
      </w:tr>
      <w:tr w:rsidR="008C55A4" w:rsidRPr="0007672A" w:rsidTr="00EE72EC">
        <w:trPr>
          <w:trHeight w:val="300"/>
          <w:jc w:val="center"/>
        </w:trPr>
        <w:tc>
          <w:tcPr>
            <w:tcW w:w="1377" w:type="dxa"/>
            <w:vMerge w:val="restart"/>
            <w:tcBorders>
              <w:top w:val="single" w:sz="4" w:space="0" w:color="009900"/>
              <w:left w:val="single" w:sz="4" w:space="0" w:color="009900"/>
              <w:bottom w:val="single" w:sz="4" w:space="0" w:color="009900"/>
              <w:right w:val="nil"/>
            </w:tcBorders>
            <w:shd w:val="clear" w:color="000000" w:fill="FFFFE1"/>
            <w:noWrap/>
            <w:vAlign w:val="center"/>
            <w:hideMark/>
          </w:tcPr>
          <w:p w:rsidR="008C55A4" w:rsidRPr="0007672A" w:rsidRDefault="008C55A4" w:rsidP="00EE72EC">
            <w:pPr>
              <w:rPr>
                <w:rFonts w:ascii="Arial" w:hAnsi="Arial" w:cs="Arial"/>
                <w:b/>
                <w:bCs/>
                <w:color w:val="000000"/>
                <w:sz w:val="16"/>
                <w:szCs w:val="16"/>
              </w:rPr>
            </w:pPr>
            <w:r w:rsidRPr="0007672A">
              <w:rPr>
                <w:rFonts w:ascii="Arial" w:hAnsi="Arial" w:cs="Arial"/>
                <w:b/>
                <w:bCs/>
                <w:color w:val="000000"/>
                <w:sz w:val="16"/>
                <w:szCs w:val="16"/>
              </w:rPr>
              <w:t>Year Built</w:t>
            </w:r>
          </w:p>
        </w:tc>
        <w:tc>
          <w:tcPr>
            <w:tcW w:w="1287" w:type="dxa"/>
            <w:tcBorders>
              <w:top w:val="single" w:sz="4" w:space="0" w:color="009900"/>
              <w:left w:val="nil"/>
              <w:bottom w:val="dotted" w:sz="4" w:space="0" w:color="009900"/>
              <w:right w:val="nil"/>
            </w:tcBorders>
            <w:shd w:val="clear" w:color="000000" w:fill="FFFFE1"/>
            <w:noWrap/>
            <w:vAlign w:val="center"/>
            <w:hideMark/>
          </w:tcPr>
          <w:p w:rsidR="008C55A4" w:rsidRPr="0007672A" w:rsidRDefault="008C55A4" w:rsidP="00EE72EC">
            <w:pPr>
              <w:jc w:val="center"/>
              <w:rPr>
                <w:rFonts w:ascii="Arial" w:hAnsi="Arial" w:cs="Arial"/>
                <w:b/>
                <w:bCs/>
                <w:color w:val="000000"/>
                <w:sz w:val="16"/>
                <w:szCs w:val="16"/>
              </w:rPr>
            </w:pPr>
            <w:r w:rsidRPr="0007672A">
              <w:rPr>
                <w:rFonts w:ascii="Arial" w:hAnsi="Arial" w:cs="Arial"/>
                <w:b/>
                <w:bCs/>
                <w:color w:val="000000"/>
                <w:sz w:val="16"/>
                <w:szCs w:val="16"/>
              </w:rPr>
              <w:t>2000 Census</w:t>
            </w:r>
          </w:p>
        </w:tc>
        <w:tc>
          <w:tcPr>
            <w:tcW w:w="1956" w:type="dxa"/>
            <w:tcBorders>
              <w:top w:val="single" w:sz="4" w:space="0" w:color="009900"/>
              <w:left w:val="nil"/>
              <w:bottom w:val="dotted" w:sz="4" w:space="0" w:color="009900"/>
              <w:right w:val="single" w:sz="4" w:space="0" w:color="009900"/>
            </w:tcBorders>
            <w:shd w:val="clear" w:color="000000" w:fill="FFFFE1"/>
            <w:noWrap/>
            <w:vAlign w:val="center"/>
            <w:hideMark/>
          </w:tcPr>
          <w:p w:rsidR="008C55A4" w:rsidRPr="0007672A" w:rsidRDefault="008C55A4" w:rsidP="00EE72EC">
            <w:pPr>
              <w:jc w:val="center"/>
              <w:rPr>
                <w:rFonts w:ascii="Arial" w:hAnsi="Arial" w:cs="Arial"/>
                <w:b/>
                <w:bCs/>
                <w:color w:val="000000"/>
                <w:sz w:val="16"/>
                <w:szCs w:val="16"/>
              </w:rPr>
            </w:pPr>
            <w:r w:rsidRPr="0007672A">
              <w:rPr>
                <w:rFonts w:ascii="Arial" w:hAnsi="Arial" w:cs="Arial"/>
                <w:b/>
                <w:bCs/>
                <w:color w:val="000000"/>
                <w:sz w:val="16"/>
                <w:szCs w:val="16"/>
              </w:rPr>
              <w:t>2012 Five-Year ACS</w:t>
            </w:r>
          </w:p>
        </w:tc>
      </w:tr>
      <w:tr w:rsidR="008C55A4" w:rsidRPr="0007672A" w:rsidTr="00EE72EC">
        <w:trPr>
          <w:trHeight w:val="300"/>
          <w:jc w:val="center"/>
        </w:trPr>
        <w:tc>
          <w:tcPr>
            <w:tcW w:w="1377" w:type="dxa"/>
            <w:vMerge/>
            <w:tcBorders>
              <w:top w:val="single" w:sz="4" w:space="0" w:color="009900"/>
              <w:left w:val="single" w:sz="4" w:space="0" w:color="009900"/>
              <w:bottom w:val="single" w:sz="4" w:space="0" w:color="009900"/>
              <w:right w:val="nil"/>
            </w:tcBorders>
            <w:vAlign w:val="center"/>
            <w:hideMark/>
          </w:tcPr>
          <w:p w:rsidR="008C55A4" w:rsidRPr="0007672A" w:rsidRDefault="008C55A4" w:rsidP="00EE72EC">
            <w:pPr>
              <w:rPr>
                <w:rFonts w:ascii="Arial" w:hAnsi="Arial" w:cs="Arial"/>
                <w:b/>
                <w:bCs/>
                <w:color w:val="000000"/>
                <w:sz w:val="16"/>
                <w:szCs w:val="16"/>
              </w:rPr>
            </w:pPr>
          </w:p>
        </w:tc>
        <w:tc>
          <w:tcPr>
            <w:tcW w:w="1287" w:type="dxa"/>
            <w:tcBorders>
              <w:top w:val="nil"/>
              <w:left w:val="nil"/>
              <w:bottom w:val="single" w:sz="4" w:space="0" w:color="009900"/>
              <w:right w:val="nil"/>
            </w:tcBorders>
            <w:shd w:val="clear" w:color="000000" w:fill="FFFFE1"/>
            <w:noWrap/>
            <w:vAlign w:val="center"/>
            <w:hideMark/>
          </w:tcPr>
          <w:p w:rsidR="008C55A4" w:rsidRPr="0007672A" w:rsidRDefault="008C55A4" w:rsidP="00EE72EC">
            <w:pPr>
              <w:jc w:val="center"/>
              <w:rPr>
                <w:rFonts w:ascii="Arial" w:hAnsi="Arial" w:cs="Arial"/>
                <w:b/>
                <w:bCs/>
                <w:color w:val="000000"/>
                <w:sz w:val="16"/>
                <w:szCs w:val="16"/>
              </w:rPr>
            </w:pPr>
            <w:r>
              <w:rPr>
                <w:rFonts w:ascii="Arial" w:hAnsi="Arial" w:cs="Arial"/>
                <w:b/>
                <w:bCs/>
                <w:color w:val="000000"/>
                <w:sz w:val="16"/>
                <w:szCs w:val="16"/>
              </w:rPr>
              <w:t>Units</w:t>
            </w:r>
          </w:p>
        </w:tc>
        <w:tc>
          <w:tcPr>
            <w:tcW w:w="1956" w:type="dxa"/>
            <w:tcBorders>
              <w:top w:val="nil"/>
              <w:left w:val="nil"/>
              <w:bottom w:val="single" w:sz="4" w:space="0" w:color="009900"/>
              <w:right w:val="single" w:sz="4" w:space="0" w:color="009900"/>
            </w:tcBorders>
            <w:shd w:val="clear" w:color="000000" w:fill="FFFFE1"/>
            <w:noWrap/>
            <w:vAlign w:val="center"/>
            <w:hideMark/>
          </w:tcPr>
          <w:p w:rsidR="008C55A4" w:rsidRPr="0007672A" w:rsidRDefault="008C55A4" w:rsidP="00EE72EC">
            <w:pPr>
              <w:jc w:val="center"/>
              <w:rPr>
                <w:rFonts w:ascii="Arial" w:hAnsi="Arial" w:cs="Arial"/>
                <w:b/>
                <w:bCs/>
                <w:color w:val="000000"/>
                <w:sz w:val="16"/>
                <w:szCs w:val="16"/>
              </w:rPr>
            </w:pPr>
            <w:r>
              <w:rPr>
                <w:rFonts w:ascii="Arial" w:hAnsi="Arial" w:cs="Arial"/>
                <w:b/>
                <w:bCs/>
                <w:color w:val="000000"/>
                <w:sz w:val="16"/>
                <w:szCs w:val="16"/>
              </w:rPr>
              <w:t>Units</w:t>
            </w:r>
          </w:p>
        </w:tc>
      </w:tr>
      <w:tr w:rsidR="008C55A4" w:rsidRPr="0007672A" w:rsidTr="00EE72EC">
        <w:trPr>
          <w:trHeight w:val="300"/>
          <w:jc w:val="center"/>
        </w:trPr>
        <w:tc>
          <w:tcPr>
            <w:tcW w:w="1377" w:type="dxa"/>
            <w:tcBorders>
              <w:top w:val="nil"/>
              <w:left w:val="single" w:sz="4" w:space="0" w:color="009900"/>
              <w:bottom w:val="nil"/>
              <w:right w:val="nil"/>
            </w:tcBorders>
            <w:shd w:val="clear" w:color="000000" w:fill="FFFFE1"/>
            <w:noWrap/>
            <w:vAlign w:val="center"/>
            <w:hideMark/>
          </w:tcPr>
          <w:p w:rsidR="008C55A4" w:rsidRPr="0007672A" w:rsidRDefault="008C55A4" w:rsidP="00EE72EC">
            <w:pPr>
              <w:rPr>
                <w:rFonts w:ascii="Arial" w:hAnsi="Arial" w:cs="Arial"/>
                <w:color w:val="000000"/>
                <w:sz w:val="16"/>
                <w:szCs w:val="16"/>
              </w:rPr>
            </w:pPr>
            <w:r w:rsidRPr="0007672A">
              <w:rPr>
                <w:rFonts w:ascii="Arial" w:hAnsi="Arial" w:cs="Arial"/>
                <w:color w:val="000000"/>
                <w:sz w:val="16"/>
                <w:szCs w:val="16"/>
              </w:rPr>
              <w:t>1939 or Earlier</w:t>
            </w:r>
          </w:p>
        </w:tc>
        <w:tc>
          <w:tcPr>
            <w:tcW w:w="1287" w:type="dxa"/>
            <w:tcBorders>
              <w:top w:val="nil"/>
              <w:left w:val="nil"/>
              <w:bottom w:val="nil"/>
              <w:right w:val="nil"/>
            </w:tcBorders>
            <w:shd w:val="clear" w:color="000000" w:fill="FFFFE1"/>
            <w:noWrap/>
            <w:vAlign w:val="center"/>
            <w:hideMark/>
          </w:tcPr>
          <w:p w:rsidR="008C55A4" w:rsidRPr="0007672A" w:rsidRDefault="008C55A4" w:rsidP="00EE72EC">
            <w:pPr>
              <w:jc w:val="center"/>
              <w:rPr>
                <w:rFonts w:ascii="Arial" w:hAnsi="Arial" w:cs="Arial"/>
                <w:color w:val="000000"/>
                <w:sz w:val="16"/>
                <w:szCs w:val="16"/>
              </w:rPr>
            </w:pPr>
            <w:r w:rsidRPr="0007672A">
              <w:rPr>
                <w:rFonts w:ascii="Arial" w:hAnsi="Arial" w:cs="Arial"/>
                <w:color w:val="000000"/>
                <w:sz w:val="16"/>
                <w:szCs w:val="16"/>
              </w:rPr>
              <w:t>35,099</w:t>
            </w:r>
          </w:p>
        </w:tc>
        <w:tc>
          <w:tcPr>
            <w:tcW w:w="1956" w:type="dxa"/>
            <w:tcBorders>
              <w:top w:val="nil"/>
              <w:left w:val="nil"/>
              <w:bottom w:val="nil"/>
              <w:right w:val="single" w:sz="4" w:space="0" w:color="009900"/>
            </w:tcBorders>
            <w:shd w:val="clear" w:color="000000" w:fill="FFFFE1"/>
            <w:noWrap/>
            <w:vAlign w:val="center"/>
            <w:hideMark/>
          </w:tcPr>
          <w:p w:rsidR="008C55A4" w:rsidRPr="0007672A" w:rsidRDefault="008C55A4" w:rsidP="00EE72EC">
            <w:pPr>
              <w:jc w:val="center"/>
              <w:rPr>
                <w:rFonts w:ascii="Arial" w:hAnsi="Arial" w:cs="Arial"/>
                <w:color w:val="000000"/>
                <w:sz w:val="16"/>
                <w:szCs w:val="16"/>
              </w:rPr>
            </w:pPr>
            <w:r w:rsidRPr="0007672A">
              <w:rPr>
                <w:rFonts w:ascii="Arial" w:hAnsi="Arial" w:cs="Arial"/>
                <w:color w:val="000000"/>
                <w:sz w:val="16"/>
                <w:szCs w:val="16"/>
              </w:rPr>
              <w:t>33,152</w:t>
            </w:r>
          </w:p>
        </w:tc>
      </w:tr>
      <w:tr w:rsidR="008C55A4" w:rsidRPr="0007672A" w:rsidTr="00EE72EC">
        <w:trPr>
          <w:trHeight w:val="300"/>
          <w:jc w:val="center"/>
        </w:trPr>
        <w:tc>
          <w:tcPr>
            <w:tcW w:w="1377" w:type="dxa"/>
            <w:tcBorders>
              <w:top w:val="nil"/>
              <w:left w:val="single" w:sz="4" w:space="0" w:color="009900"/>
              <w:bottom w:val="nil"/>
              <w:right w:val="nil"/>
            </w:tcBorders>
            <w:shd w:val="clear" w:color="000000" w:fill="FFFFE1"/>
            <w:noWrap/>
            <w:vAlign w:val="center"/>
            <w:hideMark/>
          </w:tcPr>
          <w:p w:rsidR="008C55A4" w:rsidRPr="0007672A" w:rsidRDefault="008C55A4" w:rsidP="00EE72EC">
            <w:pPr>
              <w:rPr>
                <w:rFonts w:ascii="Arial" w:hAnsi="Arial" w:cs="Arial"/>
                <w:color w:val="000000"/>
                <w:sz w:val="16"/>
                <w:szCs w:val="16"/>
              </w:rPr>
            </w:pPr>
            <w:r w:rsidRPr="0007672A">
              <w:rPr>
                <w:rFonts w:ascii="Arial" w:hAnsi="Arial" w:cs="Arial"/>
                <w:color w:val="000000"/>
                <w:sz w:val="16"/>
                <w:szCs w:val="16"/>
              </w:rPr>
              <w:t>1940 to 1949</w:t>
            </w:r>
          </w:p>
        </w:tc>
        <w:tc>
          <w:tcPr>
            <w:tcW w:w="1287" w:type="dxa"/>
            <w:tcBorders>
              <w:top w:val="nil"/>
              <w:left w:val="nil"/>
              <w:bottom w:val="nil"/>
              <w:right w:val="nil"/>
            </w:tcBorders>
            <w:shd w:val="clear" w:color="000000" w:fill="FFFFE1"/>
            <w:noWrap/>
            <w:vAlign w:val="center"/>
            <w:hideMark/>
          </w:tcPr>
          <w:p w:rsidR="008C55A4" w:rsidRPr="0007672A" w:rsidRDefault="008C55A4" w:rsidP="00EE72EC">
            <w:pPr>
              <w:jc w:val="center"/>
              <w:rPr>
                <w:rFonts w:ascii="Arial" w:hAnsi="Arial" w:cs="Arial"/>
                <w:color w:val="000000"/>
                <w:sz w:val="16"/>
                <w:szCs w:val="16"/>
              </w:rPr>
            </w:pPr>
            <w:r w:rsidRPr="0007672A">
              <w:rPr>
                <w:rFonts w:ascii="Arial" w:hAnsi="Arial" w:cs="Arial"/>
                <w:color w:val="000000"/>
                <w:sz w:val="16"/>
                <w:szCs w:val="16"/>
              </w:rPr>
              <w:t>30,254</w:t>
            </w:r>
          </w:p>
        </w:tc>
        <w:tc>
          <w:tcPr>
            <w:tcW w:w="1956" w:type="dxa"/>
            <w:tcBorders>
              <w:top w:val="nil"/>
              <w:left w:val="nil"/>
              <w:bottom w:val="nil"/>
              <w:right w:val="single" w:sz="4" w:space="0" w:color="009900"/>
            </w:tcBorders>
            <w:shd w:val="clear" w:color="000000" w:fill="FFFFE1"/>
            <w:noWrap/>
            <w:vAlign w:val="center"/>
            <w:hideMark/>
          </w:tcPr>
          <w:p w:rsidR="008C55A4" w:rsidRPr="0007672A" w:rsidRDefault="008C55A4" w:rsidP="00EE72EC">
            <w:pPr>
              <w:jc w:val="center"/>
              <w:rPr>
                <w:rFonts w:ascii="Arial" w:hAnsi="Arial" w:cs="Arial"/>
                <w:color w:val="000000"/>
                <w:sz w:val="16"/>
                <w:szCs w:val="16"/>
              </w:rPr>
            </w:pPr>
            <w:r w:rsidRPr="0007672A">
              <w:rPr>
                <w:rFonts w:ascii="Arial" w:hAnsi="Arial" w:cs="Arial"/>
                <w:color w:val="000000"/>
                <w:sz w:val="16"/>
                <w:szCs w:val="16"/>
              </w:rPr>
              <w:t>25,602</w:t>
            </w:r>
          </w:p>
        </w:tc>
      </w:tr>
      <w:tr w:rsidR="008C55A4" w:rsidRPr="0007672A" w:rsidTr="00EE72EC">
        <w:trPr>
          <w:trHeight w:val="300"/>
          <w:jc w:val="center"/>
        </w:trPr>
        <w:tc>
          <w:tcPr>
            <w:tcW w:w="1377" w:type="dxa"/>
            <w:tcBorders>
              <w:top w:val="nil"/>
              <w:left w:val="single" w:sz="4" w:space="0" w:color="009900"/>
              <w:bottom w:val="nil"/>
              <w:right w:val="nil"/>
            </w:tcBorders>
            <w:shd w:val="clear" w:color="000000" w:fill="FFFFE1"/>
            <w:noWrap/>
            <w:vAlign w:val="center"/>
            <w:hideMark/>
          </w:tcPr>
          <w:p w:rsidR="008C55A4" w:rsidRPr="0007672A" w:rsidRDefault="008C55A4" w:rsidP="00EE72EC">
            <w:pPr>
              <w:rPr>
                <w:rFonts w:ascii="Arial" w:hAnsi="Arial" w:cs="Arial"/>
                <w:color w:val="000000"/>
                <w:sz w:val="16"/>
                <w:szCs w:val="16"/>
              </w:rPr>
            </w:pPr>
            <w:r w:rsidRPr="0007672A">
              <w:rPr>
                <w:rFonts w:ascii="Arial" w:hAnsi="Arial" w:cs="Arial"/>
                <w:color w:val="000000"/>
                <w:sz w:val="16"/>
                <w:szCs w:val="16"/>
              </w:rPr>
              <w:t>1950 to 1959</w:t>
            </w:r>
          </w:p>
        </w:tc>
        <w:tc>
          <w:tcPr>
            <w:tcW w:w="1287" w:type="dxa"/>
            <w:tcBorders>
              <w:top w:val="nil"/>
              <w:left w:val="nil"/>
              <w:bottom w:val="nil"/>
              <w:right w:val="nil"/>
            </w:tcBorders>
            <w:shd w:val="clear" w:color="000000" w:fill="FFFFE1"/>
            <w:noWrap/>
            <w:vAlign w:val="center"/>
            <w:hideMark/>
          </w:tcPr>
          <w:p w:rsidR="008C55A4" w:rsidRPr="0007672A" w:rsidRDefault="008C55A4" w:rsidP="00EE72EC">
            <w:pPr>
              <w:jc w:val="center"/>
              <w:rPr>
                <w:rFonts w:ascii="Arial" w:hAnsi="Arial" w:cs="Arial"/>
                <w:color w:val="000000"/>
                <w:sz w:val="16"/>
                <w:szCs w:val="16"/>
              </w:rPr>
            </w:pPr>
            <w:r w:rsidRPr="0007672A">
              <w:rPr>
                <w:rFonts w:ascii="Arial" w:hAnsi="Arial" w:cs="Arial"/>
                <w:color w:val="000000"/>
                <w:sz w:val="16"/>
                <w:szCs w:val="16"/>
              </w:rPr>
              <w:t>63,964</w:t>
            </w:r>
          </w:p>
        </w:tc>
        <w:tc>
          <w:tcPr>
            <w:tcW w:w="1956" w:type="dxa"/>
            <w:tcBorders>
              <w:top w:val="nil"/>
              <w:left w:val="nil"/>
              <w:bottom w:val="nil"/>
              <w:right w:val="single" w:sz="4" w:space="0" w:color="009900"/>
            </w:tcBorders>
            <w:shd w:val="clear" w:color="000000" w:fill="FFFFE1"/>
            <w:noWrap/>
            <w:vAlign w:val="center"/>
            <w:hideMark/>
          </w:tcPr>
          <w:p w:rsidR="008C55A4" w:rsidRPr="0007672A" w:rsidRDefault="008C55A4" w:rsidP="00EE72EC">
            <w:pPr>
              <w:jc w:val="center"/>
              <w:rPr>
                <w:rFonts w:ascii="Arial" w:hAnsi="Arial" w:cs="Arial"/>
                <w:color w:val="000000"/>
                <w:sz w:val="16"/>
                <w:szCs w:val="16"/>
              </w:rPr>
            </w:pPr>
            <w:r w:rsidRPr="0007672A">
              <w:rPr>
                <w:rFonts w:ascii="Arial" w:hAnsi="Arial" w:cs="Arial"/>
                <w:color w:val="000000"/>
                <w:sz w:val="16"/>
                <w:szCs w:val="16"/>
              </w:rPr>
              <w:t>64,859</w:t>
            </w:r>
          </w:p>
        </w:tc>
      </w:tr>
      <w:tr w:rsidR="008C55A4" w:rsidRPr="0007672A" w:rsidTr="00EE72EC">
        <w:trPr>
          <w:trHeight w:val="300"/>
          <w:jc w:val="center"/>
        </w:trPr>
        <w:tc>
          <w:tcPr>
            <w:tcW w:w="1377" w:type="dxa"/>
            <w:tcBorders>
              <w:top w:val="nil"/>
              <w:left w:val="single" w:sz="4" w:space="0" w:color="009900"/>
              <w:bottom w:val="nil"/>
              <w:right w:val="nil"/>
            </w:tcBorders>
            <w:shd w:val="clear" w:color="000000" w:fill="FFFFE1"/>
            <w:noWrap/>
            <w:vAlign w:val="center"/>
            <w:hideMark/>
          </w:tcPr>
          <w:p w:rsidR="008C55A4" w:rsidRPr="0007672A" w:rsidRDefault="008C55A4" w:rsidP="00EE72EC">
            <w:pPr>
              <w:rPr>
                <w:rFonts w:ascii="Arial" w:hAnsi="Arial" w:cs="Arial"/>
                <w:color w:val="000000"/>
                <w:sz w:val="16"/>
                <w:szCs w:val="16"/>
              </w:rPr>
            </w:pPr>
            <w:r w:rsidRPr="0007672A">
              <w:rPr>
                <w:rFonts w:ascii="Arial" w:hAnsi="Arial" w:cs="Arial"/>
                <w:color w:val="000000"/>
                <w:sz w:val="16"/>
                <w:szCs w:val="16"/>
              </w:rPr>
              <w:t>1960 to 1969</w:t>
            </w:r>
          </w:p>
        </w:tc>
        <w:tc>
          <w:tcPr>
            <w:tcW w:w="1287" w:type="dxa"/>
            <w:tcBorders>
              <w:top w:val="nil"/>
              <w:left w:val="nil"/>
              <w:bottom w:val="nil"/>
              <w:right w:val="nil"/>
            </w:tcBorders>
            <w:shd w:val="clear" w:color="000000" w:fill="FFFFE1"/>
            <w:noWrap/>
            <w:vAlign w:val="center"/>
            <w:hideMark/>
          </w:tcPr>
          <w:p w:rsidR="008C55A4" w:rsidRPr="0007672A" w:rsidRDefault="008C55A4" w:rsidP="00EE72EC">
            <w:pPr>
              <w:jc w:val="center"/>
              <w:rPr>
                <w:rFonts w:ascii="Arial" w:hAnsi="Arial" w:cs="Arial"/>
                <w:color w:val="000000"/>
                <w:sz w:val="16"/>
                <w:szCs w:val="16"/>
              </w:rPr>
            </w:pPr>
            <w:r w:rsidRPr="0007672A">
              <w:rPr>
                <w:rFonts w:ascii="Arial" w:hAnsi="Arial" w:cs="Arial"/>
                <w:color w:val="000000"/>
                <w:sz w:val="16"/>
                <w:szCs w:val="16"/>
              </w:rPr>
              <w:t>52,783</w:t>
            </w:r>
          </w:p>
        </w:tc>
        <w:tc>
          <w:tcPr>
            <w:tcW w:w="1956" w:type="dxa"/>
            <w:tcBorders>
              <w:top w:val="nil"/>
              <w:left w:val="nil"/>
              <w:bottom w:val="nil"/>
              <w:right w:val="single" w:sz="4" w:space="0" w:color="009900"/>
            </w:tcBorders>
            <w:shd w:val="clear" w:color="000000" w:fill="FFFFE1"/>
            <w:noWrap/>
            <w:vAlign w:val="center"/>
            <w:hideMark/>
          </w:tcPr>
          <w:p w:rsidR="008C55A4" w:rsidRPr="0007672A" w:rsidRDefault="008C55A4" w:rsidP="00EE72EC">
            <w:pPr>
              <w:jc w:val="center"/>
              <w:rPr>
                <w:rFonts w:ascii="Arial" w:hAnsi="Arial" w:cs="Arial"/>
                <w:color w:val="000000"/>
                <w:sz w:val="16"/>
                <w:szCs w:val="16"/>
              </w:rPr>
            </w:pPr>
            <w:r w:rsidRPr="0007672A">
              <w:rPr>
                <w:rFonts w:ascii="Arial" w:hAnsi="Arial" w:cs="Arial"/>
                <w:color w:val="000000"/>
                <w:sz w:val="16"/>
                <w:szCs w:val="16"/>
              </w:rPr>
              <w:t>47,804</w:t>
            </w:r>
          </w:p>
        </w:tc>
      </w:tr>
      <w:tr w:rsidR="008C55A4" w:rsidRPr="0007672A" w:rsidTr="00EE72EC">
        <w:trPr>
          <w:trHeight w:val="315"/>
          <w:jc w:val="center"/>
        </w:trPr>
        <w:tc>
          <w:tcPr>
            <w:tcW w:w="1377" w:type="dxa"/>
            <w:tcBorders>
              <w:top w:val="nil"/>
              <w:left w:val="single" w:sz="4" w:space="0" w:color="009900"/>
              <w:bottom w:val="nil"/>
              <w:right w:val="nil"/>
            </w:tcBorders>
            <w:shd w:val="clear" w:color="000000" w:fill="FFFFE1"/>
            <w:noWrap/>
            <w:vAlign w:val="center"/>
            <w:hideMark/>
          </w:tcPr>
          <w:p w:rsidR="008C55A4" w:rsidRPr="0007672A" w:rsidRDefault="008C55A4" w:rsidP="00EE72EC">
            <w:pPr>
              <w:rPr>
                <w:rFonts w:ascii="Arial" w:hAnsi="Arial" w:cs="Arial"/>
                <w:color w:val="000000"/>
                <w:sz w:val="16"/>
                <w:szCs w:val="16"/>
              </w:rPr>
            </w:pPr>
            <w:r w:rsidRPr="0007672A">
              <w:rPr>
                <w:rFonts w:ascii="Arial" w:hAnsi="Arial" w:cs="Arial"/>
                <w:color w:val="000000"/>
                <w:sz w:val="16"/>
                <w:szCs w:val="16"/>
              </w:rPr>
              <w:t>1970 to 1979</w:t>
            </w:r>
          </w:p>
        </w:tc>
        <w:tc>
          <w:tcPr>
            <w:tcW w:w="1287" w:type="dxa"/>
            <w:tcBorders>
              <w:top w:val="nil"/>
              <w:left w:val="nil"/>
              <w:bottom w:val="nil"/>
              <w:right w:val="nil"/>
            </w:tcBorders>
            <w:shd w:val="clear" w:color="000000" w:fill="FFFFE1"/>
            <w:noWrap/>
            <w:vAlign w:val="center"/>
            <w:hideMark/>
          </w:tcPr>
          <w:p w:rsidR="008C55A4" w:rsidRPr="0007672A" w:rsidRDefault="008C55A4" w:rsidP="00EE72EC">
            <w:pPr>
              <w:jc w:val="center"/>
              <w:rPr>
                <w:rFonts w:ascii="Arial" w:hAnsi="Arial" w:cs="Arial"/>
                <w:color w:val="000000"/>
                <w:sz w:val="16"/>
                <w:szCs w:val="16"/>
              </w:rPr>
            </w:pPr>
            <w:r w:rsidRPr="0007672A">
              <w:rPr>
                <w:rFonts w:ascii="Arial" w:hAnsi="Arial" w:cs="Arial"/>
                <w:color w:val="000000"/>
                <w:sz w:val="16"/>
                <w:szCs w:val="16"/>
              </w:rPr>
              <w:t>89,224</w:t>
            </w:r>
          </w:p>
        </w:tc>
        <w:tc>
          <w:tcPr>
            <w:tcW w:w="1956" w:type="dxa"/>
            <w:tcBorders>
              <w:top w:val="nil"/>
              <w:left w:val="nil"/>
              <w:bottom w:val="nil"/>
              <w:right w:val="single" w:sz="4" w:space="0" w:color="009900"/>
            </w:tcBorders>
            <w:shd w:val="clear" w:color="000000" w:fill="FFFFE1"/>
            <w:noWrap/>
            <w:vAlign w:val="center"/>
            <w:hideMark/>
          </w:tcPr>
          <w:p w:rsidR="008C55A4" w:rsidRPr="0007672A" w:rsidRDefault="008C55A4" w:rsidP="00EE72EC">
            <w:pPr>
              <w:jc w:val="center"/>
              <w:rPr>
                <w:rFonts w:ascii="Arial" w:hAnsi="Arial" w:cs="Arial"/>
                <w:color w:val="000000"/>
                <w:sz w:val="16"/>
                <w:szCs w:val="16"/>
              </w:rPr>
            </w:pPr>
            <w:r w:rsidRPr="0007672A">
              <w:rPr>
                <w:rFonts w:ascii="Arial" w:hAnsi="Arial" w:cs="Arial"/>
                <w:color w:val="000000"/>
                <w:sz w:val="16"/>
                <w:szCs w:val="16"/>
              </w:rPr>
              <w:t>87,484</w:t>
            </w:r>
          </w:p>
        </w:tc>
      </w:tr>
      <w:tr w:rsidR="008C55A4" w:rsidRPr="0007672A" w:rsidTr="00EE72EC">
        <w:trPr>
          <w:trHeight w:val="315"/>
          <w:jc w:val="center"/>
        </w:trPr>
        <w:tc>
          <w:tcPr>
            <w:tcW w:w="1377" w:type="dxa"/>
            <w:tcBorders>
              <w:top w:val="double" w:sz="6" w:space="0" w:color="009900"/>
              <w:left w:val="single" w:sz="4" w:space="0" w:color="009900"/>
              <w:bottom w:val="single" w:sz="4" w:space="0" w:color="009900"/>
              <w:right w:val="nil"/>
            </w:tcBorders>
            <w:shd w:val="clear" w:color="000000" w:fill="FFFFE1"/>
            <w:noWrap/>
            <w:vAlign w:val="center"/>
            <w:hideMark/>
          </w:tcPr>
          <w:p w:rsidR="008C55A4" w:rsidRPr="0007672A" w:rsidRDefault="008C55A4" w:rsidP="00EE72EC">
            <w:pPr>
              <w:rPr>
                <w:rFonts w:ascii="Arial" w:hAnsi="Arial" w:cs="Arial"/>
                <w:b/>
                <w:bCs/>
                <w:color w:val="000000"/>
                <w:sz w:val="16"/>
                <w:szCs w:val="16"/>
              </w:rPr>
            </w:pPr>
            <w:r w:rsidRPr="0007672A">
              <w:rPr>
                <w:rFonts w:ascii="Arial" w:hAnsi="Arial" w:cs="Arial"/>
                <w:b/>
                <w:bCs/>
                <w:color w:val="000000"/>
                <w:sz w:val="16"/>
                <w:szCs w:val="16"/>
              </w:rPr>
              <w:t>Total</w:t>
            </w:r>
          </w:p>
        </w:tc>
        <w:tc>
          <w:tcPr>
            <w:tcW w:w="1287" w:type="dxa"/>
            <w:tcBorders>
              <w:top w:val="double" w:sz="6" w:space="0" w:color="009900"/>
              <w:left w:val="nil"/>
              <w:bottom w:val="single" w:sz="4" w:space="0" w:color="009900"/>
              <w:right w:val="nil"/>
            </w:tcBorders>
            <w:shd w:val="clear" w:color="000000" w:fill="FFFFE1"/>
            <w:noWrap/>
            <w:vAlign w:val="center"/>
            <w:hideMark/>
          </w:tcPr>
          <w:p w:rsidR="008C55A4" w:rsidRPr="0007672A" w:rsidRDefault="008C55A4" w:rsidP="00EE72EC">
            <w:pPr>
              <w:jc w:val="center"/>
              <w:rPr>
                <w:rFonts w:ascii="Arial" w:hAnsi="Arial" w:cs="Arial"/>
                <w:b/>
                <w:bCs/>
                <w:color w:val="000000"/>
                <w:sz w:val="16"/>
                <w:szCs w:val="16"/>
              </w:rPr>
            </w:pPr>
            <w:r w:rsidRPr="0007672A">
              <w:rPr>
                <w:rFonts w:ascii="Arial" w:hAnsi="Arial" w:cs="Arial"/>
                <w:b/>
                <w:bCs/>
                <w:color w:val="000000"/>
                <w:sz w:val="16"/>
                <w:szCs w:val="16"/>
              </w:rPr>
              <w:t>271,324</w:t>
            </w:r>
          </w:p>
        </w:tc>
        <w:tc>
          <w:tcPr>
            <w:tcW w:w="1956" w:type="dxa"/>
            <w:tcBorders>
              <w:top w:val="double" w:sz="6" w:space="0" w:color="009900"/>
              <w:left w:val="nil"/>
              <w:bottom w:val="single" w:sz="4" w:space="0" w:color="009900"/>
              <w:right w:val="single" w:sz="4" w:space="0" w:color="009900"/>
            </w:tcBorders>
            <w:shd w:val="clear" w:color="000000" w:fill="FFFFE1"/>
            <w:noWrap/>
            <w:vAlign w:val="center"/>
            <w:hideMark/>
          </w:tcPr>
          <w:p w:rsidR="008C55A4" w:rsidRPr="0007672A" w:rsidRDefault="008C55A4" w:rsidP="00EE72EC">
            <w:pPr>
              <w:jc w:val="center"/>
              <w:rPr>
                <w:rFonts w:ascii="Arial" w:hAnsi="Arial" w:cs="Arial"/>
                <w:b/>
                <w:bCs/>
                <w:color w:val="000000"/>
                <w:sz w:val="16"/>
                <w:szCs w:val="16"/>
              </w:rPr>
            </w:pPr>
            <w:r w:rsidRPr="0007672A">
              <w:rPr>
                <w:rFonts w:ascii="Arial" w:hAnsi="Arial" w:cs="Arial"/>
                <w:b/>
                <w:bCs/>
                <w:color w:val="000000"/>
                <w:sz w:val="16"/>
                <w:szCs w:val="16"/>
              </w:rPr>
              <w:t>258,901</w:t>
            </w:r>
          </w:p>
        </w:tc>
      </w:tr>
    </w:tbl>
    <w:p w:rsidR="008503F8" w:rsidRDefault="008503F8" w:rsidP="008C55A4">
      <w:pPr>
        <w:jc w:val="both"/>
        <w:rPr>
          <w:rFonts w:ascii="CG Omega" w:hAnsi="CG Omega"/>
        </w:rPr>
      </w:pPr>
    </w:p>
    <w:p w:rsidR="008503F8" w:rsidRDefault="008503F8" w:rsidP="008C55A4">
      <w:pPr>
        <w:jc w:val="both"/>
        <w:rPr>
          <w:rFonts w:ascii="CG Omega" w:hAnsi="CG Omega"/>
        </w:rPr>
      </w:pPr>
    </w:p>
    <w:p w:rsidR="008C55A4" w:rsidRPr="00205CF0" w:rsidRDefault="00A364F7" w:rsidP="008C55A4">
      <w:pPr>
        <w:jc w:val="both"/>
        <w:rPr>
          <w:rFonts w:ascii="CG Omega" w:hAnsi="CG Omega"/>
          <w:highlight w:val="yellow"/>
        </w:rPr>
      </w:pPr>
      <w:r>
        <w:rPr>
          <w:rFonts w:ascii="CG Omega" w:hAnsi="CG Omega"/>
        </w:rPr>
        <w:t xml:space="preserve">According to the </w:t>
      </w:r>
      <w:r w:rsidRPr="00A364F7">
        <w:rPr>
          <w:rStyle w:val="Emphasis"/>
          <w:rFonts w:ascii="CG Omega" w:hAnsi="CG Omega" w:cs="Arial"/>
          <w:bCs/>
          <w:i w:val="0"/>
          <w:iCs w:val="0"/>
          <w:shd w:val="clear" w:color="auto" w:fill="FFFFFF"/>
        </w:rPr>
        <w:t>Bureau of Business and Economic Research</w:t>
      </w:r>
      <w:r w:rsidR="008503F8">
        <w:rPr>
          <w:rStyle w:val="apple-converted-space"/>
          <w:rFonts w:ascii="CG Omega" w:hAnsi="CG Omega" w:cs="Arial"/>
          <w:shd w:val="clear" w:color="auto" w:fill="FFFFFF"/>
        </w:rPr>
        <w:t xml:space="preserve"> </w:t>
      </w:r>
      <w:r w:rsidRPr="00A364F7">
        <w:rPr>
          <w:rFonts w:ascii="CG Omega" w:hAnsi="CG Omega" w:cs="Arial"/>
          <w:shd w:val="clear" w:color="auto" w:fill="FFFFFF"/>
        </w:rPr>
        <w:t>(</w:t>
      </w:r>
      <w:r w:rsidRPr="00A364F7">
        <w:rPr>
          <w:rStyle w:val="Emphasis"/>
          <w:rFonts w:ascii="CG Omega" w:hAnsi="CG Omega" w:cs="Arial"/>
          <w:bCs/>
          <w:i w:val="0"/>
          <w:iCs w:val="0"/>
          <w:shd w:val="clear" w:color="auto" w:fill="FFFFFF"/>
        </w:rPr>
        <w:t>BBER</w:t>
      </w:r>
      <w:r w:rsidRPr="00A364F7">
        <w:rPr>
          <w:rFonts w:ascii="CG Omega" w:hAnsi="CG Omega" w:cs="Arial"/>
          <w:shd w:val="clear" w:color="auto" w:fill="FFFFFF"/>
        </w:rPr>
        <w:t>) at the University of New Mexico</w:t>
      </w:r>
      <w:r w:rsidR="00B30274">
        <w:rPr>
          <w:rFonts w:ascii="CG Omega" w:hAnsi="CG Omega" w:cs="Arial"/>
          <w:shd w:val="clear" w:color="auto" w:fill="FFFFFF"/>
        </w:rPr>
        <w:t>, 49.</w:t>
      </w:r>
      <w:r>
        <w:rPr>
          <w:rFonts w:ascii="CG Omega" w:hAnsi="CG Omega" w:cs="Arial"/>
          <w:shd w:val="clear" w:color="auto" w:fill="FFFFFF"/>
        </w:rPr>
        <w:t>8 percent of unit</w:t>
      </w:r>
      <w:r w:rsidR="008503F8">
        <w:rPr>
          <w:rFonts w:ascii="CG Omega" w:hAnsi="CG Omega" w:cs="Arial"/>
          <w:shd w:val="clear" w:color="auto" w:fill="FFFFFF"/>
        </w:rPr>
        <w:t>s</w:t>
      </w:r>
      <w:r>
        <w:rPr>
          <w:rFonts w:ascii="CG Omega" w:hAnsi="CG Omega" w:cs="Arial"/>
          <w:shd w:val="clear" w:color="auto" w:fill="FFFFFF"/>
        </w:rPr>
        <w:t xml:space="preserve"> in New Mexico were built before 1980. The risk associated with lead-based paints, however, is most prevalent in homes where children are present. </w:t>
      </w:r>
      <w:r w:rsidRPr="00A364F7">
        <w:rPr>
          <w:rFonts w:ascii="CG Omega" w:hAnsi="CG Omega" w:cs="Arial"/>
          <w:shd w:val="clear" w:color="auto" w:fill="FFFFFF"/>
        </w:rPr>
        <w:t xml:space="preserve"> </w:t>
      </w:r>
      <w:r w:rsidR="008C55A4" w:rsidRPr="008503F8">
        <w:rPr>
          <w:rFonts w:ascii="CG Omega" w:hAnsi="CG Omega"/>
          <w:b/>
        </w:rPr>
        <w:t xml:space="preserve">Table </w:t>
      </w:r>
      <w:r w:rsidR="009E7733" w:rsidRPr="008503F8">
        <w:rPr>
          <w:rFonts w:ascii="CG Omega" w:hAnsi="CG Omega"/>
          <w:b/>
        </w:rPr>
        <w:t>IV.</w:t>
      </w:r>
      <w:r w:rsidR="008C55A4" w:rsidRPr="008503F8">
        <w:rPr>
          <w:rFonts w:ascii="CG Omega" w:hAnsi="CG Omega"/>
          <w:b/>
        </w:rPr>
        <w:t>1</w:t>
      </w:r>
      <w:r w:rsidR="00F92737" w:rsidRPr="008503F8">
        <w:rPr>
          <w:rFonts w:ascii="CG Omega" w:hAnsi="CG Omega"/>
          <w:b/>
        </w:rPr>
        <w:t>5</w:t>
      </w:r>
      <w:r w:rsidR="008C55A4" w:rsidRPr="009E7733">
        <w:rPr>
          <w:rFonts w:ascii="CG Omega" w:hAnsi="CG Omega"/>
        </w:rPr>
        <w:t xml:space="preserve">, </w:t>
      </w:r>
      <w:r w:rsidR="008503F8">
        <w:rPr>
          <w:rFonts w:ascii="CG Omega" w:hAnsi="CG Omega"/>
        </w:rPr>
        <w:t>on the following page</w:t>
      </w:r>
      <w:r w:rsidR="00462FEC">
        <w:rPr>
          <w:rFonts w:ascii="CG Omega" w:hAnsi="CG Omega"/>
        </w:rPr>
        <w:t xml:space="preserve">, </w:t>
      </w:r>
      <w:r w:rsidR="008C55A4" w:rsidRPr="00CA01FA">
        <w:rPr>
          <w:rFonts w:ascii="CG Omega" w:hAnsi="CG Omega"/>
        </w:rPr>
        <w:t>presents data regarding the number of households at risk of lead-based paint hazards</w:t>
      </w:r>
      <w:r w:rsidR="008C55A4">
        <w:rPr>
          <w:rFonts w:ascii="CG Omega" w:hAnsi="CG Omega"/>
        </w:rPr>
        <w:t xml:space="preserve">, broken down by tenure, </w:t>
      </w:r>
      <w:r w:rsidR="008C55A4" w:rsidRPr="00CA01FA">
        <w:rPr>
          <w:rFonts w:ascii="CG Omega" w:hAnsi="CG Omega"/>
        </w:rPr>
        <w:t>presence of children</w:t>
      </w:r>
      <w:r w:rsidR="008C55A4">
        <w:rPr>
          <w:rFonts w:ascii="CG Omega" w:hAnsi="CG Omega"/>
        </w:rPr>
        <w:t xml:space="preserve"> age 6 and under, and income</w:t>
      </w:r>
      <w:r w:rsidR="008C55A4" w:rsidRPr="0034682D">
        <w:rPr>
          <w:rFonts w:ascii="CG Omega" w:hAnsi="CG Omega"/>
        </w:rPr>
        <w:t xml:space="preserve">. </w:t>
      </w:r>
      <w:r w:rsidR="00BB2854">
        <w:rPr>
          <w:rFonts w:ascii="CG Omega" w:hAnsi="CG Omega"/>
        </w:rPr>
        <w:t>Owner occupied</w:t>
      </w:r>
      <w:r w:rsidR="008C55A4" w:rsidRPr="0034682D">
        <w:rPr>
          <w:rFonts w:ascii="CG Omega" w:hAnsi="CG Omega"/>
        </w:rPr>
        <w:t xml:space="preserve"> </w:t>
      </w:r>
      <w:r w:rsidR="008C55A4" w:rsidRPr="00CA01FA">
        <w:rPr>
          <w:rFonts w:ascii="CG Omega" w:hAnsi="CG Omega"/>
        </w:rPr>
        <w:t>households showed 20,572 units with young children at risk of lead-based paint exposure</w:t>
      </w:r>
      <w:r w:rsidR="008C55A4">
        <w:rPr>
          <w:rFonts w:ascii="CG Omega" w:hAnsi="CG Omega"/>
        </w:rPr>
        <w:t>,</w:t>
      </w:r>
      <w:r w:rsidR="008C55A4" w:rsidRPr="00CA01FA">
        <w:rPr>
          <w:rFonts w:ascii="CG Omega" w:hAnsi="CG Omega"/>
        </w:rPr>
        <w:t xml:space="preserve"> and </w:t>
      </w:r>
      <w:r w:rsidR="00BB2854">
        <w:rPr>
          <w:rFonts w:ascii="CG Omega" w:hAnsi="CG Omega"/>
        </w:rPr>
        <w:t>renter occupied</w:t>
      </w:r>
      <w:r w:rsidR="008C55A4" w:rsidRPr="00CA01FA">
        <w:rPr>
          <w:rFonts w:ascii="CG Omega" w:hAnsi="CG Omega"/>
        </w:rPr>
        <w:t xml:space="preserve"> households showed 18,083 units with young children at ris</w:t>
      </w:r>
      <w:r w:rsidR="008C55A4">
        <w:rPr>
          <w:rFonts w:ascii="CG Omega" w:hAnsi="CG Omega"/>
        </w:rPr>
        <w:t>k of lead-based paint exposure.</w:t>
      </w:r>
      <w:r w:rsidR="008C55A4" w:rsidRPr="00CA01FA">
        <w:rPr>
          <w:rFonts w:ascii="CG Omega" w:hAnsi="CG Omega"/>
        </w:rPr>
        <w:t xml:space="preserve"> In total, 38,755 households showed the capacity to pose lead-based paint health risks for children</w:t>
      </w:r>
      <w:r w:rsidR="008C55A4">
        <w:rPr>
          <w:rFonts w:ascii="CG Omega" w:hAnsi="CG Omega"/>
        </w:rPr>
        <w:t xml:space="preserve"> age </w:t>
      </w:r>
      <w:r w:rsidR="008503F8">
        <w:rPr>
          <w:rFonts w:ascii="CG Omega" w:hAnsi="CG Omega"/>
        </w:rPr>
        <w:t>six</w:t>
      </w:r>
      <w:r w:rsidR="008C55A4">
        <w:rPr>
          <w:rFonts w:ascii="CG Omega" w:hAnsi="CG Omega"/>
        </w:rPr>
        <w:t xml:space="preserve"> or younger</w:t>
      </w:r>
      <w:r w:rsidR="008C55A4" w:rsidRPr="00CA01FA">
        <w:rPr>
          <w:rFonts w:ascii="CG Omega" w:hAnsi="CG Omega"/>
        </w:rPr>
        <w:t>.</w:t>
      </w:r>
      <w:r w:rsidR="008C55A4">
        <w:rPr>
          <w:rFonts w:ascii="CG Omega" w:hAnsi="CG Omega"/>
        </w:rPr>
        <w:t xml:space="preserve"> Owner occupied households faced a risk of lead-based paint </w:t>
      </w:r>
      <w:r w:rsidR="00F30E71">
        <w:rPr>
          <w:rFonts w:ascii="CG Omega" w:hAnsi="CG Omega"/>
        </w:rPr>
        <w:t xml:space="preserve">to children under </w:t>
      </w:r>
      <w:r w:rsidR="008503F8">
        <w:rPr>
          <w:rFonts w:ascii="CG Omega" w:hAnsi="CG Omega"/>
        </w:rPr>
        <w:t>six</w:t>
      </w:r>
      <w:r w:rsidR="00F30E71">
        <w:rPr>
          <w:rFonts w:ascii="CG Omega" w:hAnsi="CG Omega"/>
        </w:rPr>
        <w:t xml:space="preserve"> </w:t>
      </w:r>
      <w:r w:rsidR="008C55A4">
        <w:rPr>
          <w:rFonts w:ascii="CG Omega" w:hAnsi="CG Omega"/>
        </w:rPr>
        <w:t xml:space="preserve">at all income levels, </w:t>
      </w:r>
      <w:r w:rsidR="00665BE0">
        <w:rPr>
          <w:rFonts w:ascii="CG Omega" w:hAnsi="CG Omega"/>
        </w:rPr>
        <w:t>with rates of risk of lead exposure between 10 and 13 percent across income levels</w:t>
      </w:r>
      <w:r w:rsidR="008C55A4">
        <w:rPr>
          <w:rFonts w:ascii="CG Omega" w:hAnsi="CG Omega"/>
        </w:rPr>
        <w:t xml:space="preserve">.  Conversely, renter occupied households had a </w:t>
      </w:r>
      <w:r w:rsidR="00F30E71">
        <w:rPr>
          <w:rFonts w:ascii="CG Omega" w:hAnsi="CG Omega"/>
        </w:rPr>
        <w:t xml:space="preserve">higher rate of risk of exposure for children under </w:t>
      </w:r>
      <w:r w:rsidR="008503F8">
        <w:rPr>
          <w:rFonts w:ascii="CG Omega" w:hAnsi="CG Omega"/>
        </w:rPr>
        <w:t>six</w:t>
      </w:r>
      <w:r w:rsidR="00F30E71">
        <w:rPr>
          <w:rFonts w:ascii="CG Omega" w:hAnsi="CG Omega"/>
        </w:rPr>
        <w:t xml:space="preserve"> at lower income levels, with rates of risk around 23 percent for households with incomes at or below 80 percent MFI.</w:t>
      </w:r>
    </w:p>
    <w:p w:rsidR="008503F8" w:rsidRDefault="008503F8">
      <w:pPr>
        <w:rPr>
          <w:rFonts w:ascii="CG Omega" w:hAnsi="CG Omega"/>
          <w:sz w:val="16"/>
          <w:szCs w:val="16"/>
        </w:rPr>
      </w:pPr>
      <w:r>
        <w:rPr>
          <w:rFonts w:ascii="CG Omega" w:hAnsi="CG Omega"/>
          <w:sz w:val="16"/>
          <w:szCs w:val="16"/>
        </w:rPr>
        <w:br w:type="page"/>
      </w:r>
    </w:p>
    <w:p w:rsidR="008C55A4" w:rsidRPr="004C4AC5" w:rsidRDefault="008C55A4" w:rsidP="008C55A4">
      <w:pPr>
        <w:jc w:val="both"/>
        <w:rPr>
          <w:rFonts w:ascii="CG Omega" w:hAnsi="CG Omega"/>
          <w:sz w:val="16"/>
          <w:szCs w:val="16"/>
        </w:rPr>
      </w:pPr>
    </w:p>
    <w:tbl>
      <w:tblPr>
        <w:tblW w:w="5980" w:type="dxa"/>
        <w:jc w:val="center"/>
        <w:tblLook w:val="04A0" w:firstRow="1" w:lastRow="0" w:firstColumn="1" w:lastColumn="0" w:noHBand="0" w:noVBand="1"/>
      </w:tblPr>
      <w:tblGrid>
        <w:gridCol w:w="2200"/>
        <w:gridCol w:w="1620"/>
        <w:gridCol w:w="1080"/>
        <w:gridCol w:w="1080"/>
      </w:tblGrid>
      <w:tr w:rsidR="008C55A4" w:rsidRPr="00740F4A" w:rsidTr="00EE72EC">
        <w:trPr>
          <w:trHeight w:val="1080"/>
          <w:jc w:val="center"/>
        </w:trPr>
        <w:tc>
          <w:tcPr>
            <w:tcW w:w="5980" w:type="dxa"/>
            <w:gridSpan w:val="4"/>
            <w:tcBorders>
              <w:top w:val="nil"/>
              <w:left w:val="nil"/>
              <w:bottom w:val="single" w:sz="4" w:space="0" w:color="009900"/>
              <w:right w:val="nil"/>
            </w:tcBorders>
            <w:shd w:val="clear" w:color="auto" w:fill="auto"/>
            <w:noWrap/>
            <w:vAlign w:val="center"/>
            <w:hideMark/>
          </w:tcPr>
          <w:p w:rsidR="008C55A4" w:rsidRPr="00740F4A" w:rsidRDefault="008C55A4" w:rsidP="00EE72EC">
            <w:pPr>
              <w:jc w:val="center"/>
              <w:rPr>
                <w:rFonts w:ascii="Arial" w:hAnsi="Arial" w:cs="Arial"/>
                <w:b/>
                <w:bCs/>
              </w:rPr>
            </w:pPr>
            <w:r w:rsidRPr="00740F4A">
              <w:rPr>
                <w:rFonts w:ascii="Arial" w:hAnsi="Arial" w:cs="Arial"/>
                <w:b/>
                <w:bCs/>
              </w:rPr>
              <w:t xml:space="preserve">Table </w:t>
            </w:r>
            <w:r w:rsidR="009E7733">
              <w:rPr>
                <w:rFonts w:ascii="Arial" w:hAnsi="Arial" w:cs="Arial"/>
                <w:b/>
                <w:bCs/>
              </w:rPr>
              <w:t>IV.</w:t>
            </w:r>
            <w:r w:rsidRPr="00740F4A">
              <w:rPr>
                <w:rFonts w:ascii="Arial" w:hAnsi="Arial" w:cs="Arial"/>
                <w:b/>
                <w:bCs/>
              </w:rPr>
              <w:t>1</w:t>
            </w:r>
            <w:r w:rsidR="00F92737">
              <w:rPr>
                <w:rFonts w:ascii="Arial" w:hAnsi="Arial" w:cs="Arial"/>
                <w:b/>
                <w:bCs/>
              </w:rPr>
              <w:t>5</w:t>
            </w:r>
          </w:p>
          <w:p w:rsidR="008C55A4" w:rsidRPr="00740F4A" w:rsidRDefault="008C55A4" w:rsidP="00EE72EC">
            <w:pPr>
              <w:jc w:val="center"/>
              <w:rPr>
                <w:rFonts w:ascii="Arial" w:hAnsi="Arial" w:cs="Arial"/>
                <w:b/>
                <w:bCs/>
                <w:sz w:val="20"/>
                <w:szCs w:val="20"/>
              </w:rPr>
            </w:pPr>
            <w:r w:rsidRPr="00740F4A">
              <w:rPr>
                <w:rFonts w:ascii="Arial" w:hAnsi="Arial" w:cs="Arial"/>
                <w:b/>
                <w:bCs/>
                <w:sz w:val="20"/>
                <w:szCs w:val="20"/>
              </w:rPr>
              <w:t xml:space="preserve">Households at Risk of </w:t>
            </w:r>
            <w:r w:rsidR="00CC3344">
              <w:rPr>
                <w:rFonts w:ascii="Arial" w:hAnsi="Arial" w:cs="Arial"/>
                <w:b/>
                <w:bCs/>
                <w:sz w:val="20"/>
                <w:szCs w:val="20"/>
              </w:rPr>
              <w:t>Lead-based</w:t>
            </w:r>
            <w:r w:rsidRPr="00740F4A">
              <w:rPr>
                <w:rFonts w:ascii="Arial" w:hAnsi="Arial" w:cs="Arial"/>
                <w:b/>
                <w:bCs/>
                <w:sz w:val="20"/>
                <w:szCs w:val="20"/>
              </w:rPr>
              <w:t xml:space="preserve"> Paint by Tenure by Income</w:t>
            </w:r>
          </w:p>
          <w:p w:rsidR="008C55A4" w:rsidRPr="00740F4A" w:rsidRDefault="008C55A4" w:rsidP="00EE72EC">
            <w:pPr>
              <w:jc w:val="center"/>
              <w:rPr>
                <w:rFonts w:ascii="Arial" w:hAnsi="Arial" w:cs="Arial"/>
                <w:sz w:val="16"/>
                <w:szCs w:val="16"/>
              </w:rPr>
            </w:pPr>
            <w:r w:rsidRPr="00740F4A">
              <w:rPr>
                <w:rFonts w:ascii="Arial" w:hAnsi="Arial" w:cs="Arial"/>
                <w:sz w:val="16"/>
                <w:szCs w:val="16"/>
              </w:rPr>
              <w:t>State of New Mexico</w:t>
            </w:r>
          </w:p>
          <w:p w:rsidR="008C55A4" w:rsidRPr="00740F4A" w:rsidRDefault="008C55A4" w:rsidP="00EE72EC">
            <w:pPr>
              <w:jc w:val="center"/>
              <w:rPr>
                <w:rFonts w:ascii="Arial" w:hAnsi="Arial" w:cs="Arial"/>
                <w:b/>
                <w:bCs/>
              </w:rPr>
            </w:pPr>
            <w:r w:rsidRPr="00740F4A">
              <w:rPr>
                <w:rFonts w:ascii="Arial" w:hAnsi="Arial" w:cs="Arial"/>
                <w:sz w:val="16"/>
                <w:szCs w:val="16"/>
              </w:rPr>
              <w:t>2006–2010 HUD CHAS Data</w:t>
            </w:r>
          </w:p>
        </w:tc>
      </w:tr>
      <w:tr w:rsidR="008C55A4" w:rsidRPr="00740F4A" w:rsidTr="00EE72EC">
        <w:trPr>
          <w:trHeight w:val="675"/>
          <w:jc w:val="center"/>
        </w:trPr>
        <w:tc>
          <w:tcPr>
            <w:tcW w:w="2200" w:type="dxa"/>
            <w:tcBorders>
              <w:top w:val="single" w:sz="4" w:space="0" w:color="009900"/>
              <w:left w:val="single" w:sz="4" w:space="0" w:color="009900"/>
              <w:bottom w:val="single" w:sz="4" w:space="0" w:color="009900"/>
              <w:right w:val="nil"/>
            </w:tcBorders>
            <w:shd w:val="clear" w:color="000000" w:fill="FFFFE1"/>
            <w:vAlign w:val="center"/>
            <w:hideMark/>
          </w:tcPr>
          <w:p w:rsidR="008C55A4" w:rsidRPr="00740F4A" w:rsidRDefault="008C55A4" w:rsidP="00EE72EC">
            <w:pPr>
              <w:rPr>
                <w:rFonts w:ascii="Arial" w:hAnsi="Arial" w:cs="Arial"/>
                <w:b/>
                <w:bCs/>
                <w:sz w:val="16"/>
                <w:szCs w:val="16"/>
              </w:rPr>
            </w:pPr>
            <w:r w:rsidRPr="00740F4A">
              <w:rPr>
                <w:rFonts w:ascii="Arial" w:hAnsi="Arial" w:cs="Arial"/>
                <w:b/>
                <w:bCs/>
                <w:sz w:val="16"/>
                <w:szCs w:val="16"/>
              </w:rPr>
              <w:t>Income</w:t>
            </w:r>
          </w:p>
        </w:tc>
        <w:tc>
          <w:tcPr>
            <w:tcW w:w="1620" w:type="dxa"/>
            <w:tcBorders>
              <w:top w:val="single" w:sz="4" w:space="0" w:color="009900"/>
              <w:left w:val="nil"/>
              <w:bottom w:val="single" w:sz="4" w:space="0" w:color="009900"/>
              <w:right w:val="nil"/>
            </w:tcBorders>
            <w:shd w:val="clear" w:color="FFFFFF" w:fill="FFFFE1"/>
            <w:vAlign w:val="center"/>
            <w:hideMark/>
          </w:tcPr>
          <w:p w:rsidR="008C55A4" w:rsidRPr="00740F4A" w:rsidRDefault="008C55A4" w:rsidP="00EE72EC">
            <w:pPr>
              <w:jc w:val="center"/>
              <w:rPr>
                <w:rFonts w:ascii="Arial" w:hAnsi="Arial" w:cs="Arial"/>
                <w:b/>
                <w:bCs/>
                <w:color w:val="000000"/>
                <w:sz w:val="16"/>
                <w:szCs w:val="16"/>
              </w:rPr>
            </w:pPr>
            <w:r w:rsidRPr="00740F4A">
              <w:rPr>
                <w:rFonts w:ascii="Arial" w:hAnsi="Arial" w:cs="Arial"/>
                <w:b/>
                <w:bCs/>
                <w:color w:val="000000"/>
                <w:sz w:val="16"/>
                <w:szCs w:val="16"/>
              </w:rPr>
              <w:t>One or more children age 6 or younger</w:t>
            </w:r>
          </w:p>
        </w:tc>
        <w:tc>
          <w:tcPr>
            <w:tcW w:w="1080" w:type="dxa"/>
            <w:tcBorders>
              <w:top w:val="single" w:sz="4" w:space="0" w:color="009900"/>
              <w:left w:val="nil"/>
              <w:bottom w:val="single" w:sz="4" w:space="0" w:color="009900"/>
              <w:right w:val="nil"/>
            </w:tcBorders>
            <w:shd w:val="clear" w:color="FFFFFF" w:fill="FFFFE1"/>
            <w:vAlign w:val="center"/>
            <w:hideMark/>
          </w:tcPr>
          <w:p w:rsidR="008C55A4" w:rsidRPr="00740F4A" w:rsidRDefault="008C55A4" w:rsidP="00EE72EC">
            <w:pPr>
              <w:jc w:val="center"/>
              <w:rPr>
                <w:rFonts w:ascii="Arial" w:hAnsi="Arial" w:cs="Arial"/>
                <w:b/>
                <w:bCs/>
                <w:color w:val="000000"/>
                <w:sz w:val="16"/>
                <w:szCs w:val="16"/>
              </w:rPr>
            </w:pPr>
            <w:r w:rsidRPr="00740F4A">
              <w:rPr>
                <w:rFonts w:ascii="Arial" w:hAnsi="Arial" w:cs="Arial"/>
                <w:b/>
                <w:bCs/>
                <w:color w:val="000000"/>
                <w:sz w:val="16"/>
                <w:szCs w:val="16"/>
              </w:rPr>
              <w:t>No children age 6 or younger</w:t>
            </w:r>
          </w:p>
        </w:tc>
        <w:tc>
          <w:tcPr>
            <w:tcW w:w="1080" w:type="dxa"/>
            <w:tcBorders>
              <w:top w:val="single" w:sz="4" w:space="0" w:color="009900"/>
              <w:left w:val="nil"/>
              <w:bottom w:val="single" w:sz="4" w:space="0" w:color="009900"/>
              <w:right w:val="single" w:sz="4" w:space="0" w:color="009900"/>
            </w:tcBorders>
            <w:shd w:val="clear" w:color="FFFFFF" w:fill="FFFFE1"/>
            <w:vAlign w:val="center"/>
            <w:hideMark/>
          </w:tcPr>
          <w:p w:rsidR="008C55A4" w:rsidRPr="00740F4A" w:rsidRDefault="008C55A4" w:rsidP="00EE72EC">
            <w:pPr>
              <w:jc w:val="center"/>
              <w:rPr>
                <w:rFonts w:ascii="Arial" w:hAnsi="Arial" w:cs="Arial"/>
                <w:b/>
                <w:bCs/>
                <w:color w:val="000000"/>
                <w:sz w:val="16"/>
                <w:szCs w:val="16"/>
              </w:rPr>
            </w:pPr>
            <w:r w:rsidRPr="00740F4A">
              <w:rPr>
                <w:rFonts w:ascii="Arial" w:hAnsi="Arial" w:cs="Arial"/>
                <w:b/>
                <w:bCs/>
                <w:color w:val="000000"/>
                <w:sz w:val="16"/>
                <w:szCs w:val="16"/>
              </w:rPr>
              <w:t>Total</w:t>
            </w:r>
          </w:p>
        </w:tc>
      </w:tr>
      <w:tr w:rsidR="008C55A4" w:rsidRPr="00740F4A" w:rsidTr="00EE72EC">
        <w:trPr>
          <w:trHeight w:val="285"/>
          <w:jc w:val="center"/>
        </w:trPr>
        <w:tc>
          <w:tcPr>
            <w:tcW w:w="5980" w:type="dxa"/>
            <w:gridSpan w:val="4"/>
            <w:tcBorders>
              <w:top w:val="single" w:sz="4" w:space="0" w:color="009900"/>
              <w:left w:val="single" w:sz="4" w:space="0" w:color="009900"/>
              <w:bottom w:val="single" w:sz="4" w:space="0" w:color="009900"/>
              <w:right w:val="single" w:sz="4" w:space="0" w:color="009900"/>
            </w:tcBorders>
            <w:shd w:val="clear" w:color="000000" w:fill="FFFFE1"/>
            <w:noWrap/>
            <w:vAlign w:val="center"/>
            <w:hideMark/>
          </w:tcPr>
          <w:p w:rsidR="008C55A4" w:rsidRPr="00740F4A" w:rsidRDefault="008C55A4" w:rsidP="00EE72EC">
            <w:pPr>
              <w:jc w:val="center"/>
              <w:rPr>
                <w:rFonts w:ascii="Arial" w:hAnsi="Arial" w:cs="Arial"/>
                <w:b/>
                <w:bCs/>
                <w:sz w:val="16"/>
                <w:szCs w:val="16"/>
              </w:rPr>
            </w:pPr>
            <w:r w:rsidRPr="00740F4A">
              <w:rPr>
                <w:rFonts w:ascii="Arial" w:hAnsi="Arial" w:cs="Arial"/>
                <w:b/>
                <w:bCs/>
                <w:sz w:val="16"/>
                <w:szCs w:val="16"/>
              </w:rPr>
              <w:t>Owner Occupied Households</w:t>
            </w:r>
          </w:p>
        </w:tc>
      </w:tr>
      <w:tr w:rsidR="008C55A4" w:rsidRPr="00740F4A" w:rsidTr="00EE72EC">
        <w:trPr>
          <w:trHeight w:val="285"/>
          <w:jc w:val="center"/>
        </w:trPr>
        <w:tc>
          <w:tcPr>
            <w:tcW w:w="2200" w:type="dxa"/>
            <w:tcBorders>
              <w:top w:val="nil"/>
              <w:left w:val="single" w:sz="4" w:space="0" w:color="009900"/>
              <w:bottom w:val="nil"/>
              <w:right w:val="nil"/>
            </w:tcBorders>
            <w:shd w:val="clear" w:color="FFFFFF" w:fill="FFFFE1"/>
            <w:vAlign w:val="center"/>
            <w:hideMark/>
          </w:tcPr>
          <w:p w:rsidR="008C55A4" w:rsidRPr="00740F4A" w:rsidRDefault="008C55A4" w:rsidP="00EE72EC">
            <w:pPr>
              <w:rPr>
                <w:rFonts w:ascii="Arial" w:hAnsi="Arial" w:cs="Arial"/>
                <w:color w:val="000000"/>
                <w:sz w:val="16"/>
                <w:szCs w:val="16"/>
              </w:rPr>
            </w:pPr>
            <w:r w:rsidRPr="00740F4A">
              <w:rPr>
                <w:rFonts w:ascii="Arial" w:hAnsi="Arial" w:cs="Arial"/>
                <w:color w:val="000000"/>
                <w:sz w:val="16"/>
                <w:szCs w:val="16"/>
              </w:rPr>
              <w:t>30% HAMFI or less</w:t>
            </w:r>
          </w:p>
        </w:tc>
        <w:tc>
          <w:tcPr>
            <w:tcW w:w="1620" w:type="dxa"/>
            <w:tcBorders>
              <w:top w:val="nil"/>
              <w:left w:val="nil"/>
              <w:bottom w:val="nil"/>
              <w:right w:val="nil"/>
            </w:tcBorders>
            <w:shd w:val="clear" w:color="000000" w:fill="FFFFE1"/>
            <w:noWrap/>
            <w:vAlign w:val="center"/>
            <w:hideMark/>
          </w:tcPr>
          <w:p w:rsidR="008C55A4" w:rsidRPr="00740F4A" w:rsidRDefault="008C55A4" w:rsidP="00EE72EC">
            <w:pPr>
              <w:jc w:val="center"/>
              <w:rPr>
                <w:rFonts w:ascii="Arial" w:hAnsi="Arial" w:cs="Arial"/>
                <w:sz w:val="16"/>
                <w:szCs w:val="16"/>
              </w:rPr>
            </w:pPr>
            <w:r w:rsidRPr="00740F4A">
              <w:rPr>
                <w:rFonts w:ascii="Arial" w:hAnsi="Arial" w:cs="Arial"/>
                <w:sz w:val="16"/>
                <w:szCs w:val="16"/>
              </w:rPr>
              <w:t>1,721</w:t>
            </w:r>
          </w:p>
        </w:tc>
        <w:tc>
          <w:tcPr>
            <w:tcW w:w="1080" w:type="dxa"/>
            <w:tcBorders>
              <w:top w:val="nil"/>
              <w:left w:val="nil"/>
              <w:bottom w:val="nil"/>
              <w:right w:val="nil"/>
            </w:tcBorders>
            <w:shd w:val="clear" w:color="000000" w:fill="FFFFE1"/>
            <w:noWrap/>
            <w:vAlign w:val="center"/>
            <w:hideMark/>
          </w:tcPr>
          <w:p w:rsidR="008C55A4" w:rsidRPr="00740F4A" w:rsidRDefault="008C55A4" w:rsidP="00EE72EC">
            <w:pPr>
              <w:jc w:val="center"/>
              <w:rPr>
                <w:rFonts w:ascii="Arial" w:hAnsi="Arial" w:cs="Arial"/>
                <w:sz w:val="16"/>
                <w:szCs w:val="16"/>
              </w:rPr>
            </w:pPr>
            <w:r w:rsidRPr="00740F4A">
              <w:rPr>
                <w:rFonts w:ascii="Arial" w:hAnsi="Arial" w:cs="Arial"/>
                <w:sz w:val="16"/>
                <w:szCs w:val="16"/>
              </w:rPr>
              <w:t>15,177</w:t>
            </w:r>
          </w:p>
        </w:tc>
        <w:tc>
          <w:tcPr>
            <w:tcW w:w="1080" w:type="dxa"/>
            <w:tcBorders>
              <w:top w:val="nil"/>
              <w:left w:val="nil"/>
              <w:bottom w:val="nil"/>
              <w:right w:val="single" w:sz="4" w:space="0" w:color="009900"/>
            </w:tcBorders>
            <w:shd w:val="clear" w:color="000000" w:fill="FFFFE1"/>
            <w:noWrap/>
            <w:vAlign w:val="center"/>
            <w:hideMark/>
          </w:tcPr>
          <w:p w:rsidR="008C55A4" w:rsidRPr="00740F4A" w:rsidRDefault="008C55A4" w:rsidP="00EE72EC">
            <w:pPr>
              <w:jc w:val="center"/>
              <w:rPr>
                <w:rFonts w:ascii="Arial" w:hAnsi="Arial" w:cs="Arial"/>
                <w:sz w:val="16"/>
                <w:szCs w:val="16"/>
              </w:rPr>
            </w:pPr>
            <w:r w:rsidRPr="00740F4A">
              <w:rPr>
                <w:rFonts w:ascii="Arial" w:hAnsi="Arial" w:cs="Arial"/>
                <w:sz w:val="16"/>
                <w:szCs w:val="16"/>
              </w:rPr>
              <w:t>16,898</w:t>
            </w:r>
          </w:p>
        </w:tc>
      </w:tr>
      <w:tr w:rsidR="008C55A4" w:rsidRPr="00740F4A" w:rsidTr="00EE72EC">
        <w:trPr>
          <w:trHeight w:val="285"/>
          <w:jc w:val="center"/>
        </w:trPr>
        <w:tc>
          <w:tcPr>
            <w:tcW w:w="2200" w:type="dxa"/>
            <w:tcBorders>
              <w:top w:val="nil"/>
              <w:left w:val="single" w:sz="4" w:space="0" w:color="009900"/>
              <w:bottom w:val="nil"/>
              <w:right w:val="nil"/>
            </w:tcBorders>
            <w:shd w:val="clear" w:color="FFFFFF" w:fill="FFFFE1"/>
            <w:vAlign w:val="center"/>
            <w:hideMark/>
          </w:tcPr>
          <w:p w:rsidR="008C55A4" w:rsidRPr="00740F4A" w:rsidRDefault="008C55A4" w:rsidP="00EE72EC">
            <w:pPr>
              <w:rPr>
                <w:rFonts w:ascii="Arial" w:hAnsi="Arial" w:cs="Arial"/>
                <w:color w:val="000000"/>
                <w:sz w:val="16"/>
                <w:szCs w:val="16"/>
              </w:rPr>
            </w:pPr>
            <w:r w:rsidRPr="00740F4A">
              <w:rPr>
                <w:rFonts w:ascii="Arial" w:hAnsi="Arial" w:cs="Arial"/>
                <w:color w:val="000000"/>
                <w:sz w:val="16"/>
                <w:szCs w:val="16"/>
              </w:rPr>
              <w:t>30.1-50% HAMFI</w:t>
            </w:r>
          </w:p>
        </w:tc>
        <w:tc>
          <w:tcPr>
            <w:tcW w:w="1620" w:type="dxa"/>
            <w:tcBorders>
              <w:top w:val="nil"/>
              <w:left w:val="nil"/>
              <w:bottom w:val="nil"/>
              <w:right w:val="nil"/>
            </w:tcBorders>
            <w:shd w:val="clear" w:color="000000" w:fill="FFFFE1"/>
            <w:noWrap/>
            <w:vAlign w:val="center"/>
            <w:hideMark/>
          </w:tcPr>
          <w:p w:rsidR="008C55A4" w:rsidRPr="00740F4A" w:rsidRDefault="008C55A4" w:rsidP="00EE72EC">
            <w:pPr>
              <w:jc w:val="center"/>
              <w:rPr>
                <w:rFonts w:ascii="Arial" w:hAnsi="Arial" w:cs="Arial"/>
                <w:sz w:val="16"/>
                <w:szCs w:val="16"/>
              </w:rPr>
            </w:pPr>
            <w:r w:rsidRPr="00740F4A">
              <w:rPr>
                <w:rFonts w:ascii="Arial" w:hAnsi="Arial" w:cs="Arial"/>
                <w:sz w:val="16"/>
                <w:szCs w:val="16"/>
              </w:rPr>
              <w:t>1,985</w:t>
            </w:r>
          </w:p>
        </w:tc>
        <w:tc>
          <w:tcPr>
            <w:tcW w:w="1080" w:type="dxa"/>
            <w:tcBorders>
              <w:top w:val="nil"/>
              <w:left w:val="nil"/>
              <w:bottom w:val="nil"/>
              <w:right w:val="nil"/>
            </w:tcBorders>
            <w:shd w:val="clear" w:color="000000" w:fill="FFFFE1"/>
            <w:noWrap/>
            <w:vAlign w:val="center"/>
            <w:hideMark/>
          </w:tcPr>
          <w:p w:rsidR="008C55A4" w:rsidRPr="00740F4A" w:rsidRDefault="008C55A4" w:rsidP="00EE72EC">
            <w:pPr>
              <w:jc w:val="center"/>
              <w:rPr>
                <w:rFonts w:ascii="Arial" w:hAnsi="Arial" w:cs="Arial"/>
                <w:sz w:val="16"/>
                <w:szCs w:val="16"/>
              </w:rPr>
            </w:pPr>
            <w:r w:rsidRPr="00740F4A">
              <w:rPr>
                <w:rFonts w:ascii="Arial" w:hAnsi="Arial" w:cs="Arial"/>
                <w:sz w:val="16"/>
                <w:szCs w:val="16"/>
              </w:rPr>
              <w:t>18,552</w:t>
            </w:r>
          </w:p>
        </w:tc>
        <w:tc>
          <w:tcPr>
            <w:tcW w:w="1080" w:type="dxa"/>
            <w:tcBorders>
              <w:top w:val="nil"/>
              <w:left w:val="nil"/>
              <w:bottom w:val="nil"/>
              <w:right w:val="single" w:sz="4" w:space="0" w:color="009900"/>
            </w:tcBorders>
            <w:shd w:val="clear" w:color="000000" w:fill="FFFFE1"/>
            <w:noWrap/>
            <w:vAlign w:val="center"/>
            <w:hideMark/>
          </w:tcPr>
          <w:p w:rsidR="008C55A4" w:rsidRPr="00740F4A" w:rsidRDefault="008C55A4" w:rsidP="00EE72EC">
            <w:pPr>
              <w:jc w:val="center"/>
              <w:rPr>
                <w:rFonts w:ascii="Arial" w:hAnsi="Arial" w:cs="Arial"/>
                <w:sz w:val="16"/>
                <w:szCs w:val="16"/>
              </w:rPr>
            </w:pPr>
            <w:r w:rsidRPr="00740F4A">
              <w:rPr>
                <w:rFonts w:ascii="Arial" w:hAnsi="Arial" w:cs="Arial"/>
                <w:sz w:val="16"/>
                <w:szCs w:val="16"/>
              </w:rPr>
              <w:t>20,537</w:t>
            </w:r>
          </w:p>
        </w:tc>
      </w:tr>
      <w:tr w:rsidR="008C55A4" w:rsidRPr="00740F4A" w:rsidTr="00EE72EC">
        <w:trPr>
          <w:trHeight w:val="285"/>
          <w:jc w:val="center"/>
        </w:trPr>
        <w:tc>
          <w:tcPr>
            <w:tcW w:w="2200" w:type="dxa"/>
            <w:tcBorders>
              <w:top w:val="nil"/>
              <w:left w:val="single" w:sz="4" w:space="0" w:color="009900"/>
              <w:bottom w:val="nil"/>
              <w:right w:val="nil"/>
            </w:tcBorders>
            <w:shd w:val="clear" w:color="FFFFFF" w:fill="FFFFE1"/>
            <w:vAlign w:val="center"/>
            <w:hideMark/>
          </w:tcPr>
          <w:p w:rsidR="008C55A4" w:rsidRPr="00740F4A" w:rsidRDefault="008C55A4" w:rsidP="00EE72EC">
            <w:pPr>
              <w:rPr>
                <w:rFonts w:ascii="Arial" w:hAnsi="Arial" w:cs="Arial"/>
                <w:color w:val="000000"/>
                <w:sz w:val="16"/>
                <w:szCs w:val="16"/>
              </w:rPr>
            </w:pPr>
            <w:r w:rsidRPr="00740F4A">
              <w:rPr>
                <w:rFonts w:ascii="Arial" w:hAnsi="Arial" w:cs="Arial"/>
                <w:color w:val="000000"/>
                <w:sz w:val="16"/>
                <w:szCs w:val="16"/>
              </w:rPr>
              <w:t>50.1-80% HAMFI</w:t>
            </w:r>
          </w:p>
        </w:tc>
        <w:tc>
          <w:tcPr>
            <w:tcW w:w="1620" w:type="dxa"/>
            <w:tcBorders>
              <w:top w:val="nil"/>
              <w:left w:val="nil"/>
              <w:bottom w:val="nil"/>
              <w:right w:val="nil"/>
            </w:tcBorders>
            <w:shd w:val="clear" w:color="000000" w:fill="FFFFE1"/>
            <w:noWrap/>
            <w:vAlign w:val="center"/>
            <w:hideMark/>
          </w:tcPr>
          <w:p w:rsidR="008C55A4" w:rsidRPr="00740F4A" w:rsidRDefault="008C55A4" w:rsidP="00EE72EC">
            <w:pPr>
              <w:jc w:val="center"/>
              <w:rPr>
                <w:rFonts w:ascii="Arial" w:hAnsi="Arial" w:cs="Arial"/>
                <w:sz w:val="16"/>
                <w:szCs w:val="16"/>
              </w:rPr>
            </w:pPr>
            <w:r w:rsidRPr="00740F4A">
              <w:rPr>
                <w:rFonts w:ascii="Arial" w:hAnsi="Arial" w:cs="Arial"/>
                <w:sz w:val="16"/>
                <w:szCs w:val="16"/>
              </w:rPr>
              <w:t>3,628</w:t>
            </w:r>
          </w:p>
        </w:tc>
        <w:tc>
          <w:tcPr>
            <w:tcW w:w="1080" w:type="dxa"/>
            <w:tcBorders>
              <w:top w:val="nil"/>
              <w:left w:val="nil"/>
              <w:bottom w:val="nil"/>
              <w:right w:val="nil"/>
            </w:tcBorders>
            <w:shd w:val="clear" w:color="000000" w:fill="FFFFE1"/>
            <w:noWrap/>
            <w:vAlign w:val="center"/>
            <w:hideMark/>
          </w:tcPr>
          <w:p w:rsidR="008C55A4" w:rsidRPr="00740F4A" w:rsidRDefault="008C55A4" w:rsidP="00EE72EC">
            <w:pPr>
              <w:jc w:val="center"/>
              <w:rPr>
                <w:rFonts w:ascii="Arial" w:hAnsi="Arial" w:cs="Arial"/>
                <w:sz w:val="16"/>
                <w:szCs w:val="16"/>
              </w:rPr>
            </w:pPr>
            <w:r w:rsidRPr="00740F4A">
              <w:rPr>
                <w:rFonts w:ascii="Arial" w:hAnsi="Arial" w:cs="Arial"/>
                <w:sz w:val="16"/>
                <w:szCs w:val="16"/>
              </w:rPr>
              <w:t>26,609</w:t>
            </w:r>
          </w:p>
        </w:tc>
        <w:tc>
          <w:tcPr>
            <w:tcW w:w="1080" w:type="dxa"/>
            <w:tcBorders>
              <w:top w:val="nil"/>
              <w:left w:val="nil"/>
              <w:bottom w:val="nil"/>
              <w:right w:val="single" w:sz="4" w:space="0" w:color="009900"/>
            </w:tcBorders>
            <w:shd w:val="clear" w:color="000000" w:fill="FFFFE1"/>
            <w:noWrap/>
            <w:vAlign w:val="center"/>
            <w:hideMark/>
          </w:tcPr>
          <w:p w:rsidR="008C55A4" w:rsidRPr="00740F4A" w:rsidRDefault="008C55A4" w:rsidP="00EE72EC">
            <w:pPr>
              <w:jc w:val="center"/>
              <w:rPr>
                <w:rFonts w:ascii="Arial" w:hAnsi="Arial" w:cs="Arial"/>
                <w:sz w:val="16"/>
                <w:szCs w:val="16"/>
              </w:rPr>
            </w:pPr>
            <w:r w:rsidRPr="00740F4A">
              <w:rPr>
                <w:rFonts w:ascii="Arial" w:hAnsi="Arial" w:cs="Arial"/>
                <w:sz w:val="16"/>
                <w:szCs w:val="16"/>
              </w:rPr>
              <w:t>30,237</w:t>
            </w:r>
          </w:p>
        </w:tc>
      </w:tr>
      <w:tr w:rsidR="008C55A4" w:rsidRPr="00740F4A" w:rsidTr="00EE72EC">
        <w:trPr>
          <w:trHeight w:val="285"/>
          <w:jc w:val="center"/>
        </w:trPr>
        <w:tc>
          <w:tcPr>
            <w:tcW w:w="2200" w:type="dxa"/>
            <w:tcBorders>
              <w:top w:val="nil"/>
              <w:left w:val="single" w:sz="4" w:space="0" w:color="009900"/>
              <w:bottom w:val="nil"/>
              <w:right w:val="nil"/>
            </w:tcBorders>
            <w:shd w:val="clear" w:color="FFFFFF" w:fill="FFFFE1"/>
            <w:vAlign w:val="center"/>
            <w:hideMark/>
          </w:tcPr>
          <w:p w:rsidR="008C55A4" w:rsidRPr="00740F4A" w:rsidRDefault="00C050AE" w:rsidP="00EE72EC">
            <w:pPr>
              <w:rPr>
                <w:rFonts w:ascii="Arial" w:hAnsi="Arial" w:cs="Arial"/>
                <w:color w:val="000000"/>
                <w:sz w:val="16"/>
                <w:szCs w:val="16"/>
              </w:rPr>
            </w:pPr>
            <w:r w:rsidRPr="00740F4A">
              <w:rPr>
                <w:rFonts w:ascii="Arial" w:hAnsi="Arial" w:cs="Arial"/>
                <w:color w:val="000000"/>
                <w:sz w:val="16"/>
                <w:szCs w:val="16"/>
              </w:rPr>
              <w:t>80.1%</w:t>
            </w:r>
            <w:r>
              <w:rPr>
                <w:rFonts w:ascii="Arial" w:hAnsi="Arial" w:cs="Arial"/>
                <w:color w:val="000000"/>
                <w:sz w:val="16"/>
                <w:szCs w:val="16"/>
              </w:rPr>
              <w:t xml:space="preserve">-100% </w:t>
            </w:r>
            <w:r w:rsidRPr="00740F4A">
              <w:rPr>
                <w:rFonts w:ascii="Arial" w:hAnsi="Arial" w:cs="Arial"/>
                <w:color w:val="000000"/>
                <w:sz w:val="16"/>
                <w:szCs w:val="16"/>
              </w:rPr>
              <w:t xml:space="preserve"> HAMFI</w:t>
            </w:r>
          </w:p>
        </w:tc>
        <w:tc>
          <w:tcPr>
            <w:tcW w:w="1620" w:type="dxa"/>
            <w:tcBorders>
              <w:top w:val="nil"/>
              <w:left w:val="nil"/>
              <w:bottom w:val="nil"/>
              <w:right w:val="nil"/>
            </w:tcBorders>
            <w:shd w:val="clear" w:color="000000" w:fill="FFFFE1"/>
            <w:noWrap/>
            <w:vAlign w:val="center"/>
            <w:hideMark/>
          </w:tcPr>
          <w:p w:rsidR="008C55A4" w:rsidRPr="00740F4A" w:rsidRDefault="008C55A4" w:rsidP="00EE72EC">
            <w:pPr>
              <w:jc w:val="center"/>
              <w:rPr>
                <w:rFonts w:ascii="Arial" w:hAnsi="Arial" w:cs="Arial"/>
                <w:sz w:val="16"/>
                <w:szCs w:val="16"/>
              </w:rPr>
            </w:pPr>
            <w:r w:rsidRPr="00740F4A">
              <w:rPr>
                <w:rFonts w:ascii="Arial" w:hAnsi="Arial" w:cs="Arial"/>
                <w:sz w:val="16"/>
                <w:szCs w:val="16"/>
              </w:rPr>
              <w:t>2,420</w:t>
            </w:r>
          </w:p>
        </w:tc>
        <w:tc>
          <w:tcPr>
            <w:tcW w:w="1080" w:type="dxa"/>
            <w:tcBorders>
              <w:top w:val="nil"/>
              <w:left w:val="nil"/>
              <w:bottom w:val="nil"/>
              <w:right w:val="nil"/>
            </w:tcBorders>
            <w:shd w:val="clear" w:color="000000" w:fill="FFFFE1"/>
            <w:noWrap/>
            <w:vAlign w:val="center"/>
            <w:hideMark/>
          </w:tcPr>
          <w:p w:rsidR="008C55A4" w:rsidRPr="00740F4A" w:rsidRDefault="008C55A4" w:rsidP="00EE72EC">
            <w:pPr>
              <w:jc w:val="center"/>
              <w:rPr>
                <w:rFonts w:ascii="Arial" w:hAnsi="Arial" w:cs="Arial"/>
                <w:sz w:val="16"/>
                <w:szCs w:val="16"/>
              </w:rPr>
            </w:pPr>
            <w:r w:rsidRPr="00740F4A">
              <w:rPr>
                <w:rFonts w:ascii="Arial" w:hAnsi="Arial" w:cs="Arial"/>
                <w:sz w:val="16"/>
                <w:szCs w:val="16"/>
              </w:rPr>
              <w:t>15,237</w:t>
            </w:r>
          </w:p>
        </w:tc>
        <w:tc>
          <w:tcPr>
            <w:tcW w:w="1080" w:type="dxa"/>
            <w:tcBorders>
              <w:top w:val="nil"/>
              <w:left w:val="nil"/>
              <w:bottom w:val="nil"/>
              <w:right w:val="single" w:sz="4" w:space="0" w:color="009900"/>
            </w:tcBorders>
            <w:shd w:val="clear" w:color="000000" w:fill="FFFFE1"/>
            <w:noWrap/>
            <w:vAlign w:val="center"/>
            <w:hideMark/>
          </w:tcPr>
          <w:p w:rsidR="008C55A4" w:rsidRPr="00740F4A" w:rsidRDefault="008C55A4" w:rsidP="00EE72EC">
            <w:pPr>
              <w:jc w:val="center"/>
              <w:rPr>
                <w:rFonts w:ascii="Arial" w:hAnsi="Arial" w:cs="Arial"/>
                <w:sz w:val="16"/>
                <w:szCs w:val="16"/>
              </w:rPr>
            </w:pPr>
            <w:r w:rsidRPr="00740F4A">
              <w:rPr>
                <w:rFonts w:ascii="Arial" w:hAnsi="Arial" w:cs="Arial"/>
                <w:sz w:val="16"/>
                <w:szCs w:val="16"/>
              </w:rPr>
              <w:t>17,657</w:t>
            </w:r>
          </w:p>
        </w:tc>
      </w:tr>
      <w:tr w:rsidR="008C55A4" w:rsidRPr="00740F4A" w:rsidTr="00EE72EC">
        <w:trPr>
          <w:trHeight w:val="285"/>
          <w:jc w:val="center"/>
        </w:trPr>
        <w:tc>
          <w:tcPr>
            <w:tcW w:w="2200" w:type="dxa"/>
            <w:tcBorders>
              <w:top w:val="nil"/>
              <w:left w:val="single" w:sz="4" w:space="0" w:color="009900"/>
              <w:bottom w:val="nil"/>
              <w:right w:val="nil"/>
            </w:tcBorders>
            <w:shd w:val="clear" w:color="FFFFFF" w:fill="FFFFE1"/>
            <w:vAlign w:val="center"/>
            <w:hideMark/>
          </w:tcPr>
          <w:p w:rsidR="008C55A4" w:rsidRPr="00740F4A" w:rsidRDefault="008C55A4" w:rsidP="00EE72EC">
            <w:pPr>
              <w:rPr>
                <w:rFonts w:ascii="Arial" w:hAnsi="Arial" w:cs="Arial"/>
                <w:color w:val="000000"/>
                <w:sz w:val="16"/>
                <w:szCs w:val="16"/>
              </w:rPr>
            </w:pPr>
            <w:r w:rsidRPr="00740F4A">
              <w:rPr>
                <w:rFonts w:ascii="Arial" w:hAnsi="Arial" w:cs="Arial"/>
                <w:color w:val="000000"/>
                <w:sz w:val="16"/>
                <w:szCs w:val="16"/>
              </w:rPr>
              <w:t>100.1% HAMFI and above</w:t>
            </w:r>
          </w:p>
        </w:tc>
        <w:tc>
          <w:tcPr>
            <w:tcW w:w="1620" w:type="dxa"/>
            <w:tcBorders>
              <w:top w:val="nil"/>
              <w:left w:val="nil"/>
              <w:bottom w:val="dotted" w:sz="4" w:space="0" w:color="009900"/>
              <w:right w:val="nil"/>
            </w:tcBorders>
            <w:shd w:val="clear" w:color="000000" w:fill="FFFFE1"/>
            <w:noWrap/>
            <w:vAlign w:val="center"/>
            <w:hideMark/>
          </w:tcPr>
          <w:p w:rsidR="008C55A4" w:rsidRPr="00740F4A" w:rsidRDefault="008C55A4" w:rsidP="00EE72EC">
            <w:pPr>
              <w:jc w:val="center"/>
              <w:rPr>
                <w:rFonts w:ascii="Arial" w:hAnsi="Arial" w:cs="Arial"/>
                <w:sz w:val="16"/>
                <w:szCs w:val="16"/>
              </w:rPr>
            </w:pPr>
            <w:r w:rsidRPr="00740F4A">
              <w:rPr>
                <w:rFonts w:ascii="Arial" w:hAnsi="Arial" w:cs="Arial"/>
                <w:sz w:val="16"/>
                <w:szCs w:val="16"/>
              </w:rPr>
              <w:t>10,919</w:t>
            </w:r>
          </w:p>
        </w:tc>
        <w:tc>
          <w:tcPr>
            <w:tcW w:w="1080" w:type="dxa"/>
            <w:tcBorders>
              <w:top w:val="nil"/>
              <w:left w:val="nil"/>
              <w:bottom w:val="dotted" w:sz="4" w:space="0" w:color="009900"/>
              <w:right w:val="nil"/>
            </w:tcBorders>
            <w:shd w:val="clear" w:color="000000" w:fill="FFFFE1"/>
            <w:noWrap/>
            <w:vAlign w:val="center"/>
            <w:hideMark/>
          </w:tcPr>
          <w:p w:rsidR="008C55A4" w:rsidRPr="00740F4A" w:rsidRDefault="008C55A4" w:rsidP="00EE72EC">
            <w:pPr>
              <w:jc w:val="center"/>
              <w:rPr>
                <w:rFonts w:ascii="Arial" w:hAnsi="Arial" w:cs="Arial"/>
                <w:sz w:val="16"/>
                <w:szCs w:val="16"/>
              </w:rPr>
            </w:pPr>
            <w:r w:rsidRPr="00740F4A">
              <w:rPr>
                <w:rFonts w:ascii="Arial" w:hAnsi="Arial" w:cs="Arial"/>
                <w:sz w:val="16"/>
                <w:szCs w:val="16"/>
              </w:rPr>
              <w:t>85,445</w:t>
            </w:r>
          </w:p>
        </w:tc>
        <w:tc>
          <w:tcPr>
            <w:tcW w:w="1080" w:type="dxa"/>
            <w:tcBorders>
              <w:top w:val="nil"/>
              <w:left w:val="nil"/>
              <w:bottom w:val="nil"/>
              <w:right w:val="single" w:sz="4" w:space="0" w:color="009900"/>
            </w:tcBorders>
            <w:shd w:val="clear" w:color="000000" w:fill="FFFFE1"/>
            <w:noWrap/>
            <w:vAlign w:val="center"/>
            <w:hideMark/>
          </w:tcPr>
          <w:p w:rsidR="008C55A4" w:rsidRPr="00740F4A" w:rsidRDefault="008C55A4" w:rsidP="00EE72EC">
            <w:pPr>
              <w:jc w:val="center"/>
              <w:rPr>
                <w:rFonts w:ascii="Arial" w:hAnsi="Arial" w:cs="Arial"/>
                <w:sz w:val="16"/>
                <w:szCs w:val="16"/>
              </w:rPr>
            </w:pPr>
            <w:r w:rsidRPr="00740F4A">
              <w:rPr>
                <w:rFonts w:ascii="Arial" w:hAnsi="Arial" w:cs="Arial"/>
                <w:sz w:val="16"/>
                <w:szCs w:val="16"/>
              </w:rPr>
              <w:t>96,364</w:t>
            </w:r>
          </w:p>
        </w:tc>
      </w:tr>
      <w:tr w:rsidR="008C55A4" w:rsidRPr="00740F4A" w:rsidTr="00EE72EC">
        <w:trPr>
          <w:trHeight w:val="285"/>
          <w:jc w:val="center"/>
        </w:trPr>
        <w:tc>
          <w:tcPr>
            <w:tcW w:w="2200" w:type="dxa"/>
            <w:tcBorders>
              <w:top w:val="dotted" w:sz="4" w:space="0" w:color="009900"/>
              <w:left w:val="single" w:sz="4" w:space="0" w:color="009900"/>
              <w:bottom w:val="single" w:sz="4" w:space="0" w:color="009900"/>
              <w:right w:val="nil"/>
            </w:tcBorders>
            <w:shd w:val="clear" w:color="000000" w:fill="FFFFE1"/>
            <w:noWrap/>
            <w:vAlign w:val="center"/>
            <w:hideMark/>
          </w:tcPr>
          <w:p w:rsidR="008C55A4" w:rsidRPr="00740F4A" w:rsidRDefault="008C55A4" w:rsidP="00EE72EC">
            <w:pPr>
              <w:rPr>
                <w:rFonts w:ascii="Arial" w:hAnsi="Arial" w:cs="Arial"/>
                <w:sz w:val="16"/>
                <w:szCs w:val="16"/>
              </w:rPr>
            </w:pPr>
            <w:r w:rsidRPr="00740F4A">
              <w:rPr>
                <w:rFonts w:ascii="Arial" w:hAnsi="Arial" w:cs="Arial"/>
                <w:sz w:val="16"/>
                <w:szCs w:val="16"/>
              </w:rPr>
              <w:t>Total</w:t>
            </w:r>
          </w:p>
        </w:tc>
        <w:tc>
          <w:tcPr>
            <w:tcW w:w="1620" w:type="dxa"/>
            <w:tcBorders>
              <w:top w:val="nil"/>
              <w:left w:val="nil"/>
              <w:bottom w:val="single" w:sz="4" w:space="0" w:color="009900"/>
              <w:right w:val="nil"/>
            </w:tcBorders>
            <w:shd w:val="clear" w:color="000000" w:fill="FFFFE1"/>
            <w:noWrap/>
            <w:vAlign w:val="center"/>
            <w:hideMark/>
          </w:tcPr>
          <w:p w:rsidR="008C55A4" w:rsidRPr="00740F4A" w:rsidRDefault="008C55A4" w:rsidP="00EE72EC">
            <w:pPr>
              <w:jc w:val="center"/>
              <w:rPr>
                <w:rFonts w:ascii="Arial" w:hAnsi="Arial" w:cs="Arial"/>
                <w:sz w:val="16"/>
                <w:szCs w:val="16"/>
              </w:rPr>
            </w:pPr>
            <w:r w:rsidRPr="00740F4A">
              <w:rPr>
                <w:rFonts w:ascii="Arial" w:hAnsi="Arial" w:cs="Arial"/>
                <w:sz w:val="16"/>
                <w:szCs w:val="16"/>
              </w:rPr>
              <w:t>20,672</w:t>
            </w:r>
          </w:p>
        </w:tc>
        <w:tc>
          <w:tcPr>
            <w:tcW w:w="1080" w:type="dxa"/>
            <w:tcBorders>
              <w:top w:val="nil"/>
              <w:left w:val="nil"/>
              <w:bottom w:val="single" w:sz="4" w:space="0" w:color="009900"/>
              <w:right w:val="nil"/>
            </w:tcBorders>
            <w:shd w:val="clear" w:color="000000" w:fill="FFFFE1"/>
            <w:noWrap/>
            <w:vAlign w:val="center"/>
            <w:hideMark/>
          </w:tcPr>
          <w:p w:rsidR="008C55A4" w:rsidRPr="00740F4A" w:rsidRDefault="008C55A4" w:rsidP="00EE72EC">
            <w:pPr>
              <w:jc w:val="center"/>
              <w:rPr>
                <w:rFonts w:ascii="Arial" w:hAnsi="Arial" w:cs="Arial"/>
                <w:sz w:val="16"/>
                <w:szCs w:val="16"/>
              </w:rPr>
            </w:pPr>
            <w:r w:rsidRPr="00740F4A">
              <w:rPr>
                <w:rFonts w:ascii="Arial" w:hAnsi="Arial" w:cs="Arial"/>
                <w:sz w:val="16"/>
                <w:szCs w:val="16"/>
              </w:rPr>
              <w:t>161,021</w:t>
            </w:r>
          </w:p>
        </w:tc>
        <w:tc>
          <w:tcPr>
            <w:tcW w:w="1080" w:type="dxa"/>
            <w:tcBorders>
              <w:top w:val="dotted" w:sz="4" w:space="0" w:color="009900"/>
              <w:left w:val="nil"/>
              <w:bottom w:val="single" w:sz="4" w:space="0" w:color="009900"/>
              <w:right w:val="single" w:sz="4" w:space="0" w:color="009900"/>
            </w:tcBorders>
            <w:shd w:val="clear" w:color="000000" w:fill="FFFFE1"/>
            <w:noWrap/>
            <w:vAlign w:val="center"/>
            <w:hideMark/>
          </w:tcPr>
          <w:p w:rsidR="008C55A4" w:rsidRPr="00740F4A" w:rsidRDefault="008C55A4" w:rsidP="00EE72EC">
            <w:pPr>
              <w:jc w:val="center"/>
              <w:rPr>
                <w:rFonts w:ascii="Arial" w:hAnsi="Arial" w:cs="Arial"/>
                <w:sz w:val="16"/>
                <w:szCs w:val="16"/>
              </w:rPr>
            </w:pPr>
            <w:r w:rsidRPr="00740F4A">
              <w:rPr>
                <w:rFonts w:ascii="Arial" w:hAnsi="Arial" w:cs="Arial"/>
                <w:sz w:val="16"/>
                <w:szCs w:val="16"/>
              </w:rPr>
              <w:t>181,693</w:t>
            </w:r>
          </w:p>
        </w:tc>
      </w:tr>
      <w:tr w:rsidR="008C55A4" w:rsidRPr="00740F4A" w:rsidTr="00EE72EC">
        <w:trPr>
          <w:trHeight w:val="285"/>
          <w:jc w:val="center"/>
        </w:trPr>
        <w:tc>
          <w:tcPr>
            <w:tcW w:w="5980" w:type="dxa"/>
            <w:gridSpan w:val="4"/>
            <w:tcBorders>
              <w:top w:val="single" w:sz="4" w:space="0" w:color="009900"/>
              <w:left w:val="single" w:sz="4" w:space="0" w:color="009900"/>
              <w:bottom w:val="single" w:sz="4" w:space="0" w:color="009900"/>
              <w:right w:val="single" w:sz="4" w:space="0" w:color="009900"/>
            </w:tcBorders>
            <w:shd w:val="clear" w:color="000000" w:fill="FFFFE1"/>
            <w:noWrap/>
            <w:vAlign w:val="center"/>
            <w:hideMark/>
          </w:tcPr>
          <w:p w:rsidR="008C55A4" w:rsidRPr="00740F4A" w:rsidRDefault="008C55A4" w:rsidP="00EE72EC">
            <w:pPr>
              <w:jc w:val="center"/>
              <w:rPr>
                <w:rFonts w:ascii="Arial" w:hAnsi="Arial" w:cs="Arial"/>
                <w:b/>
                <w:bCs/>
                <w:sz w:val="16"/>
                <w:szCs w:val="16"/>
              </w:rPr>
            </w:pPr>
            <w:r w:rsidRPr="00740F4A">
              <w:rPr>
                <w:rFonts w:ascii="Arial" w:hAnsi="Arial" w:cs="Arial"/>
                <w:b/>
                <w:bCs/>
                <w:sz w:val="16"/>
                <w:szCs w:val="16"/>
              </w:rPr>
              <w:t>Renter Occupied Households</w:t>
            </w:r>
          </w:p>
        </w:tc>
      </w:tr>
      <w:tr w:rsidR="008C55A4" w:rsidRPr="00740F4A" w:rsidTr="00EE72EC">
        <w:trPr>
          <w:trHeight w:val="285"/>
          <w:jc w:val="center"/>
        </w:trPr>
        <w:tc>
          <w:tcPr>
            <w:tcW w:w="2200" w:type="dxa"/>
            <w:tcBorders>
              <w:top w:val="nil"/>
              <w:left w:val="single" w:sz="4" w:space="0" w:color="009900"/>
              <w:bottom w:val="nil"/>
              <w:right w:val="nil"/>
            </w:tcBorders>
            <w:shd w:val="clear" w:color="FFFFFF" w:fill="FFFFE1"/>
            <w:vAlign w:val="center"/>
            <w:hideMark/>
          </w:tcPr>
          <w:p w:rsidR="008C55A4" w:rsidRPr="00740F4A" w:rsidRDefault="008C55A4" w:rsidP="00EE72EC">
            <w:pPr>
              <w:rPr>
                <w:rFonts w:ascii="Arial" w:hAnsi="Arial" w:cs="Arial"/>
                <w:color w:val="000000"/>
                <w:sz w:val="16"/>
                <w:szCs w:val="16"/>
              </w:rPr>
            </w:pPr>
            <w:r w:rsidRPr="00740F4A">
              <w:rPr>
                <w:rFonts w:ascii="Arial" w:hAnsi="Arial" w:cs="Arial"/>
                <w:color w:val="000000"/>
                <w:sz w:val="16"/>
                <w:szCs w:val="16"/>
              </w:rPr>
              <w:t>30% HAMFI or less</w:t>
            </w:r>
          </w:p>
        </w:tc>
        <w:tc>
          <w:tcPr>
            <w:tcW w:w="1620" w:type="dxa"/>
            <w:tcBorders>
              <w:top w:val="nil"/>
              <w:left w:val="nil"/>
              <w:bottom w:val="nil"/>
              <w:right w:val="nil"/>
            </w:tcBorders>
            <w:shd w:val="clear" w:color="000000" w:fill="FFFFE1"/>
            <w:noWrap/>
            <w:vAlign w:val="center"/>
            <w:hideMark/>
          </w:tcPr>
          <w:p w:rsidR="008C55A4" w:rsidRPr="00740F4A" w:rsidRDefault="008C55A4" w:rsidP="00EE72EC">
            <w:pPr>
              <w:jc w:val="center"/>
              <w:rPr>
                <w:rFonts w:ascii="Arial" w:hAnsi="Arial" w:cs="Arial"/>
                <w:sz w:val="16"/>
                <w:szCs w:val="16"/>
              </w:rPr>
            </w:pPr>
            <w:r w:rsidRPr="00740F4A">
              <w:rPr>
                <w:rFonts w:ascii="Arial" w:hAnsi="Arial" w:cs="Arial"/>
                <w:sz w:val="16"/>
                <w:szCs w:val="16"/>
              </w:rPr>
              <w:t>5,157</w:t>
            </w:r>
          </w:p>
        </w:tc>
        <w:tc>
          <w:tcPr>
            <w:tcW w:w="1080" w:type="dxa"/>
            <w:tcBorders>
              <w:top w:val="nil"/>
              <w:left w:val="nil"/>
              <w:bottom w:val="nil"/>
              <w:right w:val="nil"/>
            </w:tcBorders>
            <w:shd w:val="clear" w:color="000000" w:fill="FFFFE1"/>
            <w:noWrap/>
            <w:vAlign w:val="center"/>
            <w:hideMark/>
          </w:tcPr>
          <w:p w:rsidR="008C55A4" w:rsidRPr="00740F4A" w:rsidRDefault="008C55A4" w:rsidP="00EE72EC">
            <w:pPr>
              <w:jc w:val="center"/>
              <w:rPr>
                <w:rFonts w:ascii="Arial" w:hAnsi="Arial" w:cs="Arial"/>
                <w:sz w:val="16"/>
                <w:szCs w:val="16"/>
              </w:rPr>
            </w:pPr>
            <w:r w:rsidRPr="00740F4A">
              <w:rPr>
                <w:rFonts w:ascii="Arial" w:hAnsi="Arial" w:cs="Arial"/>
                <w:sz w:val="16"/>
                <w:szCs w:val="16"/>
              </w:rPr>
              <w:t>17,162</w:t>
            </w:r>
          </w:p>
        </w:tc>
        <w:tc>
          <w:tcPr>
            <w:tcW w:w="1080" w:type="dxa"/>
            <w:tcBorders>
              <w:top w:val="nil"/>
              <w:left w:val="nil"/>
              <w:bottom w:val="nil"/>
              <w:right w:val="single" w:sz="4" w:space="0" w:color="009900"/>
            </w:tcBorders>
            <w:shd w:val="clear" w:color="000000" w:fill="FFFFE1"/>
            <w:noWrap/>
            <w:vAlign w:val="center"/>
            <w:hideMark/>
          </w:tcPr>
          <w:p w:rsidR="008C55A4" w:rsidRPr="00740F4A" w:rsidRDefault="008C55A4" w:rsidP="00EE72EC">
            <w:pPr>
              <w:jc w:val="center"/>
              <w:rPr>
                <w:rFonts w:ascii="Arial" w:hAnsi="Arial" w:cs="Arial"/>
                <w:sz w:val="16"/>
                <w:szCs w:val="16"/>
              </w:rPr>
            </w:pPr>
            <w:r w:rsidRPr="00740F4A">
              <w:rPr>
                <w:rFonts w:ascii="Arial" w:hAnsi="Arial" w:cs="Arial"/>
                <w:sz w:val="16"/>
                <w:szCs w:val="16"/>
              </w:rPr>
              <w:t>22,319</w:t>
            </w:r>
          </w:p>
        </w:tc>
      </w:tr>
      <w:tr w:rsidR="008C55A4" w:rsidRPr="00740F4A" w:rsidTr="00EE72EC">
        <w:trPr>
          <w:trHeight w:val="285"/>
          <w:jc w:val="center"/>
        </w:trPr>
        <w:tc>
          <w:tcPr>
            <w:tcW w:w="2200" w:type="dxa"/>
            <w:tcBorders>
              <w:top w:val="nil"/>
              <w:left w:val="single" w:sz="4" w:space="0" w:color="009900"/>
              <w:bottom w:val="nil"/>
              <w:right w:val="nil"/>
            </w:tcBorders>
            <w:shd w:val="clear" w:color="FFFFFF" w:fill="FFFFE1"/>
            <w:vAlign w:val="center"/>
            <w:hideMark/>
          </w:tcPr>
          <w:p w:rsidR="008C55A4" w:rsidRPr="00740F4A" w:rsidRDefault="008C55A4" w:rsidP="00EE72EC">
            <w:pPr>
              <w:rPr>
                <w:rFonts w:ascii="Arial" w:hAnsi="Arial" w:cs="Arial"/>
                <w:color w:val="000000"/>
                <w:sz w:val="16"/>
                <w:szCs w:val="16"/>
              </w:rPr>
            </w:pPr>
            <w:r w:rsidRPr="00740F4A">
              <w:rPr>
                <w:rFonts w:ascii="Arial" w:hAnsi="Arial" w:cs="Arial"/>
                <w:color w:val="000000"/>
                <w:sz w:val="16"/>
                <w:szCs w:val="16"/>
              </w:rPr>
              <w:t>30.1-50% HAMFI</w:t>
            </w:r>
          </w:p>
        </w:tc>
        <w:tc>
          <w:tcPr>
            <w:tcW w:w="1620" w:type="dxa"/>
            <w:tcBorders>
              <w:top w:val="nil"/>
              <w:left w:val="nil"/>
              <w:bottom w:val="nil"/>
              <w:right w:val="nil"/>
            </w:tcBorders>
            <w:shd w:val="clear" w:color="000000" w:fill="FFFFE1"/>
            <w:noWrap/>
            <w:vAlign w:val="center"/>
            <w:hideMark/>
          </w:tcPr>
          <w:p w:rsidR="008C55A4" w:rsidRPr="00740F4A" w:rsidRDefault="008C55A4" w:rsidP="00EE72EC">
            <w:pPr>
              <w:jc w:val="center"/>
              <w:rPr>
                <w:rFonts w:ascii="Arial" w:hAnsi="Arial" w:cs="Arial"/>
                <w:sz w:val="16"/>
                <w:szCs w:val="16"/>
              </w:rPr>
            </w:pPr>
            <w:r w:rsidRPr="00740F4A">
              <w:rPr>
                <w:rFonts w:ascii="Arial" w:hAnsi="Arial" w:cs="Arial"/>
                <w:sz w:val="16"/>
                <w:szCs w:val="16"/>
              </w:rPr>
              <w:t>3,933</w:t>
            </w:r>
          </w:p>
        </w:tc>
        <w:tc>
          <w:tcPr>
            <w:tcW w:w="1080" w:type="dxa"/>
            <w:tcBorders>
              <w:top w:val="nil"/>
              <w:left w:val="nil"/>
              <w:bottom w:val="nil"/>
              <w:right w:val="nil"/>
            </w:tcBorders>
            <w:shd w:val="clear" w:color="000000" w:fill="FFFFE1"/>
            <w:noWrap/>
            <w:vAlign w:val="center"/>
            <w:hideMark/>
          </w:tcPr>
          <w:p w:rsidR="008C55A4" w:rsidRPr="00740F4A" w:rsidRDefault="008C55A4" w:rsidP="00EE72EC">
            <w:pPr>
              <w:jc w:val="center"/>
              <w:rPr>
                <w:rFonts w:ascii="Arial" w:hAnsi="Arial" w:cs="Arial"/>
                <w:sz w:val="16"/>
                <w:szCs w:val="16"/>
              </w:rPr>
            </w:pPr>
            <w:r w:rsidRPr="00740F4A">
              <w:rPr>
                <w:rFonts w:ascii="Arial" w:hAnsi="Arial" w:cs="Arial"/>
                <w:sz w:val="16"/>
                <w:szCs w:val="16"/>
              </w:rPr>
              <w:t>12,954</w:t>
            </w:r>
          </w:p>
        </w:tc>
        <w:tc>
          <w:tcPr>
            <w:tcW w:w="1080" w:type="dxa"/>
            <w:tcBorders>
              <w:top w:val="nil"/>
              <w:left w:val="nil"/>
              <w:bottom w:val="nil"/>
              <w:right w:val="single" w:sz="4" w:space="0" w:color="009900"/>
            </w:tcBorders>
            <w:shd w:val="clear" w:color="000000" w:fill="FFFFE1"/>
            <w:noWrap/>
            <w:vAlign w:val="center"/>
            <w:hideMark/>
          </w:tcPr>
          <w:p w:rsidR="008C55A4" w:rsidRPr="00740F4A" w:rsidRDefault="008C55A4" w:rsidP="00EE72EC">
            <w:pPr>
              <w:jc w:val="center"/>
              <w:rPr>
                <w:rFonts w:ascii="Arial" w:hAnsi="Arial" w:cs="Arial"/>
                <w:sz w:val="16"/>
                <w:szCs w:val="16"/>
              </w:rPr>
            </w:pPr>
            <w:r w:rsidRPr="00740F4A">
              <w:rPr>
                <w:rFonts w:ascii="Arial" w:hAnsi="Arial" w:cs="Arial"/>
                <w:sz w:val="16"/>
                <w:szCs w:val="16"/>
              </w:rPr>
              <w:t>16,886</w:t>
            </w:r>
          </w:p>
        </w:tc>
      </w:tr>
      <w:tr w:rsidR="008C55A4" w:rsidRPr="00740F4A" w:rsidTr="00EE72EC">
        <w:trPr>
          <w:trHeight w:val="285"/>
          <w:jc w:val="center"/>
        </w:trPr>
        <w:tc>
          <w:tcPr>
            <w:tcW w:w="2200" w:type="dxa"/>
            <w:tcBorders>
              <w:top w:val="nil"/>
              <w:left w:val="single" w:sz="4" w:space="0" w:color="009900"/>
              <w:bottom w:val="nil"/>
              <w:right w:val="nil"/>
            </w:tcBorders>
            <w:shd w:val="clear" w:color="FFFFFF" w:fill="FFFFE1"/>
            <w:vAlign w:val="center"/>
            <w:hideMark/>
          </w:tcPr>
          <w:p w:rsidR="008C55A4" w:rsidRPr="00740F4A" w:rsidRDefault="008C55A4" w:rsidP="00EE72EC">
            <w:pPr>
              <w:rPr>
                <w:rFonts w:ascii="Arial" w:hAnsi="Arial" w:cs="Arial"/>
                <w:color w:val="000000"/>
                <w:sz w:val="16"/>
                <w:szCs w:val="16"/>
              </w:rPr>
            </w:pPr>
            <w:r w:rsidRPr="00740F4A">
              <w:rPr>
                <w:rFonts w:ascii="Arial" w:hAnsi="Arial" w:cs="Arial"/>
                <w:color w:val="000000"/>
                <w:sz w:val="16"/>
                <w:szCs w:val="16"/>
              </w:rPr>
              <w:t>50.1-80% HAMFI</w:t>
            </w:r>
          </w:p>
        </w:tc>
        <w:tc>
          <w:tcPr>
            <w:tcW w:w="1620" w:type="dxa"/>
            <w:tcBorders>
              <w:top w:val="nil"/>
              <w:left w:val="nil"/>
              <w:bottom w:val="nil"/>
              <w:right w:val="nil"/>
            </w:tcBorders>
            <w:shd w:val="clear" w:color="000000" w:fill="FFFFE1"/>
            <w:noWrap/>
            <w:vAlign w:val="center"/>
            <w:hideMark/>
          </w:tcPr>
          <w:p w:rsidR="008C55A4" w:rsidRPr="00740F4A" w:rsidRDefault="008C55A4" w:rsidP="00EE72EC">
            <w:pPr>
              <w:jc w:val="center"/>
              <w:rPr>
                <w:rFonts w:ascii="Arial" w:hAnsi="Arial" w:cs="Arial"/>
                <w:sz w:val="16"/>
                <w:szCs w:val="16"/>
              </w:rPr>
            </w:pPr>
            <w:r w:rsidRPr="00740F4A">
              <w:rPr>
                <w:rFonts w:ascii="Arial" w:hAnsi="Arial" w:cs="Arial"/>
                <w:sz w:val="16"/>
                <w:szCs w:val="16"/>
              </w:rPr>
              <w:t>4,224</w:t>
            </w:r>
          </w:p>
        </w:tc>
        <w:tc>
          <w:tcPr>
            <w:tcW w:w="1080" w:type="dxa"/>
            <w:tcBorders>
              <w:top w:val="nil"/>
              <w:left w:val="nil"/>
              <w:bottom w:val="nil"/>
              <w:right w:val="nil"/>
            </w:tcBorders>
            <w:shd w:val="clear" w:color="000000" w:fill="FFFFE1"/>
            <w:noWrap/>
            <w:vAlign w:val="center"/>
            <w:hideMark/>
          </w:tcPr>
          <w:p w:rsidR="008C55A4" w:rsidRPr="00740F4A" w:rsidRDefault="008C55A4" w:rsidP="00EE72EC">
            <w:pPr>
              <w:jc w:val="center"/>
              <w:rPr>
                <w:rFonts w:ascii="Arial" w:hAnsi="Arial" w:cs="Arial"/>
                <w:sz w:val="16"/>
                <w:szCs w:val="16"/>
              </w:rPr>
            </w:pPr>
            <w:r w:rsidRPr="00740F4A">
              <w:rPr>
                <w:rFonts w:ascii="Arial" w:hAnsi="Arial" w:cs="Arial"/>
                <w:sz w:val="16"/>
                <w:szCs w:val="16"/>
              </w:rPr>
              <w:t>14,906</w:t>
            </w:r>
          </w:p>
        </w:tc>
        <w:tc>
          <w:tcPr>
            <w:tcW w:w="1080" w:type="dxa"/>
            <w:tcBorders>
              <w:top w:val="nil"/>
              <w:left w:val="nil"/>
              <w:bottom w:val="nil"/>
              <w:right w:val="single" w:sz="4" w:space="0" w:color="009900"/>
            </w:tcBorders>
            <w:shd w:val="clear" w:color="000000" w:fill="FFFFE1"/>
            <w:noWrap/>
            <w:vAlign w:val="center"/>
            <w:hideMark/>
          </w:tcPr>
          <w:p w:rsidR="008C55A4" w:rsidRPr="00740F4A" w:rsidRDefault="008C55A4" w:rsidP="00EE72EC">
            <w:pPr>
              <w:jc w:val="center"/>
              <w:rPr>
                <w:rFonts w:ascii="Arial" w:hAnsi="Arial" w:cs="Arial"/>
                <w:sz w:val="16"/>
                <w:szCs w:val="16"/>
              </w:rPr>
            </w:pPr>
            <w:r w:rsidRPr="00740F4A">
              <w:rPr>
                <w:rFonts w:ascii="Arial" w:hAnsi="Arial" w:cs="Arial"/>
                <w:sz w:val="16"/>
                <w:szCs w:val="16"/>
              </w:rPr>
              <w:t>19,130</w:t>
            </w:r>
          </w:p>
        </w:tc>
      </w:tr>
      <w:tr w:rsidR="008C55A4" w:rsidRPr="00740F4A" w:rsidTr="00EE72EC">
        <w:trPr>
          <w:trHeight w:val="285"/>
          <w:jc w:val="center"/>
        </w:trPr>
        <w:tc>
          <w:tcPr>
            <w:tcW w:w="2200" w:type="dxa"/>
            <w:tcBorders>
              <w:top w:val="nil"/>
              <w:left w:val="single" w:sz="4" w:space="0" w:color="009900"/>
              <w:bottom w:val="nil"/>
              <w:right w:val="nil"/>
            </w:tcBorders>
            <w:shd w:val="clear" w:color="FFFFFF" w:fill="FFFFE1"/>
            <w:vAlign w:val="center"/>
            <w:hideMark/>
          </w:tcPr>
          <w:p w:rsidR="008C55A4" w:rsidRPr="00740F4A" w:rsidRDefault="00C050AE" w:rsidP="00EE72EC">
            <w:pPr>
              <w:rPr>
                <w:rFonts w:ascii="Arial" w:hAnsi="Arial" w:cs="Arial"/>
                <w:color w:val="000000"/>
                <w:sz w:val="16"/>
                <w:szCs w:val="16"/>
              </w:rPr>
            </w:pPr>
            <w:r w:rsidRPr="00740F4A">
              <w:rPr>
                <w:rFonts w:ascii="Arial" w:hAnsi="Arial" w:cs="Arial"/>
                <w:color w:val="000000"/>
                <w:sz w:val="16"/>
                <w:szCs w:val="16"/>
              </w:rPr>
              <w:t>80.1%</w:t>
            </w:r>
            <w:r>
              <w:rPr>
                <w:rFonts w:ascii="Arial" w:hAnsi="Arial" w:cs="Arial"/>
                <w:color w:val="000000"/>
                <w:sz w:val="16"/>
                <w:szCs w:val="16"/>
              </w:rPr>
              <w:t xml:space="preserve">-100% </w:t>
            </w:r>
            <w:r w:rsidRPr="00740F4A">
              <w:rPr>
                <w:rFonts w:ascii="Arial" w:hAnsi="Arial" w:cs="Arial"/>
                <w:color w:val="000000"/>
                <w:sz w:val="16"/>
                <w:szCs w:val="16"/>
              </w:rPr>
              <w:t xml:space="preserve"> HAMFI</w:t>
            </w:r>
          </w:p>
        </w:tc>
        <w:tc>
          <w:tcPr>
            <w:tcW w:w="1620" w:type="dxa"/>
            <w:tcBorders>
              <w:top w:val="nil"/>
              <w:left w:val="nil"/>
              <w:bottom w:val="nil"/>
              <w:right w:val="nil"/>
            </w:tcBorders>
            <w:shd w:val="clear" w:color="000000" w:fill="FFFFE1"/>
            <w:noWrap/>
            <w:vAlign w:val="center"/>
            <w:hideMark/>
          </w:tcPr>
          <w:p w:rsidR="008C55A4" w:rsidRPr="00740F4A" w:rsidRDefault="008C55A4" w:rsidP="00EE72EC">
            <w:pPr>
              <w:jc w:val="center"/>
              <w:rPr>
                <w:rFonts w:ascii="Arial" w:hAnsi="Arial" w:cs="Arial"/>
                <w:sz w:val="16"/>
                <w:szCs w:val="16"/>
              </w:rPr>
            </w:pPr>
            <w:r w:rsidRPr="00740F4A">
              <w:rPr>
                <w:rFonts w:ascii="Arial" w:hAnsi="Arial" w:cs="Arial"/>
                <w:sz w:val="16"/>
                <w:szCs w:val="16"/>
              </w:rPr>
              <w:t>1,549</w:t>
            </w:r>
          </w:p>
        </w:tc>
        <w:tc>
          <w:tcPr>
            <w:tcW w:w="1080" w:type="dxa"/>
            <w:tcBorders>
              <w:top w:val="nil"/>
              <w:left w:val="nil"/>
              <w:bottom w:val="nil"/>
              <w:right w:val="nil"/>
            </w:tcBorders>
            <w:shd w:val="clear" w:color="000000" w:fill="FFFFE1"/>
            <w:noWrap/>
            <w:vAlign w:val="center"/>
            <w:hideMark/>
          </w:tcPr>
          <w:p w:rsidR="008C55A4" w:rsidRPr="00740F4A" w:rsidRDefault="008C55A4" w:rsidP="00EE72EC">
            <w:pPr>
              <w:jc w:val="center"/>
              <w:rPr>
                <w:rFonts w:ascii="Arial" w:hAnsi="Arial" w:cs="Arial"/>
                <w:sz w:val="16"/>
                <w:szCs w:val="16"/>
              </w:rPr>
            </w:pPr>
            <w:r w:rsidRPr="00740F4A">
              <w:rPr>
                <w:rFonts w:ascii="Arial" w:hAnsi="Arial" w:cs="Arial"/>
                <w:sz w:val="16"/>
                <w:szCs w:val="16"/>
              </w:rPr>
              <w:t>6,695</w:t>
            </w:r>
          </w:p>
        </w:tc>
        <w:tc>
          <w:tcPr>
            <w:tcW w:w="1080" w:type="dxa"/>
            <w:tcBorders>
              <w:top w:val="nil"/>
              <w:left w:val="nil"/>
              <w:bottom w:val="nil"/>
              <w:right w:val="single" w:sz="4" w:space="0" w:color="009900"/>
            </w:tcBorders>
            <w:shd w:val="clear" w:color="000000" w:fill="FFFFE1"/>
            <w:noWrap/>
            <w:vAlign w:val="center"/>
            <w:hideMark/>
          </w:tcPr>
          <w:p w:rsidR="008C55A4" w:rsidRPr="00740F4A" w:rsidRDefault="008C55A4" w:rsidP="00EE72EC">
            <w:pPr>
              <w:jc w:val="center"/>
              <w:rPr>
                <w:rFonts w:ascii="Arial" w:hAnsi="Arial" w:cs="Arial"/>
                <w:sz w:val="16"/>
                <w:szCs w:val="16"/>
              </w:rPr>
            </w:pPr>
            <w:r w:rsidRPr="00740F4A">
              <w:rPr>
                <w:rFonts w:ascii="Arial" w:hAnsi="Arial" w:cs="Arial"/>
                <w:sz w:val="16"/>
                <w:szCs w:val="16"/>
              </w:rPr>
              <w:t>8,244</w:t>
            </w:r>
          </w:p>
        </w:tc>
      </w:tr>
      <w:tr w:rsidR="008C55A4" w:rsidRPr="00740F4A" w:rsidTr="00EE72EC">
        <w:trPr>
          <w:trHeight w:val="285"/>
          <w:jc w:val="center"/>
        </w:trPr>
        <w:tc>
          <w:tcPr>
            <w:tcW w:w="2200" w:type="dxa"/>
            <w:tcBorders>
              <w:top w:val="nil"/>
              <w:left w:val="single" w:sz="4" w:space="0" w:color="009900"/>
              <w:bottom w:val="nil"/>
              <w:right w:val="nil"/>
            </w:tcBorders>
            <w:shd w:val="clear" w:color="FFFFFF" w:fill="FFFFE1"/>
            <w:vAlign w:val="center"/>
            <w:hideMark/>
          </w:tcPr>
          <w:p w:rsidR="008C55A4" w:rsidRPr="00740F4A" w:rsidRDefault="008C55A4" w:rsidP="00EE72EC">
            <w:pPr>
              <w:rPr>
                <w:rFonts w:ascii="Arial" w:hAnsi="Arial" w:cs="Arial"/>
                <w:color w:val="000000"/>
                <w:sz w:val="16"/>
                <w:szCs w:val="16"/>
              </w:rPr>
            </w:pPr>
            <w:r w:rsidRPr="00740F4A">
              <w:rPr>
                <w:rFonts w:ascii="Arial" w:hAnsi="Arial" w:cs="Arial"/>
                <w:color w:val="000000"/>
                <w:sz w:val="16"/>
                <w:szCs w:val="16"/>
              </w:rPr>
              <w:t>100.1% HAMFI and above</w:t>
            </w:r>
          </w:p>
        </w:tc>
        <w:tc>
          <w:tcPr>
            <w:tcW w:w="1620" w:type="dxa"/>
            <w:tcBorders>
              <w:top w:val="nil"/>
              <w:left w:val="nil"/>
              <w:bottom w:val="nil"/>
              <w:right w:val="nil"/>
            </w:tcBorders>
            <w:shd w:val="clear" w:color="000000" w:fill="FFFFE1"/>
            <w:noWrap/>
            <w:vAlign w:val="center"/>
            <w:hideMark/>
          </w:tcPr>
          <w:p w:rsidR="008C55A4" w:rsidRPr="00740F4A" w:rsidRDefault="008C55A4" w:rsidP="00EE72EC">
            <w:pPr>
              <w:jc w:val="center"/>
              <w:rPr>
                <w:rFonts w:ascii="Arial" w:hAnsi="Arial" w:cs="Arial"/>
                <w:sz w:val="16"/>
                <w:szCs w:val="16"/>
              </w:rPr>
            </w:pPr>
            <w:r w:rsidRPr="00740F4A">
              <w:rPr>
                <w:rFonts w:ascii="Arial" w:hAnsi="Arial" w:cs="Arial"/>
                <w:sz w:val="16"/>
                <w:szCs w:val="16"/>
              </w:rPr>
              <w:t>3,220</w:t>
            </w:r>
          </w:p>
        </w:tc>
        <w:tc>
          <w:tcPr>
            <w:tcW w:w="1080" w:type="dxa"/>
            <w:tcBorders>
              <w:top w:val="nil"/>
              <w:left w:val="nil"/>
              <w:bottom w:val="nil"/>
              <w:right w:val="nil"/>
            </w:tcBorders>
            <w:shd w:val="clear" w:color="000000" w:fill="FFFFE1"/>
            <w:noWrap/>
            <w:vAlign w:val="center"/>
            <w:hideMark/>
          </w:tcPr>
          <w:p w:rsidR="008C55A4" w:rsidRPr="00740F4A" w:rsidRDefault="008C55A4" w:rsidP="00EE72EC">
            <w:pPr>
              <w:jc w:val="center"/>
              <w:rPr>
                <w:rFonts w:ascii="Arial" w:hAnsi="Arial" w:cs="Arial"/>
                <w:sz w:val="16"/>
                <w:szCs w:val="16"/>
              </w:rPr>
            </w:pPr>
            <w:r w:rsidRPr="00740F4A">
              <w:rPr>
                <w:rFonts w:ascii="Arial" w:hAnsi="Arial" w:cs="Arial"/>
                <w:sz w:val="16"/>
                <w:szCs w:val="16"/>
              </w:rPr>
              <w:t>20,632</w:t>
            </w:r>
          </w:p>
        </w:tc>
        <w:tc>
          <w:tcPr>
            <w:tcW w:w="1080" w:type="dxa"/>
            <w:tcBorders>
              <w:top w:val="nil"/>
              <w:left w:val="nil"/>
              <w:bottom w:val="nil"/>
              <w:right w:val="single" w:sz="4" w:space="0" w:color="009900"/>
            </w:tcBorders>
            <w:shd w:val="clear" w:color="000000" w:fill="FFFFE1"/>
            <w:noWrap/>
            <w:vAlign w:val="center"/>
            <w:hideMark/>
          </w:tcPr>
          <w:p w:rsidR="008C55A4" w:rsidRPr="00740F4A" w:rsidRDefault="008C55A4" w:rsidP="00EE72EC">
            <w:pPr>
              <w:jc w:val="center"/>
              <w:rPr>
                <w:rFonts w:ascii="Arial" w:hAnsi="Arial" w:cs="Arial"/>
                <w:sz w:val="16"/>
                <w:szCs w:val="16"/>
              </w:rPr>
            </w:pPr>
            <w:r w:rsidRPr="00740F4A">
              <w:rPr>
                <w:rFonts w:ascii="Arial" w:hAnsi="Arial" w:cs="Arial"/>
                <w:sz w:val="16"/>
                <w:szCs w:val="16"/>
              </w:rPr>
              <w:t>23,852</w:t>
            </w:r>
          </w:p>
        </w:tc>
      </w:tr>
      <w:tr w:rsidR="008C55A4" w:rsidRPr="00740F4A" w:rsidTr="00EE72EC">
        <w:trPr>
          <w:trHeight w:val="285"/>
          <w:jc w:val="center"/>
        </w:trPr>
        <w:tc>
          <w:tcPr>
            <w:tcW w:w="2200" w:type="dxa"/>
            <w:tcBorders>
              <w:top w:val="dotted" w:sz="4" w:space="0" w:color="009900"/>
              <w:left w:val="single" w:sz="4" w:space="0" w:color="009900"/>
              <w:bottom w:val="single" w:sz="4" w:space="0" w:color="009900"/>
              <w:right w:val="nil"/>
            </w:tcBorders>
            <w:shd w:val="clear" w:color="000000" w:fill="FFFFE1"/>
            <w:noWrap/>
            <w:vAlign w:val="center"/>
            <w:hideMark/>
          </w:tcPr>
          <w:p w:rsidR="008C55A4" w:rsidRPr="00740F4A" w:rsidRDefault="008C55A4" w:rsidP="00EE72EC">
            <w:pPr>
              <w:rPr>
                <w:rFonts w:ascii="Arial" w:hAnsi="Arial" w:cs="Arial"/>
                <w:sz w:val="16"/>
                <w:szCs w:val="16"/>
              </w:rPr>
            </w:pPr>
            <w:r w:rsidRPr="00740F4A">
              <w:rPr>
                <w:rFonts w:ascii="Arial" w:hAnsi="Arial" w:cs="Arial"/>
                <w:sz w:val="16"/>
                <w:szCs w:val="16"/>
              </w:rPr>
              <w:t>Total</w:t>
            </w:r>
          </w:p>
        </w:tc>
        <w:tc>
          <w:tcPr>
            <w:tcW w:w="1620" w:type="dxa"/>
            <w:tcBorders>
              <w:top w:val="dotted" w:sz="4" w:space="0" w:color="009900"/>
              <w:left w:val="nil"/>
              <w:bottom w:val="single" w:sz="4" w:space="0" w:color="009900"/>
              <w:right w:val="nil"/>
            </w:tcBorders>
            <w:shd w:val="clear" w:color="000000" w:fill="FFFFE1"/>
            <w:noWrap/>
            <w:vAlign w:val="center"/>
            <w:hideMark/>
          </w:tcPr>
          <w:p w:rsidR="008C55A4" w:rsidRPr="00740F4A" w:rsidRDefault="008C55A4" w:rsidP="00EE72EC">
            <w:pPr>
              <w:jc w:val="center"/>
              <w:rPr>
                <w:rFonts w:ascii="Arial" w:hAnsi="Arial" w:cs="Arial"/>
                <w:sz w:val="16"/>
                <w:szCs w:val="16"/>
              </w:rPr>
            </w:pPr>
            <w:r w:rsidRPr="00740F4A">
              <w:rPr>
                <w:rFonts w:ascii="Arial" w:hAnsi="Arial" w:cs="Arial"/>
                <w:sz w:val="16"/>
                <w:szCs w:val="16"/>
              </w:rPr>
              <w:t>18,083</w:t>
            </w:r>
          </w:p>
        </w:tc>
        <w:tc>
          <w:tcPr>
            <w:tcW w:w="1080" w:type="dxa"/>
            <w:tcBorders>
              <w:top w:val="dotted" w:sz="4" w:space="0" w:color="009900"/>
              <w:left w:val="nil"/>
              <w:bottom w:val="single" w:sz="4" w:space="0" w:color="009900"/>
              <w:right w:val="nil"/>
            </w:tcBorders>
            <w:shd w:val="clear" w:color="000000" w:fill="FFFFE1"/>
            <w:noWrap/>
            <w:vAlign w:val="center"/>
            <w:hideMark/>
          </w:tcPr>
          <w:p w:rsidR="008C55A4" w:rsidRPr="00740F4A" w:rsidRDefault="008C55A4" w:rsidP="00EE72EC">
            <w:pPr>
              <w:jc w:val="center"/>
              <w:rPr>
                <w:rFonts w:ascii="Arial" w:hAnsi="Arial" w:cs="Arial"/>
                <w:sz w:val="16"/>
                <w:szCs w:val="16"/>
              </w:rPr>
            </w:pPr>
            <w:r w:rsidRPr="00740F4A">
              <w:rPr>
                <w:rFonts w:ascii="Arial" w:hAnsi="Arial" w:cs="Arial"/>
                <w:sz w:val="16"/>
                <w:szCs w:val="16"/>
              </w:rPr>
              <w:t>72,348</w:t>
            </w:r>
          </w:p>
        </w:tc>
        <w:tc>
          <w:tcPr>
            <w:tcW w:w="1080" w:type="dxa"/>
            <w:tcBorders>
              <w:top w:val="dotted" w:sz="4" w:space="0" w:color="009900"/>
              <w:left w:val="nil"/>
              <w:bottom w:val="single" w:sz="4" w:space="0" w:color="009900"/>
              <w:right w:val="single" w:sz="4" w:space="0" w:color="009900"/>
            </w:tcBorders>
            <w:shd w:val="clear" w:color="000000" w:fill="FFFFE1"/>
            <w:noWrap/>
            <w:vAlign w:val="center"/>
            <w:hideMark/>
          </w:tcPr>
          <w:p w:rsidR="008C55A4" w:rsidRPr="00740F4A" w:rsidRDefault="008C55A4" w:rsidP="00EE72EC">
            <w:pPr>
              <w:jc w:val="center"/>
              <w:rPr>
                <w:rFonts w:ascii="Arial" w:hAnsi="Arial" w:cs="Arial"/>
                <w:sz w:val="16"/>
                <w:szCs w:val="16"/>
              </w:rPr>
            </w:pPr>
            <w:r w:rsidRPr="00740F4A">
              <w:rPr>
                <w:rFonts w:ascii="Arial" w:hAnsi="Arial" w:cs="Arial"/>
                <w:sz w:val="16"/>
                <w:szCs w:val="16"/>
              </w:rPr>
              <w:t>90,431</w:t>
            </w:r>
          </w:p>
        </w:tc>
      </w:tr>
      <w:tr w:rsidR="008C55A4" w:rsidRPr="00740F4A" w:rsidTr="00EE72EC">
        <w:trPr>
          <w:trHeight w:val="285"/>
          <w:jc w:val="center"/>
        </w:trPr>
        <w:tc>
          <w:tcPr>
            <w:tcW w:w="5980" w:type="dxa"/>
            <w:gridSpan w:val="4"/>
            <w:tcBorders>
              <w:top w:val="single" w:sz="4" w:space="0" w:color="009900"/>
              <w:left w:val="single" w:sz="4" w:space="0" w:color="009900"/>
              <w:bottom w:val="single" w:sz="4" w:space="0" w:color="009900"/>
              <w:right w:val="single" w:sz="4" w:space="0" w:color="009900"/>
            </w:tcBorders>
            <w:shd w:val="clear" w:color="000000" w:fill="FFFFE1"/>
            <w:noWrap/>
            <w:vAlign w:val="center"/>
            <w:hideMark/>
          </w:tcPr>
          <w:p w:rsidR="008C55A4" w:rsidRPr="00740F4A" w:rsidRDefault="008C55A4" w:rsidP="00EE72EC">
            <w:pPr>
              <w:jc w:val="center"/>
              <w:rPr>
                <w:rFonts w:ascii="Arial" w:hAnsi="Arial" w:cs="Arial"/>
                <w:b/>
                <w:bCs/>
                <w:sz w:val="16"/>
                <w:szCs w:val="16"/>
              </w:rPr>
            </w:pPr>
            <w:r w:rsidRPr="00740F4A">
              <w:rPr>
                <w:rFonts w:ascii="Arial" w:hAnsi="Arial" w:cs="Arial"/>
                <w:b/>
                <w:bCs/>
                <w:sz w:val="16"/>
                <w:szCs w:val="16"/>
              </w:rPr>
              <w:t>Total</w:t>
            </w:r>
          </w:p>
        </w:tc>
      </w:tr>
      <w:tr w:rsidR="008C55A4" w:rsidRPr="00740F4A" w:rsidTr="00EE72EC">
        <w:trPr>
          <w:trHeight w:val="285"/>
          <w:jc w:val="center"/>
        </w:trPr>
        <w:tc>
          <w:tcPr>
            <w:tcW w:w="2200" w:type="dxa"/>
            <w:tcBorders>
              <w:top w:val="nil"/>
              <w:left w:val="single" w:sz="4" w:space="0" w:color="009900"/>
              <w:bottom w:val="nil"/>
              <w:right w:val="nil"/>
            </w:tcBorders>
            <w:shd w:val="clear" w:color="FFFFFF" w:fill="FFFFE1"/>
            <w:vAlign w:val="center"/>
            <w:hideMark/>
          </w:tcPr>
          <w:p w:rsidR="008C55A4" w:rsidRPr="00740F4A" w:rsidRDefault="008C55A4" w:rsidP="00EE72EC">
            <w:pPr>
              <w:rPr>
                <w:rFonts w:ascii="Arial" w:hAnsi="Arial" w:cs="Arial"/>
                <w:color w:val="000000"/>
                <w:sz w:val="16"/>
                <w:szCs w:val="16"/>
              </w:rPr>
            </w:pPr>
            <w:r w:rsidRPr="00740F4A">
              <w:rPr>
                <w:rFonts w:ascii="Arial" w:hAnsi="Arial" w:cs="Arial"/>
                <w:color w:val="000000"/>
                <w:sz w:val="16"/>
                <w:szCs w:val="16"/>
              </w:rPr>
              <w:t>30% HAMFI or less</w:t>
            </w:r>
          </w:p>
        </w:tc>
        <w:tc>
          <w:tcPr>
            <w:tcW w:w="1620" w:type="dxa"/>
            <w:tcBorders>
              <w:top w:val="nil"/>
              <w:left w:val="nil"/>
              <w:bottom w:val="nil"/>
              <w:right w:val="nil"/>
            </w:tcBorders>
            <w:shd w:val="clear" w:color="000000" w:fill="FFFFE1"/>
            <w:noWrap/>
            <w:vAlign w:val="center"/>
            <w:hideMark/>
          </w:tcPr>
          <w:p w:rsidR="008C55A4" w:rsidRPr="00740F4A" w:rsidRDefault="008C55A4" w:rsidP="00EE72EC">
            <w:pPr>
              <w:jc w:val="center"/>
              <w:rPr>
                <w:rFonts w:ascii="Arial" w:hAnsi="Arial" w:cs="Arial"/>
                <w:sz w:val="16"/>
                <w:szCs w:val="16"/>
              </w:rPr>
            </w:pPr>
            <w:r w:rsidRPr="00740F4A">
              <w:rPr>
                <w:rFonts w:ascii="Arial" w:hAnsi="Arial" w:cs="Arial"/>
                <w:sz w:val="16"/>
                <w:szCs w:val="16"/>
              </w:rPr>
              <w:t>6,878</w:t>
            </w:r>
          </w:p>
        </w:tc>
        <w:tc>
          <w:tcPr>
            <w:tcW w:w="1080" w:type="dxa"/>
            <w:tcBorders>
              <w:top w:val="nil"/>
              <w:left w:val="nil"/>
              <w:bottom w:val="nil"/>
              <w:right w:val="nil"/>
            </w:tcBorders>
            <w:shd w:val="clear" w:color="000000" w:fill="FFFFE1"/>
            <w:noWrap/>
            <w:vAlign w:val="center"/>
            <w:hideMark/>
          </w:tcPr>
          <w:p w:rsidR="008C55A4" w:rsidRPr="00740F4A" w:rsidRDefault="008C55A4" w:rsidP="00EE72EC">
            <w:pPr>
              <w:jc w:val="center"/>
              <w:rPr>
                <w:rFonts w:ascii="Arial" w:hAnsi="Arial" w:cs="Arial"/>
                <w:sz w:val="16"/>
                <w:szCs w:val="16"/>
              </w:rPr>
            </w:pPr>
            <w:r w:rsidRPr="00740F4A">
              <w:rPr>
                <w:rFonts w:ascii="Arial" w:hAnsi="Arial" w:cs="Arial"/>
                <w:sz w:val="16"/>
                <w:szCs w:val="16"/>
              </w:rPr>
              <w:t>32,339</w:t>
            </w:r>
          </w:p>
        </w:tc>
        <w:tc>
          <w:tcPr>
            <w:tcW w:w="1080" w:type="dxa"/>
            <w:tcBorders>
              <w:top w:val="nil"/>
              <w:left w:val="nil"/>
              <w:bottom w:val="nil"/>
              <w:right w:val="single" w:sz="4" w:space="0" w:color="009900"/>
            </w:tcBorders>
            <w:shd w:val="clear" w:color="000000" w:fill="FFFFE1"/>
            <w:noWrap/>
            <w:vAlign w:val="center"/>
            <w:hideMark/>
          </w:tcPr>
          <w:p w:rsidR="008C55A4" w:rsidRPr="00740F4A" w:rsidRDefault="008C55A4" w:rsidP="00EE72EC">
            <w:pPr>
              <w:jc w:val="center"/>
              <w:rPr>
                <w:rFonts w:ascii="Arial" w:hAnsi="Arial" w:cs="Arial"/>
                <w:sz w:val="16"/>
                <w:szCs w:val="16"/>
              </w:rPr>
            </w:pPr>
            <w:r w:rsidRPr="00740F4A">
              <w:rPr>
                <w:rFonts w:ascii="Arial" w:hAnsi="Arial" w:cs="Arial"/>
                <w:sz w:val="16"/>
                <w:szCs w:val="16"/>
              </w:rPr>
              <w:t>39,217</w:t>
            </w:r>
          </w:p>
        </w:tc>
      </w:tr>
      <w:tr w:rsidR="008C55A4" w:rsidRPr="00740F4A" w:rsidTr="00EE72EC">
        <w:trPr>
          <w:trHeight w:val="285"/>
          <w:jc w:val="center"/>
        </w:trPr>
        <w:tc>
          <w:tcPr>
            <w:tcW w:w="2200" w:type="dxa"/>
            <w:tcBorders>
              <w:top w:val="nil"/>
              <w:left w:val="single" w:sz="4" w:space="0" w:color="009900"/>
              <w:bottom w:val="nil"/>
              <w:right w:val="nil"/>
            </w:tcBorders>
            <w:shd w:val="clear" w:color="FFFFFF" w:fill="FFFFE1"/>
            <w:vAlign w:val="center"/>
            <w:hideMark/>
          </w:tcPr>
          <w:p w:rsidR="008C55A4" w:rsidRPr="00740F4A" w:rsidRDefault="008C55A4" w:rsidP="00EE72EC">
            <w:pPr>
              <w:rPr>
                <w:rFonts w:ascii="Arial" w:hAnsi="Arial" w:cs="Arial"/>
                <w:color w:val="000000"/>
                <w:sz w:val="16"/>
                <w:szCs w:val="16"/>
              </w:rPr>
            </w:pPr>
            <w:r w:rsidRPr="00740F4A">
              <w:rPr>
                <w:rFonts w:ascii="Arial" w:hAnsi="Arial" w:cs="Arial"/>
                <w:color w:val="000000"/>
                <w:sz w:val="16"/>
                <w:szCs w:val="16"/>
              </w:rPr>
              <w:t>30.1-50% HAMFI</w:t>
            </w:r>
          </w:p>
        </w:tc>
        <w:tc>
          <w:tcPr>
            <w:tcW w:w="1620" w:type="dxa"/>
            <w:tcBorders>
              <w:top w:val="nil"/>
              <w:left w:val="nil"/>
              <w:bottom w:val="nil"/>
              <w:right w:val="nil"/>
            </w:tcBorders>
            <w:shd w:val="clear" w:color="000000" w:fill="FFFFE1"/>
            <w:noWrap/>
            <w:vAlign w:val="center"/>
            <w:hideMark/>
          </w:tcPr>
          <w:p w:rsidR="008C55A4" w:rsidRPr="00740F4A" w:rsidRDefault="008C55A4" w:rsidP="00EE72EC">
            <w:pPr>
              <w:jc w:val="center"/>
              <w:rPr>
                <w:rFonts w:ascii="Arial" w:hAnsi="Arial" w:cs="Arial"/>
                <w:sz w:val="16"/>
                <w:szCs w:val="16"/>
              </w:rPr>
            </w:pPr>
            <w:r w:rsidRPr="00740F4A">
              <w:rPr>
                <w:rFonts w:ascii="Arial" w:hAnsi="Arial" w:cs="Arial"/>
                <w:sz w:val="16"/>
                <w:szCs w:val="16"/>
              </w:rPr>
              <w:t>5,918</w:t>
            </w:r>
          </w:p>
        </w:tc>
        <w:tc>
          <w:tcPr>
            <w:tcW w:w="1080" w:type="dxa"/>
            <w:tcBorders>
              <w:top w:val="nil"/>
              <w:left w:val="nil"/>
              <w:bottom w:val="nil"/>
              <w:right w:val="nil"/>
            </w:tcBorders>
            <w:shd w:val="clear" w:color="000000" w:fill="FFFFE1"/>
            <w:noWrap/>
            <w:vAlign w:val="center"/>
            <w:hideMark/>
          </w:tcPr>
          <w:p w:rsidR="008C55A4" w:rsidRPr="00740F4A" w:rsidRDefault="008C55A4" w:rsidP="00EE72EC">
            <w:pPr>
              <w:jc w:val="center"/>
              <w:rPr>
                <w:rFonts w:ascii="Arial" w:hAnsi="Arial" w:cs="Arial"/>
                <w:sz w:val="16"/>
                <w:szCs w:val="16"/>
              </w:rPr>
            </w:pPr>
            <w:r w:rsidRPr="00740F4A">
              <w:rPr>
                <w:rFonts w:ascii="Arial" w:hAnsi="Arial" w:cs="Arial"/>
                <w:sz w:val="16"/>
                <w:szCs w:val="16"/>
              </w:rPr>
              <w:t>31,506</w:t>
            </w:r>
          </w:p>
        </w:tc>
        <w:tc>
          <w:tcPr>
            <w:tcW w:w="1080" w:type="dxa"/>
            <w:tcBorders>
              <w:top w:val="nil"/>
              <w:left w:val="nil"/>
              <w:bottom w:val="nil"/>
              <w:right w:val="single" w:sz="4" w:space="0" w:color="009900"/>
            </w:tcBorders>
            <w:shd w:val="clear" w:color="000000" w:fill="FFFFE1"/>
            <w:noWrap/>
            <w:vAlign w:val="center"/>
            <w:hideMark/>
          </w:tcPr>
          <w:p w:rsidR="008C55A4" w:rsidRPr="00740F4A" w:rsidRDefault="008C55A4" w:rsidP="00EE72EC">
            <w:pPr>
              <w:jc w:val="center"/>
              <w:rPr>
                <w:rFonts w:ascii="Arial" w:hAnsi="Arial" w:cs="Arial"/>
                <w:sz w:val="16"/>
                <w:szCs w:val="16"/>
              </w:rPr>
            </w:pPr>
            <w:r w:rsidRPr="00740F4A">
              <w:rPr>
                <w:rFonts w:ascii="Arial" w:hAnsi="Arial" w:cs="Arial"/>
                <w:sz w:val="16"/>
                <w:szCs w:val="16"/>
              </w:rPr>
              <w:t>37,423</w:t>
            </w:r>
          </w:p>
        </w:tc>
      </w:tr>
      <w:tr w:rsidR="008C55A4" w:rsidRPr="00740F4A" w:rsidTr="00EE72EC">
        <w:trPr>
          <w:trHeight w:val="285"/>
          <w:jc w:val="center"/>
        </w:trPr>
        <w:tc>
          <w:tcPr>
            <w:tcW w:w="2200" w:type="dxa"/>
            <w:tcBorders>
              <w:top w:val="nil"/>
              <w:left w:val="single" w:sz="4" w:space="0" w:color="009900"/>
              <w:bottom w:val="nil"/>
              <w:right w:val="nil"/>
            </w:tcBorders>
            <w:shd w:val="clear" w:color="FFFFFF" w:fill="FFFFE1"/>
            <w:vAlign w:val="center"/>
            <w:hideMark/>
          </w:tcPr>
          <w:p w:rsidR="008C55A4" w:rsidRPr="00740F4A" w:rsidRDefault="008C55A4" w:rsidP="00EE72EC">
            <w:pPr>
              <w:rPr>
                <w:rFonts w:ascii="Arial" w:hAnsi="Arial" w:cs="Arial"/>
                <w:color w:val="000000"/>
                <w:sz w:val="16"/>
                <w:szCs w:val="16"/>
              </w:rPr>
            </w:pPr>
            <w:r w:rsidRPr="00740F4A">
              <w:rPr>
                <w:rFonts w:ascii="Arial" w:hAnsi="Arial" w:cs="Arial"/>
                <w:color w:val="000000"/>
                <w:sz w:val="16"/>
                <w:szCs w:val="16"/>
              </w:rPr>
              <w:t>50.1-80% HAMFI</w:t>
            </w:r>
          </w:p>
        </w:tc>
        <w:tc>
          <w:tcPr>
            <w:tcW w:w="1620" w:type="dxa"/>
            <w:tcBorders>
              <w:top w:val="nil"/>
              <w:left w:val="nil"/>
              <w:bottom w:val="nil"/>
              <w:right w:val="nil"/>
            </w:tcBorders>
            <w:shd w:val="clear" w:color="000000" w:fill="FFFFE1"/>
            <w:noWrap/>
            <w:vAlign w:val="center"/>
            <w:hideMark/>
          </w:tcPr>
          <w:p w:rsidR="008C55A4" w:rsidRPr="00740F4A" w:rsidRDefault="008C55A4" w:rsidP="00EE72EC">
            <w:pPr>
              <w:jc w:val="center"/>
              <w:rPr>
                <w:rFonts w:ascii="Arial" w:hAnsi="Arial" w:cs="Arial"/>
                <w:sz w:val="16"/>
                <w:szCs w:val="16"/>
              </w:rPr>
            </w:pPr>
            <w:r w:rsidRPr="00740F4A">
              <w:rPr>
                <w:rFonts w:ascii="Arial" w:hAnsi="Arial" w:cs="Arial"/>
                <w:sz w:val="16"/>
                <w:szCs w:val="16"/>
              </w:rPr>
              <w:t>7,852</w:t>
            </w:r>
          </w:p>
        </w:tc>
        <w:tc>
          <w:tcPr>
            <w:tcW w:w="1080" w:type="dxa"/>
            <w:tcBorders>
              <w:top w:val="nil"/>
              <w:left w:val="nil"/>
              <w:bottom w:val="nil"/>
              <w:right w:val="nil"/>
            </w:tcBorders>
            <w:shd w:val="clear" w:color="000000" w:fill="FFFFE1"/>
            <w:noWrap/>
            <w:vAlign w:val="center"/>
            <w:hideMark/>
          </w:tcPr>
          <w:p w:rsidR="008C55A4" w:rsidRPr="00740F4A" w:rsidRDefault="008C55A4" w:rsidP="00EE72EC">
            <w:pPr>
              <w:jc w:val="center"/>
              <w:rPr>
                <w:rFonts w:ascii="Arial" w:hAnsi="Arial" w:cs="Arial"/>
                <w:sz w:val="16"/>
                <w:szCs w:val="16"/>
              </w:rPr>
            </w:pPr>
            <w:r w:rsidRPr="00740F4A">
              <w:rPr>
                <w:rFonts w:ascii="Arial" w:hAnsi="Arial" w:cs="Arial"/>
                <w:sz w:val="16"/>
                <w:szCs w:val="16"/>
              </w:rPr>
              <w:t>41,515</w:t>
            </w:r>
          </w:p>
        </w:tc>
        <w:tc>
          <w:tcPr>
            <w:tcW w:w="1080" w:type="dxa"/>
            <w:tcBorders>
              <w:top w:val="nil"/>
              <w:left w:val="nil"/>
              <w:bottom w:val="nil"/>
              <w:right w:val="single" w:sz="4" w:space="0" w:color="009900"/>
            </w:tcBorders>
            <w:shd w:val="clear" w:color="000000" w:fill="FFFFE1"/>
            <w:noWrap/>
            <w:vAlign w:val="center"/>
            <w:hideMark/>
          </w:tcPr>
          <w:p w:rsidR="008C55A4" w:rsidRPr="00740F4A" w:rsidRDefault="008C55A4" w:rsidP="00EE72EC">
            <w:pPr>
              <w:jc w:val="center"/>
              <w:rPr>
                <w:rFonts w:ascii="Arial" w:hAnsi="Arial" w:cs="Arial"/>
                <w:sz w:val="16"/>
                <w:szCs w:val="16"/>
              </w:rPr>
            </w:pPr>
            <w:r w:rsidRPr="00740F4A">
              <w:rPr>
                <w:rFonts w:ascii="Arial" w:hAnsi="Arial" w:cs="Arial"/>
                <w:sz w:val="16"/>
                <w:szCs w:val="16"/>
              </w:rPr>
              <w:t>49,367</w:t>
            </w:r>
          </w:p>
        </w:tc>
      </w:tr>
      <w:tr w:rsidR="008C55A4" w:rsidRPr="00740F4A" w:rsidTr="00EE72EC">
        <w:trPr>
          <w:trHeight w:val="285"/>
          <w:jc w:val="center"/>
        </w:trPr>
        <w:tc>
          <w:tcPr>
            <w:tcW w:w="2200" w:type="dxa"/>
            <w:tcBorders>
              <w:top w:val="nil"/>
              <w:left w:val="single" w:sz="4" w:space="0" w:color="009900"/>
              <w:bottom w:val="nil"/>
              <w:right w:val="nil"/>
            </w:tcBorders>
            <w:shd w:val="clear" w:color="FFFFFF" w:fill="FFFFE1"/>
            <w:vAlign w:val="center"/>
            <w:hideMark/>
          </w:tcPr>
          <w:p w:rsidR="008C55A4" w:rsidRPr="00740F4A" w:rsidRDefault="00C050AE" w:rsidP="00EE72EC">
            <w:pPr>
              <w:rPr>
                <w:rFonts w:ascii="Arial" w:hAnsi="Arial" w:cs="Arial"/>
                <w:color w:val="000000"/>
                <w:sz w:val="16"/>
                <w:szCs w:val="16"/>
              </w:rPr>
            </w:pPr>
            <w:r w:rsidRPr="00740F4A">
              <w:rPr>
                <w:rFonts w:ascii="Arial" w:hAnsi="Arial" w:cs="Arial"/>
                <w:color w:val="000000"/>
                <w:sz w:val="16"/>
                <w:szCs w:val="16"/>
              </w:rPr>
              <w:t>80.1%</w:t>
            </w:r>
            <w:r>
              <w:rPr>
                <w:rFonts w:ascii="Arial" w:hAnsi="Arial" w:cs="Arial"/>
                <w:color w:val="000000"/>
                <w:sz w:val="16"/>
                <w:szCs w:val="16"/>
              </w:rPr>
              <w:t xml:space="preserve">-100% </w:t>
            </w:r>
            <w:r w:rsidRPr="00740F4A">
              <w:rPr>
                <w:rFonts w:ascii="Arial" w:hAnsi="Arial" w:cs="Arial"/>
                <w:color w:val="000000"/>
                <w:sz w:val="16"/>
                <w:szCs w:val="16"/>
              </w:rPr>
              <w:t xml:space="preserve"> HAMFI</w:t>
            </w:r>
          </w:p>
        </w:tc>
        <w:tc>
          <w:tcPr>
            <w:tcW w:w="1620" w:type="dxa"/>
            <w:tcBorders>
              <w:top w:val="nil"/>
              <w:left w:val="nil"/>
              <w:bottom w:val="nil"/>
              <w:right w:val="nil"/>
            </w:tcBorders>
            <w:shd w:val="clear" w:color="000000" w:fill="FFFFE1"/>
            <w:noWrap/>
            <w:vAlign w:val="center"/>
            <w:hideMark/>
          </w:tcPr>
          <w:p w:rsidR="008C55A4" w:rsidRPr="00740F4A" w:rsidRDefault="008C55A4" w:rsidP="00EE72EC">
            <w:pPr>
              <w:jc w:val="center"/>
              <w:rPr>
                <w:rFonts w:ascii="Arial" w:hAnsi="Arial" w:cs="Arial"/>
                <w:sz w:val="16"/>
                <w:szCs w:val="16"/>
              </w:rPr>
            </w:pPr>
            <w:r w:rsidRPr="00740F4A">
              <w:rPr>
                <w:rFonts w:ascii="Arial" w:hAnsi="Arial" w:cs="Arial"/>
                <w:sz w:val="16"/>
                <w:szCs w:val="16"/>
              </w:rPr>
              <w:t>3,968</w:t>
            </w:r>
          </w:p>
        </w:tc>
        <w:tc>
          <w:tcPr>
            <w:tcW w:w="1080" w:type="dxa"/>
            <w:tcBorders>
              <w:top w:val="nil"/>
              <w:left w:val="nil"/>
              <w:bottom w:val="nil"/>
              <w:right w:val="nil"/>
            </w:tcBorders>
            <w:shd w:val="clear" w:color="000000" w:fill="FFFFE1"/>
            <w:noWrap/>
            <w:vAlign w:val="center"/>
            <w:hideMark/>
          </w:tcPr>
          <w:p w:rsidR="008C55A4" w:rsidRPr="00740F4A" w:rsidRDefault="008C55A4" w:rsidP="00EE72EC">
            <w:pPr>
              <w:jc w:val="center"/>
              <w:rPr>
                <w:rFonts w:ascii="Arial" w:hAnsi="Arial" w:cs="Arial"/>
                <w:sz w:val="16"/>
                <w:szCs w:val="16"/>
              </w:rPr>
            </w:pPr>
            <w:r w:rsidRPr="00740F4A">
              <w:rPr>
                <w:rFonts w:ascii="Arial" w:hAnsi="Arial" w:cs="Arial"/>
                <w:sz w:val="16"/>
                <w:szCs w:val="16"/>
              </w:rPr>
              <w:t>21,932</w:t>
            </w:r>
          </w:p>
        </w:tc>
        <w:tc>
          <w:tcPr>
            <w:tcW w:w="1080" w:type="dxa"/>
            <w:tcBorders>
              <w:top w:val="nil"/>
              <w:left w:val="nil"/>
              <w:bottom w:val="nil"/>
              <w:right w:val="single" w:sz="4" w:space="0" w:color="009900"/>
            </w:tcBorders>
            <w:shd w:val="clear" w:color="000000" w:fill="FFFFE1"/>
            <w:noWrap/>
            <w:vAlign w:val="center"/>
            <w:hideMark/>
          </w:tcPr>
          <w:p w:rsidR="008C55A4" w:rsidRPr="00740F4A" w:rsidRDefault="008C55A4" w:rsidP="00EE72EC">
            <w:pPr>
              <w:jc w:val="center"/>
              <w:rPr>
                <w:rFonts w:ascii="Arial" w:hAnsi="Arial" w:cs="Arial"/>
                <w:sz w:val="16"/>
                <w:szCs w:val="16"/>
              </w:rPr>
            </w:pPr>
            <w:r w:rsidRPr="00740F4A">
              <w:rPr>
                <w:rFonts w:ascii="Arial" w:hAnsi="Arial" w:cs="Arial"/>
                <w:sz w:val="16"/>
                <w:szCs w:val="16"/>
              </w:rPr>
              <w:t>25,901</w:t>
            </w:r>
          </w:p>
        </w:tc>
      </w:tr>
      <w:tr w:rsidR="008C55A4" w:rsidRPr="00740F4A" w:rsidTr="00EE72EC">
        <w:trPr>
          <w:trHeight w:val="300"/>
          <w:jc w:val="center"/>
        </w:trPr>
        <w:tc>
          <w:tcPr>
            <w:tcW w:w="2200" w:type="dxa"/>
            <w:tcBorders>
              <w:top w:val="nil"/>
              <w:left w:val="single" w:sz="4" w:space="0" w:color="009900"/>
              <w:bottom w:val="nil"/>
              <w:right w:val="nil"/>
            </w:tcBorders>
            <w:shd w:val="clear" w:color="FFFFFF" w:fill="FFFFE1"/>
            <w:vAlign w:val="center"/>
            <w:hideMark/>
          </w:tcPr>
          <w:p w:rsidR="008C55A4" w:rsidRPr="00740F4A" w:rsidRDefault="008C55A4" w:rsidP="00EE72EC">
            <w:pPr>
              <w:rPr>
                <w:rFonts w:ascii="Arial" w:hAnsi="Arial" w:cs="Arial"/>
                <w:color w:val="000000"/>
                <w:sz w:val="16"/>
                <w:szCs w:val="16"/>
              </w:rPr>
            </w:pPr>
            <w:r w:rsidRPr="00740F4A">
              <w:rPr>
                <w:rFonts w:ascii="Arial" w:hAnsi="Arial" w:cs="Arial"/>
                <w:color w:val="000000"/>
                <w:sz w:val="16"/>
                <w:szCs w:val="16"/>
              </w:rPr>
              <w:t>100.1% HAMFI and above</w:t>
            </w:r>
          </w:p>
        </w:tc>
        <w:tc>
          <w:tcPr>
            <w:tcW w:w="1620" w:type="dxa"/>
            <w:tcBorders>
              <w:top w:val="nil"/>
              <w:left w:val="nil"/>
              <w:bottom w:val="nil"/>
              <w:right w:val="nil"/>
            </w:tcBorders>
            <w:shd w:val="clear" w:color="000000" w:fill="FFFFE1"/>
            <w:noWrap/>
            <w:vAlign w:val="center"/>
            <w:hideMark/>
          </w:tcPr>
          <w:p w:rsidR="008C55A4" w:rsidRPr="00740F4A" w:rsidRDefault="008C55A4" w:rsidP="00EE72EC">
            <w:pPr>
              <w:jc w:val="center"/>
              <w:rPr>
                <w:rFonts w:ascii="Arial" w:hAnsi="Arial" w:cs="Arial"/>
                <w:sz w:val="16"/>
                <w:szCs w:val="16"/>
              </w:rPr>
            </w:pPr>
            <w:r w:rsidRPr="00740F4A">
              <w:rPr>
                <w:rFonts w:ascii="Arial" w:hAnsi="Arial" w:cs="Arial"/>
                <w:sz w:val="16"/>
                <w:szCs w:val="16"/>
              </w:rPr>
              <w:t>14,139</w:t>
            </w:r>
          </w:p>
        </w:tc>
        <w:tc>
          <w:tcPr>
            <w:tcW w:w="1080" w:type="dxa"/>
            <w:tcBorders>
              <w:top w:val="nil"/>
              <w:left w:val="nil"/>
              <w:bottom w:val="nil"/>
              <w:right w:val="nil"/>
            </w:tcBorders>
            <w:shd w:val="clear" w:color="000000" w:fill="FFFFE1"/>
            <w:noWrap/>
            <w:vAlign w:val="center"/>
            <w:hideMark/>
          </w:tcPr>
          <w:p w:rsidR="008C55A4" w:rsidRPr="00740F4A" w:rsidRDefault="008C55A4" w:rsidP="00EE72EC">
            <w:pPr>
              <w:jc w:val="center"/>
              <w:rPr>
                <w:rFonts w:ascii="Arial" w:hAnsi="Arial" w:cs="Arial"/>
                <w:sz w:val="16"/>
                <w:szCs w:val="16"/>
              </w:rPr>
            </w:pPr>
            <w:r w:rsidRPr="00740F4A">
              <w:rPr>
                <w:rFonts w:ascii="Arial" w:hAnsi="Arial" w:cs="Arial"/>
                <w:sz w:val="16"/>
                <w:szCs w:val="16"/>
              </w:rPr>
              <w:t>106,077</w:t>
            </w:r>
          </w:p>
        </w:tc>
        <w:tc>
          <w:tcPr>
            <w:tcW w:w="1080" w:type="dxa"/>
            <w:tcBorders>
              <w:top w:val="nil"/>
              <w:left w:val="nil"/>
              <w:bottom w:val="nil"/>
              <w:right w:val="single" w:sz="4" w:space="0" w:color="009900"/>
            </w:tcBorders>
            <w:shd w:val="clear" w:color="000000" w:fill="FFFFE1"/>
            <w:noWrap/>
            <w:vAlign w:val="center"/>
            <w:hideMark/>
          </w:tcPr>
          <w:p w:rsidR="008C55A4" w:rsidRPr="00740F4A" w:rsidRDefault="008C55A4" w:rsidP="00EE72EC">
            <w:pPr>
              <w:jc w:val="center"/>
              <w:rPr>
                <w:rFonts w:ascii="Arial" w:hAnsi="Arial" w:cs="Arial"/>
                <w:sz w:val="16"/>
                <w:szCs w:val="16"/>
              </w:rPr>
            </w:pPr>
            <w:r w:rsidRPr="00740F4A">
              <w:rPr>
                <w:rFonts w:ascii="Arial" w:hAnsi="Arial" w:cs="Arial"/>
                <w:sz w:val="16"/>
                <w:szCs w:val="16"/>
              </w:rPr>
              <w:t>120,216</w:t>
            </w:r>
          </w:p>
        </w:tc>
      </w:tr>
      <w:tr w:rsidR="008C55A4" w:rsidRPr="00740F4A" w:rsidTr="00EE72EC">
        <w:trPr>
          <w:trHeight w:val="300"/>
          <w:jc w:val="center"/>
        </w:trPr>
        <w:tc>
          <w:tcPr>
            <w:tcW w:w="2200" w:type="dxa"/>
            <w:tcBorders>
              <w:top w:val="double" w:sz="6" w:space="0" w:color="009900"/>
              <w:left w:val="single" w:sz="4" w:space="0" w:color="009900"/>
              <w:bottom w:val="single" w:sz="4" w:space="0" w:color="009900"/>
              <w:right w:val="nil"/>
            </w:tcBorders>
            <w:shd w:val="clear" w:color="000000" w:fill="FFFFE1"/>
            <w:noWrap/>
            <w:vAlign w:val="center"/>
            <w:hideMark/>
          </w:tcPr>
          <w:p w:rsidR="008C55A4" w:rsidRPr="00740F4A" w:rsidRDefault="008C55A4" w:rsidP="00EE72EC">
            <w:pPr>
              <w:rPr>
                <w:rFonts w:ascii="Arial" w:hAnsi="Arial" w:cs="Arial"/>
                <w:b/>
                <w:bCs/>
                <w:sz w:val="16"/>
                <w:szCs w:val="16"/>
              </w:rPr>
            </w:pPr>
            <w:r w:rsidRPr="00740F4A">
              <w:rPr>
                <w:rFonts w:ascii="Arial" w:hAnsi="Arial" w:cs="Arial"/>
                <w:b/>
                <w:bCs/>
                <w:sz w:val="16"/>
                <w:szCs w:val="16"/>
              </w:rPr>
              <w:t>Total</w:t>
            </w:r>
          </w:p>
        </w:tc>
        <w:tc>
          <w:tcPr>
            <w:tcW w:w="1620" w:type="dxa"/>
            <w:tcBorders>
              <w:top w:val="double" w:sz="6" w:space="0" w:color="009900"/>
              <w:left w:val="nil"/>
              <w:bottom w:val="single" w:sz="4" w:space="0" w:color="009900"/>
              <w:right w:val="nil"/>
            </w:tcBorders>
            <w:shd w:val="clear" w:color="000000" w:fill="FFFFE1"/>
            <w:noWrap/>
            <w:vAlign w:val="center"/>
            <w:hideMark/>
          </w:tcPr>
          <w:p w:rsidR="008C55A4" w:rsidRPr="00740F4A" w:rsidRDefault="008C55A4" w:rsidP="00EE72EC">
            <w:pPr>
              <w:jc w:val="center"/>
              <w:rPr>
                <w:rFonts w:ascii="Arial" w:hAnsi="Arial" w:cs="Arial"/>
                <w:b/>
                <w:bCs/>
                <w:sz w:val="16"/>
                <w:szCs w:val="16"/>
              </w:rPr>
            </w:pPr>
            <w:r w:rsidRPr="00740F4A">
              <w:rPr>
                <w:rFonts w:ascii="Arial" w:hAnsi="Arial" w:cs="Arial"/>
                <w:b/>
                <w:bCs/>
                <w:sz w:val="16"/>
                <w:szCs w:val="16"/>
              </w:rPr>
              <w:t>38,755</w:t>
            </w:r>
          </w:p>
        </w:tc>
        <w:tc>
          <w:tcPr>
            <w:tcW w:w="1080" w:type="dxa"/>
            <w:tcBorders>
              <w:top w:val="double" w:sz="6" w:space="0" w:color="009900"/>
              <w:left w:val="nil"/>
              <w:bottom w:val="single" w:sz="4" w:space="0" w:color="009900"/>
              <w:right w:val="nil"/>
            </w:tcBorders>
            <w:shd w:val="clear" w:color="000000" w:fill="FFFFE1"/>
            <w:noWrap/>
            <w:vAlign w:val="center"/>
            <w:hideMark/>
          </w:tcPr>
          <w:p w:rsidR="008C55A4" w:rsidRPr="00740F4A" w:rsidRDefault="008C55A4" w:rsidP="00EE72EC">
            <w:pPr>
              <w:jc w:val="center"/>
              <w:rPr>
                <w:rFonts w:ascii="Arial" w:hAnsi="Arial" w:cs="Arial"/>
                <w:b/>
                <w:bCs/>
                <w:sz w:val="16"/>
                <w:szCs w:val="16"/>
              </w:rPr>
            </w:pPr>
            <w:r w:rsidRPr="00740F4A">
              <w:rPr>
                <w:rFonts w:ascii="Arial" w:hAnsi="Arial" w:cs="Arial"/>
                <w:b/>
                <w:bCs/>
                <w:sz w:val="16"/>
                <w:szCs w:val="16"/>
              </w:rPr>
              <w:t>233,369</w:t>
            </w:r>
          </w:p>
        </w:tc>
        <w:tc>
          <w:tcPr>
            <w:tcW w:w="1080" w:type="dxa"/>
            <w:tcBorders>
              <w:top w:val="double" w:sz="6" w:space="0" w:color="009900"/>
              <w:left w:val="nil"/>
              <w:bottom w:val="single" w:sz="4" w:space="0" w:color="009900"/>
              <w:right w:val="single" w:sz="4" w:space="0" w:color="009900"/>
            </w:tcBorders>
            <w:shd w:val="clear" w:color="000000" w:fill="FFFFE1"/>
            <w:noWrap/>
            <w:vAlign w:val="center"/>
            <w:hideMark/>
          </w:tcPr>
          <w:p w:rsidR="008C55A4" w:rsidRPr="00740F4A" w:rsidRDefault="008C55A4" w:rsidP="00EE72EC">
            <w:pPr>
              <w:jc w:val="center"/>
              <w:rPr>
                <w:rFonts w:ascii="Arial" w:hAnsi="Arial" w:cs="Arial"/>
                <w:b/>
                <w:bCs/>
                <w:sz w:val="16"/>
                <w:szCs w:val="16"/>
              </w:rPr>
            </w:pPr>
            <w:r w:rsidRPr="00740F4A">
              <w:rPr>
                <w:rFonts w:ascii="Arial" w:hAnsi="Arial" w:cs="Arial"/>
                <w:b/>
                <w:bCs/>
                <w:sz w:val="16"/>
                <w:szCs w:val="16"/>
              </w:rPr>
              <w:t>272,124</w:t>
            </w:r>
          </w:p>
        </w:tc>
      </w:tr>
    </w:tbl>
    <w:p w:rsidR="008503F8" w:rsidRDefault="008503F8" w:rsidP="008C55A4">
      <w:pPr>
        <w:jc w:val="both"/>
        <w:rPr>
          <w:rFonts w:ascii="CG Omega" w:hAnsi="CG Omega"/>
        </w:rPr>
      </w:pPr>
    </w:p>
    <w:p w:rsidR="008C55A4" w:rsidRPr="00CA01FA" w:rsidRDefault="008C55A4" w:rsidP="008C55A4">
      <w:pPr>
        <w:jc w:val="both"/>
        <w:rPr>
          <w:rFonts w:ascii="CG Omega" w:hAnsi="CG Omega"/>
        </w:rPr>
      </w:pPr>
      <w:r w:rsidRPr="00CA01FA">
        <w:rPr>
          <w:rFonts w:ascii="CG Omega" w:hAnsi="CG Omega"/>
        </w:rPr>
        <w:t>In the state of New Mexico, only one to two out of 1,000 children tested for exposure to lead showed elevated blood lead levels between 2006 and 2010. These figures show that blood lead levels in children in New Mexico are somewhat lower than the national average.</w:t>
      </w:r>
      <w:r w:rsidRPr="00CA01FA">
        <w:rPr>
          <w:rStyle w:val="FootnoteReference"/>
          <w:rFonts w:ascii="CG Omega" w:hAnsi="CG Omega"/>
        </w:rPr>
        <w:footnoteReference w:id="29"/>
      </w:r>
    </w:p>
    <w:p w:rsidR="008C55A4" w:rsidRPr="008503F8" w:rsidRDefault="008C55A4" w:rsidP="008C55A4">
      <w:pPr>
        <w:pStyle w:val="BodyText"/>
        <w:tabs>
          <w:tab w:val="num" w:pos="360"/>
        </w:tabs>
        <w:rPr>
          <w:rFonts w:ascii="CG Omega" w:hAnsi="CG Omega"/>
          <w:szCs w:val="24"/>
          <w:highlight w:val="yellow"/>
        </w:rPr>
      </w:pPr>
    </w:p>
    <w:p w:rsidR="008C55A4" w:rsidRPr="008503F8" w:rsidRDefault="008C55A4" w:rsidP="008C55A4">
      <w:pPr>
        <w:pStyle w:val="BodyText"/>
        <w:tabs>
          <w:tab w:val="num" w:pos="360"/>
        </w:tabs>
        <w:rPr>
          <w:rFonts w:ascii="CG Omega" w:hAnsi="CG Omega"/>
          <w:b/>
          <w:smallCaps/>
          <w:szCs w:val="24"/>
        </w:rPr>
      </w:pPr>
      <w:r w:rsidRPr="008503F8">
        <w:rPr>
          <w:rFonts w:ascii="CG Omega" w:hAnsi="CG Omega"/>
          <w:b/>
          <w:smallCaps/>
          <w:szCs w:val="24"/>
        </w:rPr>
        <w:t>New Mexico Lead Removal Efforts</w:t>
      </w:r>
    </w:p>
    <w:p w:rsidR="008C55A4" w:rsidRPr="008503F8" w:rsidRDefault="008C55A4" w:rsidP="008C55A4">
      <w:pPr>
        <w:pStyle w:val="BodyText"/>
        <w:tabs>
          <w:tab w:val="num" w:pos="360"/>
        </w:tabs>
        <w:rPr>
          <w:rFonts w:ascii="CG Omega" w:hAnsi="CG Omega"/>
          <w:szCs w:val="24"/>
          <w:highlight w:val="yellow"/>
        </w:rPr>
      </w:pPr>
    </w:p>
    <w:p w:rsidR="00FA0A52" w:rsidRPr="00721A30" w:rsidRDefault="00FA0A52" w:rsidP="00FA0A52">
      <w:pPr>
        <w:pStyle w:val="BodyText"/>
        <w:tabs>
          <w:tab w:val="num" w:pos="360"/>
        </w:tabs>
        <w:rPr>
          <w:rFonts w:ascii="CG Omega" w:hAnsi="CG Omega"/>
          <w:szCs w:val="24"/>
        </w:rPr>
      </w:pPr>
      <w:r w:rsidRPr="00721A30">
        <w:rPr>
          <w:rFonts w:ascii="CG Omega" w:hAnsi="CG Omega"/>
          <w:szCs w:val="24"/>
        </w:rPr>
        <w:t>The New Mexico Lead Poisoning Prevention Program collects blood lead level data and provides case management to children and adults w</w:t>
      </w:r>
      <w:r>
        <w:rPr>
          <w:rFonts w:ascii="CG Omega" w:hAnsi="CG Omega"/>
          <w:szCs w:val="24"/>
        </w:rPr>
        <w:t>ith elevated blood lead levels.</w:t>
      </w:r>
      <w:r w:rsidRPr="00721A30">
        <w:rPr>
          <w:rFonts w:ascii="CG Omega" w:hAnsi="CG Omega"/>
          <w:szCs w:val="24"/>
        </w:rPr>
        <w:t xml:space="preserve"> The Program </w:t>
      </w:r>
      <w:r>
        <w:rPr>
          <w:rFonts w:ascii="CG Omega" w:hAnsi="CG Omega"/>
          <w:szCs w:val="24"/>
        </w:rPr>
        <w:t>provide</w:t>
      </w:r>
      <w:r w:rsidRPr="00721A30">
        <w:rPr>
          <w:rFonts w:ascii="CG Omega" w:hAnsi="CG Omega"/>
          <w:szCs w:val="24"/>
        </w:rPr>
        <w:t xml:space="preserve">s lead </w:t>
      </w:r>
      <w:r>
        <w:rPr>
          <w:rFonts w:ascii="CG Omega" w:hAnsi="CG Omega"/>
          <w:szCs w:val="24"/>
        </w:rPr>
        <w:t>risk assessment</w:t>
      </w:r>
      <w:r w:rsidRPr="00721A30">
        <w:rPr>
          <w:rFonts w:ascii="CG Omega" w:hAnsi="CG Omega"/>
          <w:szCs w:val="24"/>
        </w:rPr>
        <w:t>, education, home visits and consultation with health care providers in an effort to prevent lead poisoning a</w:t>
      </w:r>
      <w:r>
        <w:rPr>
          <w:rFonts w:ascii="CG Omega" w:hAnsi="CG Omega"/>
          <w:szCs w:val="24"/>
        </w:rPr>
        <w:t>nd decrease blood lead levels.</w:t>
      </w:r>
      <w:r>
        <w:rPr>
          <w:rStyle w:val="FootnoteReference"/>
          <w:rFonts w:ascii="CG Omega" w:hAnsi="CG Omega"/>
          <w:szCs w:val="24"/>
        </w:rPr>
        <w:footnoteReference w:id="30"/>
      </w:r>
      <w:r>
        <w:rPr>
          <w:rFonts w:ascii="CG Omega" w:hAnsi="CG Omega"/>
          <w:szCs w:val="24"/>
        </w:rPr>
        <w:t xml:space="preserve">  According to the New Mexico Lead Poisoning Prevention Program, only about 10 percent of children aged 1-5 were tested for lead exposure in 2010. </w:t>
      </w:r>
      <w:r w:rsidR="008E109D">
        <w:rPr>
          <w:rFonts w:ascii="CG Omega" w:hAnsi="CG Omega"/>
          <w:szCs w:val="24"/>
        </w:rPr>
        <w:t>The Program advocates parental awareness of lead-based hazards and the risks of occupational exposure.</w:t>
      </w:r>
    </w:p>
    <w:p w:rsidR="008C55A4" w:rsidRPr="008503F8" w:rsidRDefault="008C55A4" w:rsidP="008C55A4">
      <w:pPr>
        <w:pStyle w:val="BodyText"/>
        <w:tabs>
          <w:tab w:val="num" w:pos="360"/>
        </w:tabs>
        <w:rPr>
          <w:rFonts w:ascii="CG Omega" w:hAnsi="CG Omega"/>
          <w:sz w:val="18"/>
          <w:szCs w:val="18"/>
          <w:highlight w:val="yellow"/>
        </w:rPr>
      </w:pPr>
    </w:p>
    <w:p w:rsidR="008C55A4" w:rsidRPr="008503F8" w:rsidRDefault="008C55A4" w:rsidP="008C55A4">
      <w:pPr>
        <w:pStyle w:val="BodyText"/>
        <w:tabs>
          <w:tab w:val="num" w:pos="360"/>
        </w:tabs>
        <w:rPr>
          <w:rFonts w:ascii="CG Omega" w:hAnsi="CG Omega"/>
          <w:szCs w:val="24"/>
        </w:rPr>
      </w:pPr>
      <w:r w:rsidRPr="008503F8">
        <w:rPr>
          <w:rFonts w:ascii="CG Omega" w:hAnsi="CG Omega"/>
          <w:szCs w:val="24"/>
        </w:rPr>
        <w:t xml:space="preserve">Other agencies in the state are also involved in lead-based paint reduction activities. </w:t>
      </w:r>
      <w:r w:rsidR="00CC3344" w:rsidRPr="008503F8">
        <w:rPr>
          <w:rFonts w:ascii="CG Omega" w:hAnsi="CG Omega"/>
          <w:szCs w:val="24"/>
        </w:rPr>
        <w:t>MFA</w:t>
      </w:r>
      <w:r w:rsidRPr="008503F8">
        <w:rPr>
          <w:rFonts w:ascii="CG Omega" w:hAnsi="CG Omega"/>
          <w:szCs w:val="24"/>
        </w:rPr>
        <w:t xml:space="preserve"> continues to work in partnership with the regional Environmental Protection Agency office and other local partners to increase the number of trained, licensed and certified personnel able to determine the risks of lead hazards. </w:t>
      </w:r>
    </w:p>
    <w:p w:rsidR="008C55A4" w:rsidRPr="008503F8" w:rsidRDefault="008C55A4" w:rsidP="008C55A4">
      <w:pPr>
        <w:pStyle w:val="BodyText"/>
        <w:tabs>
          <w:tab w:val="num" w:pos="360"/>
        </w:tabs>
        <w:rPr>
          <w:rFonts w:ascii="CG Omega" w:hAnsi="CG Omega"/>
          <w:sz w:val="18"/>
          <w:szCs w:val="18"/>
        </w:rPr>
      </w:pPr>
    </w:p>
    <w:p w:rsidR="008C55A4" w:rsidRPr="008503F8" w:rsidRDefault="009C7F12" w:rsidP="008C55A4">
      <w:pPr>
        <w:pStyle w:val="BodyText"/>
        <w:tabs>
          <w:tab w:val="num" w:pos="360"/>
        </w:tabs>
        <w:rPr>
          <w:rFonts w:ascii="CG Omega" w:hAnsi="CG Omega"/>
          <w:szCs w:val="24"/>
        </w:rPr>
      </w:pPr>
      <w:r w:rsidRPr="008503F8">
        <w:rPr>
          <w:rFonts w:ascii="CG Omega" w:hAnsi="CG Omega"/>
          <w:szCs w:val="24"/>
        </w:rPr>
        <w:t xml:space="preserve">Since 2002, </w:t>
      </w:r>
      <w:r w:rsidR="00CC3344" w:rsidRPr="008503F8">
        <w:rPr>
          <w:rFonts w:ascii="CG Omega" w:hAnsi="CG Omega"/>
          <w:szCs w:val="24"/>
        </w:rPr>
        <w:t>MFA</w:t>
      </w:r>
      <w:r w:rsidRPr="008503F8">
        <w:rPr>
          <w:rFonts w:ascii="CG Omega" w:hAnsi="CG Omega"/>
          <w:szCs w:val="24"/>
        </w:rPr>
        <w:t xml:space="preserve"> has spent over $560,000 throughout the state on lead removal efforts and tested over 700,000 homes. </w:t>
      </w:r>
      <w:r w:rsidR="00CC3344" w:rsidRPr="008503F8">
        <w:rPr>
          <w:rFonts w:ascii="CG Omega" w:hAnsi="CG Omega"/>
          <w:szCs w:val="24"/>
        </w:rPr>
        <w:t>MFA</w:t>
      </w:r>
      <w:r w:rsidR="008C55A4" w:rsidRPr="008503F8">
        <w:rPr>
          <w:rFonts w:ascii="CG Omega" w:hAnsi="CG Omega"/>
          <w:szCs w:val="24"/>
        </w:rPr>
        <w:t xml:space="preserve"> intends to set aside a percentage of their HOME administrative fees for eligible lead-based paint assessment and remediation activities.  This effort to make available additional funds for lead hazard remediation and abatement has encouraged additional businesses and organizations to receive appropriate training in order to provide these remediation services. Additionally, </w:t>
      </w:r>
      <w:r w:rsidR="00CC3344" w:rsidRPr="008503F8">
        <w:rPr>
          <w:rFonts w:ascii="CG Omega" w:hAnsi="CG Omega"/>
          <w:szCs w:val="24"/>
        </w:rPr>
        <w:t>MFA</w:t>
      </w:r>
      <w:r w:rsidR="008C55A4" w:rsidRPr="008503F8">
        <w:rPr>
          <w:rFonts w:ascii="CG Omega" w:hAnsi="CG Omega"/>
          <w:szCs w:val="24"/>
        </w:rPr>
        <w:t xml:space="preserve"> will continue to train its partners throughout the state in the Lead-Safe Housing Rule and encourage subgrantees and professionals statewide to receive formal training and any applicable lead-based paint certificates in an effort to improve the efficiency of the rehabilitation services delivery system.</w:t>
      </w:r>
      <w:r w:rsidRPr="008503F8">
        <w:rPr>
          <w:rFonts w:ascii="CG Omega" w:hAnsi="CG Omega"/>
          <w:szCs w:val="24"/>
        </w:rPr>
        <w:t xml:space="preserve"> </w:t>
      </w:r>
    </w:p>
    <w:p w:rsidR="0030197E" w:rsidRPr="008503F8" w:rsidRDefault="0030197E" w:rsidP="00E67460">
      <w:pPr>
        <w:pStyle w:val="BodyText"/>
        <w:tabs>
          <w:tab w:val="num" w:pos="360"/>
        </w:tabs>
        <w:rPr>
          <w:rFonts w:ascii="CG Omega" w:hAnsi="CG Omega"/>
          <w:sz w:val="18"/>
          <w:szCs w:val="18"/>
          <w:highlight w:val="yellow"/>
        </w:rPr>
      </w:pPr>
    </w:p>
    <w:p w:rsidR="00C83F93" w:rsidRPr="005865E7" w:rsidRDefault="00CF4D65" w:rsidP="00BB666B">
      <w:pPr>
        <w:pStyle w:val="FirstHead"/>
      </w:pPr>
      <w:bookmarkStart w:id="86" w:name="_Toc233426582"/>
      <w:bookmarkStart w:id="87" w:name="_Toc233426767"/>
      <w:bookmarkStart w:id="88" w:name="_Toc399834573"/>
      <w:r w:rsidRPr="005865E7">
        <w:t>F</w:t>
      </w:r>
      <w:r w:rsidR="00C83F93" w:rsidRPr="005865E7">
        <w:t>. Public and Assisted Housing</w:t>
      </w:r>
      <w:bookmarkEnd w:id="86"/>
      <w:bookmarkEnd w:id="87"/>
      <w:bookmarkEnd w:id="88"/>
    </w:p>
    <w:p w:rsidR="00C83F93" w:rsidRPr="008503F8" w:rsidRDefault="00C83F93" w:rsidP="00C83F93">
      <w:pPr>
        <w:pStyle w:val="BodyText"/>
        <w:tabs>
          <w:tab w:val="num" w:pos="360"/>
        </w:tabs>
        <w:rPr>
          <w:rFonts w:ascii="CG Omega" w:hAnsi="CG Omega"/>
          <w:sz w:val="16"/>
          <w:szCs w:val="16"/>
          <w:highlight w:val="yellow"/>
        </w:rPr>
      </w:pPr>
    </w:p>
    <w:p w:rsidR="00BC05B0" w:rsidRPr="005865E7" w:rsidRDefault="005D6E08" w:rsidP="00C83F93">
      <w:pPr>
        <w:jc w:val="both"/>
        <w:rPr>
          <w:rFonts w:ascii="CG Omega" w:hAnsi="CG Omega" w:cs="Arial"/>
          <w:snapToGrid w:val="0"/>
        </w:rPr>
      </w:pPr>
      <w:r w:rsidRPr="005865E7">
        <w:rPr>
          <w:rFonts w:ascii="CG Omega" w:hAnsi="CG Omega" w:cs="Arial"/>
          <w:snapToGrid w:val="0"/>
        </w:rPr>
        <w:t>Public and assisted housing units</w:t>
      </w:r>
      <w:r w:rsidR="004A07BF" w:rsidRPr="005865E7">
        <w:rPr>
          <w:rFonts w:ascii="CG Omega" w:hAnsi="CG Omega" w:cs="Arial"/>
          <w:snapToGrid w:val="0"/>
        </w:rPr>
        <w:t xml:space="preserve"> also comprise a portion of the </w:t>
      </w:r>
      <w:r w:rsidR="00721CE4" w:rsidRPr="005865E7">
        <w:rPr>
          <w:rFonts w:ascii="CG Omega" w:hAnsi="CG Omega" w:cs="Arial"/>
          <w:snapToGrid w:val="0"/>
        </w:rPr>
        <w:t>h</w:t>
      </w:r>
      <w:r w:rsidR="004A07BF" w:rsidRPr="005865E7">
        <w:rPr>
          <w:rFonts w:ascii="CG Omega" w:hAnsi="CG Omega" w:cs="Arial"/>
          <w:snapToGrid w:val="0"/>
        </w:rPr>
        <w:t>ousing stock</w:t>
      </w:r>
      <w:r w:rsidR="00721CE4" w:rsidRPr="005865E7">
        <w:rPr>
          <w:rFonts w:ascii="CG Omega" w:hAnsi="CG Omega" w:cs="Arial"/>
          <w:snapToGrid w:val="0"/>
        </w:rPr>
        <w:t xml:space="preserve"> </w:t>
      </w:r>
      <w:r w:rsidR="005F609E" w:rsidRPr="005865E7">
        <w:rPr>
          <w:rFonts w:ascii="CG Omega" w:hAnsi="CG Omega" w:cs="Arial"/>
          <w:snapToGrid w:val="0"/>
        </w:rPr>
        <w:t xml:space="preserve">located </w:t>
      </w:r>
      <w:r w:rsidR="006023CD" w:rsidRPr="005865E7">
        <w:rPr>
          <w:rFonts w:ascii="CG Omega" w:hAnsi="CG Omega" w:cs="Arial"/>
          <w:snapToGrid w:val="0"/>
        </w:rPr>
        <w:t xml:space="preserve">throughout New Mexico.  </w:t>
      </w:r>
      <w:r w:rsidR="00CC3344">
        <w:rPr>
          <w:rFonts w:ascii="CG Omega" w:hAnsi="CG Omega" w:cs="Arial"/>
          <w:snapToGrid w:val="0"/>
        </w:rPr>
        <w:t>MFA</w:t>
      </w:r>
      <w:r w:rsidR="005F609E" w:rsidRPr="005865E7">
        <w:rPr>
          <w:rFonts w:ascii="CG Omega" w:hAnsi="CG Omega" w:cs="Arial"/>
          <w:snapToGrid w:val="0"/>
        </w:rPr>
        <w:t xml:space="preserve"> does not operate public housing and therefore, has not developed a plan related to public housing or public housing init</w:t>
      </w:r>
      <w:r w:rsidR="00F36430" w:rsidRPr="005865E7">
        <w:rPr>
          <w:rFonts w:ascii="CG Omega" w:hAnsi="CG Omega" w:cs="Arial"/>
          <w:snapToGrid w:val="0"/>
        </w:rPr>
        <w:t xml:space="preserve">iatives.  However, HUD and MFA are </w:t>
      </w:r>
      <w:r w:rsidR="005F609E" w:rsidRPr="005865E7">
        <w:rPr>
          <w:rFonts w:ascii="CG Omega" w:hAnsi="CG Omega" w:cs="Arial"/>
          <w:snapToGrid w:val="0"/>
        </w:rPr>
        <w:t>concerned about the number of public housing unit</w:t>
      </w:r>
      <w:r w:rsidR="003C43F4" w:rsidRPr="005865E7">
        <w:rPr>
          <w:rFonts w:ascii="CG Omega" w:hAnsi="CG Omega" w:cs="Arial"/>
          <w:snapToGrid w:val="0"/>
        </w:rPr>
        <w:t>s</w:t>
      </w:r>
      <w:r w:rsidR="005F609E" w:rsidRPr="005865E7">
        <w:rPr>
          <w:rFonts w:ascii="CG Omega" w:hAnsi="CG Omega" w:cs="Arial"/>
          <w:snapToGrid w:val="0"/>
        </w:rPr>
        <w:t xml:space="preserve"> and their underlying contracts that are at risk of expiring.  If this were to happen</w:t>
      </w:r>
      <w:r w:rsidR="00482D3F" w:rsidRPr="005865E7">
        <w:rPr>
          <w:rFonts w:ascii="CG Omega" w:hAnsi="CG Omega" w:cs="Arial"/>
          <w:snapToGrid w:val="0"/>
        </w:rPr>
        <w:t>, 3,</w:t>
      </w:r>
      <w:r w:rsidR="005865E7" w:rsidRPr="005865E7">
        <w:rPr>
          <w:rFonts w:ascii="CG Omega" w:hAnsi="CG Omega" w:cs="Arial"/>
          <w:snapToGrid w:val="0"/>
        </w:rPr>
        <w:t>896</w:t>
      </w:r>
      <w:r w:rsidR="00482D3F" w:rsidRPr="005865E7">
        <w:rPr>
          <w:rFonts w:ascii="CG Omega" w:hAnsi="CG Omega" w:cs="Arial"/>
          <w:snapToGrid w:val="0"/>
        </w:rPr>
        <w:t xml:space="preserve"> public housing</w:t>
      </w:r>
      <w:r w:rsidR="003C43F4" w:rsidRPr="005865E7">
        <w:rPr>
          <w:rFonts w:ascii="CG Omega" w:hAnsi="CG Omega" w:cs="Arial"/>
          <w:snapToGrid w:val="0"/>
        </w:rPr>
        <w:t xml:space="preserve"> units in th</w:t>
      </w:r>
      <w:r w:rsidR="006023CD" w:rsidRPr="005865E7">
        <w:rPr>
          <w:rFonts w:ascii="CG Omega" w:hAnsi="CG Omega" w:cs="Arial"/>
          <w:snapToGrid w:val="0"/>
        </w:rPr>
        <w:t>e state would be eliminated from the affordable housing st</w:t>
      </w:r>
      <w:r w:rsidR="00A577A3" w:rsidRPr="005865E7">
        <w:rPr>
          <w:rFonts w:ascii="CG Omega" w:hAnsi="CG Omega" w:cs="Arial"/>
          <w:snapToGrid w:val="0"/>
        </w:rPr>
        <w:t>ock,</w:t>
      </w:r>
      <w:r w:rsidR="00EC3AD8" w:rsidRPr="005865E7">
        <w:rPr>
          <w:rFonts w:ascii="CG Omega" w:hAnsi="CG Omega" w:cs="Arial"/>
          <w:snapToGrid w:val="0"/>
        </w:rPr>
        <w:t xml:space="preserve"> as indicated in </w:t>
      </w:r>
      <w:r w:rsidR="00EC3AD8" w:rsidRPr="008503F8">
        <w:rPr>
          <w:rFonts w:ascii="CG Omega" w:hAnsi="CG Omega" w:cs="Arial"/>
          <w:b/>
          <w:snapToGrid w:val="0"/>
        </w:rPr>
        <w:t>Table IV.1</w:t>
      </w:r>
      <w:r w:rsidR="00F92737" w:rsidRPr="008503F8">
        <w:rPr>
          <w:rFonts w:ascii="CG Omega" w:hAnsi="CG Omega" w:cs="Arial"/>
          <w:b/>
          <w:snapToGrid w:val="0"/>
        </w:rPr>
        <w:t>6</w:t>
      </w:r>
      <w:r w:rsidR="00394FF6" w:rsidRPr="005865E7">
        <w:rPr>
          <w:rFonts w:ascii="CG Omega" w:hAnsi="CG Omega" w:cs="Arial"/>
          <w:snapToGrid w:val="0"/>
        </w:rPr>
        <w:t xml:space="preserve">, </w:t>
      </w:r>
      <w:r w:rsidR="008503F8">
        <w:rPr>
          <w:rFonts w:ascii="CG Omega" w:hAnsi="CG Omega" w:cs="Arial"/>
          <w:snapToGrid w:val="0"/>
        </w:rPr>
        <w:t>below</w:t>
      </w:r>
      <w:r w:rsidR="006023CD" w:rsidRPr="005865E7">
        <w:rPr>
          <w:rFonts w:ascii="CG Omega" w:hAnsi="CG Omega" w:cs="Arial"/>
          <w:snapToGrid w:val="0"/>
        </w:rPr>
        <w:t xml:space="preserve">.  </w:t>
      </w:r>
    </w:p>
    <w:p w:rsidR="008C0D1A" w:rsidRPr="008503F8" w:rsidRDefault="008C0D1A" w:rsidP="00C83F93">
      <w:pPr>
        <w:jc w:val="both"/>
        <w:rPr>
          <w:rFonts w:ascii="CG Omega" w:hAnsi="CG Omega" w:cs="Arial"/>
          <w:snapToGrid w:val="0"/>
          <w:sz w:val="18"/>
          <w:szCs w:val="18"/>
          <w:highlight w:val="yellow"/>
        </w:rPr>
      </w:pPr>
    </w:p>
    <w:tbl>
      <w:tblPr>
        <w:tblW w:w="4957" w:type="dxa"/>
        <w:jc w:val="center"/>
        <w:tblLook w:val="0000" w:firstRow="0" w:lastRow="0" w:firstColumn="0" w:lastColumn="0" w:noHBand="0" w:noVBand="0"/>
      </w:tblPr>
      <w:tblGrid>
        <w:gridCol w:w="1939"/>
        <w:gridCol w:w="1453"/>
        <w:gridCol w:w="1565"/>
      </w:tblGrid>
      <w:tr w:rsidR="00724A23" w:rsidRPr="00955C8C">
        <w:trPr>
          <w:trHeight w:val="835"/>
          <w:jc w:val="center"/>
        </w:trPr>
        <w:tc>
          <w:tcPr>
            <w:tcW w:w="4957" w:type="dxa"/>
            <w:gridSpan w:val="3"/>
            <w:tcBorders>
              <w:top w:val="single" w:sz="4" w:space="0" w:color="009900"/>
              <w:left w:val="single" w:sz="4" w:space="0" w:color="009900"/>
              <w:right w:val="single" w:sz="4" w:space="0" w:color="009900"/>
            </w:tcBorders>
            <w:shd w:val="clear" w:color="auto" w:fill="FFFFE1"/>
            <w:noWrap/>
            <w:vAlign w:val="center"/>
          </w:tcPr>
          <w:p w:rsidR="00724A23" w:rsidRPr="0053173A" w:rsidRDefault="00724A23" w:rsidP="00724A23">
            <w:pPr>
              <w:jc w:val="center"/>
              <w:rPr>
                <w:rFonts w:ascii="Arial" w:hAnsi="Arial" w:cs="Arial"/>
                <w:b/>
                <w:bCs/>
                <w:sz w:val="23"/>
                <w:szCs w:val="23"/>
              </w:rPr>
            </w:pPr>
            <w:r w:rsidRPr="0053173A">
              <w:rPr>
                <w:rFonts w:ascii="Arial" w:hAnsi="Arial" w:cs="Arial"/>
                <w:b/>
                <w:bCs/>
                <w:sz w:val="23"/>
                <w:szCs w:val="23"/>
              </w:rPr>
              <w:t>Table IV.1</w:t>
            </w:r>
            <w:r w:rsidR="00F92737">
              <w:rPr>
                <w:rFonts w:ascii="Arial" w:hAnsi="Arial" w:cs="Arial"/>
                <w:b/>
                <w:bCs/>
                <w:sz w:val="23"/>
                <w:szCs w:val="23"/>
              </w:rPr>
              <w:t>6</w:t>
            </w:r>
          </w:p>
          <w:p w:rsidR="00724A23" w:rsidRPr="0053173A" w:rsidRDefault="00724A23" w:rsidP="00724A23">
            <w:pPr>
              <w:jc w:val="center"/>
              <w:rPr>
                <w:rFonts w:ascii="Arial" w:hAnsi="Arial" w:cs="Arial"/>
                <w:b/>
                <w:bCs/>
                <w:sz w:val="20"/>
                <w:szCs w:val="20"/>
              </w:rPr>
            </w:pPr>
            <w:r w:rsidRPr="0053173A">
              <w:rPr>
                <w:rFonts w:ascii="Arial" w:hAnsi="Arial" w:cs="Arial"/>
                <w:b/>
                <w:bCs/>
                <w:sz w:val="20"/>
                <w:szCs w:val="20"/>
              </w:rPr>
              <w:t>Number of Section 8 Contracts Expiring by Year</w:t>
            </w:r>
          </w:p>
          <w:p w:rsidR="00724A23" w:rsidRPr="0053173A" w:rsidRDefault="00724A23" w:rsidP="00724A23">
            <w:pPr>
              <w:jc w:val="center"/>
              <w:rPr>
                <w:rFonts w:ascii="Arial" w:hAnsi="Arial" w:cs="Arial"/>
                <w:bCs/>
                <w:sz w:val="16"/>
                <w:szCs w:val="16"/>
              </w:rPr>
            </w:pPr>
            <w:r w:rsidRPr="0053173A">
              <w:rPr>
                <w:rFonts w:ascii="Arial" w:hAnsi="Arial" w:cs="Arial"/>
                <w:bCs/>
                <w:sz w:val="16"/>
                <w:szCs w:val="16"/>
              </w:rPr>
              <w:t>State of New Mexico</w:t>
            </w:r>
          </w:p>
          <w:p w:rsidR="00724A23" w:rsidRPr="00955C8C" w:rsidRDefault="00724A23" w:rsidP="00724A23">
            <w:pPr>
              <w:jc w:val="center"/>
              <w:rPr>
                <w:rFonts w:ascii="Arial" w:hAnsi="Arial" w:cs="Arial"/>
                <w:b/>
                <w:bCs/>
                <w:highlight w:val="yellow"/>
              </w:rPr>
            </w:pPr>
            <w:r w:rsidRPr="0053173A">
              <w:rPr>
                <w:rFonts w:ascii="Arial" w:hAnsi="Arial" w:cs="Arial"/>
                <w:bCs/>
                <w:sz w:val="16"/>
                <w:szCs w:val="16"/>
              </w:rPr>
              <w:t>HUD Sec. 8 Contract Database</w:t>
            </w:r>
          </w:p>
        </w:tc>
      </w:tr>
      <w:tr w:rsidR="00724A23" w:rsidRPr="00955C8C">
        <w:trPr>
          <w:trHeight w:val="255"/>
          <w:jc w:val="center"/>
        </w:trPr>
        <w:tc>
          <w:tcPr>
            <w:tcW w:w="1939" w:type="dxa"/>
            <w:tcBorders>
              <w:top w:val="single" w:sz="4" w:space="0" w:color="009900"/>
              <w:left w:val="single" w:sz="4" w:space="0" w:color="009900"/>
              <w:bottom w:val="single" w:sz="4" w:space="0" w:color="009900"/>
              <w:right w:val="nil"/>
            </w:tcBorders>
            <w:shd w:val="clear" w:color="auto" w:fill="FFFFE1"/>
            <w:noWrap/>
            <w:vAlign w:val="center"/>
          </w:tcPr>
          <w:p w:rsidR="00724A23" w:rsidRPr="0053173A" w:rsidRDefault="00724A23" w:rsidP="00724A23">
            <w:pPr>
              <w:jc w:val="center"/>
              <w:rPr>
                <w:rFonts w:ascii="Arial" w:hAnsi="Arial" w:cs="Arial"/>
                <w:b/>
                <w:bCs/>
                <w:sz w:val="16"/>
                <w:szCs w:val="16"/>
              </w:rPr>
            </w:pPr>
            <w:r w:rsidRPr="0053173A">
              <w:rPr>
                <w:rFonts w:ascii="Arial" w:hAnsi="Arial" w:cs="Arial"/>
                <w:b/>
                <w:bCs/>
                <w:sz w:val="16"/>
                <w:szCs w:val="16"/>
              </w:rPr>
              <w:t>Year Contract Expires</w:t>
            </w:r>
          </w:p>
        </w:tc>
        <w:tc>
          <w:tcPr>
            <w:tcW w:w="1453" w:type="dxa"/>
            <w:tcBorders>
              <w:top w:val="single" w:sz="4" w:space="0" w:color="009900"/>
              <w:left w:val="nil"/>
              <w:bottom w:val="single" w:sz="4" w:space="0" w:color="009900"/>
              <w:right w:val="nil"/>
            </w:tcBorders>
            <w:shd w:val="clear" w:color="auto" w:fill="FFFFE1"/>
            <w:noWrap/>
            <w:vAlign w:val="center"/>
          </w:tcPr>
          <w:p w:rsidR="00724A23" w:rsidRPr="0053173A" w:rsidRDefault="00724A23" w:rsidP="00724A23">
            <w:pPr>
              <w:jc w:val="center"/>
              <w:rPr>
                <w:rFonts w:ascii="Arial" w:hAnsi="Arial" w:cs="Arial"/>
                <w:b/>
                <w:bCs/>
                <w:sz w:val="16"/>
                <w:szCs w:val="16"/>
              </w:rPr>
            </w:pPr>
            <w:r w:rsidRPr="0053173A">
              <w:rPr>
                <w:rFonts w:ascii="Arial" w:hAnsi="Arial" w:cs="Arial"/>
                <w:b/>
                <w:bCs/>
                <w:sz w:val="16"/>
                <w:szCs w:val="16"/>
              </w:rPr>
              <w:t>Number of Contracts</w:t>
            </w:r>
          </w:p>
        </w:tc>
        <w:tc>
          <w:tcPr>
            <w:tcW w:w="1565" w:type="dxa"/>
            <w:tcBorders>
              <w:top w:val="single" w:sz="4" w:space="0" w:color="009900"/>
              <w:left w:val="nil"/>
              <w:bottom w:val="single" w:sz="4" w:space="0" w:color="009900"/>
              <w:right w:val="single" w:sz="4" w:space="0" w:color="009900"/>
            </w:tcBorders>
            <w:shd w:val="clear" w:color="auto" w:fill="FFFFE1"/>
            <w:noWrap/>
            <w:vAlign w:val="center"/>
          </w:tcPr>
          <w:p w:rsidR="00724A23" w:rsidRPr="0053173A" w:rsidRDefault="00724A23" w:rsidP="00724A23">
            <w:pPr>
              <w:jc w:val="center"/>
              <w:rPr>
                <w:rFonts w:ascii="Arial" w:hAnsi="Arial" w:cs="Arial"/>
                <w:b/>
                <w:bCs/>
                <w:sz w:val="16"/>
                <w:szCs w:val="16"/>
              </w:rPr>
            </w:pPr>
            <w:r w:rsidRPr="0053173A">
              <w:rPr>
                <w:rFonts w:ascii="Arial" w:hAnsi="Arial" w:cs="Arial"/>
                <w:b/>
                <w:bCs/>
                <w:sz w:val="16"/>
                <w:szCs w:val="16"/>
              </w:rPr>
              <w:t>Units at risk</w:t>
            </w:r>
          </w:p>
        </w:tc>
      </w:tr>
      <w:tr w:rsidR="00724A23" w:rsidRPr="00955C8C">
        <w:trPr>
          <w:trHeight w:val="255"/>
          <w:jc w:val="center"/>
        </w:trPr>
        <w:tc>
          <w:tcPr>
            <w:tcW w:w="1939" w:type="dxa"/>
            <w:tcBorders>
              <w:top w:val="nil"/>
              <w:left w:val="single" w:sz="4" w:space="0" w:color="009900"/>
              <w:bottom w:val="nil"/>
              <w:right w:val="nil"/>
            </w:tcBorders>
            <w:shd w:val="clear" w:color="auto" w:fill="FFFFE1"/>
            <w:noWrap/>
            <w:vAlign w:val="center"/>
          </w:tcPr>
          <w:p w:rsidR="00724A23" w:rsidRPr="0053173A" w:rsidRDefault="00724A23" w:rsidP="00724A23">
            <w:pPr>
              <w:rPr>
                <w:rFonts w:ascii="Arial" w:hAnsi="Arial" w:cs="Arial"/>
                <w:sz w:val="16"/>
                <w:szCs w:val="16"/>
              </w:rPr>
            </w:pPr>
            <w:r w:rsidRPr="0053173A">
              <w:rPr>
                <w:rFonts w:ascii="Arial" w:hAnsi="Arial" w:cs="Arial"/>
                <w:sz w:val="16"/>
                <w:szCs w:val="16"/>
              </w:rPr>
              <w:t>201</w:t>
            </w:r>
            <w:r w:rsidR="0053173A" w:rsidRPr="0053173A">
              <w:rPr>
                <w:rFonts w:ascii="Arial" w:hAnsi="Arial" w:cs="Arial"/>
                <w:sz w:val="16"/>
                <w:szCs w:val="16"/>
              </w:rPr>
              <w:t>5</w:t>
            </w:r>
          </w:p>
        </w:tc>
        <w:tc>
          <w:tcPr>
            <w:tcW w:w="1453" w:type="dxa"/>
            <w:tcBorders>
              <w:top w:val="nil"/>
              <w:left w:val="nil"/>
              <w:bottom w:val="nil"/>
              <w:right w:val="nil"/>
            </w:tcBorders>
            <w:shd w:val="clear" w:color="auto" w:fill="FFFFE1"/>
            <w:noWrap/>
            <w:vAlign w:val="center"/>
          </w:tcPr>
          <w:p w:rsidR="00724A23" w:rsidRPr="00094A60" w:rsidRDefault="00094A60" w:rsidP="00724A23">
            <w:pPr>
              <w:jc w:val="center"/>
              <w:rPr>
                <w:rFonts w:ascii="Arial" w:hAnsi="Arial" w:cs="Arial"/>
                <w:sz w:val="16"/>
                <w:szCs w:val="16"/>
              </w:rPr>
            </w:pPr>
            <w:r w:rsidRPr="00094A60">
              <w:rPr>
                <w:rFonts w:ascii="Arial" w:hAnsi="Arial" w:cs="Arial"/>
                <w:sz w:val="16"/>
                <w:szCs w:val="16"/>
              </w:rPr>
              <w:t>22</w:t>
            </w:r>
          </w:p>
        </w:tc>
        <w:tc>
          <w:tcPr>
            <w:tcW w:w="1565" w:type="dxa"/>
            <w:tcBorders>
              <w:top w:val="nil"/>
              <w:left w:val="nil"/>
              <w:bottom w:val="nil"/>
              <w:right w:val="single" w:sz="4" w:space="0" w:color="009900"/>
            </w:tcBorders>
            <w:shd w:val="clear" w:color="auto" w:fill="FFFFE1"/>
            <w:noWrap/>
            <w:vAlign w:val="center"/>
          </w:tcPr>
          <w:p w:rsidR="00724A23" w:rsidRPr="00094A60" w:rsidRDefault="00094A60" w:rsidP="00724A23">
            <w:pPr>
              <w:jc w:val="center"/>
              <w:rPr>
                <w:rFonts w:ascii="Arial" w:hAnsi="Arial" w:cs="Arial"/>
                <w:sz w:val="16"/>
                <w:szCs w:val="16"/>
              </w:rPr>
            </w:pPr>
            <w:r w:rsidRPr="00094A60">
              <w:rPr>
                <w:rFonts w:ascii="Arial" w:hAnsi="Arial" w:cs="Arial"/>
                <w:sz w:val="16"/>
                <w:szCs w:val="16"/>
              </w:rPr>
              <w:t>701</w:t>
            </w:r>
          </w:p>
        </w:tc>
      </w:tr>
      <w:tr w:rsidR="00724A23" w:rsidRPr="00955C8C">
        <w:trPr>
          <w:trHeight w:val="255"/>
          <w:jc w:val="center"/>
        </w:trPr>
        <w:tc>
          <w:tcPr>
            <w:tcW w:w="1939" w:type="dxa"/>
            <w:tcBorders>
              <w:top w:val="nil"/>
              <w:left w:val="single" w:sz="4" w:space="0" w:color="009900"/>
              <w:bottom w:val="nil"/>
              <w:right w:val="nil"/>
            </w:tcBorders>
            <w:shd w:val="clear" w:color="auto" w:fill="FFFFE1"/>
            <w:noWrap/>
            <w:vAlign w:val="center"/>
          </w:tcPr>
          <w:p w:rsidR="00724A23" w:rsidRPr="0053173A" w:rsidRDefault="00724A23" w:rsidP="00724A23">
            <w:pPr>
              <w:rPr>
                <w:rFonts w:ascii="Arial" w:hAnsi="Arial" w:cs="Arial"/>
                <w:sz w:val="16"/>
                <w:szCs w:val="16"/>
              </w:rPr>
            </w:pPr>
            <w:r w:rsidRPr="0053173A">
              <w:rPr>
                <w:rFonts w:ascii="Arial" w:hAnsi="Arial" w:cs="Arial"/>
                <w:sz w:val="16"/>
                <w:szCs w:val="16"/>
              </w:rPr>
              <w:t>201</w:t>
            </w:r>
            <w:r w:rsidR="0053173A" w:rsidRPr="0053173A">
              <w:rPr>
                <w:rFonts w:ascii="Arial" w:hAnsi="Arial" w:cs="Arial"/>
                <w:sz w:val="16"/>
                <w:szCs w:val="16"/>
              </w:rPr>
              <w:t>6</w:t>
            </w:r>
          </w:p>
        </w:tc>
        <w:tc>
          <w:tcPr>
            <w:tcW w:w="1453" w:type="dxa"/>
            <w:tcBorders>
              <w:top w:val="nil"/>
              <w:left w:val="nil"/>
              <w:bottom w:val="nil"/>
              <w:right w:val="nil"/>
            </w:tcBorders>
            <w:shd w:val="clear" w:color="auto" w:fill="FFFFE1"/>
            <w:noWrap/>
            <w:vAlign w:val="center"/>
          </w:tcPr>
          <w:p w:rsidR="00724A23" w:rsidRPr="00094A60" w:rsidRDefault="00094A60" w:rsidP="00724A23">
            <w:pPr>
              <w:jc w:val="center"/>
              <w:rPr>
                <w:rFonts w:ascii="Arial" w:hAnsi="Arial" w:cs="Arial"/>
                <w:sz w:val="16"/>
                <w:szCs w:val="16"/>
              </w:rPr>
            </w:pPr>
            <w:r w:rsidRPr="00094A60">
              <w:rPr>
                <w:rFonts w:ascii="Arial" w:hAnsi="Arial" w:cs="Arial"/>
                <w:sz w:val="16"/>
                <w:szCs w:val="16"/>
              </w:rPr>
              <w:t>0</w:t>
            </w:r>
          </w:p>
        </w:tc>
        <w:tc>
          <w:tcPr>
            <w:tcW w:w="1565" w:type="dxa"/>
            <w:tcBorders>
              <w:top w:val="nil"/>
              <w:left w:val="nil"/>
              <w:bottom w:val="nil"/>
              <w:right w:val="single" w:sz="4" w:space="0" w:color="009900"/>
            </w:tcBorders>
            <w:shd w:val="clear" w:color="auto" w:fill="FFFFE1"/>
            <w:noWrap/>
            <w:vAlign w:val="center"/>
          </w:tcPr>
          <w:p w:rsidR="00724A23" w:rsidRPr="00094A60" w:rsidRDefault="00094A60" w:rsidP="00724A23">
            <w:pPr>
              <w:jc w:val="center"/>
              <w:rPr>
                <w:rFonts w:ascii="Arial" w:hAnsi="Arial" w:cs="Arial"/>
                <w:sz w:val="16"/>
                <w:szCs w:val="16"/>
              </w:rPr>
            </w:pPr>
            <w:r w:rsidRPr="00094A60">
              <w:rPr>
                <w:rFonts w:ascii="Arial" w:hAnsi="Arial" w:cs="Arial"/>
                <w:sz w:val="16"/>
                <w:szCs w:val="16"/>
              </w:rPr>
              <w:t>0</w:t>
            </w:r>
          </w:p>
        </w:tc>
      </w:tr>
      <w:tr w:rsidR="00724A23" w:rsidRPr="00955C8C">
        <w:trPr>
          <w:trHeight w:val="255"/>
          <w:jc w:val="center"/>
        </w:trPr>
        <w:tc>
          <w:tcPr>
            <w:tcW w:w="1939" w:type="dxa"/>
            <w:tcBorders>
              <w:top w:val="nil"/>
              <w:left w:val="single" w:sz="4" w:space="0" w:color="009900"/>
              <w:bottom w:val="nil"/>
              <w:right w:val="nil"/>
            </w:tcBorders>
            <w:shd w:val="clear" w:color="auto" w:fill="FFFFE1"/>
            <w:noWrap/>
            <w:vAlign w:val="center"/>
          </w:tcPr>
          <w:p w:rsidR="00724A23" w:rsidRPr="0053173A" w:rsidRDefault="00724A23" w:rsidP="00724A23">
            <w:pPr>
              <w:rPr>
                <w:rFonts w:ascii="Arial" w:hAnsi="Arial" w:cs="Arial"/>
                <w:sz w:val="16"/>
                <w:szCs w:val="16"/>
              </w:rPr>
            </w:pPr>
            <w:r w:rsidRPr="0053173A">
              <w:rPr>
                <w:rFonts w:ascii="Arial" w:hAnsi="Arial" w:cs="Arial"/>
                <w:sz w:val="16"/>
                <w:szCs w:val="16"/>
              </w:rPr>
              <w:t>201</w:t>
            </w:r>
            <w:r w:rsidR="0053173A" w:rsidRPr="0053173A">
              <w:rPr>
                <w:rFonts w:ascii="Arial" w:hAnsi="Arial" w:cs="Arial"/>
                <w:sz w:val="16"/>
                <w:szCs w:val="16"/>
              </w:rPr>
              <w:t>7</w:t>
            </w:r>
          </w:p>
        </w:tc>
        <w:tc>
          <w:tcPr>
            <w:tcW w:w="1453" w:type="dxa"/>
            <w:tcBorders>
              <w:top w:val="nil"/>
              <w:left w:val="nil"/>
              <w:bottom w:val="nil"/>
              <w:right w:val="nil"/>
            </w:tcBorders>
            <w:shd w:val="clear" w:color="auto" w:fill="FFFFE1"/>
            <w:noWrap/>
            <w:vAlign w:val="center"/>
          </w:tcPr>
          <w:p w:rsidR="00724A23" w:rsidRPr="00094A60" w:rsidRDefault="00094A60" w:rsidP="00724A23">
            <w:pPr>
              <w:jc w:val="center"/>
              <w:rPr>
                <w:rFonts w:ascii="Arial" w:hAnsi="Arial" w:cs="Arial"/>
                <w:sz w:val="16"/>
                <w:szCs w:val="16"/>
              </w:rPr>
            </w:pPr>
            <w:r w:rsidRPr="00094A60">
              <w:rPr>
                <w:rFonts w:ascii="Arial" w:hAnsi="Arial" w:cs="Arial"/>
                <w:sz w:val="16"/>
                <w:szCs w:val="16"/>
              </w:rPr>
              <w:t>3</w:t>
            </w:r>
          </w:p>
        </w:tc>
        <w:tc>
          <w:tcPr>
            <w:tcW w:w="1565" w:type="dxa"/>
            <w:tcBorders>
              <w:top w:val="nil"/>
              <w:left w:val="nil"/>
              <w:bottom w:val="nil"/>
              <w:right w:val="single" w:sz="4" w:space="0" w:color="009900"/>
            </w:tcBorders>
            <w:shd w:val="clear" w:color="auto" w:fill="FFFFE1"/>
            <w:noWrap/>
            <w:vAlign w:val="center"/>
          </w:tcPr>
          <w:p w:rsidR="00724A23" w:rsidRPr="00094A60" w:rsidRDefault="00094A60" w:rsidP="00724A23">
            <w:pPr>
              <w:jc w:val="center"/>
              <w:rPr>
                <w:rFonts w:ascii="Arial" w:hAnsi="Arial" w:cs="Arial"/>
                <w:sz w:val="16"/>
                <w:szCs w:val="16"/>
              </w:rPr>
            </w:pPr>
            <w:r w:rsidRPr="00094A60">
              <w:rPr>
                <w:rFonts w:ascii="Arial" w:hAnsi="Arial" w:cs="Arial"/>
                <w:sz w:val="16"/>
                <w:szCs w:val="16"/>
              </w:rPr>
              <w:t>62</w:t>
            </w:r>
          </w:p>
        </w:tc>
      </w:tr>
      <w:tr w:rsidR="00724A23" w:rsidRPr="00955C8C">
        <w:trPr>
          <w:trHeight w:val="255"/>
          <w:jc w:val="center"/>
        </w:trPr>
        <w:tc>
          <w:tcPr>
            <w:tcW w:w="1939" w:type="dxa"/>
            <w:tcBorders>
              <w:top w:val="nil"/>
              <w:left w:val="single" w:sz="4" w:space="0" w:color="009900"/>
              <w:bottom w:val="nil"/>
              <w:right w:val="nil"/>
            </w:tcBorders>
            <w:shd w:val="clear" w:color="auto" w:fill="FFFFE1"/>
            <w:noWrap/>
            <w:vAlign w:val="center"/>
          </w:tcPr>
          <w:p w:rsidR="00724A23" w:rsidRPr="0053173A" w:rsidRDefault="00724A23" w:rsidP="00724A23">
            <w:pPr>
              <w:rPr>
                <w:rFonts w:ascii="Arial" w:hAnsi="Arial" w:cs="Arial"/>
                <w:sz w:val="16"/>
                <w:szCs w:val="16"/>
              </w:rPr>
            </w:pPr>
            <w:r w:rsidRPr="0053173A">
              <w:rPr>
                <w:rFonts w:ascii="Arial" w:hAnsi="Arial" w:cs="Arial"/>
                <w:sz w:val="16"/>
                <w:szCs w:val="16"/>
              </w:rPr>
              <w:t>201</w:t>
            </w:r>
            <w:r w:rsidR="0053173A" w:rsidRPr="0053173A">
              <w:rPr>
                <w:rFonts w:ascii="Arial" w:hAnsi="Arial" w:cs="Arial"/>
                <w:sz w:val="16"/>
                <w:szCs w:val="16"/>
              </w:rPr>
              <w:t>8</w:t>
            </w:r>
          </w:p>
        </w:tc>
        <w:tc>
          <w:tcPr>
            <w:tcW w:w="1453" w:type="dxa"/>
            <w:tcBorders>
              <w:top w:val="nil"/>
              <w:left w:val="nil"/>
              <w:bottom w:val="nil"/>
              <w:right w:val="nil"/>
            </w:tcBorders>
            <w:shd w:val="clear" w:color="auto" w:fill="FFFFE1"/>
            <w:noWrap/>
            <w:vAlign w:val="center"/>
          </w:tcPr>
          <w:p w:rsidR="00724A23" w:rsidRPr="00094A60" w:rsidRDefault="00094A60" w:rsidP="00724A23">
            <w:pPr>
              <w:jc w:val="center"/>
              <w:rPr>
                <w:rFonts w:ascii="Arial" w:hAnsi="Arial" w:cs="Arial"/>
                <w:sz w:val="16"/>
                <w:szCs w:val="16"/>
              </w:rPr>
            </w:pPr>
            <w:r w:rsidRPr="00094A60">
              <w:rPr>
                <w:rFonts w:ascii="Arial" w:hAnsi="Arial" w:cs="Arial"/>
                <w:sz w:val="16"/>
                <w:szCs w:val="16"/>
              </w:rPr>
              <w:t>3</w:t>
            </w:r>
          </w:p>
        </w:tc>
        <w:tc>
          <w:tcPr>
            <w:tcW w:w="1565" w:type="dxa"/>
            <w:tcBorders>
              <w:top w:val="nil"/>
              <w:left w:val="nil"/>
              <w:bottom w:val="nil"/>
              <w:right w:val="single" w:sz="4" w:space="0" w:color="009900"/>
            </w:tcBorders>
            <w:shd w:val="clear" w:color="auto" w:fill="FFFFE1"/>
            <w:noWrap/>
            <w:vAlign w:val="center"/>
          </w:tcPr>
          <w:p w:rsidR="00724A23" w:rsidRPr="00094A60" w:rsidRDefault="00094A60" w:rsidP="00724A23">
            <w:pPr>
              <w:jc w:val="center"/>
              <w:rPr>
                <w:rFonts w:ascii="Arial" w:hAnsi="Arial" w:cs="Arial"/>
                <w:sz w:val="16"/>
                <w:szCs w:val="16"/>
              </w:rPr>
            </w:pPr>
            <w:r w:rsidRPr="00094A60">
              <w:rPr>
                <w:rFonts w:ascii="Arial" w:hAnsi="Arial" w:cs="Arial"/>
                <w:sz w:val="16"/>
                <w:szCs w:val="16"/>
              </w:rPr>
              <w:t>147</w:t>
            </w:r>
          </w:p>
        </w:tc>
      </w:tr>
      <w:tr w:rsidR="00724A23" w:rsidRPr="00955C8C">
        <w:trPr>
          <w:trHeight w:val="255"/>
          <w:jc w:val="center"/>
        </w:trPr>
        <w:tc>
          <w:tcPr>
            <w:tcW w:w="1939" w:type="dxa"/>
            <w:tcBorders>
              <w:top w:val="nil"/>
              <w:left w:val="single" w:sz="4" w:space="0" w:color="009900"/>
              <w:right w:val="nil"/>
            </w:tcBorders>
            <w:shd w:val="clear" w:color="auto" w:fill="FFFFE1"/>
            <w:noWrap/>
            <w:vAlign w:val="center"/>
          </w:tcPr>
          <w:p w:rsidR="00724A23" w:rsidRPr="0053173A" w:rsidRDefault="00724A23" w:rsidP="00724A23">
            <w:pPr>
              <w:rPr>
                <w:rFonts w:ascii="Arial" w:hAnsi="Arial" w:cs="Arial"/>
                <w:sz w:val="16"/>
                <w:szCs w:val="16"/>
              </w:rPr>
            </w:pPr>
            <w:r w:rsidRPr="0053173A">
              <w:rPr>
                <w:rFonts w:ascii="Arial" w:hAnsi="Arial" w:cs="Arial"/>
                <w:sz w:val="16"/>
                <w:szCs w:val="16"/>
              </w:rPr>
              <w:t>201</w:t>
            </w:r>
            <w:r w:rsidR="0053173A" w:rsidRPr="0053173A">
              <w:rPr>
                <w:rFonts w:ascii="Arial" w:hAnsi="Arial" w:cs="Arial"/>
                <w:sz w:val="16"/>
                <w:szCs w:val="16"/>
              </w:rPr>
              <w:t>9</w:t>
            </w:r>
          </w:p>
        </w:tc>
        <w:tc>
          <w:tcPr>
            <w:tcW w:w="1453" w:type="dxa"/>
            <w:tcBorders>
              <w:top w:val="nil"/>
              <w:left w:val="nil"/>
              <w:right w:val="nil"/>
            </w:tcBorders>
            <w:shd w:val="clear" w:color="auto" w:fill="FFFFE1"/>
            <w:noWrap/>
            <w:vAlign w:val="center"/>
          </w:tcPr>
          <w:p w:rsidR="00724A23" w:rsidRPr="00094A60" w:rsidRDefault="00094A60" w:rsidP="00724A23">
            <w:pPr>
              <w:jc w:val="center"/>
              <w:rPr>
                <w:rFonts w:ascii="Arial" w:hAnsi="Arial" w:cs="Arial"/>
                <w:sz w:val="16"/>
                <w:szCs w:val="16"/>
              </w:rPr>
            </w:pPr>
            <w:r w:rsidRPr="00094A60">
              <w:rPr>
                <w:rFonts w:ascii="Arial" w:hAnsi="Arial" w:cs="Arial"/>
                <w:sz w:val="16"/>
                <w:szCs w:val="16"/>
              </w:rPr>
              <w:t>1</w:t>
            </w:r>
          </w:p>
        </w:tc>
        <w:tc>
          <w:tcPr>
            <w:tcW w:w="1565" w:type="dxa"/>
            <w:tcBorders>
              <w:top w:val="nil"/>
              <w:left w:val="nil"/>
              <w:right w:val="single" w:sz="4" w:space="0" w:color="009900"/>
            </w:tcBorders>
            <w:shd w:val="clear" w:color="auto" w:fill="FFFFE1"/>
            <w:noWrap/>
            <w:vAlign w:val="center"/>
          </w:tcPr>
          <w:p w:rsidR="00724A23" w:rsidRPr="00094A60" w:rsidRDefault="00094A60" w:rsidP="00724A23">
            <w:pPr>
              <w:jc w:val="center"/>
              <w:rPr>
                <w:rFonts w:ascii="Arial" w:hAnsi="Arial" w:cs="Arial"/>
                <w:sz w:val="16"/>
                <w:szCs w:val="16"/>
              </w:rPr>
            </w:pPr>
            <w:r w:rsidRPr="00094A60">
              <w:rPr>
                <w:rFonts w:ascii="Arial" w:hAnsi="Arial" w:cs="Arial"/>
                <w:sz w:val="16"/>
                <w:szCs w:val="16"/>
              </w:rPr>
              <w:t>68</w:t>
            </w:r>
          </w:p>
        </w:tc>
      </w:tr>
      <w:tr w:rsidR="00724A23" w:rsidRPr="00955C8C">
        <w:trPr>
          <w:trHeight w:val="255"/>
          <w:jc w:val="center"/>
        </w:trPr>
        <w:tc>
          <w:tcPr>
            <w:tcW w:w="1939" w:type="dxa"/>
            <w:tcBorders>
              <w:top w:val="nil"/>
              <w:left w:val="single" w:sz="4" w:space="0" w:color="009900"/>
              <w:bottom w:val="double" w:sz="4" w:space="0" w:color="008000"/>
              <w:right w:val="nil"/>
            </w:tcBorders>
            <w:shd w:val="clear" w:color="auto" w:fill="FFFFE1"/>
            <w:noWrap/>
            <w:vAlign w:val="center"/>
          </w:tcPr>
          <w:p w:rsidR="00724A23" w:rsidRPr="0053173A" w:rsidRDefault="0053173A" w:rsidP="00724A23">
            <w:pPr>
              <w:rPr>
                <w:rFonts w:ascii="Arial" w:hAnsi="Arial" w:cs="Arial"/>
                <w:sz w:val="16"/>
                <w:szCs w:val="16"/>
              </w:rPr>
            </w:pPr>
            <w:r w:rsidRPr="0053173A">
              <w:rPr>
                <w:rFonts w:ascii="Arial" w:hAnsi="Arial" w:cs="Arial"/>
                <w:sz w:val="16"/>
                <w:szCs w:val="16"/>
              </w:rPr>
              <w:t>2020</w:t>
            </w:r>
            <w:r w:rsidR="00724A23" w:rsidRPr="0053173A">
              <w:rPr>
                <w:rFonts w:ascii="Arial" w:hAnsi="Arial" w:cs="Arial"/>
                <w:sz w:val="16"/>
                <w:szCs w:val="16"/>
              </w:rPr>
              <w:t xml:space="preserve"> + </w:t>
            </w:r>
          </w:p>
        </w:tc>
        <w:tc>
          <w:tcPr>
            <w:tcW w:w="1453" w:type="dxa"/>
            <w:tcBorders>
              <w:top w:val="nil"/>
              <w:left w:val="nil"/>
              <w:bottom w:val="double" w:sz="4" w:space="0" w:color="008000"/>
              <w:right w:val="nil"/>
            </w:tcBorders>
            <w:shd w:val="clear" w:color="auto" w:fill="FFFFE1"/>
            <w:noWrap/>
            <w:vAlign w:val="center"/>
          </w:tcPr>
          <w:p w:rsidR="00724A23" w:rsidRPr="00094A60" w:rsidRDefault="00094A60" w:rsidP="00724A23">
            <w:pPr>
              <w:jc w:val="center"/>
              <w:rPr>
                <w:rFonts w:ascii="Arial" w:hAnsi="Arial" w:cs="Arial"/>
                <w:sz w:val="16"/>
                <w:szCs w:val="16"/>
              </w:rPr>
            </w:pPr>
            <w:r w:rsidRPr="00094A60">
              <w:rPr>
                <w:rFonts w:ascii="Arial" w:hAnsi="Arial" w:cs="Arial"/>
                <w:sz w:val="16"/>
                <w:szCs w:val="16"/>
              </w:rPr>
              <w:t>44</w:t>
            </w:r>
          </w:p>
        </w:tc>
        <w:tc>
          <w:tcPr>
            <w:tcW w:w="1565" w:type="dxa"/>
            <w:tcBorders>
              <w:top w:val="nil"/>
              <w:left w:val="nil"/>
              <w:bottom w:val="double" w:sz="4" w:space="0" w:color="008000"/>
              <w:right w:val="single" w:sz="4" w:space="0" w:color="009900"/>
            </w:tcBorders>
            <w:shd w:val="clear" w:color="auto" w:fill="FFFFE1"/>
            <w:noWrap/>
            <w:vAlign w:val="center"/>
          </w:tcPr>
          <w:p w:rsidR="00724A23" w:rsidRPr="00094A60" w:rsidRDefault="00094A60" w:rsidP="00724A23">
            <w:pPr>
              <w:jc w:val="center"/>
              <w:rPr>
                <w:rFonts w:ascii="Arial" w:hAnsi="Arial" w:cs="Arial"/>
                <w:sz w:val="16"/>
                <w:szCs w:val="16"/>
              </w:rPr>
            </w:pPr>
            <w:r w:rsidRPr="00094A60">
              <w:rPr>
                <w:rFonts w:ascii="Arial" w:hAnsi="Arial" w:cs="Arial"/>
                <w:sz w:val="16"/>
                <w:szCs w:val="16"/>
              </w:rPr>
              <w:t>2,845</w:t>
            </w:r>
          </w:p>
        </w:tc>
      </w:tr>
      <w:tr w:rsidR="00724A23" w:rsidRPr="00955C8C">
        <w:trPr>
          <w:trHeight w:val="255"/>
          <w:jc w:val="center"/>
        </w:trPr>
        <w:tc>
          <w:tcPr>
            <w:tcW w:w="1939" w:type="dxa"/>
            <w:tcBorders>
              <w:top w:val="double" w:sz="4" w:space="0" w:color="008000"/>
              <w:left w:val="single" w:sz="4" w:space="0" w:color="009900"/>
              <w:bottom w:val="single" w:sz="4" w:space="0" w:color="009900"/>
              <w:right w:val="nil"/>
            </w:tcBorders>
            <w:shd w:val="clear" w:color="auto" w:fill="FFFFE1"/>
            <w:noWrap/>
            <w:vAlign w:val="center"/>
          </w:tcPr>
          <w:p w:rsidR="00724A23" w:rsidRPr="0053173A" w:rsidRDefault="00724A23" w:rsidP="00724A23">
            <w:pPr>
              <w:rPr>
                <w:rFonts w:ascii="Arial" w:hAnsi="Arial" w:cs="Arial"/>
                <w:b/>
                <w:bCs/>
                <w:sz w:val="16"/>
                <w:szCs w:val="16"/>
              </w:rPr>
            </w:pPr>
            <w:r w:rsidRPr="0053173A">
              <w:rPr>
                <w:rFonts w:ascii="Arial" w:hAnsi="Arial" w:cs="Arial"/>
                <w:b/>
                <w:bCs/>
                <w:sz w:val="16"/>
                <w:szCs w:val="16"/>
              </w:rPr>
              <w:t>Total</w:t>
            </w:r>
          </w:p>
        </w:tc>
        <w:tc>
          <w:tcPr>
            <w:tcW w:w="1453" w:type="dxa"/>
            <w:tcBorders>
              <w:top w:val="double" w:sz="4" w:space="0" w:color="008000"/>
              <w:left w:val="nil"/>
              <w:bottom w:val="single" w:sz="4" w:space="0" w:color="009900"/>
              <w:right w:val="nil"/>
            </w:tcBorders>
            <w:shd w:val="clear" w:color="auto" w:fill="FFFFE1"/>
            <w:noWrap/>
            <w:vAlign w:val="center"/>
          </w:tcPr>
          <w:p w:rsidR="00724A23" w:rsidRPr="00094A60" w:rsidRDefault="00724A23" w:rsidP="00724A23">
            <w:pPr>
              <w:jc w:val="center"/>
              <w:rPr>
                <w:rFonts w:ascii="Arial" w:hAnsi="Arial" w:cs="Arial"/>
                <w:b/>
                <w:bCs/>
                <w:sz w:val="16"/>
                <w:szCs w:val="16"/>
              </w:rPr>
            </w:pPr>
            <w:r w:rsidRPr="00094A60">
              <w:rPr>
                <w:rFonts w:ascii="Arial" w:hAnsi="Arial" w:cs="Arial"/>
                <w:b/>
                <w:bCs/>
                <w:sz w:val="16"/>
                <w:szCs w:val="16"/>
              </w:rPr>
              <w:t>7</w:t>
            </w:r>
            <w:r w:rsidR="00094A60" w:rsidRPr="00094A60">
              <w:rPr>
                <w:rFonts w:ascii="Arial" w:hAnsi="Arial" w:cs="Arial"/>
                <w:b/>
                <w:bCs/>
                <w:sz w:val="16"/>
                <w:szCs w:val="16"/>
              </w:rPr>
              <w:t>3</w:t>
            </w:r>
          </w:p>
        </w:tc>
        <w:tc>
          <w:tcPr>
            <w:tcW w:w="1565" w:type="dxa"/>
            <w:tcBorders>
              <w:top w:val="double" w:sz="4" w:space="0" w:color="008000"/>
              <w:left w:val="nil"/>
              <w:bottom w:val="single" w:sz="4" w:space="0" w:color="009900"/>
              <w:right w:val="single" w:sz="4" w:space="0" w:color="009900"/>
            </w:tcBorders>
            <w:shd w:val="clear" w:color="auto" w:fill="FFFFE1"/>
            <w:noWrap/>
            <w:vAlign w:val="center"/>
          </w:tcPr>
          <w:p w:rsidR="00724A23" w:rsidRPr="00094A60" w:rsidRDefault="00724A23" w:rsidP="00724A23">
            <w:pPr>
              <w:jc w:val="center"/>
              <w:rPr>
                <w:rFonts w:ascii="Arial" w:hAnsi="Arial" w:cs="Arial"/>
                <w:b/>
                <w:bCs/>
                <w:sz w:val="16"/>
                <w:szCs w:val="16"/>
              </w:rPr>
            </w:pPr>
            <w:r w:rsidRPr="00094A60">
              <w:rPr>
                <w:rFonts w:ascii="Arial" w:hAnsi="Arial" w:cs="Arial"/>
                <w:b/>
                <w:bCs/>
                <w:sz w:val="16"/>
                <w:szCs w:val="16"/>
              </w:rPr>
              <w:t>3,</w:t>
            </w:r>
            <w:r w:rsidR="00094A60" w:rsidRPr="00094A60">
              <w:rPr>
                <w:rFonts w:ascii="Arial" w:hAnsi="Arial" w:cs="Arial"/>
                <w:b/>
                <w:bCs/>
                <w:sz w:val="16"/>
                <w:szCs w:val="16"/>
              </w:rPr>
              <w:t>896</w:t>
            </w:r>
          </w:p>
        </w:tc>
      </w:tr>
    </w:tbl>
    <w:p w:rsidR="001E517F" w:rsidRPr="008C0D1A" w:rsidRDefault="001E517F" w:rsidP="00C83F93">
      <w:pPr>
        <w:jc w:val="both"/>
        <w:rPr>
          <w:rFonts w:ascii="CG Omega" w:hAnsi="CG Omega" w:cs="Arial"/>
          <w:snapToGrid w:val="0"/>
          <w:sz w:val="16"/>
          <w:szCs w:val="16"/>
          <w:highlight w:val="yellow"/>
        </w:rPr>
      </w:pPr>
    </w:p>
    <w:p w:rsidR="008C0D1A" w:rsidRPr="008C0D1A" w:rsidRDefault="00BC05B0" w:rsidP="00C83F93">
      <w:pPr>
        <w:jc w:val="both"/>
        <w:rPr>
          <w:rFonts w:ascii="CG Omega" w:hAnsi="CG Omega" w:cs="Arial"/>
          <w:snapToGrid w:val="0"/>
          <w:sz w:val="16"/>
          <w:szCs w:val="16"/>
          <w:highlight w:val="yellow"/>
        </w:rPr>
      </w:pPr>
      <w:r w:rsidRPr="005865E7">
        <w:rPr>
          <w:rFonts w:ascii="CG Omega" w:hAnsi="CG Omega" w:cs="Arial"/>
          <w:snapToGrid w:val="0"/>
        </w:rPr>
        <w:t>The public housing units that are at risk in New Mexico</w:t>
      </w:r>
      <w:r w:rsidR="00DB7AC7" w:rsidRPr="005865E7">
        <w:rPr>
          <w:rFonts w:ascii="CG Omega" w:hAnsi="CG Omega" w:cs="Arial"/>
          <w:snapToGrid w:val="0"/>
        </w:rPr>
        <w:t xml:space="preserve"> are distribut</w:t>
      </w:r>
      <w:r w:rsidR="00724A23" w:rsidRPr="005865E7">
        <w:rPr>
          <w:rFonts w:ascii="CG Omega" w:hAnsi="CG Omega" w:cs="Arial"/>
          <w:snapToGrid w:val="0"/>
        </w:rPr>
        <w:t>ed throughout the state, but are concentrated slightly in urban areas, as shown</w:t>
      </w:r>
      <w:r w:rsidR="00DB7AC7" w:rsidRPr="005865E7">
        <w:rPr>
          <w:rFonts w:ascii="CG Omega" w:hAnsi="CG Omega" w:cs="Arial"/>
          <w:snapToGrid w:val="0"/>
        </w:rPr>
        <w:t xml:space="preserve"> in </w:t>
      </w:r>
      <w:r w:rsidR="00DB7AC7" w:rsidRPr="00974E80">
        <w:rPr>
          <w:rFonts w:ascii="CG Omega" w:hAnsi="CG Omega" w:cs="Arial"/>
          <w:b/>
          <w:snapToGrid w:val="0"/>
        </w:rPr>
        <w:t>Map IV.</w:t>
      </w:r>
      <w:r w:rsidR="00DA6298" w:rsidRPr="00974E80">
        <w:rPr>
          <w:rFonts w:ascii="CG Omega" w:hAnsi="CG Omega" w:cs="Arial"/>
          <w:b/>
          <w:snapToGrid w:val="0"/>
        </w:rPr>
        <w:t>3</w:t>
      </w:r>
      <w:r w:rsidRPr="00EE754C">
        <w:rPr>
          <w:rFonts w:ascii="CG Omega" w:hAnsi="CG Omega" w:cs="Arial"/>
          <w:snapToGrid w:val="0"/>
        </w:rPr>
        <w:t>,</w:t>
      </w:r>
      <w:r w:rsidR="001E517F" w:rsidRPr="00EE754C">
        <w:rPr>
          <w:rFonts w:ascii="CG Omega" w:hAnsi="CG Omega" w:cs="Arial"/>
          <w:snapToGrid w:val="0"/>
        </w:rPr>
        <w:t xml:space="preserve"> </w:t>
      </w:r>
      <w:r w:rsidR="001E517F" w:rsidRPr="005865E7">
        <w:rPr>
          <w:rFonts w:ascii="CG Omega" w:hAnsi="CG Omega" w:cs="Arial"/>
          <w:snapToGrid w:val="0"/>
        </w:rPr>
        <w:t>on the following page</w:t>
      </w:r>
      <w:r w:rsidR="00DB7AC7" w:rsidRPr="005865E7">
        <w:rPr>
          <w:rFonts w:ascii="CG Omega" w:hAnsi="CG Omega" w:cs="Arial"/>
          <w:snapToGrid w:val="0"/>
        </w:rPr>
        <w:t>.</w:t>
      </w:r>
      <w:r w:rsidR="00724A23" w:rsidRPr="005865E7">
        <w:rPr>
          <w:rFonts w:ascii="CG Omega" w:hAnsi="CG Omega" w:cs="Arial"/>
          <w:snapToGrid w:val="0"/>
        </w:rPr>
        <w:t xml:space="preserve">  Many </w:t>
      </w:r>
      <w:r w:rsidR="00724A23" w:rsidRPr="00FC35DD">
        <w:rPr>
          <w:rFonts w:ascii="CG Omega" w:hAnsi="CG Omega" w:cs="Arial"/>
          <w:snapToGrid w:val="0"/>
        </w:rPr>
        <w:t xml:space="preserve">units in these urban </w:t>
      </w:r>
      <w:r w:rsidR="005865E7" w:rsidRPr="00FC35DD">
        <w:rPr>
          <w:rFonts w:ascii="CG Omega" w:hAnsi="CG Omega" w:cs="Arial"/>
          <w:snapToGrid w:val="0"/>
        </w:rPr>
        <w:t xml:space="preserve">areas were set to expire in </w:t>
      </w:r>
      <w:r w:rsidR="005865E7" w:rsidRPr="00EE754C">
        <w:rPr>
          <w:rFonts w:ascii="CG Omega" w:hAnsi="CG Omega" w:cs="Arial"/>
          <w:snapToGrid w:val="0"/>
        </w:rPr>
        <w:t>2015</w:t>
      </w:r>
      <w:r w:rsidR="00724A23" w:rsidRPr="00EE754C">
        <w:rPr>
          <w:rFonts w:ascii="CG Omega" w:hAnsi="CG Omega" w:cs="Arial"/>
          <w:snapToGrid w:val="0"/>
        </w:rPr>
        <w:t>, as shown in red.</w:t>
      </w:r>
    </w:p>
    <w:p w:rsidR="00211755" w:rsidRPr="00EE754C" w:rsidRDefault="001E517F" w:rsidP="00211755">
      <w:pPr>
        <w:jc w:val="center"/>
        <w:rPr>
          <w:rFonts w:ascii="Arial" w:hAnsi="Arial" w:cs="Arial"/>
          <w:b/>
          <w:sz w:val="23"/>
          <w:szCs w:val="23"/>
        </w:rPr>
      </w:pPr>
      <w:r w:rsidRPr="00955C8C">
        <w:rPr>
          <w:rFonts w:ascii="Arial" w:hAnsi="Arial" w:cs="Arial"/>
          <w:b/>
          <w:sz w:val="23"/>
          <w:szCs w:val="23"/>
          <w:highlight w:val="yellow"/>
        </w:rPr>
        <w:br w:type="page"/>
      </w:r>
      <w:r w:rsidR="00211755" w:rsidRPr="00EE754C">
        <w:rPr>
          <w:rFonts w:ascii="Arial" w:hAnsi="Arial" w:cs="Arial"/>
          <w:b/>
          <w:sz w:val="23"/>
          <w:szCs w:val="23"/>
        </w:rPr>
        <w:t>Map IV.3</w:t>
      </w:r>
    </w:p>
    <w:p w:rsidR="00211755" w:rsidRPr="00EE754C" w:rsidRDefault="00211755" w:rsidP="00211755">
      <w:pPr>
        <w:jc w:val="center"/>
        <w:rPr>
          <w:rFonts w:ascii="Arial" w:hAnsi="Arial" w:cs="Arial"/>
          <w:b/>
          <w:sz w:val="20"/>
          <w:szCs w:val="20"/>
        </w:rPr>
      </w:pPr>
      <w:r w:rsidRPr="00EE754C">
        <w:rPr>
          <w:rFonts w:ascii="Arial" w:hAnsi="Arial" w:cs="Arial"/>
          <w:b/>
          <w:sz w:val="20"/>
          <w:szCs w:val="20"/>
        </w:rPr>
        <w:t>Expiring Section 8 Contracts</w:t>
      </w:r>
    </w:p>
    <w:p w:rsidR="00211755" w:rsidRPr="00EE754C" w:rsidRDefault="00211755" w:rsidP="00211755">
      <w:pPr>
        <w:jc w:val="center"/>
        <w:rPr>
          <w:rFonts w:ascii="Arial" w:hAnsi="Arial" w:cs="Arial"/>
          <w:sz w:val="16"/>
          <w:szCs w:val="16"/>
        </w:rPr>
      </w:pPr>
      <w:r w:rsidRPr="00EE754C">
        <w:rPr>
          <w:rFonts w:ascii="Arial" w:hAnsi="Arial" w:cs="Arial"/>
          <w:sz w:val="16"/>
          <w:szCs w:val="16"/>
        </w:rPr>
        <w:t>State of New Mexico</w:t>
      </w:r>
    </w:p>
    <w:p w:rsidR="00211755" w:rsidRPr="00EE754C" w:rsidRDefault="00211755" w:rsidP="00211755">
      <w:pPr>
        <w:jc w:val="center"/>
        <w:rPr>
          <w:rFonts w:ascii="Arial" w:hAnsi="Arial" w:cs="Arial"/>
          <w:sz w:val="16"/>
          <w:szCs w:val="16"/>
        </w:rPr>
      </w:pPr>
      <w:r w:rsidRPr="00EE754C">
        <w:rPr>
          <w:rFonts w:ascii="Arial" w:hAnsi="Arial" w:cs="Arial"/>
          <w:sz w:val="16"/>
          <w:szCs w:val="16"/>
        </w:rPr>
        <w:t>HUD Data</w:t>
      </w:r>
    </w:p>
    <w:p w:rsidR="00211755" w:rsidRPr="00955C8C" w:rsidRDefault="003A7A59" w:rsidP="00211755">
      <w:pPr>
        <w:jc w:val="center"/>
        <w:rPr>
          <w:rFonts w:ascii="CG Omega" w:hAnsi="CG Omega" w:cs="Arial"/>
          <w:snapToGrid w:val="0"/>
          <w:highlight w:val="yellow"/>
        </w:rPr>
      </w:pPr>
      <w:r>
        <w:rPr>
          <w:rFonts w:ascii="CG Omega" w:hAnsi="CG Omega" w:cs="Arial"/>
          <w:noProof/>
        </w:rPr>
        <w:drawing>
          <wp:inline distT="0" distB="0" distL="0" distR="0" wp14:anchorId="58F615F5" wp14:editId="73B54D57">
            <wp:extent cx="5305425" cy="7058025"/>
            <wp:effectExtent l="0" t="0" r="9525" b="9525"/>
            <wp:docPr id="4" name="Picture 4" descr="\\Server1\wes\NMMFA03\Figures\Consolidated Plan\NMMFA03_Expiring Section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1\wes\NMMFA03\Figures\Consolidated Plan\NMMFA03_Expiring Section 8.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4655" t="4213" r="5939" b="3965"/>
                    <a:stretch/>
                  </pic:blipFill>
                  <pic:spPr bwMode="auto">
                    <a:xfrm>
                      <a:off x="0" y="0"/>
                      <a:ext cx="5305425" cy="7058025"/>
                    </a:xfrm>
                    <a:prstGeom prst="rect">
                      <a:avLst/>
                    </a:prstGeom>
                    <a:noFill/>
                    <a:ln>
                      <a:noFill/>
                    </a:ln>
                    <a:extLst>
                      <a:ext uri="{53640926-AAD7-44D8-BBD7-CCE9431645EC}">
                        <a14:shadowObscured xmlns:a14="http://schemas.microsoft.com/office/drawing/2010/main"/>
                      </a:ext>
                    </a:extLst>
                  </pic:spPr>
                </pic:pic>
              </a:graphicData>
            </a:graphic>
          </wp:inline>
        </w:drawing>
      </w:r>
    </w:p>
    <w:p w:rsidR="00C83F93" w:rsidRPr="00955C8C" w:rsidRDefault="001E517F" w:rsidP="00D438C6">
      <w:pPr>
        <w:rPr>
          <w:rFonts w:ascii="CG Omega" w:hAnsi="CG Omega"/>
          <w:b/>
          <w:bCs/>
          <w:smallCaps/>
          <w:highlight w:val="yellow"/>
        </w:rPr>
      </w:pPr>
      <w:r w:rsidRPr="00955C8C">
        <w:rPr>
          <w:rFonts w:ascii="CG Omega" w:hAnsi="CG Omega"/>
          <w:b/>
          <w:bCs/>
          <w:smallCaps/>
          <w:highlight w:val="yellow"/>
        </w:rPr>
        <w:br w:type="page"/>
      </w:r>
    </w:p>
    <w:p w:rsidR="00720216" w:rsidRPr="00724541" w:rsidRDefault="00CF4D65" w:rsidP="00BB666B">
      <w:pPr>
        <w:pStyle w:val="FirstHead"/>
      </w:pPr>
      <w:bookmarkStart w:id="89" w:name="_Toc233426584"/>
      <w:bookmarkStart w:id="90" w:name="_Toc233426769"/>
      <w:bookmarkStart w:id="91" w:name="_Toc399834574"/>
      <w:bookmarkStart w:id="92" w:name="OLE_LINK5"/>
      <w:bookmarkStart w:id="93" w:name="OLE_LINK6"/>
      <w:r w:rsidRPr="00724541">
        <w:t>G</w:t>
      </w:r>
      <w:r w:rsidR="00720216" w:rsidRPr="00724541">
        <w:t xml:space="preserve">. Housing </w:t>
      </w:r>
      <w:r w:rsidR="00DB7AC7" w:rsidRPr="00724541">
        <w:t>Needs</w:t>
      </w:r>
      <w:r w:rsidR="00720216" w:rsidRPr="00724541">
        <w:t xml:space="preserve"> Forecast</w:t>
      </w:r>
      <w:bookmarkEnd w:id="89"/>
      <w:bookmarkEnd w:id="90"/>
      <w:bookmarkEnd w:id="91"/>
    </w:p>
    <w:p w:rsidR="00720216" w:rsidRPr="008C0D1A" w:rsidRDefault="00720216" w:rsidP="00720216">
      <w:pPr>
        <w:pStyle w:val="BodyText"/>
        <w:tabs>
          <w:tab w:val="num" w:pos="360"/>
        </w:tabs>
        <w:rPr>
          <w:rFonts w:ascii="CG Omega" w:hAnsi="CG Omega"/>
          <w:sz w:val="16"/>
          <w:szCs w:val="16"/>
          <w:highlight w:val="yellow"/>
        </w:rPr>
      </w:pPr>
    </w:p>
    <w:p w:rsidR="00D428AA" w:rsidRPr="00CC1C96" w:rsidRDefault="00FC3019" w:rsidP="00D428AA">
      <w:pPr>
        <w:jc w:val="both"/>
        <w:rPr>
          <w:rFonts w:ascii="CG Omega" w:hAnsi="CG Omega"/>
          <w:bCs/>
        </w:rPr>
      </w:pPr>
      <w:r w:rsidRPr="00CC1C96">
        <w:rPr>
          <w:rFonts w:ascii="CG Omega" w:hAnsi="CG Omega"/>
          <w:bCs/>
        </w:rPr>
        <w:t xml:space="preserve">Previously in this document, </w:t>
      </w:r>
      <w:r w:rsidR="007373D5" w:rsidRPr="00CC1C96">
        <w:rPr>
          <w:rFonts w:ascii="CG Omega" w:hAnsi="CG Omega"/>
          <w:bCs/>
        </w:rPr>
        <w:t>a projection of population and households was presented</w:t>
      </w:r>
      <w:r w:rsidR="00394FF6" w:rsidRPr="00CC1C96">
        <w:rPr>
          <w:rFonts w:ascii="CG Omega" w:hAnsi="CG Omega"/>
          <w:bCs/>
        </w:rPr>
        <w:t xml:space="preserve"> </w:t>
      </w:r>
      <w:r w:rsidR="00C55386">
        <w:rPr>
          <w:rFonts w:ascii="CG Omega" w:hAnsi="CG Omega"/>
          <w:bCs/>
        </w:rPr>
        <w:t>with</w:t>
      </w:r>
      <w:r w:rsidR="00394FF6" w:rsidRPr="00CC1C96">
        <w:rPr>
          <w:rFonts w:ascii="CG Omega" w:hAnsi="CG Omega"/>
          <w:bCs/>
        </w:rPr>
        <w:t xml:space="preserve"> the New Mexico BBER</w:t>
      </w:r>
      <w:r w:rsidR="00C55386">
        <w:rPr>
          <w:rFonts w:ascii="CG Omega" w:hAnsi="CG Omega"/>
          <w:bCs/>
        </w:rPr>
        <w:t xml:space="preserve"> forecast</w:t>
      </w:r>
      <w:r w:rsidR="007373D5" w:rsidRPr="00CC1C96">
        <w:rPr>
          <w:rFonts w:ascii="CG Omega" w:hAnsi="CG Omega"/>
          <w:bCs/>
        </w:rPr>
        <w:t>.</w:t>
      </w:r>
      <w:r w:rsidRPr="00CC1C96">
        <w:rPr>
          <w:rFonts w:ascii="CG Omega" w:hAnsi="CG Omega"/>
          <w:bCs/>
        </w:rPr>
        <w:t xml:space="preserve"> </w:t>
      </w:r>
      <w:r w:rsidR="007373D5" w:rsidRPr="00CC1C96">
        <w:rPr>
          <w:rFonts w:ascii="CG Omega" w:hAnsi="CG Omega"/>
          <w:bCs/>
        </w:rPr>
        <w:t>These prediction data were</w:t>
      </w:r>
      <w:r w:rsidRPr="00CC1C96">
        <w:rPr>
          <w:rFonts w:ascii="CG Omega" w:hAnsi="CG Omega"/>
          <w:bCs/>
        </w:rPr>
        <w:t xml:space="preserve"> </w:t>
      </w:r>
      <w:r w:rsidR="007373D5" w:rsidRPr="00CC1C96">
        <w:rPr>
          <w:rFonts w:ascii="CG Omega" w:hAnsi="CG Omega"/>
          <w:bCs/>
        </w:rPr>
        <w:t>used to create a housing needs forecast</w:t>
      </w:r>
      <w:r w:rsidRPr="00CC1C96">
        <w:rPr>
          <w:rFonts w:ascii="CG Omega" w:hAnsi="CG Omega"/>
          <w:bCs/>
        </w:rPr>
        <w:t xml:space="preserve"> of both renters and homeowners.  </w:t>
      </w:r>
    </w:p>
    <w:p w:rsidR="00FC3019" w:rsidRPr="00CC1C96" w:rsidRDefault="00FC3019" w:rsidP="00D428AA">
      <w:pPr>
        <w:jc w:val="both"/>
        <w:rPr>
          <w:rFonts w:ascii="CG Omega" w:hAnsi="CG Omega"/>
          <w:bCs/>
          <w:sz w:val="16"/>
          <w:szCs w:val="16"/>
        </w:rPr>
      </w:pPr>
    </w:p>
    <w:p w:rsidR="00FC3019" w:rsidRPr="00CC1C96" w:rsidRDefault="00A577A3" w:rsidP="00D428AA">
      <w:pPr>
        <w:jc w:val="both"/>
        <w:rPr>
          <w:rFonts w:ascii="CG Omega" w:hAnsi="CG Omega"/>
          <w:bCs/>
        </w:rPr>
      </w:pPr>
      <w:r w:rsidRPr="008503F8">
        <w:rPr>
          <w:rFonts w:ascii="CG Omega" w:hAnsi="CG Omega"/>
          <w:b/>
          <w:bCs/>
        </w:rPr>
        <w:t>Table IV.1</w:t>
      </w:r>
      <w:r w:rsidR="00F92737" w:rsidRPr="008503F8">
        <w:rPr>
          <w:rFonts w:ascii="CG Omega" w:hAnsi="CG Omega"/>
          <w:b/>
          <w:bCs/>
        </w:rPr>
        <w:t>7</w:t>
      </w:r>
      <w:r w:rsidR="00F54687" w:rsidRPr="00CC1C96">
        <w:rPr>
          <w:rFonts w:ascii="CG Omega" w:hAnsi="CG Omega"/>
          <w:bCs/>
        </w:rPr>
        <w:t xml:space="preserve"> presents a project</w:t>
      </w:r>
      <w:r w:rsidR="00394FF6" w:rsidRPr="00CC1C96">
        <w:rPr>
          <w:rFonts w:ascii="CG Omega" w:hAnsi="CG Omega"/>
          <w:bCs/>
        </w:rPr>
        <w:t>ion</w:t>
      </w:r>
      <w:r w:rsidR="00F54687" w:rsidRPr="00CC1C96">
        <w:rPr>
          <w:rFonts w:ascii="CG Omega" w:hAnsi="CG Omega"/>
          <w:bCs/>
        </w:rPr>
        <w:t xml:space="preserve"> of household</w:t>
      </w:r>
      <w:r w:rsidR="00394FF6" w:rsidRPr="00CC1C96">
        <w:rPr>
          <w:rFonts w:ascii="CG Omega" w:hAnsi="CG Omega"/>
          <w:bCs/>
        </w:rPr>
        <w:t>s</w:t>
      </w:r>
      <w:r w:rsidR="00F54687" w:rsidRPr="00CC1C96">
        <w:rPr>
          <w:rFonts w:ascii="CG Omega" w:hAnsi="CG Omega"/>
          <w:bCs/>
        </w:rPr>
        <w:t xml:space="preserve"> by income, tenure and family status for 20</w:t>
      </w:r>
      <w:r w:rsidR="00CC1C96" w:rsidRPr="00CC1C96">
        <w:rPr>
          <w:rFonts w:ascii="CG Omega" w:hAnsi="CG Omega"/>
          <w:bCs/>
        </w:rPr>
        <w:t xml:space="preserve">20, </w:t>
      </w:r>
      <w:r w:rsidR="00C55386">
        <w:rPr>
          <w:rFonts w:ascii="CG Omega" w:hAnsi="CG Omega"/>
          <w:bCs/>
        </w:rPr>
        <w:t>segmented by households with housing problems</w:t>
      </w:r>
      <w:r w:rsidR="00F54687" w:rsidRPr="00CC1C96">
        <w:rPr>
          <w:rFonts w:ascii="CG Omega" w:hAnsi="CG Omega"/>
          <w:bCs/>
        </w:rPr>
        <w:t xml:space="preserve">.  </w:t>
      </w:r>
      <w:r w:rsidR="007373D5" w:rsidRPr="00CC1C96">
        <w:rPr>
          <w:rFonts w:ascii="CG Omega" w:hAnsi="CG Omega"/>
          <w:bCs/>
        </w:rPr>
        <w:t>In 20</w:t>
      </w:r>
      <w:r w:rsidR="00CC1C96" w:rsidRPr="00CC1C96">
        <w:rPr>
          <w:rFonts w:ascii="CG Omega" w:hAnsi="CG Omega"/>
          <w:bCs/>
        </w:rPr>
        <w:t>20</w:t>
      </w:r>
      <w:r w:rsidR="007373D5" w:rsidRPr="00CC1C96">
        <w:rPr>
          <w:rFonts w:ascii="CG Omega" w:hAnsi="CG Omega"/>
          <w:bCs/>
        </w:rPr>
        <w:t>, it i</w:t>
      </w:r>
      <w:r w:rsidR="00B05793" w:rsidRPr="00CC1C96">
        <w:rPr>
          <w:rFonts w:ascii="CG Omega" w:hAnsi="CG Omega"/>
          <w:bCs/>
        </w:rPr>
        <w:t>s expected that the s</w:t>
      </w:r>
      <w:r w:rsidR="007373D5" w:rsidRPr="00CC1C96">
        <w:rPr>
          <w:rFonts w:ascii="CG Omega" w:hAnsi="CG Omega"/>
          <w:bCs/>
        </w:rPr>
        <w:t xml:space="preserve">tate of New Mexico will have </w:t>
      </w:r>
      <w:r w:rsidR="00CC1C96" w:rsidRPr="00CC1C96">
        <w:rPr>
          <w:rFonts w:ascii="CG Omega" w:hAnsi="CG Omega"/>
          <w:bCs/>
        </w:rPr>
        <w:t>903,828 households</w:t>
      </w:r>
      <w:r w:rsidR="00F54687" w:rsidRPr="00CC1C96">
        <w:rPr>
          <w:rFonts w:ascii="CG Omega" w:hAnsi="CG Omega"/>
          <w:bCs/>
        </w:rPr>
        <w:t xml:space="preserve">. </w:t>
      </w:r>
      <w:r w:rsidR="00CC1C96" w:rsidRPr="00CC1C96">
        <w:rPr>
          <w:rFonts w:ascii="CG Omega" w:hAnsi="CG Omega"/>
          <w:bCs/>
        </w:rPr>
        <w:t>Of those households, 291,577 are forecasted to have housing problems</w:t>
      </w:r>
      <w:r w:rsidR="00CC1C96">
        <w:rPr>
          <w:rFonts w:ascii="CG Omega" w:hAnsi="CG Omega"/>
          <w:bCs/>
        </w:rPr>
        <w:t xml:space="preserve"> or unmet need</w:t>
      </w:r>
      <w:r w:rsidR="00CC1C96" w:rsidRPr="00CC1C96">
        <w:rPr>
          <w:rFonts w:ascii="CG Omega" w:hAnsi="CG Omega"/>
          <w:bCs/>
        </w:rPr>
        <w:t>.</w:t>
      </w:r>
      <w:r w:rsidR="00D11D42" w:rsidRPr="00CC1C96">
        <w:rPr>
          <w:rFonts w:ascii="CG Omega" w:hAnsi="CG Omega"/>
          <w:bCs/>
        </w:rPr>
        <w:t xml:space="preserve">  </w:t>
      </w:r>
    </w:p>
    <w:tbl>
      <w:tblPr>
        <w:tblW w:w="8590" w:type="dxa"/>
        <w:jc w:val="center"/>
        <w:tblLook w:val="04A0" w:firstRow="1" w:lastRow="0" w:firstColumn="1" w:lastColumn="0" w:noHBand="0" w:noVBand="1"/>
      </w:tblPr>
      <w:tblGrid>
        <w:gridCol w:w="2110"/>
        <w:gridCol w:w="1080"/>
        <w:gridCol w:w="1080"/>
        <w:gridCol w:w="1080"/>
        <w:gridCol w:w="1080"/>
        <w:gridCol w:w="1080"/>
        <w:gridCol w:w="1080"/>
      </w:tblGrid>
      <w:tr w:rsidR="00784B85" w:rsidRPr="00F1714F" w:rsidTr="00CC1C96">
        <w:trPr>
          <w:trHeight w:val="918"/>
          <w:jc w:val="center"/>
        </w:trPr>
        <w:tc>
          <w:tcPr>
            <w:tcW w:w="8590" w:type="dxa"/>
            <w:gridSpan w:val="7"/>
            <w:tcBorders>
              <w:top w:val="nil"/>
              <w:left w:val="nil"/>
              <w:bottom w:val="single" w:sz="4" w:space="0" w:color="009900"/>
              <w:right w:val="nil"/>
            </w:tcBorders>
            <w:shd w:val="clear" w:color="auto" w:fill="auto"/>
            <w:noWrap/>
            <w:vAlign w:val="center"/>
            <w:hideMark/>
          </w:tcPr>
          <w:p w:rsidR="00CC1C96" w:rsidRPr="008C0D1A" w:rsidRDefault="00CC1C96" w:rsidP="00CC1C96">
            <w:pPr>
              <w:jc w:val="center"/>
              <w:rPr>
                <w:rFonts w:ascii="Arial" w:hAnsi="Arial" w:cs="Arial"/>
                <w:b/>
                <w:bCs/>
                <w:sz w:val="16"/>
                <w:szCs w:val="16"/>
              </w:rPr>
            </w:pPr>
          </w:p>
          <w:p w:rsidR="00784B85" w:rsidRPr="00F1714F" w:rsidRDefault="00784B85" w:rsidP="00CC1C96">
            <w:pPr>
              <w:jc w:val="center"/>
              <w:rPr>
                <w:rFonts w:ascii="Arial" w:hAnsi="Arial" w:cs="Arial"/>
                <w:b/>
                <w:bCs/>
              </w:rPr>
            </w:pPr>
            <w:r w:rsidRPr="00F1714F">
              <w:rPr>
                <w:rFonts w:ascii="Arial" w:hAnsi="Arial" w:cs="Arial"/>
                <w:b/>
                <w:bCs/>
              </w:rPr>
              <w:t>Table</w:t>
            </w:r>
            <w:r w:rsidR="00CC1C96">
              <w:rPr>
                <w:rFonts w:ascii="Arial" w:hAnsi="Arial" w:cs="Arial"/>
                <w:b/>
                <w:bCs/>
              </w:rPr>
              <w:t xml:space="preserve"> IV.1</w:t>
            </w:r>
            <w:r w:rsidR="00F92737">
              <w:rPr>
                <w:rFonts w:ascii="Arial" w:hAnsi="Arial" w:cs="Arial"/>
                <w:b/>
                <w:bCs/>
              </w:rPr>
              <w:t>7</w:t>
            </w:r>
          </w:p>
          <w:p w:rsidR="00784B85" w:rsidRPr="00F1714F" w:rsidRDefault="00784B85" w:rsidP="00CC1C96">
            <w:pPr>
              <w:jc w:val="center"/>
              <w:rPr>
                <w:rFonts w:ascii="Arial" w:hAnsi="Arial" w:cs="Arial"/>
                <w:b/>
                <w:bCs/>
                <w:sz w:val="20"/>
                <w:szCs w:val="20"/>
              </w:rPr>
            </w:pPr>
            <w:r w:rsidRPr="00F1714F">
              <w:rPr>
                <w:rFonts w:ascii="Arial" w:hAnsi="Arial" w:cs="Arial"/>
                <w:b/>
                <w:bCs/>
                <w:sz w:val="20"/>
                <w:szCs w:val="20"/>
              </w:rPr>
              <w:t>2020 Households by Income and Family Status</w:t>
            </w:r>
          </w:p>
          <w:p w:rsidR="00784B85" w:rsidRPr="00F1714F" w:rsidRDefault="00784B85" w:rsidP="00CC1C96">
            <w:pPr>
              <w:jc w:val="center"/>
              <w:rPr>
                <w:rFonts w:ascii="Arial" w:hAnsi="Arial" w:cs="Arial"/>
                <w:sz w:val="16"/>
                <w:szCs w:val="16"/>
              </w:rPr>
            </w:pPr>
            <w:r w:rsidRPr="00F1714F">
              <w:rPr>
                <w:rFonts w:ascii="Arial" w:hAnsi="Arial" w:cs="Arial"/>
                <w:sz w:val="16"/>
                <w:szCs w:val="16"/>
              </w:rPr>
              <w:t>State of New Mexico</w:t>
            </w:r>
          </w:p>
          <w:p w:rsidR="00784B85" w:rsidRPr="00F1714F" w:rsidRDefault="00784B85" w:rsidP="00CC1C96">
            <w:pPr>
              <w:jc w:val="center"/>
              <w:rPr>
                <w:rFonts w:ascii="Arial" w:hAnsi="Arial" w:cs="Arial"/>
                <w:b/>
                <w:bCs/>
              </w:rPr>
            </w:pPr>
            <w:r w:rsidRPr="00F1714F">
              <w:rPr>
                <w:rFonts w:ascii="Arial" w:hAnsi="Arial" w:cs="Arial"/>
                <w:sz w:val="16"/>
                <w:szCs w:val="16"/>
              </w:rPr>
              <w:t>2006–2010 HUD CHAS and BBER Data</w:t>
            </w:r>
          </w:p>
        </w:tc>
      </w:tr>
      <w:tr w:rsidR="00784B85" w:rsidRPr="00F1714F" w:rsidTr="00CC1C96">
        <w:trPr>
          <w:trHeight w:val="450"/>
          <w:jc w:val="center"/>
        </w:trPr>
        <w:tc>
          <w:tcPr>
            <w:tcW w:w="2110" w:type="dxa"/>
            <w:tcBorders>
              <w:top w:val="single" w:sz="4" w:space="0" w:color="009900"/>
              <w:left w:val="single" w:sz="4" w:space="0" w:color="009900"/>
              <w:bottom w:val="single" w:sz="4" w:space="0" w:color="009900"/>
              <w:right w:val="nil"/>
            </w:tcBorders>
            <w:shd w:val="clear" w:color="000000" w:fill="FFFFE1"/>
            <w:vAlign w:val="center"/>
            <w:hideMark/>
          </w:tcPr>
          <w:p w:rsidR="00784B85" w:rsidRPr="00F1714F" w:rsidRDefault="00784B85" w:rsidP="00CC1C96">
            <w:pPr>
              <w:rPr>
                <w:rFonts w:ascii="Arial" w:hAnsi="Arial" w:cs="Arial"/>
                <w:b/>
                <w:bCs/>
                <w:sz w:val="16"/>
                <w:szCs w:val="16"/>
              </w:rPr>
            </w:pPr>
            <w:r w:rsidRPr="00F1714F">
              <w:rPr>
                <w:rFonts w:ascii="Arial" w:hAnsi="Arial" w:cs="Arial"/>
                <w:b/>
                <w:bCs/>
                <w:sz w:val="16"/>
                <w:szCs w:val="16"/>
              </w:rPr>
              <w:t>Income</w:t>
            </w:r>
          </w:p>
        </w:tc>
        <w:tc>
          <w:tcPr>
            <w:tcW w:w="1080" w:type="dxa"/>
            <w:tcBorders>
              <w:top w:val="single" w:sz="4" w:space="0" w:color="009900"/>
              <w:left w:val="nil"/>
              <w:bottom w:val="single" w:sz="4" w:space="0" w:color="009900"/>
              <w:right w:val="nil"/>
            </w:tcBorders>
            <w:shd w:val="clear" w:color="FFFFFF" w:fill="FFFFE1"/>
            <w:vAlign w:val="center"/>
            <w:hideMark/>
          </w:tcPr>
          <w:p w:rsidR="00784B85" w:rsidRPr="00F1714F" w:rsidRDefault="00784B85" w:rsidP="00CC1C96">
            <w:pPr>
              <w:jc w:val="center"/>
              <w:rPr>
                <w:rFonts w:ascii="Arial" w:hAnsi="Arial" w:cs="Arial"/>
                <w:b/>
                <w:bCs/>
                <w:color w:val="000000"/>
                <w:sz w:val="16"/>
                <w:szCs w:val="16"/>
              </w:rPr>
            </w:pPr>
            <w:r w:rsidRPr="00F1714F">
              <w:rPr>
                <w:rFonts w:ascii="Arial" w:hAnsi="Arial" w:cs="Arial"/>
                <w:b/>
                <w:bCs/>
                <w:color w:val="000000"/>
                <w:sz w:val="16"/>
                <w:szCs w:val="16"/>
              </w:rPr>
              <w:t>Elderly Family</w:t>
            </w:r>
          </w:p>
        </w:tc>
        <w:tc>
          <w:tcPr>
            <w:tcW w:w="1080" w:type="dxa"/>
            <w:tcBorders>
              <w:top w:val="single" w:sz="4" w:space="0" w:color="009900"/>
              <w:left w:val="nil"/>
              <w:bottom w:val="single" w:sz="4" w:space="0" w:color="009900"/>
              <w:right w:val="nil"/>
            </w:tcBorders>
            <w:shd w:val="clear" w:color="FFFFFF" w:fill="FFFFE1"/>
            <w:vAlign w:val="center"/>
            <w:hideMark/>
          </w:tcPr>
          <w:p w:rsidR="00784B85" w:rsidRPr="00F1714F" w:rsidRDefault="00784B85" w:rsidP="00CC1C96">
            <w:pPr>
              <w:jc w:val="center"/>
              <w:rPr>
                <w:rFonts w:ascii="Arial" w:hAnsi="Arial" w:cs="Arial"/>
                <w:b/>
                <w:bCs/>
                <w:color w:val="000000"/>
                <w:sz w:val="16"/>
                <w:szCs w:val="16"/>
              </w:rPr>
            </w:pPr>
            <w:r w:rsidRPr="00F1714F">
              <w:rPr>
                <w:rFonts w:ascii="Arial" w:hAnsi="Arial" w:cs="Arial"/>
                <w:b/>
                <w:bCs/>
                <w:color w:val="000000"/>
                <w:sz w:val="16"/>
                <w:szCs w:val="16"/>
              </w:rPr>
              <w:t>Small Family</w:t>
            </w:r>
          </w:p>
        </w:tc>
        <w:tc>
          <w:tcPr>
            <w:tcW w:w="1080" w:type="dxa"/>
            <w:tcBorders>
              <w:top w:val="single" w:sz="4" w:space="0" w:color="009900"/>
              <w:left w:val="nil"/>
              <w:bottom w:val="single" w:sz="4" w:space="0" w:color="009900"/>
              <w:right w:val="nil"/>
            </w:tcBorders>
            <w:shd w:val="clear" w:color="FFFFFF" w:fill="FFFFE1"/>
            <w:vAlign w:val="center"/>
            <w:hideMark/>
          </w:tcPr>
          <w:p w:rsidR="00784B85" w:rsidRPr="00F1714F" w:rsidRDefault="00784B85" w:rsidP="00CC1C96">
            <w:pPr>
              <w:jc w:val="center"/>
              <w:rPr>
                <w:rFonts w:ascii="Arial" w:hAnsi="Arial" w:cs="Arial"/>
                <w:b/>
                <w:bCs/>
                <w:color w:val="000000"/>
                <w:sz w:val="16"/>
                <w:szCs w:val="16"/>
              </w:rPr>
            </w:pPr>
            <w:r w:rsidRPr="00F1714F">
              <w:rPr>
                <w:rFonts w:ascii="Arial" w:hAnsi="Arial" w:cs="Arial"/>
                <w:b/>
                <w:bCs/>
                <w:color w:val="000000"/>
                <w:sz w:val="16"/>
                <w:szCs w:val="16"/>
              </w:rPr>
              <w:t>Large Family</w:t>
            </w:r>
          </w:p>
        </w:tc>
        <w:tc>
          <w:tcPr>
            <w:tcW w:w="1080" w:type="dxa"/>
            <w:tcBorders>
              <w:top w:val="single" w:sz="4" w:space="0" w:color="009900"/>
              <w:left w:val="nil"/>
              <w:bottom w:val="single" w:sz="4" w:space="0" w:color="009900"/>
              <w:right w:val="nil"/>
            </w:tcBorders>
            <w:shd w:val="clear" w:color="FFFFFF" w:fill="FFFFE1"/>
            <w:vAlign w:val="center"/>
            <w:hideMark/>
          </w:tcPr>
          <w:p w:rsidR="00784B85" w:rsidRPr="00F1714F" w:rsidRDefault="00784B85" w:rsidP="00CC1C96">
            <w:pPr>
              <w:jc w:val="center"/>
              <w:rPr>
                <w:rFonts w:ascii="Arial" w:hAnsi="Arial" w:cs="Arial"/>
                <w:b/>
                <w:bCs/>
                <w:color w:val="000000"/>
                <w:sz w:val="16"/>
                <w:szCs w:val="16"/>
              </w:rPr>
            </w:pPr>
            <w:r w:rsidRPr="00F1714F">
              <w:rPr>
                <w:rFonts w:ascii="Arial" w:hAnsi="Arial" w:cs="Arial"/>
                <w:b/>
                <w:bCs/>
                <w:color w:val="000000"/>
                <w:sz w:val="16"/>
                <w:szCs w:val="16"/>
              </w:rPr>
              <w:t>Elderly Non-Family</w:t>
            </w:r>
          </w:p>
        </w:tc>
        <w:tc>
          <w:tcPr>
            <w:tcW w:w="1080" w:type="dxa"/>
            <w:tcBorders>
              <w:top w:val="single" w:sz="4" w:space="0" w:color="009900"/>
              <w:left w:val="nil"/>
              <w:bottom w:val="single" w:sz="4" w:space="0" w:color="009900"/>
              <w:right w:val="nil"/>
            </w:tcBorders>
            <w:shd w:val="clear" w:color="FFFFFF" w:fill="FFFFE1"/>
            <w:vAlign w:val="center"/>
            <w:hideMark/>
          </w:tcPr>
          <w:p w:rsidR="00784B85" w:rsidRPr="00F1714F" w:rsidRDefault="00784B85" w:rsidP="00CC1C96">
            <w:pPr>
              <w:jc w:val="center"/>
              <w:rPr>
                <w:rFonts w:ascii="Arial" w:hAnsi="Arial" w:cs="Arial"/>
                <w:b/>
                <w:bCs/>
                <w:color w:val="000000"/>
                <w:sz w:val="16"/>
                <w:szCs w:val="16"/>
              </w:rPr>
            </w:pPr>
            <w:r w:rsidRPr="00F1714F">
              <w:rPr>
                <w:rFonts w:ascii="Arial" w:hAnsi="Arial" w:cs="Arial"/>
                <w:b/>
                <w:bCs/>
                <w:color w:val="000000"/>
                <w:sz w:val="16"/>
                <w:szCs w:val="16"/>
              </w:rPr>
              <w:t>Other Household</w:t>
            </w:r>
          </w:p>
        </w:tc>
        <w:tc>
          <w:tcPr>
            <w:tcW w:w="1080" w:type="dxa"/>
            <w:tcBorders>
              <w:top w:val="single" w:sz="4" w:space="0" w:color="009900"/>
              <w:left w:val="nil"/>
              <w:bottom w:val="single" w:sz="4" w:space="0" w:color="009900"/>
              <w:right w:val="single" w:sz="4" w:space="0" w:color="009900"/>
            </w:tcBorders>
            <w:shd w:val="clear" w:color="FFFFFF" w:fill="FFFFE1"/>
            <w:vAlign w:val="center"/>
            <w:hideMark/>
          </w:tcPr>
          <w:p w:rsidR="00784B85" w:rsidRPr="00F1714F" w:rsidRDefault="00784B85" w:rsidP="00CC1C96">
            <w:pPr>
              <w:jc w:val="center"/>
              <w:rPr>
                <w:rFonts w:ascii="Arial" w:hAnsi="Arial" w:cs="Arial"/>
                <w:b/>
                <w:bCs/>
                <w:color w:val="000000"/>
                <w:sz w:val="16"/>
                <w:szCs w:val="16"/>
              </w:rPr>
            </w:pPr>
            <w:r w:rsidRPr="00F1714F">
              <w:rPr>
                <w:rFonts w:ascii="Arial" w:hAnsi="Arial" w:cs="Arial"/>
                <w:b/>
                <w:bCs/>
                <w:color w:val="000000"/>
                <w:sz w:val="16"/>
                <w:szCs w:val="16"/>
              </w:rPr>
              <w:t>Total</w:t>
            </w:r>
          </w:p>
        </w:tc>
      </w:tr>
      <w:tr w:rsidR="00784B85" w:rsidRPr="00F1714F" w:rsidTr="00CC1C96">
        <w:trPr>
          <w:trHeight w:val="255"/>
          <w:jc w:val="center"/>
        </w:trPr>
        <w:tc>
          <w:tcPr>
            <w:tcW w:w="8590" w:type="dxa"/>
            <w:gridSpan w:val="7"/>
            <w:tcBorders>
              <w:top w:val="single" w:sz="4" w:space="0" w:color="009900"/>
              <w:left w:val="single" w:sz="4" w:space="0" w:color="009900"/>
              <w:bottom w:val="single" w:sz="4" w:space="0" w:color="009900"/>
              <w:right w:val="single" w:sz="4" w:space="0" w:color="009900"/>
            </w:tcBorders>
            <w:shd w:val="clear" w:color="000000" w:fill="FFFFE1"/>
            <w:noWrap/>
            <w:vAlign w:val="center"/>
            <w:hideMark/>
          </w:tcPr>
          <w:p w:rsidR="00784B85" w:rsidRPr="00F1714F" w:rsidRDefault="00784B85" w:rsidP="00CC1C96">
            <w:pPr>
              <w:jc w:val="center"/>
              <w:rPr>
                <w:rFonts w:ascii="Arial" w:hAnsi="Arial" w:cs="Arial"/>
                <w:b/>
                <w:bCs/>
                <w:sz w:val="16"/>
                <w:szCs w:val="16"/>
              </w:rPr>
            </w:pPr>
            <w:r w:rsidRPr="00F1714F">
              <w:rPr>
                <w:rFonts w:ascii="Arial" w:hAnsi="Arial" w:cs="Arial"/>
                <w:b/>
                <w:bCs/>
                <w:sz w:val="16"/>
                <w:szCs w:val="16"/>
              </w:rPr>
              <w:t>Housing Problems</w:t>
            </w:r>
          </w:p>
        </w:tc>
      </w:tr>
      <w:tr w:rsidR="00784B85" w:rsidRPr="00F1714F" w:rsidTr="00CC1C96">
        <w:trPr>
          <w:trHeight w:val="255"/>
          <w:jc w:val="center"/>
        </w:trPr>
        <w:tc>
          <w:tcPr>
            <w:tcW w:w="2110" w:type="dxa"/>
            <w:tcBorders>
              <w:top w:val="nil"/>
              <w:left w:val="single" w:sz="4" w:space="0" w:color="009900"/>
              <w:bottom w:val="nil"/>
              <w:right w:val="nil"/>
            </w:tcBorders>
            <w:shd w:val="clear" w:color="FFFFFF" w:fill="FFFFE1"/>
            <w:vAlign w:val="center"/>
            <w:hideMark/>
          </w:tcPr>
          <w:p w:rsidR="00784B85" w:rsidRPr="00F1714F" w:rsidRDefault="00784B85" w:rsidP="00CC1C96">
            <w:pPr>
              <w:rPr>
                <w:rFonts w:ascii="Arial" w:hAnsi="Arial" w:cs="Arial"/>
                <w:color w:val="000000"/>
                <w:sz w:val="16"/>
                <w:szCs w:val="16"/>
              </w:rPr>
            </w:pPr>
            <w:r w:rsidRPr="00F1714F">
              <w:rPr>
                <w:rFonts w:ascii="Arial" w:hAnsi="Arial" w:cs="Arial"/>
                <w:color w:val="000000"/>
                <w:sz w:val="16"/>
                <w:szCs w:val="16"/>
              </w:rPr>
              <w:t>30% HAMFI or less</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4,154</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27,793</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7,077</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15,875</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27,518</w:t>
            </w:r>
          </w:p>
        </w:tc>
        <w:tc>
          <w:tcPr>
            <w:tcW w:w="1080" w:type="dxa"/>
            <w:tcBorders>
              <w:top w:val="nil"/>
              <w:left w:val="nil"/>
              <w:bottom w:val="nil"/>
              <w:right w:val="single" w:sz="4" w:space="0" w:color="009900"/>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82,417</w:t>
            </w:r>
          </w:p>
        </w:tc>
      </w:tr>
      <w:tr w:rsidR="00784B85" w:rsidRPr="00F1714F" w:rsidTr="00CC1C96">
        <w:trPr>
          <w:trHeight w:val="255"/>
          <w:jc w:val="center"/>
        </w:trPr>
        <w:tc>
          <w:tcPr>
            <w:tcW w:w="2110" w:type="dxa"/>
            <w:tcBorders>
              <w:top w:val="nil"/>
              <w:left w:val="single" w:sz="4" w:space="0" w:color="009900"/>
              <w:bottom w:val="nil"/>
              <w:right w:val="nil"/>
            </w:tcBorders>
            <w:shd w:val="clear" w:color="FFFFFF" w:fill="FFFFE1"/>
            <w:vAlign w:val="center"/>
            <w:hideMark/>
          </w:tcPr>
          <w:p w:rsidR="00784B85" w:rsidRPr="00F1714F" w:rsidRDefault="00784B85" w:rsidP="00CC1C96">
            <w:pPr>
              <w:rPr>
                <w:rFonts w:ascii="Arial" w:hAnsi="Arial" w:cs="Arial"/>
                <w:color w:val="000000"/>
                <w:sz w:val="16"/>
                <w:szCs w:val="16"/>
              </w:rPr>
            </w:pPr>
            <w:r w:rsidRPr="00F1714F">
              <w:rPr>
                <w:rFonts w:ascii="Arial" w:hAnsi="Arial" w:cs="Arial"/>
                <w:color w:val="000000"/>
                <w:sz w:val="16"/>
                <w:szCs w:val="16"/>
              </w:rPr>
              <w:t>30.1-50% HAMFI</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5,116</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26,072</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7,083</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10,902</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19,288</w:t>
            </w:r>
          </w:p>
        </w:tc>
        <w:tc>
          <w:tcPr>
            <w:tcW w:w="1080" w:type="dxa"/>
            <w:tcBorders>
              <w:top w:val="nil"/>
              <w:left w:val="nil"/>
              <w:bottom w:val="nil"/>
              <w:right w:val="single" w:sz="4" w:space="0" w:color="009900"/>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68,461</w:t>
            </w:r>
          </w:p>
        </w:tc>
      </w:tr>
      <w:tr w:rsidR="00784B85" w:rsidRPr="00F1714F" w:rsidTr="00CC1C96">
        <w:trPr>
          <w:trHeight w:val="255"/>
          <w:jc w:val="center"/>
        </w:trPr>
        <w:tc>
          <w:tcPr>
            <w:tcW w:w="2110" w:type="dxa"/>
            <w:tcBorders>
              <w:top w:val="nil"/>
              <w:left w:val="single" w:sz="4" w:space="0" w:color="009900"/>
              <w:bottom w:val="nil"/>
              <w:right w:val="nil"/>
            </w:tcBorders>
            <w:shd w:val="clear" w:color="FFFFFF" w:fill="FFFFE1"/>
            <w:vAlign w:val="center"/>
            <w:hideMark/>
          </w:tcPr>
          <w:p w:rsidR="00784B85" w:rsidRPr="00F1714F" w:rsidRDefault="00784B85" w:rsidP="00CC1C96">
            <w:pPr>
              <w:rPr>
                <w:rFonts w:ascii="Arial" w:hAnsi="Arial" w:cs="Arial"/>
                <w:color w:val="000000"/>
                <w:sz w:val="16"/>
                <w:szCs w:val="16"/>
              </w:rPr>
            </w:pPr>
            <w:r w:rsidRPr="00F1714F">
              <w:rPr>
                <w:rFonts w:ascii="Arial" w:hAnsi="Arial" w:cs="Arial"/>
                <w:color w:val="000000"/>
                <w:sz w:val="16"/>
                <w:szCs w:val="16"/>
              </w:rPr>
              <w:t>50.1-80% HAMFI</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5,840</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26,777</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9,115</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7,914</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18,367</w:t>
            </w:r>
          </w:p>
        </w:tc>
        <w:tc>
          <w:tcPr>
            <w:tcW w:w="1080" w:type="dxa"/>
            <w:tcBorders>
              <w:top w:val="nil"/>
              <w:left w:val="nil"/>
              <w:bottom w:val="nil"/>
              <w:right w:val="single" w:sz="4" w:space="0" w:color="009900"/>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68,013</w:t>
            </w:r>
          </w:p>
        </w:tc>
      </w:tr>
      <w:tr w:rsidR="00784B85" w:rsidRPr="00F1714F" w:rsidTr="00CC1C96">
        <w:trPr>
          <w:trHeight w:val="255"/>
          <w:jc w:val="center"/>
        </w:trPr>
        <w:tc>
          <w:tcPr>
            <w:tcW w:w="2110" w:type="dxa"/>
            <w:tcBorders>
              <w:top w:val="nil"/>
              <w:left w:val="single" w:sz="4" w:space="0" w:color="009900"/>
              <w:bottom w:val="nil"/>
              <w:right w:val="nil"/>
            </w:tcBorders>
            <w:shd w:val="clear" w:color="FFFFFF" w:fill="FFFFE1"/>
            <w:vAlign w:val="center"/>
            <w:hideMark/>
          </w:tcPr>
          <w:p w:rsidR="00784B85" w:rsidRPr="00F1714F" w:rsidRDefault="00784B85" w:rsidP="00CC1C96">
            <w:pPr>
              <w:rPr>
                <w:rFonts w:ascii="Arial" w:hAnsi="Arial" w:cs="Arial"/>
                <w:color w:val="000000"/>
                <w:sz w:val="16"/>
                <w:szCs w:val="16"/>
              </w:rPr>
            </w:pPr>
            <w:r w:rsidRPr="00F1714F">
              <w:rPr>
                <w:rFonts w:ascii="Arial" w:hAnsi="Arial" w:cs="Arial"/>
                <w:color w:val="000000"/>
                <w:sz w:val="16"/>
                <w:szCs w:val="16"/>
              </w:rPr>
              <w:t>80.1% HAMFI or more</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7,549</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30,052</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12,450</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5,642</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16,993</w:t>
            </w:r>
          </w:p>
        </w:tc>
        <w:tc>
          <w:tcPr>
            <w:tcW w:w="1080" w:type="dxa"/>
            <w:tcBorders>
              <w:top w:val="nil"/>
              <w:left w:val="nil"/>
              <w:bottom w:val="nil"/>
              <w:right w:val="single" w:sz="4" w:space="0" w:color="009900"/>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72,687</w:t>
            </w:r>
          </w:p>
        </w:tc>
      </w:tr>
      <w:tr w:rsidR="00784B85" w:rsidRPr="00F1714F" w:rsidTr="00CC1C96">
        <w:trPr>
          <w:trHeight w:val="255"/>
          <w:jc w:val="center"/>
        </w:trPr>
        <w:tc>
          <w:tcPr>
            <w:tcW w:w="2110" w:type="dxa"/>
            <w:tcBorders>
              <w:top w:val="dotted" w:sz="4" w:space="0" w:color="009900"/>
              <w:left w:val="single" w:sz="4" w:space="0" w:color="009900"/>
              <w:bottom w:val="single" w:sz="4" w:space="0" w:color="009900"/>
              <w:right w:val="nil"/>
            </w:tcBorders>
            <w:shd w:val="clear" w:color="000000" w:fill="FFFFE1"/>
            <w:noWrap/>
            <w:vAlign w:val="center"/>
            <w:hideMark/>
          </w:tcPr>
          <w:p w:rsidR="00784B85" w:rsidRPr="00F1714F" w:rsidRDefault="00784B85" w:rsidP="00CC1C96">
            <w:pPr>
              <w:rPr>
                <w:rFonts w:ascii="Arial" w:hAnsi="Arial" w:cs="Arial"/>
                <w:sz w:val="16"/>
                <w:szCs w:val="16"/>
              </w:rPr>
            </w:pPr>
            <w:r w:rsidRPr="00F1714F">
              <w:rPr>
                <w:rFonts w:ascii="Arial" w:hAnsi="Arial" w:cs="Arial"/>
                <w:sz w:val="16"/>
                <w:szCs w:val="16"/>
              </w:rPr>
              <w:t>Total</w:t>
            </w:r>
          </w:p>
        </w:tc>
        <w:tc>
          <w:tcPr>
            <w:tcW w:w="1080" w:type="dxa"/>
            <w:tcBorders>
              <w:top w:val="dotted" w:sz="4" w:space="0" w:color="009900"/>
              <w:left w:val="nil"/>
              <w:bottom w:val="single" w:sz="4" w:space="0" w:color="009900"/>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22,659</w:t>
            </w:r>
          </w:p>
        </w:tc>
        <w:tc>
          <w:tcPr>
            <w:tcW w:w="1080" w:type="dxa"/>
            <w:tcBorders>
              <w:top w:val="dotted" w:sz="4" w:space="0" w:color="009900"/>
              <w:left w:val="nil"/>
              <w:bottom w:val="single" w:sz="4" w:space="0" w:color="009900"/>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110,694</w:t>
            </w:r>
          </w:p>
        </w:tc>
        <w:tc>
          <w:tcPr>
            <w:tcW w:w="1080" w:type="dxa"/>
            <w:tcBorders>
              <w:top w:val="dotted" w:sz="4" w:space="0" w:color="009900"/>
              <w:left w:val="nil"/>
              <w:bottom w:val="single" w:sz="4" w:space="0" w:color="009900"/>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35,725</w:t>
            </w:r>
          </w:p>
        </w:tc>
        <w:tc>
          <w:tcPr>
            <w:tcW w:w="1080" w:type="dxa"/>
            <w:tcBorders>
              <w:top w:val="dotted" w:sz="4" w:space="0" w:color="009900"/>
              <w:left w:val="nil"/>
              <w:bottom w:val="single" w:sz="4" w:space="0" w:color="009900"/>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40,333</w:t>
            </w:r>
          </w:p>
        </w:tc>
        <w:tc>
          <w:tcPr>
            <w:tcW w:w="1080" w:type="dxa"/>
            <w:tcBorders>
              <w:top w:val="dotted" w:sz="4" w:space="0" w:color="009900"/>
              <w:left w:val="nil"/>
              <w:bottom w:val="single" w:sz="4" w:space="0" w:color="009900"/>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82,166</w:t>
            </w:r>
          </w:p>
        </w:tc>
        <w:tc>
          <w:tcPr>
            <w:tcW w:w="1080" w:type="dxa"/>
            <w:tcBorders>
              <w:top w:val="dotted" w:sz="4" w:space="0" w:color="009900"/>
              <w:left w:val="nil"/>
              <w:bottom w:val="single" w:sz="4" w:space="0" w:color="009900"/>
              <w:right w:val="single" w:sz="4" w:space="0" w:color="009900"/>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291,577</w:t>
            </w:r>
          </w:p>
        </w:tc>
      </w:tr>
      <w:tr w:rsidR="00784B85" w:rsidRPr="00F1714F" w:rsidTr="00CC1C96">
        <w:trPr>
          <w:trHeight w:val="255"/>
          <w:jc w:val="center"/>
        </w:trPr>
        <w:tc>
          <w:tcPr>
            <w:tcW w:w="8590" w:type="dxa"/>
            <w:gridSpan w:val="7"/>
            <w:tcBorders>
              <w:top w:val="single" w:sz="4" w:space="0" w:color="009900"/>
              <w:left w:val="single" w:sz="4" w:space="0" w:color="009900"/>
              <w:bottom w:val="single" w:sz="4" w:space="0" w:color="009900"/>
              <w:right w:val="single" w:sz="4" w:space="0" w:color="009900"/>
            </w:tcBorders>
            <w:shd w:val="clear" w:color="000000" w:fill="FFFFE1"/>
            <w:noWrap/>
            <w:vAlign w:val="center"/>
            <w:hideMark/>
          </w:tcPr>
          <w:p w:rsidR="00784B85" w:rsidRPr="00F1714F" w:rsidRDefault="00784B85" w:rsidP="00CC1C96">
            <w:pPr>
              <w:jc w:val="center"/>
              <w:rPr>
                <w:rFonts w:ascii="Arial" w:hAnsi="Arial" w:cs="Arial"/>
                <w:b/>
                <w:bCs/>
                <w:sz w:val="16"/>
                <w:szCs w:val="16"/>
              </w:rPr>
            </w:pPr>
            <w:r w:rsidRPr="00F1714F">
              <w:rPr>
                <w:rFonts w:ascii="Arial" w:hAnsi="Arial" w:cs="Arial"/>
                <w:b/>
                <w:bCs/>
                <w:sz w:val="16"/>
                <w:szCs w:val="16"/>
              </w:rPr>
              <w:t>No Housing Problems</w:t>
            </w:r>
          </w:p>
        </w:tc>
      </w:tr>
      <w:tr w:rsidR="00784B85" w:rsidRPr="00F1714F" w:rsidTr="00CC1C96">
        <w:trPr>
          <w:trHeight w:val="255"/>
          <w:jc w:val="center"/>
        </w:trPr>
        <w:tc>
          <w:tcPr>
            <w:tcW w:w="2110" w:type="dxa"/>
            <w:tcBorders>
              <w:top w:val="nil"/>
              <w:left w:val="single" w:sz="4" w:space="0" w:color="009900"/>
              <w:bottom w:val="nil"/>
              <w:right w:val="nil"/>
            </w:tcBorders>
            <w:shd w:val="clear" w:color="FFFFFF" w:fill="FFFFE1"/>
            <w:vAlign w:val="center"/>
            <w:hideMark/>
          </w:tcPr>
          <w:p w:rsidR="00784B85" w:rsidRPr="00F1714F" w:rsidRDefault="00784B85" w:rsidP="00CC1C96">
            <w:pPr>
              <w:rPr>
                <w:rFonts w:ascii="Arial" w:hAnsi="Arial" w:cs="Arial"/>
                <w:color w:val="000000"/>
                <w:sz w:val="16"/>
                <w:szCs w:val="16"/>
              </w:rPr>
            </w:pPr>
            <w:r w:rsidRPr="00F1714F">
              <w:rPr>
                <w:rFonts w:ascii="Arial" w:hAnsi="Arial" w:cs="Arial"/>
                <w:color w:val="000000"/>
                <w:sz w:val="16"/>
                <w:szCs w:val="16"/>
              </w:rPr>
              <w:t>30% HAMFI or less</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1,273</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5,194</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783</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6,951</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5,057</w:t>
            </w:r>
          </w:p>
        </w:tc>
        <w:tc>
          <w:tcPr>
            <w:tcW w:w="1080" w:type="dxa"/>
            <w:tcBorders>
              <w:top w:val="nil"/>
              <w:left w:val="nil"/>
              <w:bottom w:val="nil"/>
              <w:right w:val="single" w:sz="4" w:space="0" w:color="009900"/>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19,258</w:t>
            </w:r>
          </w:p>
        </w:tc>
      </w:tr>
      <w:tr w:rsidR="00784B85" w:rsidRPr="00F1714F" w:rsidTr="00CC1C96">
        <w:trPr>
          <w:trHeight w:val="255"/>
          <w:jc w:val="center"/>
        </w:trPr>
        <w:tc>
          <w:tcPr>
            <w:tcW w:w="2110" w:type="dxa"/>
            <w:tcBorders>
              <w:top w:val="nil"/>
              <w:left w:val="single" w:sz="4" w:space="0" w:color="009900"/>
              <w:bottom w:val="nil"/>
              <w:right w:val="nil"/>
            </w:tcBorders>
            <w:shd w:val="clear" w:color="FFFFFF" w:fill="FFFFE1"/>
            <w:vAlign w:val="center"/>
            <w:hideMark/>
          </w:tcPr>
          <w:p w:rsidR="00784B85" w:rsidRPr="00F1714F" w:rsidRDefault="00784B85" w:rsidP="00CC1C96">
            <w:pPr>
              <w:rPr>
                <w:rFonts w:ascii="Arial" w:hAnsi="Arial" w:cs="Arial"/>
                <w:color w:val="000000"/>
                <w:sz w:val="16"/>
                <w:szCs w:val="16"/>
              </w:rPr>
            </w:pPr>
            <w:r w:rsidRPr="00F1714F">
              <w:rPr>
                <w:rFonts w:ascii="Arial" w:hAnsi="Arial" w:cs="Arial"/>
                <w:color w:val="000000"/>
                <w:sz w:val="16"/>
                <w:szCs w:val="16"/>
              </w:rPr>
              <w:t>30.1-50% HAMFI</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7,615</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11,159</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1,937</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11,882</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6,599</w:t>
            </w:r>
          </w:p>
        </w:tc>
        <w:tc>
          <w:tcPr>
            <w:tcW w:w="1080" w:type="dxa"/>
            <w:tcBorders>
              <w:top w:val="nil"/>
              <w:left w:val="nil"/>
              <w:bottom w:val="nil"/>
              <w:right w:val="single" w:sz="4" w:space="0" w:color="009900"/>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39,191</w:t>
            </w:r>
          </w:p>
        </w:tc>
      </w:tr>
      <w:tr w:rsidR="00784B85" w:rsidRPr="00F1714F" w:rsidTr="00CC1C96">
        <w:trPr>
          <w:trHeight w:val="255"/>
          <w:jc w:val="center"/>
        </w:trPr>
        <w:tc>
          <w:tcPr>
            <w:tcW w:w="2110" w:type="dxa"/>
            <w:tcBorders>
              <w:top w:val="nil"/>
              <w:left w:val="single" w:sz="4" w:space="0" w:color="009900"/>
              <w:bottom w:val="nil"/>
              <w:right w:val="nil"/>
            </w:tcBorders>
            <w:shd w:val="clear" w:color="FFFFFF" w:fill="FFFFE1"/>
            <w:vAlign w:val="center"/>
            <w:hideMark/>
          </w:tcPr>
          <w:p w:rsidR="00784B85" w:rsidRPr="00F1714F" w:rsidRDefault="00784B85" w:rsidP="00CC1C96">
            <w:pPr>
              <w:rPr>
                <w:rFonts w:ascii="Arial" w:hAnsi="Arial" w:cs="Arial"/>
                <w:color w:val="000000"/>
                <w:sz w:val="16"/>
                <w:szCs w:val="16"/>
              </w:rPr>
            </w:pPr>
            <w:r w:rsidRPr="00F1714F">
              <w:rPr>
                <w:rFonts w:ascii="Arial" w:hAnsi="Arial" w:cs="Arial"/>
                <w:color w:val="000000"/>
                <w:sz w:val="16"/>
                <w:szCs w:val="16"/>
              </w:rPr>
              <w:t>50.1-80% HAMFI</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14,781</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32,389</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6,097</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13,950</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18,021</w:t>
            </w:r>
          </w:p>
        </w:tc>
        <w:tc>
          <w:tcPr>
            <w:tcW w:w="1080" w:type="dxa"/>
            <w:tcBorders>
              <w:top w:val="nil"/>
              <w:left w:val="nil"/>
              <w:bottom w:val="nil"/>
              <w:right w:val="single" w:sz="4" w:space="0" w:color="009900"/>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85,238</w:t>
            </w:r>
          </w:p>
        </w:tc>
      </w:tr>
      <w:tr w:rsidR="00784B85" w:rsidRPr="00F1714F" w:rsidTr="00CC1C96">
        <w:trPr>
          <w:trHeight w:val="255"/>
          <w:jc w:val="center"/>
        </w:trPr>
        <w:tc>
          <w:tcPr>
            <w:tcW w:w="2110" w:type="dxa"/>
            <w:tcBorders>
              <w:top w:val="nil"/>
              <w:left w:val="single" w:sz="4" w:space="0" w:color="009900"/>
              <w:bottom w:val="nil"/>
              <w:right w:val="nil"/>
            </w:tcBorders>
            <w:shd w:val="clear" w:color="FFFFFF" w:fill="FFFFE1"/>
            <w:vAlign w:val="center"/>
            <w:hideMark/>
          </w:tcPr>
          <w:p w:rsidR="00784B85" w:rsidRPr="00F1714F" w:rsidRDefault="00784B85" w:rsidP="00CC1C96">
            <w:pPr>
              <w:rPr>
                <w:rFonts w:ascii="Arial" w:hAnsi="Arial" w:cs="Arial"/>
                <w:color w:val="000000"/>
                <w:sz w:val="16"/>
                <w:szCs w:val="16"/>
              </w:rPr>
            </w:pPr>
            <w:r w:rsidRPr="00F1714F">
              <w:rPr>
                <w:rFonts w:ascii="Arial" w:hAnsi="Arial" w:cs="Arial"/>
                <w:color w:val="000000"/>
                <w:sz w:val="16"/>
                <w:szCs w:val="16"/>
              </w:rPr>
              <w:t>80.1% HAMFI or more</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74,964</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233,152</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32,485</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32,264</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85,525</w:t>
            </w:r>
          </w:p>
        </w:tc>
        <w:tc>
          <w:tcPr>
            <w:tcW w:w="1080" w:type="dxa"/>
            <w:tcBorders>
              <w:top w:val="nil"/>
              <w:left w:val="nil"/>
              <w:bottom w:val="nil"/>
              <w:right w:val="single" w:sz="4" w:space="0" w:color="009900"/>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458,390</w:t>
            </w:r>
          </w:p>
        </w:tc>
      </w:tr>
      <w:tr w:rsidR="00784B85" w:rsidRPr="00F1714F" w:rsidTr="00CC1C96">
        <w:trPr>
          <w:trHeight w:val="255"/>
          <w:jc w:val="center"/>
        </w:trPr>
        <w:tc>
          <w:tcPr>
            <w:tcW w:w="2110" w:type="dxa"/>
            <w:tcBorders>
              <w:top w:val="dotted" w:sz="4" w:space="0" w:color="009900"/>
              <w:left w:val="single" w:sz="4" w:space="0" w:color="009900"/>
              <w:bottom w:val="single" w:sz="4" w:space="0" w:color="009900"/>
              <w:right w:val="nil"/>
            </w:tcBorders>
            <w:shd w:val="clear" w:color="000000" w:fill="FFFFE1"/>
            <w:noWrap/>
            <w:vAlign w:val="center"/>
            <w:hideMark/>
          </w:tcPr>
          <w:p w:rsidR="00784B85" w:rsidRPr="00F1714F" w:rsidRDefault="00784B85" w:rsidP="00CC1C96">
            <w:pPr>
              <w:rPr>
                <w:rFonts w:ascii="Arial" w:hAnsi="Arial" w:cs="Arial"/>
                <w:sz w:val="16"/>
                <w:szCs w:val="16"/>
              </w:rPr>
            </w:pPr>
            <w:r w:rsidRPr="00F1714F">
              <w:rPr>
                <w:rFonts w:ascii="Arial" w:hAnsi="Arial" w:cs="Arial"/>
                <w:sz w:val="16"/>
                <w:szCs w:val="16"/>
              </w:rPr>
              <w:t>Total</w:t>
            </w:r>
          </w:p>
        </w:tc>
        <w:tc>
          <w:tcPr>
            <w:tcW w:w="1080" w:type="dxa"/>
            <w:tcBorders>
              <w:top w:val="dotted" w:sz="4" w:space="0" w:color="009900"/>
              <w:left w:val="nil"/>
              <w:bottom w:val="single" w:sz="4" w:space="0" w:color="009900"/>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98,633</w:t>
            </w:r>
          </w:p>
        </w:tc>
        <w:tc>
          <w:tcPr>
            <w:tcW w:w="1080" w:type="dxa"/>
            <w:tcBorders>
              <w:top w:val="dotted" w:sz="4" w:space="0" w:color="009900"/>
              <w:left w:val="nil"/>
              <w:bottom w:val="single" w:sz="4" w:space="0" w:color="009900"/>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281,894</w:t>
            </w:r>
          </w:p>
        </w:tc>
        <w:tc>
          <w:tcPr>
            <w:tcW w:w="1080" w:type="dxa"/>
            <w:tcBorders>
              <w:top w:val="dotted" w:sz="4" w:space="0" w:color="009900"/>
              <w:left w:val="nil"/>
              <w:bottom w:val="single" w:sz="4" w:space="0" w:color="009900"/>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41,301</w:t>
            </w:r>
          </w:p>
        </w:tc>
        <w:tc>
          <w:tcPr>
            <w:tcW w:w="1080" w:type="dxa"/>
            <w:tcBorders>
              <w:top w:val="dotted" w:sz="4" w:space="0" w:color="009900"/>
              <w:left w:val="nil"/>
              <w:bottom w:val="single" w:sz="4" w:space="0" w:color="009900"/>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65,048</w:t>
            </w:r>
          </w:p>
        </w:tc>
        <w:tc>
          <w:tcPr>
            <w:tcW w:w="1080" w:type="dxa"/>
            <w:tcBorders>
              <w:top w:val="dotted" w:sz="4" w:space="0" w:color="009900"/>
              <w:left w:val="nil"/>
              <w:bottom w:val="single" w:sz="4" w:space="0" w:color="009900"/>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115,201</w:t>
            </w:r>
          </w:p>
        </w:tc>
        <w:tc>
          <w:tcPr>
            <w:tcW w:w="1080" w:type="dxa"/>
            <w:tcBorders>
              <w:top w:val="dotted" w:sz="4" w:space="0" w:color="009900"/>
              <w:left w:val="nil"/>
              <w:bottom w:val="single" w:sz="4" w:space="0" w:color="009900"/>
              <w:right w:val="single" w:sz="4" w:space="0" w:color="009900"/>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602,077</w:t>
            </w:r>
          </w:p>
        </w:tc>
      </w:tr>
      <w:tr w:rsidR="00784B85" w:rsidRPr="00F1714F" w:rsidTr="00CC1C96">
        <w:trPr>
          <w:trHeight w:val="255"/>
          <w:jc w:val="center"/>
        </w:trPr>
        <w:tc>
          <w:tcPr>
            <w:tcW w:w="8590" w:type="dxa"/>
            <w:gridSpan w:val="7"/>
            <w:tcBorders>
              <w:top w:val="single" w:sz="4" w:space="0" w:color="009900"/>
              <w:left w:val="single" w:sz="4" w:space="0" w:color="009900"/>
              <w:bottom w:val="single" w:sz="4" w:space="0" w:color="009900"/>
              <w:right w:val="single" w:sz="4" w:space="0" w:color="009900"/>
            </w:tcBorders>
            <w:shd w:val="clear" w:color="000000" w:fill="FFFFE1"/>
            <w:noWrap/>
            <w:vAlign w:val="center"/>
            <w:hideMark/>
          </w:tcPr>
          <w:p w:rsidR="00784B85" w:rsidRPr="00F1714F" w:rsidRDefault="00784B85" w:rsidP="00CC1C96">
            <w:pPr>
              <w:jc w:val="center"/>
              <w:rPr>
                <w:rFonts w:ascii="Arial" w:hAnsi="Arial" w:cs="Arial"/>
                <w:b/>
                <w:bCs/>
                <w:sz w:val="16"/>
                <w:szCs w:val="16"/>
              </w:rPr>
            </w:pPr>
            <w:r w:rsidRPr="00F1714F">
              <w:rPr>
                <w:rFonts w:ascii="Arial" w:hAnsi="Arial" w:cs="Arial"/>
                <w:b/>
                <w:bCs/>
                <w:sz w:val="16"/>
                <w:szCs w:val="16"/>
              </w:rPr>
              <w:t>Housing Problems Not Computed</w:t>
            </w:r>
          </w:p>
        </w:tc>
      </w:tr>
      <w:tr w:rsidR="00784B85" w:rsidRPr="00F1714F" w:rsidTr="00CC1C96">
        <w:trPr>
          <w:trHeight w:val="255"/>
          <w:jc w:val="center"/>
        </w:trPr>
        <w:tc>
          <w:tcPr>
            <w:tcW w:w="2110" w:type="dxa"/>
            <w:tcBorders>
              <w:top w:val="nil"/>
              <w:left w:val="single" w:sz="4" w:space="0" w:color="009900"/>
              <w:bottom w:val="nil"/>
              <w:right w:val="nil"/>
            </w:tcBorders>
            <w:shd w:val="clear" w:color="FFFFFF" w:fill="FFFFE1"/>
            <w:vAlign w:val="center"/>
            <w:hideMark/>
          </w:tcPr>
          <w:p w:rsidR="00784B85" w:rsidRPr="00F1714F" w:rsidRDefault="00784B85" w:rsidP="00CC1C96">
            <w:pPr>
              <w:rPr>
                <w:rFonts w:ascii="Arial" w:hAnsi="Arial" w:cs="Arial"/>
                <w:color w:val="000000"/>
                <w:sz w:val="16"/>
                <w:szCs w:val="16"/>
              </w:rPr>
            </w:pPr>
            <w:r w:rsidRPr="00F1714F">
              <w:rPr>
                <w:rFonts w:ascii="Arial" w:hAnsi="Arial" w:cs="Arial"/>
                <w:color w:val="000000"/>
                <w:sz w:val="16"/>
                <w:szCs w:val="16"/>
              </w:rPr>
              <w:t>30% HAMFI or less</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341</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3,162</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126</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1,195</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5,349</w:t>
            </w:r>
          </w:p>
        </w:tc>
        <w:tc>
          <w:tcPr>
            <w:tcW w:w="1080" w:type="dxa"/>
            <w:tcBorders>
              <w:top w:val="nil"/>
              <w:left w:val="nil"/>
              <w:bottom w:val="nil"/>
              <w:right w:val="single" w:sz="4" w:space="0" w:color="009900"/>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10,173</w:t>
            </w:r>
          </w:p>
        </w:tc>
      </w:tr>
      <w:tr w:rsidR="00784B85" w:rsidRPr="00F1714F" w:rsidTr="00CC1C96">
        <w:trPr>
          <w:trHeight w:val="255"/>
          <w:jc w:val="center"/>
        </w:trPr>
        <w:tc>
          <w:tcPr>
            <w:tcW w:w="2110" w:type="dxa"/>
            <w:tcBorders>
              <w:top w:val="nil"/>
              <w:left w:val="single" w:sz="4" w:space="0" w:color="009900"/>
              <w:bottom w:val="nil"/>
              <w:right w:val="nil"/>
            </w:tcBorders>
            <w:shd w:val="clear" w:color="FFFFFF" w:fill="FFFFE1"/>
            <w:vAlign w:val="center"/>
            <w:hideMark/>
          </w:tcPr>
          <w:p w:rsidR="00784B85" w:rsidRPr="00F1714F" w:rsidRDefault="00784B85" w:rsidP="00CC1C96">
            <w:pPr>
              <w:rPr>
                <w:rFonts w:ascii="Arial" w:hAnsi="Arial" w:cs="Arial"/>
                <w:color w:val="000000"/>
                <w:sz w:val="16"/>
                <w:szCs w:val="16"/>
              </w:rPr>
            </w:pPr>
            <w:r w:rsidRPr="00F1714F">
              <w:rPr>
                <w:rFonts w:ascii="Arial" w:hAnsi="Arial" w:cs="Arial"/>
                <w:color w:val="000000"/>
                <w:sz w:val="16"/>
                <w:szCs w:val="16"/>
              </w:rPr>
              <w:t>30.1-50% HAMFI</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0</w:t>
            </w:r>
          </w:p>
        </w:tc>
        <w:tc>
          <w:tcPr>
            <w:tcW w:w="1080" w:type="dxa"/>
            <w:tcBorders>
              <w:top w:val="nil"/>
              <w:left w:val="nil"/>
              <w:bottom w:val="nil"/>
              <w:right w:val="single" w:sz="4" w:space="0" w:color="009900"/>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0</w:t>
            </w:r>
          </w:p>
        </w:tc>
      </w:tr>
      <w:tr w:rsidR="00784B85" w:rsidRPr="00F1714F" w:rsidTr="00CC1C96">
        <w:trPr>
          <w:trHeight w:val="255"/>
          <w:jc w:val="center"/>
        </w:trPr>
        <w:tc>
          <w:tcPr>
            <w:tcW w:w="2110" w:type="dxa"/>
            <w:tcBorders>
              <w:top w:val="nil"/>
              <w:left w:val="single" w:sz="4" w:space="0" w:color="009900"/>
              <w:bottom w:val="nil"/>
              <w:right w:val="nil"/>
            </w:tcBorders>
            <w:shd w:val="clear" w:color="FFFFFF" w:fill="FFFFE1"/>
            <w:vAlign w:val="center"/>
            <w:hideMark/>
          </w:tcPr>
          <w:p w:rsidR="00784B85" w:rsidRPr="00F1714F" w:rsidRDefault="00784B85" w:rsidP="00CC1C96">
            <w:pPr>
              <w:rPr>
                <w:rFonts w:ascii="Arial" w:hAnsi="Arial" w:cs="Arial"/>
                <w:color w:val="000000"/>
                <w:sz w:val="16"/>
                <w:szCs w:val="16"/>
              </w:rPr>
            </w:pPr>
            <w:r w:rsidRPr="00F1714F">
              <w:rPr>
                <w:rFonts w:ascii="Arial" w:hAnsi="Arial" w:cs="Arial"/>
                <w:color w:val="000000"/>
                <w:sz w:val="16"/>
                <w:szCs w:val="16"/>
              </w:rPr>
              <w:t>50.1-80% HAMFI</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0</w:t>
            </w:r>
          </w:p>
        </w:tc>
        <w:tc>
          <w:tcPr>
            <w:tcW w:w="1080" w:type="dxa"/>
            <w:tcBorders>
              <w:top w:val="nil"/>
              <w:left w:val="nil"/>
              <w:bottom w:val="nil"/>
              <w:right w:val="single" w:sz="4" w:space="0" w:color="009900"/>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0</w:t>
            </w:r>
          </w:p>
        </w:tc>
      </w:tr>
      <w:tr w:rsidR="00784B85" w:rsidRPr="00F1714F" w:rsidTr="00CC1C96">
        <w:trPr>
          <w:trHeight w:val="255"/>
          <w:jc w:val="center"/>
        </w:trPr>
        <w:tc>
          <w:tcPr>
            <w:tcW w:w="2110" w:type="dxa"/>
            <w:tcBorders>
              <w:top w:val="nil"/>
              <w:left w:val="single" w:sz="4" w:space="0" w:color="009900"/>
              <w:bottom w:val="nil"/>
              <w:right w:val="nil"/>
            </w:tcBorders>
            <w:shd w:val="clear" w:color="FFFFFF" w:fill="FFFFE1"/>
            <w:vAlign w:val="center"/>
            <w:hideMark/>
          </w:tcPr>
          <w:p w:rsidR="00784B85" w:rsidRPr="00F1714F" w:rsidRDefault="00784B85" w:rsidP="00CC1C96">
            <w:pPr>
              <w:rPr>
                <w:rFonts w:ascii="Arial" w:hAnsi="Arial" w:cs="Arial"/>
                <w:color w:val="000000"/>
                <w:sz w:val="16"/>
                <w:szCs w:val="16"/>
              </w:rPr>
            </w:pPr>
            <w:r w:rsidRPr="00F1714F">
              <w:rPr>
                <w:rFonts w:ascii="Arial" w:hAnsi="Arial" w:cs="Arial"/>
                <w:color w:val="000000"/>
                <w:sz w:val="16"/>
                <w:szCs w:val="16"/>
              </w:rPr>
              <w:t>80.1% HAMFI or more</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0</w:t>
            </w:r>
          </w:p>
        </w:tc>
        <w:tc>
          <w:tcPr>
            <w:tcW w:w="1080" w:type="dxa"/>
            <w:tcBorders>
              <w:top w:val="nil"/>
              <w:left w:val="nil"/>
              <w:bottom w:val="nil"/>
              <w:right w:val="single" w:sz="4" w:space="0" w:color="009900"/>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0</w:t>
            </w:r>
          </w:p>
        </w:tc>
      </w:tr>
      <w:tr w:rsidR="00784B85" w:rsidRPr="00F1714F" w:rsidTr="00CC1C96">
        <w:trPr>
          <w:trHeight w:val="255"/>
          <w:jc w:val="center"/>
        </w:trPr>
        <w:tc>
          <w:tcPr>
            <w:tcW w:w="2110" w:type="dxa"/>
            <w:tcBorders>
              <w:top w:val="dotted" w:sz="4" w:space="0" w:color="009900"/>
              <w:left w:val="single" w:sz="4" w:space="0" w:color="009900"/>
              <w:bottom w:val="single" w:sz="4" w:space="0" w:color="009900"/>
              <w:right w:val="nil"/>
            </w:tcBorders>
            <w:shd w:val="clear" w:color="000000" w:fill="FFFFE1"/>
            <w:noWrap/>
            <w:vAlign w:val="center"/>
            <w:hideMark/>
          </w:tcPr>
          <w:p w:rsidR="00784B85" w:rsidRPr="00F1714F" w:rsidRDefault="00784B85" w:rsidP="00CC1C96">
            <w:pPr>
              <w:rPr>
                <w:rFonts w:ascii="Arial" w:hAnsi="Arial" w:cs="Arial"/>
                <w:sz w:val="16"/>
                <w:szCs w:val="16"/>
              </w:rPr>
            </w:pPr>
            <w:r w:rsidRPr="00F1714F">
              <w:rPr>
                <w:rFonts w:ascii="Arial" w:hAnsi="Arial" w:cs="Arial"/>
                <w:sz w:val="16"/>
                <w:szCs w:val="16"/>
              </w:rPr>
              <w:t>Total</w:t>
            </w:r>
          </w:p>
        </w:tc>
        <w:tc>
          <w:tcPr>
            <w:tcW w:w="1080" w:type="dxa"/>
            <w:tcBorders>
              <w:top w:val="dotted" w:sz="4" w:space="0" w:color="009900"/>
              <w:left w:val="nil"/>
              <w:bottom w:val="single" w:sz="4" w:space="0" w:color="009900"/>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341</w:t>
            </w:r>
          </w:p>
        </w:tc>
        <w:tc>
          <w:tcPr>
            <w:tcW w:w="1080" w:type="dxa"/>
            <w:tcBorders>
              <w:top w:val="dotted" w:sz="4" w:space="0" w:color="009900"/>
              <w:left w:val="nil"/>
              <w:bottom w:val="single" w:sz="4" w:space="0" w:color="009900"/>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3,162</w:t>
            </w:r>
          </w:p>
        </w:tc>
        <w:tc>
          <w:tcPr>
            <w:tcW w:w="1080" w:type="dxa"/>
            <w:tcBorders>
              <w:top w:val="dotted" w:sz="4" w:space="0" w:color="009900"/>
              <w:left w:val="nil"/>
              <w:bottom w:val="single" w:sz="4" w:space="0" w:color="009900"/>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126</w:t>
            </w:r>
          </w:p>
        </w:tc>
        <w:tc>
          <w:tcPr>
            <w:tcW w:w="1080" w:type="dxa"/>
            <w:tcBorders>
              <w:top w:val="dotted" w:sz="4" w:space="0" w:color="009900"/>
              <w:left w:val="nil"/>
              <w:bottom w:val="single" w:sz="4" w:space="0" w:color="009900"/>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1,195</w:t>
            </w:r>
          </w:p>
        </w:tc>
        <w:tc>
          <w:tcPr>
            <w:tcW w:w="1080" w:type="dxa"/>
            <w:tcBorders>
              <w:top w:val="dotted" w:sz="4" w:space="0" w:color="009900"/>
              <w:left w:val="nil"/>
              <w:bottom w:val="single" w:sz="4" w:space="0" w:color="009900"/>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5,349</w:t>
            </w:r>
          </w:p>
        </w:tc>
        <w:tc>
          <w:tcPr>
            <w:tcW w:w="1080" w:type="dxa"/>
            <w:tcBorders>
              <w:top w:val="dotted" w:sz="4" w:space="0" w:color="009900"/>
              <w:left w:val="nil"/>
              <w:bottom w:val="single" w:sz="4" w:space="0" w:color="009900"/>
              <w:right w:val="single" w:sz="4" w:space="0" w:color="009900"/>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10,173</w:t>
            </w:r>
          </w:p>
        </w:tc>
      </w:tr>
      <w:tr w:rsidR="00784B85" w:rsidRPr="00F1714F" w:rsidTr="00CC1C96">
        <w:trPr>
          <w:trHeight w:val="255"/>
          <w:jc w:val="center"/>
        </w:trPr>
        <w:tc>
          <w:tcPr>
            <w:tcW w:w="8590" w:type="dxa"/>
            <w:gridSpan w:val="7"/>
            <w:tcBorders>
              <w:top w:val="single" w:sz="4" w:space="0" w:color="009900"/>
              <w:left w:val="single" w:sz="4" w:space="0" w:color="009900"/>
              <w:bottom w:val="single" w:sz="4" w:space="0" w:color="009900"/>
              <w:right w:val="single" w:sz="4" w:space="0" w:color="009900"/>
            </w:tcBorders>
            <w:shd w:val="clear" w:color="000000" w:fill="FFFFE1"/>
            <w:noWrap/>
            <w:vAlign w:val="center"/>
            <w:hideMark/>
          </w:tcPr>
          <w:p w:rsidR="00784B85" w:rsidRPr="00F1714F" w:rsidRDefault="00784B85" w:rsidP="00CC1C96">
            <w:pPr>
              <w:jc w:val="center"/>
              <w:rPr>
                <w:rFonts w:ascii="Arial" w:hAnsi="Arial" w:cs="Arial"/>
                <w:b/>
                <w:bCs/>
                <w:sz w:val="16"/>
                <w:szCs w:val="16"/>
              </w:rPr>
            </w:pPr>
            <w:r w:rsidRPr="00F1714F">
              <w:rPr>
                <w:rFonts w:ascii="Arial" w:hAnsi="Arial" w:cs="Arial"/>
                <w:b/>
                <w:bCs/>
                <w:sz w:val="16"/>
                <w:szCs w:val="16"/>
              </w:rPr>
              <w:t>Total</w:t>
            </w:r>
          </w:p>
        </w:tc>
      </w:tr>
      <w:tr w:rsidR="00784B85" w:rsidRPr="00F1714F" w:rsidTr="00CC1C96">
        <w:trPr>
          <w:trHeight w:val="255"/>
          <w:jc w:val="center"/>
        </w:trPr>
        <w:tc>
          <w:tcPr>
            <w:tcW w:w="2110" w:type="dxa"/>
            <w:tcBorders>
              <w:top w:val="nil"/>
              <w:left w:val="single" w:sz="4" w:space="0" w:color="009900"/>
              <w:bottom w:val="nil"/>
              <w:right w:val="nil"/>
            </w:tcBorders>
            <w:shd w:val="clear" w:color="FFFFFF" w:fill="FFFFE1"/>
            <w:vAlign w:val="center"/>
            <w:hideMark/>
          </w:tcPr>
          <w:p w:rsidR="00784B85" w:rsidRPr="00F1714F" w:rsidRDefault="00784B85" w:rsidP="00CC1C96">
            <w:pPr>
              <w:rPr>
                <w:rFonts w:ascii="Arial" w:hAnsi="Arial" w:cs="Arial"/>
                <w:color w:val="000000"/>
                <w:sz w:val="16"/>
                <w:szCs w:val="16"/>
              </w:rPr>
            </w:pPr>
            <w:r w:rsidRPr="00F1714F">
              <w:rPr>
                <w:rFonts w:ascii="Arial" w:hAnsi="Arial" w:cs="Arial"/>
                <w:color w:val="000000"/>
                <w:sz w:val="16"/>
                <w:szCs w:val="16"/>
              </w:rPr>
              <w:t>30% HAMFI or less</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5,768</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36,149</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7,985</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24,022</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37,924</w:t>
            </w:r>
          </w:p>
        </w:tc>
        <w:tc>
          <w:tcPr>
            <w:tcW w:w="1080" w:type="dxa"/>
            <w:tcBorders>
              <w:top w:val="nil"/>
              <w:left w:val="nil"/>
              <w:bottom w:val="nil"/>
              <w:right w:val="single" w:sz="4" w:space="0" w:color="009900"/>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111,848</w:t>
            </w:r>
          </w:p>
        </w:tc>
      </w:tr>
      <w:tr w:rsidR="00784B85" w:rsidRPr="00F1714F" w:rsidTr="00CC1C96">
        <w:trPr>
          <w:trHeight w:val="255"/>
          <w:jc w:val="center"/>
        </w:trPr>
        <w:tc>
          <w:tcPr>
            <w:tcW w:w="2110" w:type="dxa"/>
            <w:tcBorders>
              <w:top w:val="nil"/>
              <w:left w:val="single" w:sz="4" w:space="0" w:color="009900"/>
              <w:bottom w:val="nil"/>
              <w:right w:val="nil"/>
            </w:tcBorders>
            <w:shd w:val="clear" w:color="FFFFFF" w:fill="FFFFE1"/>
            <w:vAlign w:val="center"/>
            <w:hideMark/>
          </w:tcPr>
          <w:p w:rsidR="00784B85" w:rsidRPr="00F1714F" w:rsidRDefault="00784B85" w:rsidP="00CC1C96">
            <w:pPr>
              <w:rPr>
                <w:rFonts w:ascii="Arial" w:hAnsi="Arial" w:cs="Arial"/>
                <w:color w:val="000000"/>
                <w:sz w:val="16"/>
                <w:szCs w:val="16"/>
              </w:rPr>
            </w:pPr>
            <w:r w:rsidRPr="00F1714F">
              <w:rPr>
                <w:rFonts w:ascii="Arial" w:hAnsi="Arial" w:cs="Arial"/>
                <w:color w:val="000000"/>
                <w:sz w:val="16"/>
                <w:szCs w:val="16"/>
              </w:rPr>
              <w:t>30.1-50% HAMFI</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12,731</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37,231</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9,019</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22,784</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25,886</w:t>
            </w:r>
          </w:p>
        </w:tc>
        <w:tc>
          <w:tcPr>
            <w:tcW w:w="1080" w:type="dxa"/>
            <w:tcBorders>
              <w:top w:val="nil"/>
              <w:left w:val="nil"/>
              <w:bottom w:val="nil"/>
              <w:right w:val="single" w:sz="4" w:space="0" w:color="009900"/>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107,652</w:t>
            </w:r>
          </w:p>
        </w:tc>
      </w:tr>
      <w:tr w:rsidR="00784B85" w:rsidRPr="00F1714F" w:rsidTr="00CC1C96">
        <w:trPr>
          <w:trHeight w:val="255"/>
          <w:jc w:val="center"/>
        </w:trPr>
        <w:tc>
          <w:tcPr>
            <w:tcW w:w="2110" w:type="dxa"/>
            <w:tcBorders>
              <w:top w:val="nil"/>
              <w:left w:val="single" w:sz="4" w:space="0" w:color="009900"/>
              <w:bottom w:val="nil"/>
              <w:right w:val="nil"/>
            </w:tcBorders>
            <w:shd w:val="clear" w:color="FFFFFF" w:fill="FFFFE1"/>
            <w:vAlign w:val="center"/>
            <w:hideMark/>
          </w:tcPr>
          <w:p w:rsidR="00784B85" w:rsidRPr="00F1714F" w:rsidRDefault="00784B85" w:rsidP="00CC1C96">
            <w:pPr>
              <w:rPr>
                <w:rFonts w:ascii="Arial" w:hAnsi="Arial" w:cs="Arial"/>
                <w:color w:val="000000"/>
                <w:sz w:val="16"/>
                <w:szCs w:val="16"/>
              </w:rPr>
            </w:pPr>
            <w:r w:rsidRPr="00F1714F">
              <w:rPr>
                <w:rFonts w:ascii="Arial" w:hAnsi="Arial" w:cs="Arial"/>
                <w:color w:val="000000"/>
                <w:sz w:val="16"/>
                <w:szCs w:val="16"/>
              </w:rPr>
              <w:t>50.1-80% HAMFI</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20,621</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59,167</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15,212</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21,864</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36,388</w:t>
            </w:r>
          </w:p>
        </w:tc>
        <w:tc>
          <w:tcPr>
            <w:tcW w:w="1080" w:type="dxa"/>
            <w:tcBorders>
              <w:top w:val="nil"/>
              <w:left w:val="nil"/>
              <w:bottom w:val="nil"/>
              <w:right w:val="single" w:sz="4" w:space="0" w:color="009900"/>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153,251</w:t>
            </w:r>
          </w:p>
        </w:tc>
      </w:tr>
      <w:tr w:rsidR="00784B85" w:rsidRPr="00F1714F" w:rsidTr="00CC1C96">
        <w:trPr>
          <w:trHeight w:val="270"/>
          <w:jc w:val="center"/>
        </w:trPr>
        <w:tc>
          <w:tcPr>
            <w:tcW w:w="2110" w:type="dxa"/>
            <w:tcBorders>
              <w:top w:val="nil"/>
              <w:left w:val="single" w:sz="4" w:space="0" w:color="009900"/>
              <w:bottom w:val="nil"/>
              <w:right w:val="nil"/>
            </w:tcBorders>
            <w:shd w:val="clear" w:color="FFFFFF" w:fill="FFFFE1"/>
            <w:vAlign w:val="center"/>
            <w:hideMark/>
          </w:tcPr>
          <w:p w:rsidR="00784B85" w:rsidRPr="00F1714F" w:rsidRDefault="00784B85" w:rsidP="00CC1C96">
            <w:pPr>
              <w:rPr>
                <w:rFonts w:ascii="Arial" w:hAnsi="Arial" w:cs="Arial"/>
                <w:color w:val="000000"/>
                <w:sz w:val="16"/>
                <w:szCs w:val="16"/>
              </w:rPr>
            </w:pPr>
            <w:r w:rsidRPr="00F1714F">
              <w:rPr>
                <w:rFonts w:ascii="Arial" w:hAnsi="Arial" w:cs="Arial"/>
                <w:color w:val="000000"/>
                <w:sz w:val="16"/>
                <w:szCs w:val="16"/>
              </w:rPr>
              <w:t>80.1% HAMFI or more</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82,513</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263,204</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44,935</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37,906</w:t>
            </w:r>
          </w:p>
        </w:tc>
        <w:tc>
          <w:tcPr>
            <w:tcW w:w="1080" w:type="dxa"/>
            <w:tcBorders>
              <w:top w:val="nil"/>
              <w:left w:val="nil"/>
              <w:bottom w:val="nil"/>
              <w:right w:val="nil"/>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102,518</w:t>
            </w:r>
          </w:p>
        </w:tc>
        <w:tc>
          <w:tcPr>
            <w:tcW w:w="1080" w:type="dxa"/>
            <w:tcBorders>
              <w:top w:val="nil"/>
              <w:left w:val="nil"/>
              <w:bottom w:val="nil"/>
              <w:right w:val="single" w:sz="4" w:space="0" w:color="009900"/>
            </w:tcBorders>
            <w:shd w:val="clear" w:color="000000" w:fill="FFFFE1"/>
            <w:noWrap/>
            <w:vAlign w:val="center"/>
            <w:hideMark/>
          </w:tcPr>
          <w:p w:rsidR="00784B85" w:rsidRPr="00F1714F" w:rsidRDefault="00784B85" w:rsidP="00CC1C96">
            <w:pPr>
              <w:jc w:val="center"/>
              <w:rPr>
                <w:rFonts w:ascii="Arial" w:hAnsi="Arial" w:cs="Arial"/>
                <w:sz w:val="16"/>
                <w:szCs w:val="16"/>
              </w:rPr>
            </w:pPr>
            <w:r w:rsidRPr="00F1714F">
              <w:rPr>
                <w:rFonts w:ascii="Arial" w:hAnsi="Arial" w:cs="Arial"/>
                <w:sz w:val="16"/>
                <w:szCs w:val="16"/>
              </w:rPr>
              <w:t>531,076</w:t>
            </w:r>
          </w:p>
        </w:tc>
      </w:tr>
      <w:tr w:rsidR="00784B85" w:rsidRPr="00F1714F" w:rsidTr="00CC1C96">
        <w:trPr>
          <w:trHeight w:val="270"/>
          <w:jc w:val="center"/>
        </w:trPr>
        <w:tc>
          <w:tcPr>
            <w:tcW w:w="2110" w:type="dxa"/>
            <w:tcBorders>
              <w:top w:val="double" w:sz="6" w:space="0" w:color="009900"/>
              <w:left w:val="single" w:sz="4" w:space="0" w:color="009900"/>
              <w:bottom w:val="single" w:sz="4" w:space="0" w:color="009900"/>
              <w:right w:val="nil"/>
            </w:tcBorders>
            <w:shd w:val="clear" w:color="000000" w:fill="FFFFE1"/>
            <w:noWrap/>
            <w:vAlign w:val="center"/>
            <w:hideMark/>
          </w:tcPr>
          <w:p w:rsidR="00784B85" w:rsidRPr="00F1714F" w:rsidRDefault="00784B85" w:rsidP="00CC1C96">
            <w:pPr>
              <w:rPr>
                <w:rFonts w:ascii="Arial" w:hAnsi="Arial" w:cs="Arial"/>
                <w:b/>
                <w:bCs/>
                <w:sz w:val="16"/>
                <w:szCs w:val="16"/>
              </w:rPr>
            </w:pPr>
            <w:r w:rsidRPr="00F1714F">
              <w:rPr>
                <w:rFonts w:ascii="Arial" w:hAnsi="Arial" w:cs="Arial"/>
                <w:b/>
                <w:bCs/>
                <w:sz w:val="16"/>
                <w:szCs w:val="16"/>
              </w:rPr>
              <w:t>Total</w:t>
            </w:r>
          </w:p>
        </w:tc>
        <w:tc>
          <w:tcPr>
            <w:tcW w:w="1080" w:type="dxa"/>
            <w:tcBorders>
              <w:top w:val="double" w:sz="6" w:space="0" w:color="009900"/>
              <w:left w:val="nil"/>
              <w:bottom w:val="single" w:sz="4" w:space="0" w:color="009900"/>
              <w:right w:val="nil"/>
            </w:tcBorders>
            <w:shd w:val="clear" w:color="000000" w:fill="FFFFE1"/>
            <w:noWrap/>
            <w:vAlign w:val="center"/>
            <w:hideMark/>
          </w:tcPr>
          <w:p w:rsidR="00784B85" w:rsidRPr="00F1714F" w:rsidRDefault="00784B85" w:rsidP="00CC1C96">
            <w:pPr>
              <w:jc w:val="center"/>
              <w:rPr>
                <w:rFonts w:ascii="Arial" w:hAnsi="Arial" w:cs="Arial"/>
                <w:b/>
                <w:bCs/>
                <w:sz w:val="16"/>
                <w:szCs w:val="16"/>
              </w:rPr>
            </w:pPr>
            <w:r w:rsidRPr="00F1714F">
              <w:rPr>
                <w:rFonts w:ascii="Arial" w:hAnsi="Arial" w:cs="Arial"/>
                <w:b/>
                <w:bCs/>
                <w:sz w:val="16"/>
                <w:szCs w:val="16"/>
              </w:rPr>
              <w:t>121,632</w:t>
            </w:r>
          </w:p>
        </w:tc>
        <w:tc>
          <w:tcPr>
            <w:tcW w:w="1080" w:type="dxa"/>
            <w:tcBorders>
              <w:top w:val="double" w:sz="6" w:space="0" w:color="009900"/>
              <w:left w:val="nil"/>
              <w:bottom w:val="single" w:sz="4" w:space="0" w:color="009900"/>
              <w:right w:val="nil"/>
            </w:tcBorders>
            <w:shd w:val="clear" w:color="000000" w:fill="FFFFE1"/>
            <w:noWrap/>
            <w:vAlign w:val="center"/>
            <w:hideMark/>
          </w:tcPr>
          <w:p w:rsidR="00784B85" w:rsidRPr="00F1714F" w:rsidRDefault="00784B85" w:rsidP="00CC1C96">
            <w:pPr>
              <w:jc w:val="center"/>
              <w:rPr>
                <w:rFonts w:ascii="Arial" w:hAnsi="Arial" w:cs="Arial"/>
                <w:b/>
                <w:bCs/>
                <w:sz w:val="16"/>
                <w:szCs w:val="16"/>
              </w:rPr>
            </w:pPr>
            <w:r w:rsidRPr="00F1714F">
              <w:rPr>
                <w:rFonts w:ascii="Arial" w:hAnsi="Arial" w:cs="Arial"/>
                <w:b/>
                <w:bCs/>
                <w:sz w:val="16"/>
                <w:szCs w:val="16"/>
              </w:rPr>
              <w:t>395,751</w:t>
            </w:r>
          </w:p>
        </w:tc>
        <w:tc>
          <w:tcPr>
            <w:tcW w:w="1080" w:type="dxa"/>
            <w:tcBorders>
              <w:top w:val="double" w:sz="6" w:space="0" w:color="009900"/>
              <w:left w:val="nil"/>
              <w:bottom w:val="single" w:sz="4" w:space="0" w:color="009900"/>
              <w:right w:val="nil"/>
            </w:tcBorders>
            <w:shd w:val="clear" w:color="000000" w:fill="FFFFE1"/>
            <w:noWrap/>
            <w:vAlign w:val="center"/>
            <w:hideMark/>
          </w:tcPr>
          <w:p w:rsidR="00784B85" w:rsidRPr="00F1714F" w:rsidRDefault="00784B85" w:rsidP="00CC1C96">
            <w:pPr>
              <w:jc w:val="center"/>
              <w:rPr>
                <w:rFonts w:ascii="Arial" w:hAnsi="Arial" w:cs="Arial"/>
                <w:b/>
                <w:bCs/>
                <w:sz w:val="16"/>
                <w:szCs w:val="16"/>
              </w:rPr>
            </w:pPr>
            <w:r w:rsidRPr="00F1714F">
              <w:rPr>
                <w:rFonts w:ascii="Arial" w:hAnsi="Arial" w:cs="Arial"/>
                <w:b/>
                <w:bCs/>
                <w:sz w:val="16"/>
                <w:szCs w:val="16"/>
              </w:rPr>
              <w:t>77,151</w:t>
            </w:r>
          </w:p>
        </w:tc>
        <w:tc>
          <w:tcPr>
            <w:tcW w:w="1080" w:type="dxa"/>
            <w:tcBorders>
              <w:top w:val="double" w:sz="6" w:space="0" w:color="009900"/>
              <w:left w:val="nil"/>
              <w:bottom w:val="single" w:sz="4" w:space="0" w:color="009900"/>
              <w:right w:val="nil"/>
            </w:tcBorders>
            <w:shd w:val="clear" w:color="000000" w:fill="FFFFE1"/>
            <w:noWrap/>
            <w:vAlign w:val="center"/>
            <w:hideMark/>
          </w:tcPr>
          <w:p w:rsidR="00784B85" w:rsidRPr="00F1714F" w:rsidRDefault="00784B85" w:rsidP="00CC1C96">
            <w:pPr>
              <w:jc w:val="center"/>
              <w:rPr>
                <w:rFonts w:ascii="Arial" w:hAnsi="Arial" w:cs="Arial"/>
                <w:b/>
                <w:bCs/>
                <w:sz w:val="16"/>
                <w:szCs w:val="16"/>
              </w:rPr>
            </w:pPr>
            <w:r w:rsidRPr="00F1714F">
              <w:rPr>
                <w:rFonts w:ascii="Arial" w:hAnsi="Arial" w:cs="Arial"/>
                <w:b/>
                <w:bCs/>
                <w:sz w:val="16"/>
                <w:szCs w:val="16"/>
              </w:rPr>
              <w:t>106,576</w:t>
            </w:r>
          </w:p>
        </w:tc>
        <w:tc>
          <w:tcPr>
            <w:tcW w:w="1080" w:type="dxa"/>
            <w:tcBorders>
              <w:top w:val="double" w:sz="6" w:space="0" w:color="009900"/>
              <w:left w:val="nil"/>
              <w:bottom w:val="single" w:sz="4" w:space="0" w:color="009900"/>
              <w:right w:val="nil"/>
            </w:tcBorders>
            <w:shd w:val="clear" w:color="000000" w:fill="FFFFE1"/>
            <w:noWrap/>
            <w:vAlign w:val="center"/>
            <w:hideMark/>
          </w:tcPr>
          <w:p w:rsidR="00784B85" w:rsidRPr="00F1714F" w:rsidRDefault="00784B85" w:rsidP="00CC1C96">
            <w:pPr>
              <w:jc w:val="center"/>
              <w:rPr>
                <w:rFonts w:ascii="Arial" w:hAnsi="Arial" w:cs="Arial"/>
                <w:b/>
                <w:bCs/>
                <w:sz w:val="16"/>
                <w:szCs w:val="16"/>
              </w:rPr>
            </w:pPr>
            <w:r w:rsidRPr="00F1714F">
              <w:rPr>
                <w:rFonts w:ascii="Arial" w:hAnsi="Arial" w:cs="Arial"/>
                <w:b/>
                <w:bCs/>
                <w:sz w:val="16"/>
                <w:szCs w:val="16"/>
              </w:rPr>
              <w:t>202,717</w:t>
            </w:r>
          </w:p>
        </w:tc>
        <w:tc>
          <w:tcPr>
            <w:tcW w:w="1080" w:type="dxa"/>
            <w:tcBorders>
              <w:top w:val="double" w:sz="6" w:space="0" w:color="009900"/>
              <w:left w:val="nil"/>
              <w:bottom w:val="single" w:sz="4" w:space="0" w:color="009900"/>
              <w:right w:val="single" w:sz="4" w:space="0" w:color="009900"/>
            </w:tcBorders>
            <w:shd w:val="clear" w:color="000000" w:fill="FFFFE1"/>
            <w:noWrap/>
            <w:vAlign w:val="center"/>
            <w:hideMark/>
          </w:tcPr>
          <w:p w:rsidR="00784B85" w:rsidRPr="00F1714F" w:rsidRDefault="00784B85" w:rsidP="00CC1C96">
            <w:pPr>
              <w:jc w:val="center"/>
              <w:rPr>
                <w:rFonts w:ascii="Arial" w:hAnsi="Arial" w:cs="Arial"/>
                <w:b/>
                <w:bCs/>
                <w:sz w:val="16"/>
                <w:szCs w:val="16"/>
              </w:rPr>
            </w:pPr>
            <w:r w:rsidRPr="00F1714F">
              <w:rPr>
                <w:rFonts w:ascii="Arial" w:hAnsi="Arial" w:cs="Arial"/>
                <w:b/>
                <w:bCs/>
                <w:sz w:val="16"/>
                <w:szCs w:val="16"/>
              </w:rPr>
              <w:t>903,828</w:t>
            </w:r>
          </w:p>
        </w:tc>
      </w:tr>
    </w:tbl>
    <w:p w:rsidR="00F54687" w:rsidRPr="008503F8" w:rsidRDefault="00F54687" w:rsidP="00D438C6">
      <w:pPr>
        <w:rPr>
          <w:rFonts w:ascii="CG Omega" w:hAnsi="CG Omega"/>
          <w:bCs/>
          <w:highlight w:val="yellow"/>
        </w:rPr>
      </w:pPr>
    </w:p>
    <w:p w:rsidR="00D428AA" w:rsidRPr="00955C8C" w:rsidRDefault="00F54687" w:rsidP="00D428AA">
      <w:pPr>
        <w:jc w:val="both"/>
        <w:rPr>
          <w:rFonts w:ascii="CG Omega" w:hAnsi="CG Omega"/>
          <w:bCs/>
          <w:highlight w:val="yellow"/>
        </w:rPr>
      </w:pPr>
      <w:r w:rsidRPr="00CC1C96">
        <w:rPr>
          <w:rFonts w:ascii="CG Omega" w:hAnsi="CG Omega"/>
          <w:bCs/>
        </w:rPr>
        <w:t xml:space="preserve">As shown in </w:t>
      </w:r>
      <w:r w:rsidRPr="008503F8">
        <w:rPr>
          <w:rFonts w:ascii="CG Omega" w:hAnsi="CG Omega"/>
          <w:b/>
          <w:bCs/>
        </w:rPr>
        <w:t>Table IV.</w:t>
      </w:r>
      <w:r w:rsidR="00D438C6" w:rsidRPr="008503F8">
        <w:rPr>
          <w:rFonts w:ascii="CG Omega" w:hAnsi="CG Omega"/>
          <w:b/>
          <w:bCs/>
        </w:rPr>
        <w:t>1</w:t>
      </w:r>
      <w:r w:rsidR="00F92737" w:rsidRPr="008503F8">
        <w:rPr>
          <w:rFonts w:ascii="CG Omega" w:hAnsi="CG Omega"/>
          <w:b/>
          <w:bCs/>
        </w:rPr>
        <w:t>8</w:t>
      </w:r>
      <w:r w:rsidR="00D438C6" w:rsidRPr="00CC1C96">
        <w:rPr>
          <w:rFonts w:ascii="CG Omega" w:hAnsi="CG Omega"/>
          <w:bCs/>
        </w:rPr>
        <w:t>, on the following page</w:t>
      </w:r>
      <w:r w:rsidRPr="00CC1C96">
        <w:rPr>
          <w:rFonts w:ascii="CG Omega" w:hAnsi="CG Omega"/>
          <w:bCs/>
        </w:rPr>
        <w:t>, there are expected to be</w:t>
      </w:r>
      <w:r w:rsidR="00A7357A" w:rsidRPr="00CC1C96">
        <w:rPr>
          <w:rFonts w:ascii="CG Omega" w:hAnsi="CG Omega"/>
          <w:bCs/>
        </w:rPr>
        <w:t xml:space="preserve"> roughly </w:t>
      </w:r>
      <w:r w:rsidR="00CC1C96" w:rsidRPr="00CC1C96">
        <w:rPr>
          <w:rFonts w:ascii="CG Omega" w:hAnsi="CG Omega"/>
          <w:bCs/>
        </w:rPr>
        <w:t>169,664</w:t>
      </w:r>
      <w:r w:rsidR="00A7357A" w:rsidRPr="00CC1C96">
        <w:rPr>
          <w:rFonts w:ascii="CG Omega" w:hAnsi="CG Omega"/>
          <w:bCs/>
        </w:rPr>
        <w:t xml:space="preserve"> owner and </w:t>
      </w:r>
      <w:r w:rsidR="00CC1C96" w:rsidRPr="00CC1C96">
        <w:rPr>
          <w:rFonts w:ascii="CG Omega" w:hAnsi="CG Omega"/>
          <w:bCs/>
        </w:rPr>
        <w:t>121,913</w:t>
      </w:r>
      <w:r w:rsidR="00A7357A" w:rsidRPr="00CC1C96">
        <w:rPr>
          <w:rFonts w:ascii="CG Omega" w:hAnsi="CG Omega"/>
          <w:bCs/>
        </w:rPr>
        <w:t xml:space="preserve"> renter households with housing proble</w:t>
      </w:r>
      <w:r w:rsidR="00C737EF" w:rsidRPr="00CC1C96">
        <w:rPr>
          <w:rFonts w:ascii="CG Omega" w:hAnsi="CG Omega"/>
          <w:bCs/>
        </w:rPr>
        <w:t xml:space="preserve">ms. Of these households, </w:t>
      </w:r>
      <w:r w:rsidR="00F30C76">
        <w:rPr>
          <w:rFonts w:ascii="CG Omega" w:hAnsi="CG Omega"/>
          <w:bCs/>
        </w:rPr>
        <w:t xml:space="preserve">there are expected to be </w:t>
      </w:r>
      <w:r w:rsidR="00CC1C96" w:rsidRPr="00CC1C96">
        <w:rPr>
          <w:rFonts w:ascii="CG Omega" w:hAnsi="CG Omega"/>
          <w:bCs/>
        </w:rPr>
        <w:t>108,859</w:t>
      </w:r>
      <w:r w:rsidR="00A7357A" w:rsidRPr="00CC1C96">
        <w:rPr>
          <w:rFonts w:ascii="CG Omega" w:hAnsi="CG Omega"/>
          <w:bCs/>
        </w:rPr>
        <w:t xml:space="preserve"> owner and </w:t>
      </w:r>
      <w:r w:rsidR="00CC1C96" w:rsidRPr="00CC1C96">
        <w:rPr>
          <w:rFonts w:ascii="CG Omega" w:hAnsi="CG Omega"/>
          <w:bCs/>
        </w:rPr>
        <w:t>110,031</w:t>
      </w:r>
      <w:r w:rsidR="00A7357A" w:rsidRPr="00CC1C96">
        <w:rPr>
          <w:rFonts w:ascii="CG Omega" w:hAnsi="CG Omega"/>
          <w:bCs/>
        </w:rPr>
        <w:t xml:space="preserve"> </w:t>
      </w:r>
      <w:r w:rsidR="00F30C76">
        <w:rPr>
          <w:rFonts w:ascii="CG Omega" w:hAnsi="CG Omega"/>
          <w:bCs/>
        </w:rPr>
        <w:t xml:space="preserve">renter </w:t>
      </w:r>
      <w:r w:rsidR="00A7357A" w:rsidRPr="00CC1C96">
        <w:rPr>
          <w:rFonts w:ascii="CG Omega" w:hAnsi="CG Omega"/>
          <w:bCs/>
        </w:rPr>
        <w:t xml:space="preserve">households </w:t>
      </w:r>
      <w:r w:rsidR="00F30C76">
        <w:rPr>
          <w:rFonts w:ascii="CG Omega" w:hAnsi="CG Omega"/>
          <w:bCs/>
        </w:rPr>
        <w:t xml:space="preserve">with incomes at or below 80 percent MFI </w:t>
      </w:r>
      <w:r w:rsidR="00C55386">
        <w:rPr>
          <w:rFonts w:ascii="CG Omega" w:hAnsi="CG Omega"/>
          <w:bCs/>
        </w:rPr>
        <w:t>with unmet housing needs</w:t>
      </w:r>
      <w:r w:rsidR="00F30C76">
        <w:rPr>
          <w:rFonts w:ascii="CG Omega" w:hAnsi="CG Omega"/>
          <w:bCs/>
        </w:rPr>
        <w:t>.</w:t>
      </w:r>
    </w:p>
    <w:p w:rsidR="00CC1C96" w:rsidRPr="00955C8C" w:rsidRDefault="00CC1C96" w:rsidP="00D428AA">
      <w:pPr>
        <w:jc w:val="both"/>
        <w:rPr>
          <w:rFonts w:ascii="CG Omega" w:hAnsi="CG Omega"/>
          <w:bCs/>
          <w:highlight w:val="yellow"/>
        </w:rPr>
      </w:pPr>
    </w:p>
    <w:tbl>
      <w:tblPr>
        <w:tblW w:w="8615" w:type="dxa"/>
        <w:jc w:val="center"/>
        <w:tblLook w:val="04A0" w:firstRow="1" w:lastRow="0" w:firstColumn="1" w:lastColumn="0" w:noHBand="0" w:noVBand="1"/>
      </w:tblPr>
      <w:tblGrid>
        <w:gridCol w:w="2135"/>
        <w:gridCol w:w="1080"/>
        <w:gridCol w:w="1080"/>
        <w:gridCol w:w="1080"/>
        <w:gridCol w:w="1080"/>
        <w:gridCol w:w="1080"/>
        <w:gridCol w:w="1080"/>
      </w:tblGrid>
      <w:tr w:rsidR="00CC1C96" w:rsidRPr="00F1714F" w:rsidTr="00CC1C96">
        <w:trPr>
          <w:trHeight w:val="990"/>
          <w:jc w:val="center"/>
        </w:trPr>
        <w:tc>
          <w:tcPr>
            <w:tcW w:w="8615" w:type="dxa"/>
            <w:gridSpan w:val="7"/>
            <w:tcBorders>
              <w:top w:val="nil"/>
              <w:left w:val="nil"/>
              <w:bottom w:val="single" w:sz="4" w:space="0" w:color="009900"/>
              <w:right w:val="nil"/>
            </w:tcBorders>
            <w:shd w:val="clear" w:color="auto" w:fill="auto"/>
            <w:noWrap/>
            <w:vAlign w:val="center"/>
            <w:hideMark/>
          </w:tcPr>
          <w:p w:rsidR="00CC1C96" w:rsidRPr="00F1714F" w:rsidRDefault="00CC1C96" w:rsidP="00CC1C96">
            <w:pPr>
              <w:jc w:val="center"/>
              <w:rPr>
                <w:rFonts w:ascii="Arial" w:hAnsi="Arial" w:cs="Arial"/>
                <w:b/>
                <w:bCs/>
              </w:rPr>
            </w:pPr>
            <w:r w:rsidRPr="00F1714F">
              <w:rPr>
                <w:rFonts w:ascii="Arial" w:hAnsi="Arial" w:cs="Arial"/>
                <w:b/>
                <w:bCs/>
              </w:rPr>
              <w:t>Table</w:t>
            </w:r>
            <w:r>
              <w:rPr>
                <w:rFonts w:ascii="Arial" w:hAnsi="Arial" w:cs="Arial"/>
                <w:b/>
                <w:bCs/>
              </w:rPr>
              <w:t xml:space="preserve"> IV.1</w:t>
            </w:r>
            <w:r w:rsidR="00F92737">
              <w:rPr>
                <w:rFonts w:ascii="Arial" w:hAnsi="Arial" w:cs="Arial"/>
                <w:b/>
                <w:bCs/>
              </w:rPr>
              <w:t>8</w:t>
            </w:r>
          </w:p>
          <w:p w:rsidR="00CC1C96" w:rsidRPr="00F1714F" w:rsidRDefault="00CC1C96" w:rsidP="00CC1C96">
            <w:pPr>
              <w:jc w:val="center"/>
              <w:rPr>
                <w:rFonts w:ascii="Arial" w:hAnsi="Arial" w:cs="Arial"/>
                <w:b/>
                <w:bCs/>
                <w:sz w:val="20"/>
                <w:szCs w:val="20"/>
              </w:rPr>
            </w:pPr>
            <w:r>
              <w:rPr>
                <w:rFonts w:ascii="Arial" w:hAnsi="Arial" w:cs="Arial"/>
                <w:b/>
                <w:bCs/>
                <w:sz w:val="20"/>
                <w:szCs w:val="20"/>
              </w:rPr>
              <w:t>2020 Households with Housing Problems by Income</w:t>
            </w:r>
            <w:r w:rsidR="008503F8">
              <w:rPr>
                <w:rFonts w:ascii="Arial" w:hAnsi="Arial" w:cs="Arial"/>
                <w:b/>
                <w:bCs/>
                <w:sz w:val="20"/>
                <w:szCs w:val="20"/>
              </w:rPr>
              <w:t>,</w:t>
            </w:r>
            <w:r>
              <w:rPr>
                <w:rFonts w:ascii="Arial" w:hAnsi="Arial" w:cs="Arial"/>
                <w:b/>
                <w:bCs/>
                <w:sz w:val="20"/>
                <w:szCs w:val="20"/>
              </w:rPr>
              <w:t xml:space="preserve"> by Tenure</w:t>
            </w:r>
            <w:r w:rsidR="008503F8">
              <w:rPr>
                <w:rFonts w:ascii="Arial" w:hAnsi="Arial" w:cs="Arial"/>
                <w:b/>
                <w:bCs/>
                <w:sz w:val="20"/>
                <w:szCs w:val="20"/>
              </w:rPr>
              <w:t>,</w:t>
            </w:r>
            <w:r>
              <w:rPr>
                <w:rFonts w:ascii="Arial" w:hAnsi="Arial" w:cs="Arial"/>
                <w:b/>
                <w:bCs/>
                <w:sz w:val="20"/>
                <w:szCs w:val="20"/>
              </w:rPr>
              <w:t xml:space="preserve"> by Family Status</w:t>
            </w:r>
          </w:p>
          <w:p w:rsidR="00CC1C96" w:rsidRPr="00F1714F" w:rsidRDefault="00CC1C96" w:rsidP="00CC1C96">
            <w:pPr>
              <w:jc w:val="center"/>
              <w:rPr>
                <w:rFonts w:ascii="Arial" w:hAnsi="Arial" w:cs="Arial"/>
                <w:sz w:val="16"/>
                <w:szCs w:val="16"/>
              </w:rPr>
            </w:pPr>
            <w:r w:rsidRPr="00F1714F">
              <w:rPr>
                <w:rFonts w:ascii="Arial" w:hAnsi="Arial" w:cs="Arial"/>
                <w:sz w:val="16"/>
                <w:szCs w:val="16"/>
              </w:rPr>
              <w:t>State of New Mexico</w:t>
            </w:r>
          </w:p>
          <w:p w:rsidR="00CC1C96" w:rsidRPr="00F1714F" w:rsidRDefault="00CC1C96" w:rsidP="00CC1C96">
            <w:pPr>
              <w:jc w:val="center"/>
              <w:rPr>
                <w:rFonts w:ascii="Arial" w:hAnsi="Arial" w:cs="Arial"/>
                <w:b/>
                <w:bCs/>
              </w:rPr>
            </w:pPr>
            <w:r w:rsidRPr="00F1714F">
              <w:rPr>
                <w:rFonts w:ascii="Arial" w:hAnsi="Arial" w:cs="Arial"/>
                <w:sz w:val="16"/>
                <w:szCs w:val="16"/>
              </w:rPr>
              <w:t>2006–2010 HUD CHAS and BBER Data</w:t>
            </w:r>
          </w:p>
        </w:tc>
      </w:tr>
      <w:tr w:rsidR="00CC1C96" w:rsidRPr="00F1714F" w:rsidTr="00CC1C96">
        <w:trPr>
          <w:trHeight w:val="450"/>
          <w:jc w:val="center"/>
        </w:trPr>
        <w:tc>
          <w:tcPr>
            <w:tcW w:w="2135" w:type="dxa"/>
            <w:tcBorders>
              <w:top w:val="single" w:sz="4" w:space="0" w:color="009900"/>
              <w:left w:val="single" w:sz="4" w:space="0" w:color="009900"/>
              <w:bottom w:val="single" w:sz="4" w:space="0" w:color="009900"/>
              <w:right w:val="nil"/>
            </w:tcBorders>
            <w:shd w:val="clear" w:color="000000" w:fill="FFFFE1"/>
            <w:vAlign w:val="center"/>
            <w:hideMark/>
          </w:tcPr>
          <w:p w:rsidR="00CC1C96" w:rsidRPr="00F1714F" w:rsidRDefault="00CC1C96" w:rsidP="00CC1C96">
            <w:pPr>
              <w:rPr>
                <w:rFonts w:ascii="Arial" w:hAnsi="Arial" w:cs="Arial"/>
                <w:b/>
                <w:bCs/>
                <w:sz w:val="16"/>
                <w:szCs w:val="16"/>
              </w:rPr>
            </w:pPr>
            <w:r w:rsidRPr="00F1714F">
              <w:rPr>
                <w:rFonts w:ascii="Arial" w:hAnsi="Arial" w:cs="Arial"/>
                <w:b/>
                <w:bCs/>
                <w:sz w:val="16"/>
                <w:szCs w:val="16"/>
              </w:rPr>
              <w:t>Income</w:t>
            </w:r>
          </w:p>
        </w:tc>
        <w:tc>
          <w:tcPr>
            <w:tcW w:w="1080" w:type="dxa"/>
            <w:tcBorders>
              <w:top w:val="single" w:sz="4" w:space="0" w:color="009900"/>
              <w:left w:val="nil"/>
              <w:bottom w:val="single" w:sz="4" w:space="0" w:color="009900"/>
              <w:right w:val="nil"/>
            </w:tcBorders>
            <w:shd w:val="clear" w:color="FFFFFF" w:fill="FFFFE1"/>
            <w:vAlign w:val="center"/>
            <w:hideMark/>
          </w:tcPr>
          <w:p w:rsidR="00CC1C96" w:rsidRPr="00F1714F" w:rsidRDefault="00CC1C96" w:rsidP="00CC1C96">
            <w:pPr>
              <w:jc w:val="center"/>
              <w:rPr>
                <w:rFonts w:ascii="Arial" w:hAnsi="Arial" w:cs="Arial"/>
                <w:b/>
                <w:bCs/>
                <w:color w:val="000000"/>
                <w:sz w:val="16"/>
                <w:szCs w:val="16"/>
              </w:rPr>
            </w:pPr>
            <w:r w:rsidRPr="00F1714F">
              <w:rPr>
                <w:rFonts w:ascii="Arial" w:hAnsi="Arial" w:cs="Arial"/>
                <w:b/>
                <w:bCs/>
                <w:color w:val="000000"/>
                <w:sz w:val="16"/>
                <w:szCs w:val="16"/>
              </w:rPr>
              <w:t>Elderly Family</w:t>
            </w:r>
          </w:p>
        </w:tc>
        <w:tc>
          <w:tcPr>
            <w:tcW w:w="1080" w:type="dxa"/>
            <w:tcBorders>
              <w:top w:val="single" w:sz="4" w:space="0" w:color="009900"/>
              <w:left w:val="nil"/>
              <w:bottom w:val="single" w:sz="4" w:space="0" w:color="009900"/>
              <w:right w:val="nil"/>
            </w:tcBorders>
            <w:shd w:val="clear" w:color="FFFFFF" w:fill="FFFFE1"/>
            <w:vAlign w:val="center"/>
            <w:hideMark/>
          </w:tcPr>
          <w:p w:rsidR="00CC1C96" w:rsidRPr="00F1714F" w:rsidRDefault="00CC1C96" w:rsidP="00CC1C96">
            <w:pPr>
              <w:jc w:val="center"/>
              <w:rPr>
                <w:rFonts w:ascii="Arial" w:hAnsi="Arial" w:cs="Arial"/>
                <w:b/>
                <w:bCs/>
                <w:color w:val="000000"/>
                <w:sz w:val="16"/>
                <w:szCs w:val="16"/>
              </w:rPr>
            </w:pPr>
            <w:r w:rsidRPr="00F1714F">
              <w:rPr>
                <w:rFonts w:ascii="Arial" w:hAnsi="Arial" w:cs="Arial"/>
                <w:b/>
                <w:bCs/>
                <w:color w:val="000000"/>
                <w:sz w:val="16"/>
                <w:szCs w:val="16"/>
              </w:rPr>
              <w:t>Small Family</w:t>
            </w:r>
          </w:p>
        </w:tc>
        <w:tc>
          <w:tcPr>
            <w:tcW w:w="1080" w:type="dxa"/>
            <w:tcBorders>
              <w:top w:val="single" w:sz="4" w:space="0" w:color="009900"/>
              <w:left w:val="nil"/>
              <w:bottom w:val="single" w:sz="4" w:space="0" w:color="009900"/>
              <w:right w:val="nil"/>
            </w:tcBorders>
            <w:shd w:val="clear" w:color="FFFFFF" w:fill="FFFFE1"/>
            <w:vAlign w:val="center"/>
            <w:hideMark/>
          </w:tcPr>
          <w:p w:rsidR="00CC1C96" w:rsidRPr="00F1714F" w:rsidRDefault="00CC1C96" w:rsidP="00CC1C96">
            <w:pPr>
              <w:jc w:val="center"/>
              <w:rPr>
                <w:rFonts w:ascii="Arial" w:hAnsi="Arial" w:cs="Arial"/>
                <w:b/>
                <w:bCs/>
                <w:color w:val="000000"/>
                <w:sz w:val="16"/>
                <w:szCs w:val="16"/>
              </w:rPr>
            </w:pPr>
            <w:r w:rsidRPr="00F1714F">
              <w:rPr>
                <w:rFonts w:ascii="Arial" w:hAnsi="Arial" w:cs="Arial"/>
                <w:b/>
                <w:bCs/>
                <w:color w:val="000000"/>
                <w:sz w:val="16"/>
                <w:szCs w:val="16"/>
              </w:rPr>
              <w:t>Large Family</w:t>
            </w:r>
          </w:p>
        </w:tc>
        <w:tc>
          <w:tcPr>
            <w:tcW w:w="1080" w:type="dxa"/>
            <w:tcBorders>
              <w:top w:val="single" w:sz="4" w:space="0" w:color="009900"/>
              <w:left w:val="nil"/>
              <w:bottom w:val="single" w:sz="4" w:space="0" w:color="009900"/>
              <w:right w:val="nil"/>
            </w:tcBorders>
            <w:shd w:val="clear" w:color="FFFFFF" w:fill="FFFFE1"/>
            <w:vAlign w:val="center"/>
            <w:hideMark/>
          </w:tcPr>
          <w:p w:rsidR="00CC1C96" w:rsidRPr="00F1714F" w:rsidRDefault="00CC1C96" w:rsidP="00CC1C96">
            <w:pPr>
              <w:jc w:val="center"/>
              <w:rPr>
                <w:rFonts w:ascii="Arial" w:hAnsi="Arial" w:cs="Arial"/>
                <w:b/>
                <w:bCs/>
                <w:color w:val="000000"/>
                <w:sz w:val="16"/>
                <w:szCs w:val="16"/>
              </w:rPr>
            </w:pPr>
            <w:r w:rsidRPr="00F1714F">
              <w:rPr>
                <w:rFonts w:ascii="Arial" w:hAnsi="Arial" w:cs="Arial"/>
                <w:b/>
                <w:bCs/>
                <w:color w:val="000000"/>
                <w:sz w:val="16"/>
                <w:szCs w:val="16"/>
              </w:rPr>
              <w:t>Elderly Non-Family</w:t>
            </w:r>
          </w:p>
        </w:tc>
        <w:tc>
          <w:tcPr>
            <w:tcW w:w="1080" w:type="dxa"/>
            <w:tcBorders>
              <w:top w:val="single" w:sz="4" w:space="0" w:color="009900"/>
              <w:left w:val="nil"/>
              <w:bottom w:val="single" w:sz="4" w:space="0" w:color="009900"/>
              <w:right w:val="nil"/>
            </w:tcBorders>
            <w:shd w:val="clear" w:color="FFFFFF" w:fill="FFFFE1"/>
            <w:vAlign w:val="center"/>
            <w:hideMark/>
          </w:tcPr>
          <w:p w:rsidR="00CC1C96" w:rsidRPr="00F1714F" w:rsidRDefault="00CC1C96" w:rsidP="00CC1C96">
            <w:pPr>
              <w:jc w:val="center"/>
              <w:rPr>
                <w:rFonts w:ascii="Arial" w:hAnsi="Arial" w:cs="Arial"/>
                <w:b/>
                <w:bCs/>
                <w:color w:val="000000"/>
                <w:sz w:val="16"/>
                <w:szCs w:val="16"/>
              </w:rPr>
            </w:pPr>
            <w:r w:rsidRPr="00F1714F">
              <w:rPr>
                <w:rFonts w:ascii="Arial" w:hAnsi="Arial" w:cs="Arial"/>
                <w:b/>
                <w:bCs/>
                <w:color w:val="000000"/>
                <w:sz w:val="16"/>
                <w:szCs w:val="16"/>
              </w:rPr>
              <w:t>Other Household</w:t>
            </w:r>
          </w:p>
        </w:tc>
        <w:tc>
          <w:tcPr>
            <w:tcW w:w="1080" w:type="dxa"/>
            <w:tcBorders>
              <w:top w:val="single" w:sz="4" w:space="0" w:color="009900"/>
              <w:left w:val="nil"/>
              <w:bottom w:val="single" w:sz="4" w:space="0" w:color="009900"/>
              <w:right w:val="single" w:sz="4" w:space="0" w:color="009900"/>
            </w:tcBorders>
            <w:shd w:val="clear" w:color="FFFFFF" w:fill="FFFFE1"/>
            <w:vAlign w:val="center"/>
            <w:hideMark/>
          </w:tcPr>
          <w:p w:rsidR="00CC1C96" w:rsidRPr="00F1714F" w:rsidRDefault="00CC1C96" w:rsidP="00CC1C96">
            <w:pPr>
              <w:jc w:val="center"/>
              <w:rPr>
                <w:rFonts w:ascii="Arial" w:hAnsi="Arial" w:cs="Arial"/>
                <w:b/>
                <w:bCs/>
                <w:color w:val="000000"/>
                <w:sz w:val="16"/>
                <w:szCs w:val="16"/>
              </w:rPr>
            </w:pPr>
            <w:r w:rsidRPr="00F1714F">
              <w:rPr>
                <w:rFonts w:ascii="Arial" w:hAnsi="Arial" w:cs="Arial"/>
                <w:b/>
                <w:bCs/>
                <w:color w:val="000000"/>
                <w:sz w:val="16"/>
                <w:szCs w:val="16"/>
              </w:rPr>
              <w:t>Total</w:t>
            </w:r>
          </w:p>
        </w:tc>
      </w:tr>
      <w:tr w:rsidR="00CC1C96" w:rsidRPr="00F1714F" w:rsidTr="00CC1C96">
        <w:trPr>
          <w:trHeight w:val="255"/>
          <w:jc w:val="center"/>
        </w:trPr>
        <w:tc>
          <w:tcPr>
            <w:tcW w:w="8615" w:type="dxa"/>
            <w:gridSpan w:val="7"/>
            <w:tcBorders>
              <w:top w:val="single" w:sz="4" w:space="0" w:color="009900"/>
              <w:left w:val="single" w:sz="4" w:space="0" w:color="009900"/>
              <w:bottom w:val="single" w:sz="4" w:space="0" w:color="009900"/>
              <w:right w:val="single" w:sz="4" w:space="0" w:color="009900"/>
            </w:tcBorders>
            <w:shd w:val="clear" w:color="000000" w:fill="FFFFE1"/>
            <w:noWrap/>
            <w:vAlign w:val="center"/>
            <w:hideMark/>
          </w:tcPr>
          <w:p w:rsidR="00CC1C96" w:rsidRPr="00F1714F" w:rsidRDefault="00CC1C96" w:rsidP="00CC1C96">
            <w:pPr>
              <w:jc w:val="center"/>
              <w:rPr>
                <w:rFonts w:ascii="Arial" w:hAnsi="Arial" w:cs="Arial"/>
                <w:b/>
                <w:bCs/>
                <w:sz w:val="16"/>
                <w:szCs w:val="16"/>
              </w:rPr>
            </w:pPr>
            <w:r w:rsidRPr="00F1714F">
              <w:rPr>
                <w:rFonts w:ascii="Arial" w:hAnsi="Arial" w:cs="Arial"/>
                <w:b/>
                <w:bCs/>
                <w:sz w:val="16"/>
                <w:szCs w:val="16"/>
              </w:rPr>
              <w:t>Owner</w:t>
            </w:r>
          </w:p>
        </w:tc>
      </w:tr>
      <w:tr w:rsidR="00CC1C96" w:rsidRPr="00F1714F" w:rsidTr="00CC1C96">
        <w:trPr>
          <w:trHeight w:val="255"/>
          <w:jc w:val="center"/>
        </w:trPr>
        <w:tc>
          <w:tcPr>
            <w:tcW w:w="2135" w:type="dxa"/>
            <w:tcBorders>
              <w:top w:val="nil"/>
              <w:left w:val="single" w:sz="4" w:space="0" w:color="009900"/>
              <w:bottom w:val="nil"/>
              <w:right w:val="nil"/>
            </w:tcBorders>
            <w:shd w:val="clear" w:color="FFFFFF" w:fill="FFFFE1"/>
            <w:vAlign w:val="center"/>
            <w:hideMark/>
          </w:tcPr>
          <w:p w:rsidR="00CC1C96" w:rsidRPr="00F1714F" w:rsidRDefault="00CC1C96" w:rsidP="00CC1C96">
            <w:pPr>
              <w:rPr>
                <w:rFonts w:ascii="Arial" w:hAnsi="Arial" w:cs="Arial"/>
                <w:color w:val="000000"/>
                <w:sz w:val="16"/>
                <w:szCs w:val="16"/>
              </w:rPr>
            </w:pPr>
            <w:r w:rsidRPr="00F1714F">
              <w:rPr>
                <w:rFonts w:ascii="Arial" w:hAnsi="Arial" w:cs="Arial"/>
                <w:color w:val="000000"/>
                <w:sz w:val="16"/>
                <w:szCs w:val="16"/>
              </w:rPr>
              <w:t>30% HAMFI or less</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3,443</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9,892</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2,492</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9,862</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9,067</w:t>
            </w:r>
          </w:p>
        </w:tc>
        <w:tc>
          <w:tcPr>
            <w:tcW w:w="1080" w:type="dxa"/>
            <w:tcBorders>
              <w:top w:val="nil"/>
              <w:left w:val="nil"/>
              <w:bottom w:val="nil"/>
              <w:right w:val="single" w:sz="4" w:space="0" w:color="009900"/>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34,756</w:t>
            </w:r>
          </w:p>
        </w:tc>
      </w:tr>
      <w:tr w:rsidR="00CC1C96" w:rsidRPr="00F1714F" w:rsidTr="00CC1C96">
        <w:trPr>
          <w:trHeight w:val="255"/>
          <w:jc w:val="center"/>
        </w:trPr>
        <w:tc>
          <w:tcPr>
            <w:tcW w:w="2135" w:type="dxa"/>
            <w:tcBorders>
              <w:top w:val="nil"/>
              <w:left w:val="single" w:sz="4" w:space="0" w:color="009900"/>
              <w:bottom w:val="nil"/>
              <w:right w:val="nil"/>
            </w:tcBorders>
            <w:shd w:val="clear" w:color="FFFFFF" w:fill="FFFFE1"/>
            <w:vAlign w:val="center"/>
            <w:hideMark/>
          </w:tcPr>
          <w:p w:rsidR="00CC1C96" w:rsidRPr="00F1714F" w:rsidRDefault="00CC1C96" w:rsidP="00CC1C96">
            <w:pPr>
              <w:rPr>
                <w:rFonts w:ascii="Arial" w:hAnsi="Arial" w:cs="Arial"/>
                <w:color w:val="000000"/>
                <w:sz w:val="16"/>
                <w:szCs w:val="16"/>
              </w:rPr>
            </w:pPr>
            <w:r w:rsidRPr="00F1714F">
              <w:rPr>
                <w:rFonts w:ascii="Arial" w:hAnsi="Arial" w:cs="Arial"/>
                <w:color w:val="000000"/>
                <w:sz w:val="16"/>
                <w:szCs w:val="16"/>
              </w:rPr>
              <w:t>30.1-50% HAMFI</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4,226</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11,398</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3,969</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7,059</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6,031</w:t>
            </w:r>
          </w:p>
        </w:tc>
        <w:tc>
          <w:tcPr>
            <w:tcW w:w="1080" w:type="dxa"/>
            <w:tcBorders>
              <w:top w:val="nil"/>
              <w:left w:val="nil"/>
              <w:bottom w:val="nil"/>
              <w:right w:val="single" w:sz="4" w:space="0" w:color="009900"/>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32,682</w:t>
            </w:r>
          </w:p>
        </w:tc>
      </w:tr>
      <w:tr w:rsidR="00CC1C96" w:rsidRPr="00F1714F" w:rsidTr="00CC1C96">
        <w:trPr>
          <w:trHeight w:val="255"/>
          <w:jc w:val="center"/>
        </w:trPr>
        <w:tc>
          <w:tcPr>
            <w:tcW w:w="2135" w:type="dxa"/>
            <w:tcBorders>
              <w:top w:val="nil"/>
              <w:left w:val="single" w:sz="4" w:space="0" w:color="009900"/>
              <w:bottom w:val="nil"/>
              <w:right w:val="nil"/>
            </w:tcBorders>
            <w:shd w:val="clear" w:color="FFFFFF" w:fill="FFFFE1"/>
            <w:vAlign w:val="center"/>
            <w:hideMark/>
          </w:tcPr>
          <w:p w:rsidR="00CC1C96" w:rsidRPr="00F1714F" w:rsidRDefault="00CC1C96" w:rsidP="00CC1C96">
            <w:pPr>
              <w:rPr>
                <w:rFonts w:ascii="Arial" w:hAnsi="Arial" w:cs="Arial"/>
                <w:color w:val="000000"/>
                <w:sz w:val="16"/>
                <w:szCs w:val="16"/>
              </w:rPr>
            </w:pPr>
            <w:r w:rsidRPr="00F1714F">
              <w:rPr>
                <w:rFonts w:ascii="Arial" w:hAnsi="Arial" w:cs="Arial"/>
                <w:color w:val="000000"/>
                <w:sz w:val="16"/>
                <w:szCs w:val="16"/>
              </w:rPr>
              <w:t>50.1-80% HAMFI</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4,698</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16,586</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6,150</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5,337</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8,649</w:t>
            </w:r>
          </w:p>
        </w:tc>
        <w:tc>
          <w:tcPr>
            <w:tcW w:w="1080" w:type="dxa"/>
            <w:tcBorders>
              <w:top w:val="nil"/>
              <w:left w:val="nil"/>
              <w:bottom w:val="nil"/>
              <w:right w:val="single" w:sz="4" w:space="0" w:color="009900"/>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41,421</w:t>
            </w:r>
          </w:p>
        </w:tc>
      </w:tr>
      <w:tr w:rsidR="00CC1C96" w:rsidRPr="00F1714F" w:rsidTr="00CC1C96">
        <w:trPr>
          <w:trHeight w:val="255"/>
          <w:jc w:val="center"/>
        </w:trPr>
        <w:tc>
          <w:tcPr>
            <w:tcW w:w="2135" w:type="dxa"/>
            <w:tcBorders>
              <w:top w:val="nil"/>
              <w:left w:val="single" w:sz="4" w:space="0" w:color="009900"/>
              <w:bottom w:val="nil"/>
              <w:right w:val="nil"/>
            </w:tcBorders>
            <w:shd w:val="clear" w:color="FFFFFF" w:fill="FFFFE1"/>
            <w:vAlign w:val="center"/>
            <w:hideMark/>
          </w:tcPr>
          <w:p w:rsidR="00CC1C96" w:rsidRPr="00F1714F" w:rsidRDefault="00CC1C96" w:rsidP="00CC1C96">
            <w:pPr>
              <w:rPr>
                <w:rFonts w:ascii="Arial" w:hAnsi="Arial" w:cs="Arial"/>
                <w:color w:val="000000"/>
                <w:sz w:val="16"/>
                <w:szCs w:val="16"/>
              </w:rPr>
            </w:pPr>
            <w:r w:rsidRPr="00F1714F">
              <w:rPr>
                <w:rFonts w:ascii="Arial" w:hAnsi="Arial" w:cs="Arial"/>
                <w:color w:val="000000"/>
                <w:sz w:val="16"/>
                <w:szCs w:val="16"/>
              </w:rPr>
              <w:t>80.1% HAMFI or more</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6,933</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26,705</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9,671</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4,166</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13,329</w:t>
            </w:r>
          </w:p>
        </w:tc>
        <w:tc>
          <w:tcPr>
            <w:tcW w:w="1080" w:type="dxa"/>
            <w:tcBorders>
              <w:top w:val="nil"/>
              <w:left w:val="nil"/>
              <w:bottom w:val="nil"/>
              <w:right w:val="single" w:sz="4" w:space="0" w:color="009900"/>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60,804</w:t>
            </w:r>
          </w:p>
        </w:tc>
      </w:tr>
      <w:tr w:rsidR="00CC1C96" w:rsidRPr="00F1714F" w:rsidTr="00CC1C96">
        <w:trPr>
          <w:trHeight w:val="255"/>
          <w:jc w:val="center"/>
        </w:trPr>
        <w:tc>
          <w:tcPr>
            <w:tcW w:w="2135" w:type="dxa"/>
            <w:tcBorders>
              <w:top w:val="dotted" w:sz="4" w:space="0" w:color="009900"/>
              <w:left w:val="single" w:sz="4" w:space="0" w:color="009900"/>
              <w:bottom w:val="single" w:sz="4" w:space="0" w:color="009900"/>
              <w:right w:val="nil"/>
            </w:tcBorders>
            <w:shd w:val="clear" w:color="000000" w:fill="FFFFE1"/>
            <w:noWrap/>
            <w:vAlign w:val="center"/>
            <w:hideMark/>
          </w:tcPr>
          <w:p w:rsidR="00CC1C96" w:rsidRPr="00F1714F" w:rsidRDefault="00CC1C96" w:rsidP="00CC1C96">
            <w:pPr>
              <w:rPr>
                <w:rFonts w:ascii="Arial" w:hAnsi="Arial" w:cs="Arial"/>
                <w:sz w:val="16"/>
                <w:szCs w:val="16"/>
              </w:rPr>
            </w:pPr>
            <w:r w:rsidRPr="00F1714F">
              <w:rPr>
                <w:rFonts w:ascii="Arial" w:hAnsi="Arial" w:cs="Arial"/>
                <w:sz w:val="16"/>
                <w:szCs w:val="16"/>
              </w:rPr>
              <w:t>Total</w:t>
            </w:r>
          </w:p>
        </w:tc>
        <w:tc>
          <w:tcPr>
            <w:tcW w:w="1080" w:type="dxa"/>
            <w:tcBorders>
              <w:top w:val="dotted" w:sz="4" w:space="0" w:color="009900"/>
              <w:left w:val="nil"/>
              <w:bottom w:val="single" w:sz="4" w:space="0" w:color="009900"/>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19,300</w:t>
            </w:r>
          </w:p>
        </w:tc>
        <w:tc>
          <w:tcPr>
            <w:tcW w:w="1080" w:type="dxa"/>
            <w:tcBorders>
              <w:top w:val="dotted" w:sz="4" w:space="0" w:color="009900"/>
              <w:left w:val="nil"/>
              <w:bottom w:val="single" w:sz="4" w:space="0" w:color="009900"/>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64,582</w:t>
            </w:r>
          </w:p>
        </w:tc>
        <w:tc>
          <w:tcPr>
            <w:tcW w:w="1080" w:type="dxa"/>
            <w:tcBorders>
              <w:top w:val="dotted" w:sz="4" w:space="0" w:color="009900"/>
              <w:left w:val="nil"/>
              <w:bottom w:val="single" w:sz="4" w:space="0" w:color="009900"/>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22,282</w:t>
            </w:r>
          </w:p>
        </w:tc>
        <w:tc>
          <w:tcPr>
            <w:tcW w:w="1080" w:type="dxa"/>
            <w:tcBorders>
              <w:top w:val="dotted" w:sz="4" w:space="0" w:color="009900"/>
              <w:left w:val="nil"/>
              <w:bottom w:val="single" w:sz="4" w:space="0" w:color="009900"/>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26,424</w:t>
            </w:r>
          </w:p>
        </w:tc>
        <w:tc>
          <w:tcPr>
            <w:tcW w:w="1080" w:type="dxa"/>
            <w:tcBorders>
              <w:top w:val="dotted" w:sz="4" w:space="0" w:color="009900"/>
              <w:left w:val="nil"/>
              <w:bottom w:val="single" w:sz="4" w:space="0" w:color="009900"/>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37,075</w:t>
            </w:r>
          </w:p>
        </w:tc>
        <w:tc>
          <w:tcPr>
            <w:tcW w:w="1080" w:type="dxa"/>
            <w:tcBorders>
              <w:top w:val="dotted" w:sz="4" w:space="0" w:color="009900"/>
              <w:left w:val="nil"/>
              <w:bottom w:val="single" w:sz="4" w:space="0" w:color="009900"/>
              <w:right w:val="single" w:sz="4" w:space="0" w:color="009900"/>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169,664</w:t>
            </w:r>
          </w:p>
        </w:tc>
      </w:tr>
      <w:tr w:rsidR="00CC1C96" w:rsidRPr="00F1714F" w:rsidTr="00CC1C96">
        <w:trPr>
          <w:trHeight w:val="255"/>
          <w:jc w:val="center"/>
        </w:trPr>
        <w:tc>
          <w:tcPr>
            <w:tcW w:w="8615" w:type="dxa"/>
            <w:gridSpan w:val="7"/>
            <w:tcBorders>
              <w:top w:val="single" w:sz="4" w:space="0" w:color="009900"/>
              <w:left w:val="single" w:sz="4" w:space="0" w:color="009900"/>
              <w:bottom w:val="single" w:sz="4" w:space="0" w:color="009900"/>
              <w:right w:val="single" w:sz="4" w:space="0" w:color="009900"/>
            </w:tcBorders>
            <w:shd w:val="clear" w:color="000000" w:fill="FFFFE1"/>
            <w:noWrap/>
            <w:vAlign w:val="center"/>
            <w:hideMark/>
          </w:tcPr>
          <w:p w:rsidR="00CC1C96" w:rsidRPr="00F1714F" w:rsidRDefault="00CC1C96" w:rsidP="00CC1C96">
            <w:pPr>
              <w:jc w:val="center"/>
              <w:rPr>
                <w:rFonts w:ascii="Arial" w:hAnsi="Arial" w:cs="Arial"/>
                <w:b/>
                <w:bCs/>
                <w:sz w:val="16"/>
                <w:szCs w:val="16"/>
              </w:rPr>
            </w:pPr>
            <w:r w:rsidRPr="00F1714F">
              <w:rPr>
                <w:rFonts w:ascii="Arial" w:hAnsi="Arial" w:cs="Arial"/>
                <w:b/>
                <w:bCs/>
                <w:sz w:val="16"/>
                <w:szCs w:val="16"/>
              </w:rPr>
              <w:t>Renter</w:t>
            </w:r>
          </w:p>
        </w:tc>
      </w:tr>
      <w:tr w:rsidR="00CC1C96" w:rsidRPr="00F1714F" w:rsidTr="00CC1C96">
        <w:trPr>
          <w:trHeight w:val="255"/>
          <w:jc w:val="center"/>
        </w:trPr>
        <w:tc>
          <w:tcPr>
            <w:tcW w:w="2135" w:type="dxa"/>
            <w:tcBorders>
              <w:top w:val="nil"/>
              <w:left w:val="single" w:sz="4" w:space="0" w:color="009900"/>
              <w:bottom w:val="nil"/>
              <w:right w:val="nil"/>
            </w:tcBorders>
            <w:shd w:val="clear" w:color="FFFFFF" w:fill="FFFFE1"/>
            <w:vAlign w:val="center"/>
            <w:hideMark/>
          </w:tcPr>
          <w:p w:rsidR="00CC1C96" w:rsidRPr="00F1714F" w:rsidRDefault="00CC1C96" w:rsidP="00CC1C96">
            <w:pPr>
              <w:rPr>
                <w:rFonts w:ascii="Arial" w:hAnsi="Arial" w:cs="Arial"/>
                <w:color w:val="000000"/>
                <w:sz w:val="16"/>
                <w:szCs w:val="16"/>
              </w:rPr>
            </w:pPr>
            <w:r w:rsidRPr="00F1714F">
              <w:rPr>
                <w:rFonts w:ascii="Arial" w:hAnsi="Arial" w:cs="Arial"/>
                <w:color w:val="000000"/>
                <w:sz w:val="16"/>
                <w:szCs w:val="16"/>
              </w:rPr>
              <w:t>30% HAMFI or less</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711</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17,901</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4,584</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6,013</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18,451</w:t>
            </w:r>
          </w:p>
        </w:tc>
        <w:tc>
          <w:tcPr>
            <w:tcW w:w="1080" w:type="dxa"/>
            <w:tcBorders>
              <w:top w:val="nil"/>
              <w:left w:val="nil"/>
              <w:bottom w:val="nil"/>
              <w:right w:val="single" w:sz="4" w:space="0" w:color="009900"/>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47,661</w:t>
            </w:r>
          </w:p>
        </w:tc>
      </w:tr>
      <w:tr w:rsidR="00CC1C96" w:rsidRPr="00F1714F" w:rsidTr="00CC1C96">
        <w:trPr>
          <w:trHeight w:val="255"/>
          <w:jc w:val="center"/>
        </w:trPr>
        <w:tc>
          <w:tcPr>
            <w:tcW w:w="2135" w:type="dxa"/>
            <w:tcBorders>
              <w:top w:val="nil"/>
              <w:left w:val="single" w:sz="4" w:space="0" w:color="009900"/>
              <w:bottom w:val="nil"/>
              <w:right w:val="nil"/>
            </w:tcBorders>
            <w:shd w:val="clear" w:color="FFFFFF" w:fill="FFFFE1"/>
            <w:vAlign w:val="center"/>
            <w:hideMark/>
          </w:tcPr>
          <w:p w:rsidR="00CC1C96" w:rsidRPr="00F1714F" w:rsidRDefault="00CC1C96" w:rsidP="00CC1C96">
            <w:pPr>
              <w:rPr>
                <w:rFonts w:ascii="Arial" w:hAnsi="Arial" w:cs="Arial"/>
                <w:color w:val="000000"/>
                <w:sz w:val="16"/>
                <w:szCs w:val="16"/>
              </w:rPr>
            </w:pPr>
            <w:r w:rsidRPr="00F1714F">
              <w:rPr>
                <w:rFonts w:ascii="Arial" w:hAnsi="Arial" w:cs="Arial"/>
                <w:color w:val="000000"/>
                <w:sz w:val="16"/>
                <w:szCs w:val="16"/>
              </w:rPr>
              <w:t>30.1-50% HAMFI</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891</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14,674</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3,114</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3,843</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13,257</w:t>
            </w:r>
          </w:p>
        </w:tc>
        <w:tc>
          <w:tcPr>
            <w:tcW w:w="1080" w:type="dxa"/>
            <w:tcBorders>
              <w:top w:val="nil"/>
              <w:left w:val="nil"/>
              <w:bottom w:val="nil"/>
              <w:right w:val="single" w:sz="4" w:space="0" w:color="009900"/>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35,778</w:t>
            </w:r>
          </w:p>
        </w:tc>
      </w:tr>
      <w:tr w:rsidR="00CC1C96" w:rsidRPr="00F1714F" w:rsidTr="00CC1C96">
        <w:trPr>
          <w:trHeight w:val="255"/>
          <w:jc w:val="center"/>
        </w:trPr>
        <w:tc>
          <w:tcPr>
            <w:tcW w:w="2135" w:type="dxa"/>
            <w:tcBorders>
              <w:top w:val="nil"/>
              <w:left w:val="single" w:sz="4" w:space="0" w:color="009900"/>
              <w:bottom w:val="nil"/>
              <w:right w:val="nil"/>
            </w:tcBorders>
            <w:shd w:val="clear" w:color="FFFFFF" w:fill="FFFFE1"/>
            <w:vAlign w:val="center"/>
            <w:hideMark/>
          </w:tcPr>
          <w:p w:rsidR="00CC1C96" w:rsidRPr="00F1714F" w:rsidRDefault="00CC1C96" w:rsidP="00CC1C96">
            <w:pPr>
              <w:rPr>
                <w:rFonts w:ascii="Arial" w:hAnsi="Arial" w:cs="Arial"/>
                <w:color w:val="000000"/>
                <w:sz w:val="16"/>
                <w:szCs w:val="16"/>
              </w:rPr>
            </w:pPr>
            <w:r w:rsidRPr="00F1714F">
              <w:rPr>
                <w:rFonts w:ascii="Arial" w:hAnsi="Arial" w:cs="Arial"/>
                <w:color w:val="000000"/>
                <w:sz w:val="16"/>
                <w:szCs w:val="16"/>
              </w:rPr>
              <w:t>50.1-80% HAMFI</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1,142</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10,191</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2,965</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2,576</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9,719</w:t>
            </w:r>
          </w:p>
        </w:tc>
        <w:tc>
          <w:tcPr>
            <w:tcW w:w="1080" w:type="dxa"/>
            <w:tcBorders>
              <w:top w:val="nil"/>
              <w:left w:val="nil"/>
              <w:bottom w:val="nil"/>
              <w:right w:val="single" w:sz="4" w:space="0" w:color="009900"/>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26,592</w:t>
            </w:r>
          </w:p>
        </w:tc>
      </w:tr>
      <w:tr w:rsidR="00CC1C96" w:rsidRPr="00F1714F" w:rsidTr="00CC1C96">
        <w:trPr>
          <w:trHeight w:val="255"/>
          <w:jc w:val="center"/>
        </w:trPr>
        <w:tc>
          <w:tcPr>
            <w:tcW w:w="2135" w:type="dxa"/>
            <w:tcBorders>
              <w:top w:val="nil"/>
              <w:left w:val="single" w:sz="4" w:space="0" w:color="009900"/>
              <w:bottom w:val="nil"/>
              <w:right w:val="nil"/>
            </w:tcBorders>
            <w:shd w:val="clear" w:color="FFFFFF" w:fill="FFFFE1"/>
            <w:vAlign w:val="center"/>
            <w:hideMark/>
          </w:tcPr>
          <w:p w:rsidR="00CC1C96" w:rsidRPr="00F1714F" w:rsidRDefault="00CC1C96" w:rsidP="00CC1C96">
            <w:pPr>
              <w:rPr>
                <w:rFonts w:ascii="Arial" w:hAnsi="Arial" w:cs="Arial"/>
                <w:color w:val="000000"/>
                <w:sz w:val="16"/>
                <w:szCs w:val="16"/>
              </w:rPr>
            </w:pPr>
            <w:r w:rsidRPr="00F1714F">
              <w:rPr>
                <w:rFonts w:ascii="Arial" w:hAnsi="Arial" w:cs="Arial"/>
                <w:color w:val="000000"/>
                <w:sz w:val="16"/>
                <w:szCs w:val="16"/>
              </w:rPr>
              <w:t>80.1% HAMFI or more</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616</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3,347</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2,779</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1,476</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3,664</w:t>
            </w:r>
          </w:p>
        </w:tc>
        <w:tc>
          <w:tcPr>
            <w:tcW w:w="1080" w:type="dxa"/>
            <w:tcBorders>
              <w:top w:val="nil"/>
              <w:left w:val="nil"/>
              <w:bottom w:val="nil"/>
              <w:right w:val="single" w:sz="4" w:space="0" w:color="009900"/>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11,882</w:t>
            </w:r>
          </w:p>
        </w:tc>
      </w:tr>
      <w:tr w:rsidR="00CC1C96" w:rsidRPr="00F1714F" w:rsidTr="00CC1C96">
        <w:trPr>
          <w:trHeight w:val="255"/>
          <w:jc w:val="center"/>
        </w:trPr>
        <w:tc>
          <w:tcPr>
            <w:tcW w:w="2135" w:type="dxa"/>
            <w:tcBorders>
              <w:top w:val="dotted" w:sz="4" w:space="0" w:color="009900"/>
              <w:left w:val="single" w:sz="4" w:space="0" w:color="009900"/>
              <w:bottom w:val="single" w:sz="4" w:space="0" w:color="009900"/>
              <w:right w:val="nil"/>
            </w:tcBorders>
            <w:shd w:val="clear" w:color="000000" w:fill="FFFFE1"/>
            <w:noWrap/>
            <w:vAlign w:val="center"/>
            <w:hideMark/>
          </w:tcPr>
          <w:p w:rsidR="00CC1C96" w:rsidRPr="00F1714F" w:rsidRDefault="00CC1C96" w:rsidP="00CC1C96">
            <w:pPr>
              <w:rPr>
                <w:rFonts w:ascii="Arial" w:hAnsi="Arial" w:cs="Arial"/>
                <w:sz w:val="16"/>
                <w:szCs w:val="16"/>
              </w:rPr>
            </w:pPr>
            <w:r w:rsidRPr="00F1714F">
              <w:rPr>
                <w:rFonts w:ascii="Arial" w:hAnsi="Arial" w:cs="Arial"/>
                <w:sz w:val="16"/>
                <w:szCs w:val="16"/>
              </w:rPr>
              <w:t>Total</w:t>
            </w:r>
          </w:p>
        </w:tc>
        <w:tc>
          <w:tcPr>
            <w:tcW w:w="1080" w:type="dxa"/>
            <w:tcBorders>
              <w:top w:val="dotted" w:sz="4" w:space="0" w:color="009900"/>
              <w:left w:val="nil"/>
              <w:bottom w:val="single" w:sz="4" w:space="0" w:color="009900"/>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3,359</w:t>
            </w:r>
          </w:p>
        </w:tc>
        <w:tc>
          <w:tcPr>
            <w:tcW w:w="1080" w:type="dxa"/>
            <w:tcBorders>
              <w:top w:val="dotted" w:sz="4" w:space="0" w:color="009900"/>
              <w:left w:val="nil"/>
              <w:bottom w:val="single" w:sz="4" w:space="0" w:color="009900"/>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46,113</w:t>
            </w:r>
          </w:p>
        </w:tc>
        <w:tc>
          <w:tcPr>
            <w:tcW w:w="1080" w:type="dxa"/>
            <w:tcBorders>
              <w:top w:val="dotted" w:sz="4" w:space="0" w:color="009900"/>
              <w:left w:val="nil"/>
              <w:bottom w:val="single" w:sz="4" w:space="0" w:color="009900"/>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13,442</w:t>
            </w:r>
          </w:p>
        </w:tc>
        <w:tc>
          <w:tcPr>
            <w:tcW w:w="1080" w:type="dxa"/>
            <w:tcBorders>
              <w:top w:val="dotted" w:sz="4" w:space="0" w:color="009900"/>
              <w:left w:val="nil"/>
              <w:bottom w:val="single" w:sz="4" w:space="0" w:color="009900"/>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13,909</w:t>
            </w:r>
          </w:p>
        </w:tc>
        <w:tc>
          <w:tcPr>
            <w:tcW w:w="1080" w:type="dxa"/>
            <w:tcBorders>
              <w:top w:val="dotted" w:sz="4" w:space="0" w:color="009900"/>
              <w:left w:val="nil"/>
              <w:bottom w:val="single" w:sz="4" w:space="0" w:color="009900"/>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45,091</w:t>
            </w:r>
          </w:p>
        </w:tc>
        <w:tc>
          <w:tcPr>
            <w:tcW w:w="1080" w:type="dxa"/>
            <w:tcBorders>
              <w:top w:val="dotted" w:sz="4" w:space="0" w:color="009900"/>
              <w:left w:val="nil"/>
              <w:bottom w:val="single" w:sz="4" w:space="0" w:color="009900"/>
              <w:right w:val="single" w:sz="4" w:space="0" w:color="009900"/>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121,913</w:t>
            </w:r>
          </w:p>
        </w:tc>
      </w:tr>
      <w:tr w:rsidR="00CC1C96" w:rsidRPr="00F1714F" w:rsidTr="00CC1C96">
        <w:trPr>
          <w:trHeight w:val="255"/>
          <w:jc w:val="center"/>
        </w:trPr>
        <w:tc>
          <w:tcPr>
            <w:tcW w:w="8615" w:type="dxa"/>
            <w:gridSpan w:val="7"/>
            <w:tcBorders>
              <w:top w:val="single" w:sz="4" w:space="0" w:color="009900"/>
              <w:left w:val="single" w:sz="4" w:space="0" w:color="009900"/>
              <w:bottom w:val="single" w:sz="4" w:space="0" w:color="009900"/>
              <w:right w:val="single" w:sz="4" w:space="0" w:color="009900"/>
            </w:tcBorders>
            <w:shd w:val="clear" w:color="000000" w:fill="FFFFE1"/>
            <w:noWrap/>
            <w:vAlign w:val="center"/>
            <w:hideMark/>
          </w:tcPr>
          <w:p w:rsidR="00CC1C96" w:rsidRPr="00F1714F" w:rsidRDefault="00CC1C96" w:rsidP="00CC1C96">
            <w:pPr>
              <w:jc w:val="center"/>
              <w:rPr>
                <w:rFonts w:ascii="Arial" w:hAnsi="Arial" w:cs="Arial"/>
                <w:b/>
                <w:bCs/>
                <w:sz w:val="16"/>
                <w:szCs w:val="16"/>
              </w:rPr>
            </w:pPr>
            <w:r w:rsidRPr="00F1714F">
              <w:rPr>
                <w:rFonts w:ascii="Arial" w:hAnsi="Arial" w:cs="Arial"/>
                <w:b/>
                <w:bCs/>
                <w:sz w:val="16"/>
                <w:szCs w:val="16"/>
              </w:rPr>
              <w:t>Total</w:t>
            </w:r>
          </w:p>
        </w:tc>
      </w:tr>
      <w:tr w:rsidR="00CC1C96" w:rsidRPr="00F1714F" w:rsidTr="00CC1C96">
        <w:trPr>
          <w:trHeight w:val="255"/>
          <w:jc w:val="center"/>
        </w:trPr>
        <w:tc>
          <w:tcPr>
            <w:tcW w:w="2135" w:type="dxa"/>
            <w:tcBorders>
              <w:top w:val="nil"/>
              <w:left w:val="single" w:sz="4" w:space="0" w:color="009900"/>
              <w:bottom w:val="nil"/>
              <w:right w:val="nil"/>
            </w:tcBorders>
            <w:shd w:val="clear" w:color="FFFFFF" w:fill="FFFFE1"/>
            <w:vAlign w:val="center"/>
            <w:hideMark/>
          </w:tcPr>
          <w:p w:rsidR="00CC1C96" w:rsidRPr="00F1714F" w:rsidRDefault="00CC1C96" w:rsidP="00CC1C96">
            <w:pPr>
              <w:rPr>
                <w:rFonts w:ascii="Arial" w:hAnsi="Arial" w:cs="Arial"/>
                <w:color w:val="000000"/>
                <w:sz w:val="16"/>
                <w:szCs w:val="16"/>
              </w:rPr>
            </w:pPr>
            <w:r w:rsidRPr="00F1714F">
              <w:rPr>
                <w:rFonts w:ascii="Arial" w:hAnsi="Arial" w:cs="Arial"/>
                <w:color w:val="000000"/>
                <w:sz w:val="16"/>
                <w:szCs w:val="16"/>
              </w:rPr>
              <w:t>30% HAMFI or less</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4,154</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27,793</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7,077</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15,875</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27,518</w:t>
            </w:r>
          </w:p>
        </w:tc>
        <w:tc>
          <w:tcPr>
            <w:tcW w:w="1080" w:type="dxa"/>
            <w:tcBorders>
              <w:top w:val="nil"/>
              <w:left w:val="nil"/>
              <w:bottom w:val="nil"/>
              <w:right w:val="single" w:sz="4" w:space="0" w:color="009900"/>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82,417</w:t>
            </w:r>
          </w:p>
        </w:tc>
      </w:tr>
      <w:tr w:rsidR="00CC1C96" w:rsidRPr="00F1714F" w:rsidTr="00CC1C96">
        <w:trPr>
          <w:trHeight w:val="255"/>
          <w:jc w:val="center"/>
        </w:trPr>
        <w:tc>
          <w:tcPr>
            <w:tcW w:w="2135" w:type="dxa"/>
            <w:tcBorders>
              <w:top w:val="nil"/>
              <w:left w:val="single" w:sz="4" w:space="0" w:color="009900"/>
              <w:bottom w:val="nil"/>
              <w:right w:val="nil"/>
            </w:tcBorders>
            <w:shd w:val="clear" w:color="FFFFFF" w:fill="FFFFE1"/>
            <w:vAlign w:val="center"/>
            <w:hideMark/>
          </w:tcPr>
          <w:p w:rsidR="00CC1C96" w:rsidRPr="00F1714F" w:rsidRDefault="00CC1C96" w:rsidP="00CC1C96">
            <w:pPr>
              <w:rPr>
                <w:rFonts w:ascii="Arial" w:hAnsi="Arial" w:cs="Arial"/>
                <w:color w:val="000000"/>
                <w:sz w:val="16"/>
                <w:szCs w:val="16"/>
              </w:rPr>
            </w:pPr>
            <w:r w:rsidRPr="00F1714F">
              <w:rPr>
                <w:rFonts w:ascii="Arial" w:hAnsi="Arial" w:cs="Arial"/>
                <w:color w:val="000000"/>
                <w:sz w:val="16"/>
                <w:szCs w:val="16"/>
              </w:rPr>
              <w:t>30.1-50% HAMFI</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5,116</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26,072</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7,083</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10,902</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19,288</w:t>
            </w:r>
          </w:p>
        </w:tc>
        <w:tc>
          <w:tcPr>
            <w:tcW w:w="1080" w:type="dxa"/>
            <w:tcBorders>
              <w:top w:val="nil"/>
              <w:left w:val="nil"/>
              <w:bottom w:val="nil"/>
              <w:right w:val="single" w:sz="4" w:space="0" w:color="009900"/>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68,461</w:t>
            </w:r>
          </w:p>
        </w:tc>
      </w:tr>
      <w:tr w:rsidR="00CC1C96" w:rsidRPr="00F1714F" w:rsidTr="00CC1C96">
        <w:trPr>
          <w:trHeight w:val="255"/>
          <w:jc w:val="center"/>
        </w:trPr>
        <w:tc>
          <w:tcPr>
            <w:tcW w:w="2135" w:type="dxa"/>
            <w:tcBorders>
              <w:top w:val="nil"/>
              <w:left w:val="single" w:sz="4" w:space="0" w:color="009900"/>
              <w:bottom w:val="nil"/>
              <w:right w:val="nil"/>
            </w:tcBorders>
            <w:shd w:val="clear" w:color="FFFFFF" w:fill="FFFFE1"/>
            <w:vAlign w:val="center"/>
            <w:hideMark/>
          </w:tcPr>
          <w:p w:rsidR="00CC1C96" w:rsidRPr="00F1714F" w:rsidRDefault="00CC1C96" w:rsidP="00CC1C96">
            <w:pPr>
              <w:rPr>
                <w:rFonts w:ascii="Arial" w:hAnsi="Arial" w:cs="Arial"/>
                <w:color w:val="000000"/>
                <w:sz w:val="16"/>
                <w:szCs w:val="16"/>
              </w:rPr>
            </w:pPr>
            <w:r w:rsidRPr="00F1714F">
              <w:rPr>
                <w:rFonts w:ascii="Arial" w:hAnsi="Arial" w:cs="Arial"/>
                <w:color w:val="000000"/>
                <w:sz w:val="16"/>
                <w:szCs w:val="16"/>
              </w:rPr>
              <w:t>50.1-80% HAMFI</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5,840</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26,777</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9,115</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7,914</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18,367</w:t>
            </w:r>
          </w:p>
        </w:tc>
        <w:tc>
          <w:tcPr>
            <w:tcW w:w="1080" w:type="dxa"/>
            <w:tcBorders>
              <w:top w:val="nil"/>
              <w:left w:val="nil"/>
              <w:bottom w:val="nil"/>
              <w:right w:val="single" w:sz="4" w:space="0" w:color="009900"/>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68,013</w:t>
            </w:r>
          </w:p>
        </w:tc>
      </w:tr>
      <w:tr w:rsidR="00CC1C96" w:rsidRPr="00F1714F" w:rsidTr="00CC1C96">
        <w:trPr>
          <w:trHeight w:val="255"/>
          <w:jc w:val="center"/>
        </w:trPr>
        <w:tc>
          <w:tcPr>
            <w:tcW w:w="2135" w:type="dxa"/>
            <w:tcBorders>
              <w:top w:val="nil"/>
              <w:left w:val="single" w:sz="4" w:space="0" w:color="009900"/>
              <w:bottom w:val="nil"/>
              <w:right w:val="nil"/>
            </w:tcBorders>
            <w:shd w:val="clear" w:color="FFFFFF" w:fill="FFFFE1"/>
            <w:vAlign w:val="center"/>
            <w:hideMark/>
          </w:tcPr>
          <w:p w:rsidR="00CC1C96" w:rsidRPr="00F1714F" w:rsidRDefault="00CC1C96" w:rsidP="00CC1C96">
            <w:pPr>
              <w:rPr>
                <w:rFonts w:ascii="Arial" w:hAnsi="Arial" w:cs="Arial"/>
                <w:color w:val="000000"/>
                <w:sz w:val="16"/>
                <w:szCs w:val="16"/>
              </w:rPr>
            </w:pPr>
            <w:r w:rsidRPr="00F1714F">
              <w:rPr>
                <w:rFonts w:ascii="Arial" w:hAnsi="Arial" w:cs="Arial"/>
                <w:color w:val="000000"/>
                <w:sz w:val="16"/>
                <w:szCs w:val="16"/>
              </w:rPr>
              <w:t>80.1% HAMFI or more</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7,549</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30,052</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12,450</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5,642</w:t>
            </w:r>
          </w:p>
        </w:tc>
        <w:tc>
          <w:tcPr>
            <w:tcW w:w="1080" w:type="dxa"/>
            <w:tcBorders>
              <w:top w:val="nil"/>
              <w:left w:val="nil"/>
              <w:bottom w:val="nil"/>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16,993</w:t>
            </w:r>
          </w:p>
        </w:tc>
        <w:tc>
          <w:tcPr>
            <w:tcW w:w="1080" w:type="dxa"/>
            <w:tcBorders>
              <w:top w:val="nil"/>
              <w:left w:val="nil"/>
              <w:bottom w:val="nil"/>
              <w:right w:val="single" w:sz="4" w:space="0" w:color="009900"/>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72,687</w:t>
            </w:r>
          </w:p>
        </w:tc>
      </w:tr>
      <w:tr w:rsidR="00CC1C96" w:rsidRPr="00F1714F" w:rsidTr="00CC1C96">
        <w:trPr>
          <w:trHeight w:val="255"/>
          <w:jc w:val="center"/>
        </w:trPr>
        <w:tc>
          <w:tcPr>
            <w:tcW w:w="2135" w:type="dxa"/>
            <w:tcBorders>
              <w:top w:val="dotted" w:sz="4" w:space="0" w:color="009900"/>
              <w:left w:val="single" w:sz="4" w:space="0" w:color="009900"/>
              <w:bottom w:val="single" w:sz="4" w:space="0" w:color="009900"/>
              <w:right w:val="nil"/>
            </w:tcBorders>
            <w:shd w:val="clear" w:color="000000" w:fill="FFFFE1"/>
            <w:noWrap/>
            <w:vAlign w:val="center"/>
            <w:hideMark/>
          </w:tcPr>
          <w:p w:rsidR="00CC1C96" w:rsidRPr="00F1714F" w:rsidRDefault="00CC1C96" w:rsidP="00CC1C96">
            <w:pPr>
              <w:rPr>
                <w:rFonts w:ascii="Arial" w:hAnsi="Arial" w:cs="Arial"/>
                <w:sz w:val="16"/>
                <w:szCs w:val="16"/>
              </w:rPr>
            </w:pPr>
            <w:r w:rsidRPr="00F1714F">
              <w:rPr>
                <w:rFonts w:ascii="Arial" w:hAnsi="Arial" w:cs="Arial"/>
                <w:sz w:val="16"/>
                <w:szCs w:val="16"/>
              </w:rPr>
              <w:t>Total</w:t>
            </w:r>
          </w:p>
        </w:tc>
        <w:tc>
          <w:tcPr>
            <w:tcW w:w="1080" w:type="dxa"/>
            <w:tcBorders>
              <w:top w:val="dotted" w:sz="4" w:space="0" w:color="009900"/>
              <w:left w:val="nil"/>
              <w:bottom w:val="single" w:sz="4" w:space="0" w:color="009900"/>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22,659</w:t>
            </w:r>
          </w:p>
        </w:tc>
        <w:tc>
          <w:tcPr>
            <w:tcW w:w="1080" w:type="dxa"/>
            <w:tcBorders>
              <w:top w:val="dotted" w:sz="4" w:space="0" w:color="009900"/>
              <w:left w:val="nil"/>
              <w:bottom w:val="single" w:sz="4" w:space="0" w:color="009900"/>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110,694</w:t>
            </w:r>
          </w:p>
        </w:tc>
        <w:tc>
          <w:tcPr>
            <w:tcW w:w="1080" w:type="dxa"/>
            <w:tcBorders>
              <w:top w:val="dotted" w:sz="4" w:space="0" w:color="009900"/>
              <w:left w:val="nil"/>
              <w:bottom w:val="single" w:sz="4" w:space="0" w:color="009900"/>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35,725</w:t>
            </w:r>
          </w:p>
        </w:tc>
        <w:tc>
          <w:tcPr>
            <w:tcW w:w="1080" w:type="dxa"/>
            <w:tcBorders>
              <w:top w:val="dotted" w:sz="4" w:space="0" w:color="009900"/>
              <w:left w:val="nil"/>
              <w:bottom w:val="single" w:sz="4" w:space="0" w:color="009900"/>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40,333</w:t>
            </w:r>
          </w:p>
        </w:tc>
        <w:tc>
          <w:tcPr>
            <w:tcW w:w="1080" w:type="dxa"/>
            <w:tcBorders>
              <w:top w:val="dotted" w:sz="4" w:space="0" w:color="009900"/>
              <w:left w:val="nil"/>
              <w:bottom w:val="single" w:sz="4" w:space="0" w:color="009900"/>
              <w:right w:val="nil"/>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82,166</w:t>
            </w:r>
          </w:p>
        </w:tc>
        <w:tc>
          <w:tcPr>
            <w:tcW w:w="1080" w:type="dxa"/>
            <w:tcBorders>
              <w:top w:val="dotted" w:sz="4" w:space="0" w:color="009900"/>
              <w:left w:val="nil"/>
              <w:bottom w:val="single" w:sz="4" w:space="0" w:color="009900"/>
              <w:right w:val="single" w:sz="4" w:space="0" w:color="009900"/>
            </w:tcBorders>
            <w:shd w:val="clear" w:color="000000" w:fill="FFFFE1"/>
            <w:noWrap/>
            <w:vAlign w:val="center"/>
            <w:hideMark/>
          </w:tcPr>
          <w:p w:rsidR="00CC1C96" w:rsidRPr="00F1714F" w:rsidRDefault="00CC1C96" w:rsidP="00CC1C96">
            <w:pPr>
              <w:jc w:val="center"/>
              <w:rPr>
                <w:rFonts w:ascii="Arial" w:hAnsi="Arial" w:cs="Arial"/>
                <w:sz w:val="16"/>
                <w:szCs w:val="16"/>
              </w:rPr>
            </w:pPr>
            <w:r w:rsidRPr="00F1714F">
              <w:rPr>
                <w:rFonts w:ascii="Arial" w:hAnsi="Arial" w:cs="Arial"/>
                <w:sz w:val="16"/>
                <w:szCs w:val="16"/>
              </w:rPr>
              <w:t>291,577</w:t>
            </w:r>
          </w:p>
        </w:tc>
      </w:tr>
    </w:tbl>
    <w:p w:rsidR="00FC3019" w:rsidRPr="008503F8" w:rsidRDefault="00FC3019" w:rsidP="00D428AA">
      <w:pPr>
        <w:jc w:val="both"/>
        <w:rPr>
          <w:rFonts w:ascii="CG Omega" w:hAnsi="CG Omega"/>
          <w:bCs/>
          <w:sz w:val="22"/>
          <w:szCs w:val="22"/>
          <w:highlight w:val="yellow"/>
        </w:rPr>
      </w:pPr>
    </w:p>
    <w:p w:rsidR="00C55386" w:rsidRPr="00036C14" w:rsidRDefault="00036C14" w:rsidP="00D428AA">
      <w:pPr>
        <w:jc w:val="both"/>
        <w:rPr>
          <w:rFonts w:ascii="CG Omega" w:hAnsi="CG Omega"/>
          <w:bCs/>
        </w:rPr>
      </w:pPr>
      <w:r w:rsidRPr="00036C14">
        <w:rPr>
          <w:rFonts w:ascii="CG Omega" w:hAnsi="CG Omega"/>
          <w:bCs/>
        </w:rPr>
        <w:t xml:space="preserve">In 2010, there were 183,110 households at or below 80 percent MFI with unmet housing needs. </w:t>
      </w:r>
      <w:r>
        <w:rPr>
          <w:rFonts w:ascii="CG Omega" w:hAnsi="CG Omega"/>
          <w:bCs/>
        </w:rPr>
        <w:t xml:space="preserve">According to this forecast, there will be 291,577 households at or below 80 percent MFI with unmet need by the year 2020. </w:t>
      </w:r>
      <w:r w:rsidR="009005A1">
        <w:rPr>
          <w:rFonts w:ascii="CG Omega" w:hAnsi="CG Omega"/>
          <w:bCs/>
        </w:rPr>
        <w:t xml:space="preserve">Of these households in 2020, there are forecasted to be 108,859 </w:t>
      </w:r>
      <w:r w:rsidR="00BB2854">
        <w:rPr>
          <w:rFonts w:ascii="CG Omega" w:hAnsi="CG Omega"/>
          <w:bCs/>
        </w:rPr>
        <w:t>owner occupied</w:t>
      </w:r>
      <w:r w:rsidR="009005A1">
        <w:rPr>
          <w:rFonts w:ascii="CG Omega" w:hAnsi="CG Omega"/>
          <w:bCs/>
        </w:rPr>
        <w:t xml:space="preserve"> households with unmet need, a rise from the 91,065 households in 2010.  The forecasted 110,031 </w:t>
      </w:r>
      <w:r w:rsidR="00BB2854">
        <w:rPr>
          <w:rFonts w:ascii="CG Omega" w:hAnsi="CG Omega"/>
          <w:bCs/>
        </w:rPr>
        <w:t>renter occupied</w:t>
      </w:r>
      <w:r w:rsidR="009005A1">
        <w:rPr>
          <w:rFonts w:ascii="CG Omega" w:hAnsi="CG Omega"/>
          <w:bCs/>
        </w:rPr>
        <w:t xml:space="preserve"> households with unmet housing need in 2020 is an increase from the 92,045 </w:t>
      </w:r>
      <w:r w:rsidR="00BB2854">
        <w:rPr>
          <w:rFonts w:ascii="CG Omega" w:hAnsi="CG Omega"/>
          <w:bCs/>
        </w:rPr>
        <w:t>renter occupied</w:t>
      </w:r>
      <w:r w:rsidR="009005A1">
        <w:rPr>
          <w:rFonts w:ascii="CG Omega" w:hAnsi="CG Omega"/>
          <w:bCs/>
        </w:rPr>
        <w:t xml:space="preserve"> households with housing need in 2010.  </w:t>
      </w:r>
    </w:p>
    <w:p w:rsidR="00C55386" w:rsidRPr="008503F8" w:rsidRDefault="00C55386" w:rsidP="00D428AA">
      <w:pPr>
        <w:jc w:val="both"/>
        <w:rPr>
          <w:rFonts w:ascii="CG Omega" w:hAnsi="CG Omega"/>
          <w:bCs/>
          <w:highlight w:val="yellow"/>
        </w:rPr>
      </w:pPr>
    </w:p>
    <w:p w:rsidR="00CF4D65" w:rsidRPr="005D4E63" w:rsidRDefault="00CF4D65" w:rsidP="00BB666B">
      <w:pPr>
        <w:pStyle w:val="FirstHead"/>
      </w:pPr>
      <w:bookmarkStart w:id="94" w:name="_Toc399834575"/>
      <w:bookmarkEnd w:id="92"/>
      <w:bookmarkEnd w:id="93"/>
      <w:r w:rsidRPr="005D4E63">
        <w:t>H. Disproportionate Needs</w:t>
      </w:r>
      <w:bookmarkEnd w:id="94"/>
    </w:p>
    <w:p w:rsidR="00CF4D65" w:rsidRPr="008503F8" w:rsidRDefault="00CF4D65" w:rsidP="00DC6779">
      <w:pPr>
        <w:pStyle w:val="BodyText"/>
        <w:tabs>
          <w:tab w:val="num" w:pos="360"/>
        </w:tabs>
        <w:rPr>
          <w:rFonts w:ascii="CG Omega" w:hAnsi="CG Omega"/>
          <w:szCs w:val="24"/>
          <w:highlight w:val="yellow"/>
        </w:rPr>
      </w:pPr>
    </w:p>
    <w:p w:rsidR="00476226" w:rsidRDefault="00EA61D8" w:rsidP="00EA61D8">
      <w:pPr>
        <w:pStyle w:val="BodyText"/>
        <w:tabs>
          <w:tab w:val="num" w:pos="360"/>
        </w:tabs>
        <w:rPr>
          <w:rFonts w:ascii="CG Omega" w:hAnsi="CG Omega"/>
          <w:szCs w:val="24"/>
        </w:rPr>
      </w:pPr>
      <w:r w:rsidRPr="005D4E63">
        <w:rPr>
          <w:rFonts w:ascii="CG Omega" w:hAnsi="CG Omega"/>
          <w:szCs w:val="24"/>
        </w:rPr>
        <w:t>A disproportionate</w:t>
      </w:r>
      <w:r w:rsidR="00585BFC">
        <w:rPr>
          <w:rFonts w:ascii="CG Omega" w:hAnsi="CG Omega"/>
          <w:szCs w:val="24"/>
        </w:rPr>
        <w:t>ly greater</w:t>
      </w:r>
      <w:r w:rsidRPr="005D4E63">
        <w:rPr>
          <w:rFonts w:ascii="CG Omega" w:hAnsi="CG Omega"/>
          <w:szCs w:val="24"/>
        </w:rPr>
        <w:t xml:space="preserve"> need exists when the</w:t>
      </w:r>
      <w:r w:rsidR="00585BFC">
        <w:rPr>
          <w:rFonts w:ascii="CG Omega" w:hAnsi="CG Omega"/>
          <w:szCs w:val="24"/>
        </w:rPr>
        <w:t xml:space="preserve"> members of racial or ethnic </w:t>
      </w:r>
      <w:r w:rsidR="00AA5680">
        <w:rPr>
          <w:rFonts w:ascii="CG Omega" w:hAnsi="CG Omega"/>
          <w:szCs w:val="24"/>
        </w:rPr>
        <w:t xml:space="preserve">minority </w:t>
      </w:r>
      <w:r w:rsidR="00585BFC">
        <w:rPr>
          <w:rFonts w:ascii="CG Omega" w:hAnsi="CG Omega"/>
          <w:szCs w:val="24"/>
        </w:rPr>
        <w:t>group</w:t>
      </w:r>
      <w:r w:rsidR="00AA5680">
        <w:rPr>
          <w:rFonts w:ascii="CG Omega" w:hAnsi="CG Omega"/>
          <w:szCs w:val="24"/>
        </w:rPr>
        <w:t>s</w:t>
      </w:r>
      <w:r w:rsidR="00585BFC">
        <w:rPr>
          <w:rFonts w:ascii="CG Omega" w:hAnsi="CG Omega"/>
          <w:szCs w:val="24"/>
        </w:rPr>
        <w:t xml:space="preserve"> at a given income level experience housing problems at a </w:t>
      </w:r>
      <w:r w:rsidR="00AA5680">
        <w:rPr>
          <w:rFonts w:ascii="CG Omega" w:hAnsi="CG Omega"/>
          <w:szCs w:val="24"/>
        </w:rPr>
        <w:t>rate greater than the jurisdiction ave</w:t>
      </w:r>
      <w:r w:rsidR="00782BEF">
        <w:rPr>
          <w:rFonts w:ascii="CG Omega" w:hAnsi="CG Omega"/>
          <w:szCs w:val="24"/>
        </w:rPr>
        <w:t>rage.  This threshold is defined</w:t>
      </w:r>
      <w:r w:rsidR="00AA5680">
        <w:rPr>
          <w:rFonts w:ascii="CG Omega" w:hAnsi="CG Omega"/>
          <w:szCs w:val="24"/>
        </w:rPr>
        <w:t xml:space="preserve"> as</w:t>
      </w:r>
      <w:r w:rsidR="00585BFC">
        <w:rPr>
          <w:rFonts w:ascii="CG Omega" w:hAnsi="CG Omega"/>
          <w:szCs w:val="24"/>
        </w:rPr>
        <w:t xml:space="preserve"> 10 percentage points or more</w:t>
      </w:r>
      <w:r w:rsidR="00AA5680">
        <w:rPr>
          <w:rFonts w:ascii="CG Omega" w:hAnsi="CG Omega"/>
          <w:szCs w:val="24"/>
        </w:rPr>
        <w:t xml:space="preserve"> above that average.</w:t>
      </w:r>
      <w:r w:rsidR="00585BFC">
        <w:rPr>
          <w:rFonts w:ascii="CG Omega" w:hAnsi="CG Omega"/>
          <w:szCs w:val="24"/>
        </w:rPr>
        <w:t xml:space="preserve"> </w:t>
      </w:r>
    </w:p>
    <w:p w:rsidR="00476226" w:rsidRPr="008503F8" w:rsidRDefault="00476226" w:rsidP="00EA61D8">
      <w:pPr>
        <w:pStyle w:val="BodyText"/>
        <w:tabs>
          <w:tab w:val="num" w:pos="360"/>
        </w:tabs>
        <w:rPr>
          <w:rFonts w:ascii="CG Omega" w:hAnsi="CG Omega"/>
          <w:szCs w:val="24"/>
        </w:rPr>
      </w:pPr>
    </w:p>
    <w:p w:rsidR="00353167" w:rsidRDefault="00A52103" w:rsidP="00EA61D8">
      <w:pPr>
        <w:pStyle w:val="BodyText"/>
        <w:tabs>
          <w:tab w:val="num" w:pos="360"/>
        </w:tabs>
        <w:rPr>
          <w:rFonts w:ascii="CG Omega" w:hAnsi="CG Omega"/>
          <w:szCs w:val="24"/>
          <w:highlight w:val="yellow"/>
        </w:rPr>
      </w:pPr>
      <w:r>
        <w:rPr>
          <w:rFonts w:ascii="CG Omega" w:hAnsi="CG Omega"/>
          <w:szCs w:val="24"/>
        </w:rPr>
        <w:t xml:space="preserve">In the state of New Mexico, there are a total of 183,110 households with unmet housing needs.  </w:t>
      </w:r>
      <w:r w:rsidRPr="008503F8">
        <w:rPr>
          <w:rFonts w:ascii="CG Omega" w:hAnsi="CG Omega"/>
          <w:b/>
          <w:szCs w:val="24"/>
        </w:rPr>
        <w:t>Tables IV.1</w:t>
      </w:r>
      <w:r w:rsidR="00F92737" w:rsidRPr="008503F8">
        <w:rPr>
          <w:rFonts w:ascii="CG Omega" w:hAnsi="CG Omega"/>
          <w:b/>
          <w:szCs w:val="24"/>
        </w:rPr>
        <w:t>9</w:t>
      </w:r>
      <w:r w:rsidRPr="008503F8">
        <w:rPr>
          <w:rFonts w:ascii="CG Omega" w:hAnsi="CG Omega"/>
          <w:b/>
          <w:szCs w:val="24"/>
        </w:rPr>
        <w:t xml:space="preserve"> and IV.</w:t>
      </w:r>
      <w:r w:rsidR="00F92737" w:rsidRPr="008503F8">
        <w:rPr>
          <w:rFonts w:ascii="CG Omega" w:hAnsi="CG Omega"/>
          <w:b/>
          <w:szCs w:val="24"/>
        </w:rPr>
        <w:t>20</w:t>
      </w:r>
      <w:r w:rsidR="00933C3A">
        <w:rPr>
          <w:rFonts w:ascii="CG Omega" w:hAnsi="CG Omega"/>
          <w:szCs w:val="24"/>
        </w:rPr>
        <w:t xml:space="preserve">, on the following pages, break </w:t>
      </w:r>
      <w:r>
        <w:rPr>
          <w:rFonts w:ascii="CG Omega" w:hAnsi="CG Omega"/>
          <w:szCs w:val="24"/>
        </w:rPr>
        <w:t xml:space="preserve">down these households by racial and ethnic groups, allowing for disproportionate needs to be calculated. These tables have been separated by </w:t>
      </w:r>
      <w:r w:rsidR="00BB2854">
        <w:rPr>
          <w:rFonts w:ascii="CG Omega" w:hAnsi="CG Omega"/>
          <w:szCs w:val="24"/>
        </w:rPr>
        <w:t>owner occupied</w:t>
      </w:r>
      <w:r>
        <w:rPr>
          <w:rFonts w:ascii="CG Omega" w:hAnsi="CG Omega"/>
          <w:szCs w:val="24"/>
        </w:rPr>
        <w:t xml:space="preserve"> in Table IV.1</w:t>
      </w:r>
      <w:r w:rsidR="00F92737">
        <w:rPr>
          <w:rFonts w:ascii="CG Omega" w:hAnsi="CG Omega"/>
          <w:szCs w:val="24"/>
        </w:rPr>
        <w:t>9</w:t>
      </w:r>
      <w:r>
        <w:rPr>
          <w:rFonts w:ascii="CG Omega" w:hAnsi="CG Omega"/>
          <w:szCs w:val="24"/>
        </w:rPr>
        <w:t xml:space="preserve"> and renter occupied in Table IV.</w:t>
      </w:r>
      <w:r w:rsidR="00F92737">
        <w:rPr>
          <w:rFonts w:ascii="CG Omega" w:hAnsi="CG Omega"/>
          <w:szCs w:val="24"/>
        </w:rPr>
        <w:t>20</w:t>
      </w:r>
      <w:r>
        <w:rPr>
          <w:rFonts w:ascii="CG Omega" w:hAnsi="CG Omega"/>
          <w:szCs w:val="24"/>
        </w:rPr>
        <w:t>.</w:t>
      </w:r>
      <w:r w:rsidR="00666E9B">
        <w:rPr>
          <w:rFonts w:ascii="CG Omega" w:hAnsi="CG Omega"/>
          <w:szCs w:val="24"/>
        </w:rPr>
        <w:t xml:space="preserve"> The complete data for these tables is available in Appendix </w:t>
      </w:r>
      <w:r w:rsidR="008336CA">
        <w:rPr>
          <w:rFonts w:ascii="CG Omega" w:hAnsi="CG Omega"/>
          <w:szCs w:val="24"/>
        </w:rPr>
        <w:t>C</w:t>
      </w:r>
      <w:r w:rsidR="00666E9B">
        <w:rPr>
          <w:rFonts w:ascii="CG Omega" w:hAnsi="CG Omega"/>
          <w:szCs w:val="24"/>
        </w:rPr>
        <w:t>.</w:t>
      </w:r>
      <w:r>
        <w:rPr>
          <w:rFonts w:ascii="CG Omega" w:hAnsi="CG Omega"/>
          <w:szCs w:val="24"/>
        </w:rPr>
        <w:t xml:space="preserve"> </w:t>
      </w:r>
      <w:r w:rsidR="001857F9">
        <w:rPr>
          <w:rFonts w:ascii="CG Omega" w:hAnsi="CG Omega"/>
          <w:szCs w:val="24"/>
        </w:rPr>
        <w:t xml:space="preserve">When looking at the state as a whole, </w:t>
      </w:r>
      <w:r w:rsidR="001F135E">
        <w:rPr>
          <w:rFonts w:ascii="CG Omega" w:hAnsi="CG Omega"/>
          <w:szCs w:val="24"/>
        </w:rPr>
        <w:t>there is little to no disproportionate need based on race. T</w:t>
      </w:r>
      <w:r w:rsidR="001857F9">
        <w:rPr>
          <w:rFonts w:ascii="CG Omega" w:hAnsi="CG Omega"/>
          <w:szCs w:val="24"/>
        </w:rPr>
        <w:t>he only racial gro</w:t>
      </w:r>
      <w:r w:rsidR="00AA5680">
        <w:rPr>
          <w:rFonts w:ascii="CG Omega" w:hAnsi="CG Omega"/>
          <w:szCs w:val="24"/>
        </w:rPr>
        <w:t>up with disproportionate need is</w:t>
      </w:r>
      <w:r w:rsidR="001857F9">
        <w:rPr>
          <w:rFonts w:ascii="CG Omega" w:hAnsi="CG Omega"/>
          <w:szCs w:val="24"/>
        </w:rPr>
        <w:t xml:space="preserve"> Blacks with an income between 50.01 to</w:t>
      </w:r>
      <w:r w:rsidR="00AA5680">
        <w:rPr>
          <w:rFonts w:ascii="CG Omega" w:hAnsi="CG Omega"/>
          <w:szCs w:val="24"/>
        </w:rPr>
        <w:t xml:space="preserve"> 80 percent MFI.</w:t>
      </w:r>
      <w:r w:rsidR="001857F9">
        <w:rPr>
          <w:rFonts w:ascii="CG Omega" w:hAnsi="CG Omega"/>
          <w:szCs w:val="24"/>
        </w:rPr>
        <w:t xml:space="preserve"> </w:t>
      </w:r>
      <w:r w:rsidR="00AA5680">
        <w:rPr>
          <w:rFonts w:ascii="CG Omega" w:hAnsi="CG Omega"/>
          <w:szCs w:val="24"/>
        </w:rPr>
        <w:t xml:space="preserve">Here, </w:t>
      </w:r>
      <w:r w:rsidR="00A921CB">
        <w:rPr>
          <w:rFonts w:ascii="CG Omega" w:hAnsi="CG Omega"/>
          <w:szCs w:val="24"/>
        </w:rPr>
        <w:t>56.1 percent of B</w:t>
      </w:r>
      <w:r w:rsidR="001857F9">
        <w:rPr>
          <w:rFonts w:ascii="CG Omega" w:hAnsi="CG Omega"/>
          <w:szCs w:val="24"/>
        </w:rPr>
        <w:t xml:space="preserve">lacks in this income groups have housing problems </w:t>
      </w:r>
      <w:r w:rsidR="00AA5680">
        <w:rPr>
          <w:rFonts w:ascii="CG Omega" w:hAnsi="CG Omega"/>
          <w:szCs w:val="24"/>
        </w:rPr>
        <w:t>compared to</w:t>
      </w:r>
      <w:r w:rsidR="001857F9">
        <w:rPr>
          <w:rFonts w:ascii="CG Omega" w:hAnsi="CG Omega"/>
          <w:szCs w:val="24"/>
        </w:rPr>
        <w:t xml:space="preserve"> an average rate of 44.4 percent for the income group as a whole.</w:t>
      </w:r>
      <w:r w:rsidR="00476226">
        <w:rPr>
          <w:rFonts w:ascii="CG Omega" w:hAnsi="CG Omega"/>
          <w:szCs w:val="24"/>
        </w:rPr>
        <w:t xml:space="preserve"> </w:t>
      </w:r>
      <w:r w:rsidR="001857F9">
        <w:rPr>
          <w:rFonts w:ascii="CG Omega" w:hAnsi="CG Omega"/>
          <w:szCs w:val="24"/>
        </w:rPr>
        <w:t xml:space="preserve">Additionally, 100 percent of Pacific Islanders with income between 30.01 and 50 percent MFI have housing problems, but this population only consists of four households and is therefore not </w:t>
      </w:r>
      <w:r w:rsidR="00AA5680">
        <w:rPr>
          <w:rFonts w:ascii="CG Omega" w:hAnsi="CG Omega"/>
          <w:szCs w:val="24"/>
        </w:rPr>
        <w:t xml:space="preserve">statically </w:t>
      </w:r>
      <w:r w:rsidR="00FD07FF">
        <w:rPr>
          <w:rFonts w:ascii="CG Omega" w:hAnsi="CG Omega"/>
          <w:szCs w:val="24"/>
        </w:rPr>
        <w:t>significant.</w:t>
      </w:r>
      <w:r>
        <w:rPr>
          <w:rFonts w:ascii="CG Omega" w:hAnsi="CG Omega"/>
          <w:szCs w:val="24"/>
        </w:rPr>
        <w:t xml:space="preserve"> </w:t>
      </w:r>
    </w:p>
    <w:p w:rsidR="00737B00" w:rsidRPr="008503F8" w:rsidRDefault="00737B00" w:rsidP="00EA61D8">
      <w:pPr>
        <w:pStyle w:val="BodyText"/>
        <w:tabs>
          <w:tab w:val="num" w:pos="360"/>
        </w:tabs>
        <w:rPr>
          <w:rFonts w:ascii="CG Omega" w:hAnsi="CG Omega"/>
          <w:szCs w:val="24"/>
          <w:highlight w:val="yellow"/>
        </w:rPr>
      </w:pPr>
    </w:p>
    <w:p w:rsidR="00737B00" w:rsidRPr="00737B00" w:rsidRDefault="00737B00" w:rsidP="006A215D">
      <w:pPr>
        <w:pStyle w:val="BodyText"/>
        <w:tabs>
          <w:tab w:val="num" w:pos="360"/>
        </w:tabs>
        <w:rPr>
          <w:rFonts w:ascii="CG Omega" w:hAnsi="CG Omega"/>
          <w:szCs w:val="24"/>
        </w:rPr>
      </w:pPr>
      <w:r w:rsidRPr="00737B00">
        <w:rPr>
          <w:rFonts w:ascii="CG Omega" w:hAnsi="CG Omega"/>
          <w:szCs w:val="24"/>
        </w:rPr>
        <w:t xml:space="preserve">While there is little to no disproportionate need </w:t>
      </w:r>
      <w:r w:rsidR="005F2483">
        <w:rPr>
          <w:rFonts w:ascii="CG Omega" w:hAnsi="CG Omega"/>
          <w:szCs w:val="24"/>
        </w:rPr>
        <w:t xml:space="preserve">based on race </w:t>
      </w:r>
      <w:r w:rsidRPr="00737B00">
        <w:rPr>
          <w:rFonts w:ascii="CG Omega" w:hAnsi="CG Omega"/>
          <w:szCs w:val="24"/>
        </w:rPr>
        <w:t>on that statewide scale</w:t>
      </w:r>
      <w:r>
        <w:rPr>
          <w:rFonts w:ascii="CG Omega" w:hAnsi="CG Omega"/>
          <w:szCs w:val="24"/>
        </w:rPr>
        <w:t xml:space="preserve">, </w:t>
      </w:r>
      <w:r w:rsidR="00AA5680">
        <w:rPr>
          <w:rFonts w:ascii="CG Omega" w:hAnsi="CG Omega"/>
          <w:szCs w:val="24"/>
        </w:rPr>
        <w:t>there are smaller geographic areas that indeed</w:t>
      </w:r>
      <w:r>
        <w:rPr>
          <w:rFonts w:ascii="CG Omega" w:hAnsi="CG Omega"/>
          <w:szCs w:val="24"/>
        </w:rPr>
        <w:t xml:space="preserve"> </w:t>
      </w:r>
      <w:r w:rsidR="00AA5680">
        <w:rPr>
          <w:rFonts w:ascii="CG Omega" w:hAnsi="CG Omega"/>
          <w:szCs w:val="24"/>
        </w:rPr>
        <w:t xml:space="preserve">have </w:t>
      </w:r>
      <w:r>
        <w:rPr>
          <w:rFonts w:ascii="CG Omega" w:hAnsi="CG Omega"/>
          <w:szCs w:val="24"/>
        </w:rPr>
        <w:t>disproportionate need</w:t>
      </w:r>
      <w:r w:rsidR="00AA5680">
        <w:rPr>
          <w:rFonts w:ascii="CG Omega" w:hAnsi="CG Omega"/>
          <w:szCs w:val="24"/>
        </w:rPr>
        <w:t xml:space="preserve">, </w:t>
      </w:r>
      <w:r>
        <w:rPr>
          <w:rFonts w:ascii="CG Omega" w:hAnsi="CG Omega"/>
          <w:szCs w:val="24"/>
        </w:rPr>
        <w:t xml:space="preserve">especially when </w:t>
      </w:r>
      <w:r w:rsidR="00933C3A">
        <w:rPr>
          <w:rFonts w:ascii="CG Omega" w:hAnsi="CG Omega"/>
          <w:szCs w:val="24"/>
        </w:rPr>
        <w:t>looking at areas with high levels</w:t>
      </w:r>
      <w:r w:rsidR="00AA5680">
        <w:rPr>
          <w:rFonts w:ascii="CG Omega" w:hAnsi="CG Omega"/>
          <w:szCs w:val="24"/>
        </w:rPr>
        <w:t xml:space="preserve"> of </w:t>
      </w:r>
      <w:r w:rsidR="00F109E4">
        <w:rPr>
          <w:rFonts w:ascii="CG Omega" w:hAnsi="CG Omega"/>
          <w:szCs w:val="24"/>
        </w:rPr>
        <w:t>American Indians</w:t>
      </w:r>
      <w:r w:rsidR="00AA5680">
        <w:rPr>
          <w:rFonts w:ascii="CG Omega" w:hAnsi="CG Omega"/>
          <w:szCs w:val="24"/>
        </w:rPr>
        <w:t>, such as in Pueblos or in the Tribal or Trust lands</w:t>
      </w:r>
      <w:r w:rsidR="00D239B3">
        <w:rPr>
          <w:rFonts w:ascii="CG Omega" w:hAnsi="CG Omega"/>
          <w:szCs w:val="24"/>
        </w:rPr>
        <w:t>, or in areas with high concentrations of Hispanic populations.</w:t>
      </w:r>
      <w:r w:rsidR="00933C3A">
        <w:rPr>
          <w:rFonts w:ascii="CG Omega" w:hAnsi="CG Omega"/>
          <w:szCs w:val="24"/>
        </w:rPr>
        <w:t xml:space="preserve"> </w:t>
      </w:r>
    </w:p>
    <w:p w:rsidR="009005A1" w:rsidRPr="008503F8" w:rsidRDefault="009005A1" w:rsidP="00EA61D8">
      <w:pPr>
        <w:pStyle w:val="BodyText"/>
        <w:tabs>
          <w:tab w:val="num" w:pos="360"/>
        </w:tabs>
        <w:rPr>
          <w:rFonts w:ascii="CG Omega" w:hAnsi="CG Omega"/>
          <w:szCs w:val="24"/>
          <w:highlight w:val="yellow"/>
        </w:rPr>
      </w:pPr>
    </w:p>
    <w:tbl>
      <w:tblPr>
        <w:tblW w:w="9840" w:type="dxa"/>
        <w:tblInd w:w="93" w:type="dxa"/>
        <w:tblLook w:val="04A0" w:firstRow="1" w:lastRow="0" w:firstColumn="1" w:lastColumn="0" w:noHBand="0" w:noVBand="1"/>
      </w:tblPr>
      <w:tblGrid>
        <w:gridCol w:w="1820"/>
        <w:gridCol w:w="1080"/>
        <w:gridCol w:w="1020"/>
        <w:gridCol w:w="1120"/>
        <w:gridCol w:w="960"/>
        <w:gridCol w:w="960"/>
        <w:gridCol w:w="960"/>
        <w:gridCol w:w="960"/>
        <w:gridCol w:w="960"/>
      </w:tblGrid>
      <w:tr w:rsidR="00666E9B" w:rsidTr="00666E9B">
        <w:trPr>
          <w:trHeight w:val="315"/>
        </w:trPr>
        <w:tc>
          <w:tcPr>
            <w:tcW w:w="9840" w:type="dxa"/>
            <w:gridSpan w:val="9"/>
            <w:tcBorders>
              <w:top w:val="nil"/>
              <w:left w:val="nil"/>
              <w:bottom w:val="nil"/>
              <w:right w:val="nil"/>
            </w:tcBorders>
            <w:shd w:val="clear" w:color="000000" w:fill="FFFFFF"/>
            <w:noWrap/>
            <w:vAlign w:val="center"/>
            <w:hideMark/>
          </w:tcPr>
          <w:p w:rsidR="008503F8" w:rsidRDefault="008503F8" w:rsidP="00F92737">
            <w:pPr>
              <w:jc w:val="center"/>
              <w:rPr>
                <w:rFonts w:ascii="Arial" w:hAnsi="Arial" w:cs="Arial"/>
                <w:b/>
                <w:bCs/>
                <w:color w:val="000000"/>
              </w:rPr>
            </w:pPr>
          </w:p>
          <w:p w:rsidR="00666E9B" w:rsidRDefault="00666E9B" w:rsidP="00F92737">
            <w:pPr>
              <w:jc w:val="center"/>
              <w:rPr>
                <w:rFonts w:ascii="Arial" w:hAnsi="Arial" w:cs="Arial"/>
                <w:b/>
                <w:bCs/>
                <w:color w:val="000000"/>
              </w:rPr>
            </w:pPr>
            <w:r>
              <w:rPr>
                <w:rFonts w:ascii="Arial" w:hAnsi="Arial" w:cs="Arial"/>
                <w:b/>
                <w:bCs/>
                <w:color w:val="000000"/>
              </w:rPr>
              <w:t>Table IV.1</w:t>
            </w:r>
            <w:r w:rsidR="00F92737">
              <w:rPr>
                <w:rFonts w:ascii="Arial" w:hAnsi="Arial" w:cs="Arial"/>
                <w:b/>
                <w:bCs/>
                <w:color w:val="000000"/>
              </w:rPr>
              <w:t>9</w:t>
            </w:r>
          </w:p>
        </w:tc>
      </w:tr>
      <w:tr w:rsidR="00666E9B" w:rsidTr="00666E9B">
        <w:trPr>
          <w:trHeight w:val="255"/>
        </w:trPr>
        <w:tc>
          <w:tcPr>
            <w:tcW w:w="9840" w:type="dxa"/>
            <w:gridSpan w:val="9"/>
            <w:tcBorders>
              <w:top w:val="nil"/>
              <w:left w:val="nil"/>
              <w:bottom w:val="nil"/>
              <w:right w:val="nil"/>
            </w:tcBorders>
            <w:shd w:val="clear" w:color="000000" w:fill="FFFFFF"/>
            <w:noWrap/>
            <w:vAlign w:val="center"/>
            <w:hideMark/>
          </w:tcPr>
          <w:p w:rsidR="00666E9B" w:rsidRDefault="00B71DBB">
            <w:pPr>
              <w:jc w:val="center"/>
              <w:rPr>
                <w:rFonts w:ascii="Arial" w:hAnsi="Arial" w:cs="Arial"/>
                <w:b/>
                <w:bCs/>
                <w:color w:val="000000"/>
                <w:sz w:val="20"/>
                <w:szCs w:val="20"/>
              </w:rPr>
            </w:pPr>
            <w:r>
              <w:rPr>
                <w:rFonts w:ascii="Arial" w:hAnsi="Arial" w:cs="Arial"/>
                <w:b/>
                <w:bCs/>
                <w:color w:val="000000"/>
                <w:sz w:val="20"/>
                <w:szCs w:val="20"/>
              </w:rPr>
              <w:t>Owner occupied</w:t>
            </w:r>
            <w:r w:rsidR="00666E9B">
              <w:rPr>
                <w:rFonts w:ascii="Arial" w:hAnsi="Arial" w:cs="Arial"/>
                <w:b/>
                <w:bCs/>
                <w:color w:val="000000"/>
                <w:sz w:val="20"/>
                <w:szCs w:val="20"/>
              </w:rPr>
              <w:t xml:space="preserve"> Households with Housing Problems by Income and Race/Ethnicity</w:t>
            </w:r>
          </w:p>
        </w:tc>
      </w:tr>
      <w:tr w:rsidR="00666E9B" w:rsidTr="00666E9B">
        <w:trPr>
          <w:trHeight w:val="195"/>
        </w:trPr>
        <w:tc>
          <w:tcPr>
            <w:tcW w:w="9840" w:type="dxa"/>
            <w:gridSpan w:val="9"/>
            <w:tcBorders>
              <w:top w:val="nil"/>
              <w:left w:val="nil"/>
              <w:bottom w:val="nil"/>
              <w:right w:val="nil"/>
            </w:tcBorders>
            <w:shd w:val="clear" w:color="000000" w:fill="FFFFFF"/>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State of New Mexico</w:t>
            </w:r>
          </w:p>
        </w:tc>
      </w:tr>
      <w:tr w:rsidR="00666E9B" w:rsidTr="00666E9B">
        <w:trPr>
          <w:trHeight w:val="255"/>
        </w:trPr>
        <w:tc>
          <w:tcPr>
            <w:tcW w:w="9840" w:type="dxa"/>
            <w:gridSpan w:val="9"/>
            <w:tcBorders>
              <w:top w:val="nil"/>
              <w:left w:val="nil"/>
              <w:bottom w:val="single" w:sz="8" w:space="0" w:color="009900"/>
              <w:right w:val="nil"/>
            </w:tcBorders>
            <w:shd w:val="clear" w:color="000000" w:fill="FFFFFF"/>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2006–2010 HUD CHAS Data</w:t>
            </w:r>
          </w:p>
        </w:tc>
      </w:tr>
      <w:tr w:rsidR="00666E9B" w:rsidTr="00666E9B">
        <w:trPr>
          <w:trHeight w:val="300"/>
        </w:trPr>
        <w:tc>
          <w:tcPr>
            <w:tcW w:w="1820" w:type="dxa"/>
            <w:vMerge w:val="restart"/>
            <w:tcBorders>
              <w:top w:val="nil"/>
              <w:left w:val="single" w:sz="8" w:space="0" w:color="009900"/>
              <w:bottom w:val="single" w:sz="8" w:space="0" w:color="009900"/>
              <w:right w:val="nil"/>
            </w:tcBorders>
            <w:shd w:val="clear" w:color="000000" w:fill="FFFFE1"/>
            <w:vAlign w:val="center"/>
            <w:hideMark/>
          </w:tcPr>
          <w:p w:rsidR="00666E9B" w:rsidRDefault="00666E9B">
            <w:pPr>
              <w:rPr>
                <w:rFonts w:ascii="Arial" w:hAnsi="Arial" w:cs="Arial"/>
                <w:b/>
                <w:bCs/>
                <w:color w:val="000000"/>
                <w:sz w:val="16"/>
                <w:szCs w:val="16"/>
              </w:rPr>
            </w:pPr>
            <w:r>
              <w:rPr>
                <w:rFonts w:ascii="Arial" w:hAnsi="Arial" w:cs="Arial"/>
                <w:b/>
                <w:bCs/>
                <w:color w:val="000000"/>
                <w:sz w:val="16"/>
                <w:szCs w:val="16"/>
              </w:rPr>
              <w:t>Income</w:t>
            </w:r>
          </w:p>
        </w:tc>
        <w:tc>
          <w:tcPr>
            <w:tcW w:w="6100" w:type="dxa"/>
            <w:gridSpan w:val="6"/>
            <w:tcBorders>
              <w:top w:val="single" w:sz="8" w:space="0" w:color="009900"/>
              <w:left w:val="nil"/>
              <w:bottom w:val="dotted" w:sz="4" w:space="0" w:color="009900"/>
              <w:right w:val="dotted" w:sz="4" w:space="0" w:color="009900"/>
            </w:tcBorders>
            <w:shd w:val="clear" w:color="000000" w:fill="FFFFE1"/>
            <w:noWrap/>
            <w:vAlign w:val="center"/>
            <w:hideMark/>
          </w:tcPr>
          <w:p w:rsidR="00666E9B" w:rsidRDefault="00666E9B">
            <w:pPr>
              <w:jc w:val="center"/>
              <w:rPr>
                <w:rFonts w:ascii="Arial" w:hAnsi="Arial" w:cs="Arial"/>
                <w:b/>
                <w:bCs/>
                <w:color w:val="000000"/>
                <w:sz w:val="16"/>
                <w:szCs w:val="16"/>
              </w:rPr>
            </w:pPr>
            <w:r>
              <w:rPr>
                <w:rFonts w:ascii="Arial" w:hAnsi="Arial" w:cs="Arial"/>
                <w:b/>
                <w:bCs/>
                <w:color w:val="000000"/>
                <w:sz w:val="16"/>
                <w:szCs w:val="16"/>
              </w:rPr>
              <w:t>Non-Hispanic by Race/Ethnicity</w:t>
            </w:r>
          </w:p>
        </w:tc>
        <w:tc>
          <w:tcPr>
            <w:tcW w:w="960" w:type="dxa"/>
            <w:vMerge w:val="restart"/>
            <w:tcBorders>
              <w:top w:val="nil"/>
              <w:left w:val="dotted" w:sz="4" w:space="0" w:color="009900"/>
              <w:bottom w:val="single" w:sz="8" w:space="0" w:color="009900"/>
              <w:right w:val="nil"/>
            </w:tcBorders>
            <w:shd w:val="clear" w:color="000000" w:fill="FFFFE1"/>
            <w:vAlign w:val="center"/>
            <w:hideMark/>
          </w:tcPr>
          <w:p w:rsidR="00666E9B" w:rsidRDefault="00666E9B">
            <w:pPr>
              <w:jc w:val="center"/>
              <w:rPr>
                <w:rFonts w:ascii="Arial" w:hAnsi="Arial" w:cs="Arial"/>
                <w:b/>
                <w:bCs/>
                <w:color w:val="000000"/>
                <w:sz w:val="16"/>
                <w:szCs w:val="16"/>
              </w:rPr>
            </w:pPr>
            <w:r>
              <w:rPr>
                <w:rFonts w:ascii="Arial" w:hAnsi="Arial" w:cs="Arial"/>
                <w:b/>
                <w:bCs/>
                <w:color w:val="000000"/>
                <w:sz w:val="16"/>
                <w:szCs w:val="16"/>
              </w:rPr>
              <w:t>Hispanic (Any Race)</w:t>
            </w:r>
          </w:p>
        </w:tc>
        <w:tc>
          <w:tcPr>
            <w:tcW w:w="960" w:type="dxa"/>
            <w:vMerge w:val="restart"/>
            <w:tcBorders>
              <w:top w:val="nil"/>
              <w:left w:val="nil"/>
              <w:bottom w:val="single" w:sz="8" w:space="0" w:color="009900"/>
              <w:right w:val="single" w:sz="8" w:space="0" w:color="009900"/>
            </w:tcBorders>
            <w:shd w:val="clear" w:color="000000" w:fill="FFFFE1"/>
            <w:vAlign w:val="center"/>
            <w:hideMark/>
          </w:tcPr>
          <w:p w:rsidR="00666E9B" w:rsidRDefault="00666E9B">
            <w:pPr>
              <w:jc w:val="center"/>
              <w:rPr>
                <w:rFonts w:ascii="Arial" w:hAnsi="Arial" w:cs="Arial"/>
                <w:b/>
                <w:bCs/>
                <w:color w:val="000000"/>
                <w:sz w:val="16"/>
                <w:szCs w:val="16"/>
              </w:rPr>
            </w:pPr>
            <w:r>
              <w:rPr>
                <w:rFonts w:ascii="Arial" w:hAnsi="Arial" w:cs="Arial"/>
                <w:b/>
                <w:bCs/>
                <w:color w:val="000000"/>
                <w:sz w:val="16"/>
                <w:szCs w:val="16"/>
              </w:rPr>
              <w:t>Total</w:t>
            </w:r>
          </w:p>
        </w:tc>
      </w:tr>
      <w:tr w:rsidR="00666E9B" w:rsidTr="00666E9B">
        <w:trPr>
          <w:trHeight w:val="465"/>
        </w:trPr>
        <w:tc>
          <w:tcPr>
            <w:tcW w:w="1820" w:type="dxa"/>
            <w:vMerge/>
            <w:tcBorders>
              <w:top w:val="nil"/>
              <w:left w:val="single" w:sz="8" w:space="0" w:color="009900"/>
              <w:bottom w:val="single" w:sz="8" w:space="0" w:color="009900"/>
              <w:right w:val="nil"/>
            </w:tcBorders>
            <w:vAlign w:val="center"/>
            <w:hideMark/>
          </w:tcPr>
          <w:p w:rsidR="00666E9B" w:rsidRDefault="00666E9B">
            <w:pPr>
              <w:rPr>
                <w:rFonts w:ascii="Arial" w:hAnsi="Arial" w:cs="Arial"/>
                <w:b/>
                <w:bCs/>
                <w:color w:val="000000"/>
                <w:sz w:val="16"/>
                <w:szCs w:val="16"/>
              </w:rPr>
            </w:pPr>
          </w:p>
        </w:tc>
        <w:tc>
          <w:tcPr>
            <w:tcW w:w="1080" w:type="dxa"/>
            <w:tcBorders>
              <w:top w:val="nil"/>
              <w:left w:val="nil"/>
              <w:bottom w:val="single" w:sz="8" w:space="0" w:color="009900"/>
              <w:right w:val="nil"/>
            </w:tcBorders>
            <w:shd w:val="clear" w:color="000000" w:fill="FFFFE1"/>
            <w:vAlign w:val="center"/>
            <w:hideMark/>
          </w:tcPr>
          <w:p w:rsidR="00666E9B" w:rsidRDefault="00666E9B">
            <w:pPr>
              <w:jc w:val="center"/>
              <w:rPr>
                <w:rFonts w:ascii="Arial" w:hAnsi="Arial" w:cs="Arial"/>
                <w:b/>
                <w:bCs/>
                <w:color w:val="000000"/>
                <w:sz w:val="16"/>
                <w:szCs w:val="16"/>
              </w:rPr>
            </w:pPr>
            <w:r>
              <w:rPr>
                <w:rFonts w:ascii="Arial" w:hAnsi="Arial" w:cs="Arial"/>
                <w:b/>
                <w:bCs/>
                <w:color w:val="000000"/>
                <w:sz w:val="16"/>
                <w:szCs w:val="16"/>
              </w:rPr>
              <w:t>White</w:t>
            </w:r>
          </w:p>
        </w:tc>
        <w:tc>
          <w:tcPr>
            <w:tcW w:w="1020" w:type="dxa"/>
            <w:tcBorders>
              <w:top w:val="nil"/>
              <w:left w:val="nil"/>
              <w:bottom w:val="single" w:sz="8" w:space="0" w:color="009900"/>
              <w:right w:val="nil"/>
            </w:tcBorders>
            <w:shd w:val="clear" w:color="000000" w:fill="FFFFE1"/>
            <w:vAlign w:val="center"/>
            <w:hideMark/>
          </w:tcPr>
          <w:p w:rsidR="00666E9B" w:rsidRDefault="00666E9B">
            <w:pPr>
              <w:jc w:val="center"/>
              <w:rPr>
                <w:rFonts w:ascii="Arial" w:hAnsi="Arial" w:cs="Arial"/>
                <w:b/>
                <w:bCs/>
                <w:color w:val="000000"/>
                <w:sz w:val="16"/>
                <w:szCs w:val="16"/>
              </w:rPr>
            </w:pPr>
            <w:r>
              <w:rPr>
                <w:rFonts w:ascii="Arial" w:hAnsi="Arial" w:cs="Arial"/>
                <w:b/>
                <w:bCs/>
                <w:color w:val="000000"/>
                <w:sz w:val="16"/>
                <w:szCs w:val="16"/>
              </w:rPr>
              <w:t>Black</w:t>
            </w:r>
          </w:p>
        </w:tc>
        <w:tc>
          <w:tcPr>
            <w:tcW w:w="1120" w:type="dxa"/>
            <w:tcBorders>
              <w:top w:val="nil"/>
              <w:left w:val="nil"/>
              <w:bottom w:val="single" w:sz="8" w:space="0" w:color="009900"/>
              <w:right w:val="nil"/>
            </w:tcBorders>
            <w:shd w:val="clear" w:color="000000" w:fill="FFFFE1"/>
            <w:vAlign w:val="center"/>
            <w:hideMark/>
          </w:tcPr>
          <w:p w:rsidR="00666E9B" w:rsidRDefault="00666E9B">
            <w:pPr>
              <w:jc w:val="center"/>
              <w:rPr>
                <w:rFonts w:ascii="Arial" w:hAnsi="Arial" w:cs="Arial"/>
                <w:b/>
                <w:bCs/>
                <w:color w:val="000000"/>
                <w:sz w:val="16"/>
                <w:szCs w:val="16"/>
              </w:rPr>
            </w:pPr>
            <w:r>
              <w:rPr>
                <w:rFonts w:ascii="Arial" w:hAnsi="Arial" w:cs="Arial"/>
                <w:b/>
                <w:bCs/>
                <w:color w:val="000000"/>
                <w:sz w:val="16"/>
                <w:szCs w:val="16"/>
              </w:rPr>
              <w:t>Asian</w:t>
            </w:r>
          </w:p>
        </w:tc>
        <w:tc>
          <w:tcPr>
            <w:tcW w:w="960" w:type="dxa"/>
            <w:tcBorders>
              <w:top w:val="nil"/>
              <w:left w:val="nil"/>
              <w:bottom w:val="single" w:sz="8" w:space="0" w:color="009900"/>
              <w:right w:val="nil"/>
            </w:tcBorders>
            <w:shd w:val="clear" w:color="000000" w:fill="FFFFE1"/>
            <w:vAlign w:val="center"/>
            <w:hideMark/>
          </w:tcPr>
          <w:p w:rsidR="00666E9B" w:rsidRDefault="00666E9B">
            <w:pPr>
              <w:jc w:val="center"/>
              <w:rPr>
                <w:rFonts w:ascii="Arial" w:hAnsi="Arial" w:cs="Arial"/>
                <w:b/>
                <w:bCs/>
                <w:color w:val="000000"/>
                <w:sz w:val="16"/>
                <w:szCs w:val="16"/>
              </w:rPr>
            </w:pPr>
            <w:r>
              <w:rPr>
                <w:rFonts w:ascii="Arial" w:hAnsi="Arial" w:cs="Arial"/>
                <w:b/>
                <w:bCs/>
                <w:color w:val="000000"/>
                <w:sz w:val="16"/>
                <w:szCs w:val="16"/>
              </w:rPr>
              <w:t>American Indian</w:t>
            </w:r>
          </w:p>
        </w:tc>
        <w:tc>
          <w:tcPr>
            <w:tcW w:w="960" w:type="dxa"/>
            <w:tcBorders>
              <w:top w:val="nil"/>
              <w:left w:val="nil"/>
              <w:bottom w:val="single" w:sz="8" w:space="0" w:color="009900"/>
              <w:right w:val="nil"/>
            </w:tcBorders>
            <w:shd w:val="clear" w:color="000000" w:fill="FFFFE1"/>
            <w:vAlign w:val="center"/>
            <w:hideMark/>
          </w:tcPr>
          <w:p w:rsidR="00666E9B" w:rsidRDefault="00666E9B">
            <w:pPr>
              <w:jc w:val="center"/>
              <w:rPr>
                <w:rFonts w:ascii="Arial" w:hAnsi="Arial" w:cs="Arial"/>
                <w:b/>
                <w:bCs/>
                <w:color w:val="000000"/>
                <w:sz w:val="16"/>
                <w:szCs w:val="16"/>
              </w:rPr>
            </w:pPr>
            <w:r>
              <w:rPr>
                <w:rFonts w:ascii="Arial" w:hAnsi="Arial" w:cs="Arial"/>
                <w:b/>
                <w:bCs/>
                <w:color w:val="000000"/>
                <w:sz w:val="16"/>
                <w:szCs w:val="16"/>
              </w:rPr>
              <w:t>Pacific Islander</w:t>
            </w:r>
          </w:p>
        </w:tc>
        <w:tc>
          <w:tcPr>
            <w:tcW w:w="960" w:type="dxa"/>
            <w:tcBorders>
              <w:top w:val="nil"/>
              <w:left w:val="nil"/>
              <w:bottom w:val="single" w:sz="8" w:space="0" w:color="009900"/>
              <w:right w:val="nil"/>
            </w:tcBorders>
            <w:shd w:val="clear" w:color="000000" w:fill="FFFFE1"/>
            <w:vAlign w:val="center"/>
            <w:hideMark/>
          </w:tcPr>
          <w:p w:rsidR="00666E9B" w:rsidRDefault="00666E9B">
            <w:pPr>
              <w:jc w:val="center"/>
              <w:rPr>
                <w:rFonts w:ascii="Arial" w:hAnsi="Arial" w:cs="Arial"/>
                <w:b/>
                <w:bCs/>
                <w:color w:val="000000"/>
                <w:sz w:val="16"/>
                <w:szCs w:val="16"/>
              </w:rPr>
            </w:pPr>
            <w:r>
              <w:rPr>
                <w:rFonts w:ascii="Arial" w:hAnsi="Arial" w:cs="Arial"/>
                <w:b/>
                <w:bCs/>
                <w:color w:val="000000"/>
                <w:sz w:val="16"/>
                <w:szCs w:val="16"/>
              </w:rPr>
              <w:t>Other Race</w:t>
            </w:r>
          </w:p>
        </w:tc>
        <w:tc>
          <w:tcPr>
            <w:tcW w:w="960" w:type="dxa"/>
            <w:vMerge/>
            <w:tcBorders>
              <w:top w:val="nil"/>
              <w:left w:val="dotted" w:sz="4" w:space="0" w:color="009900"/>
              <w:bottom w:val="single" w:sz="8" w:space="0" w:color="009900"/>
              <w:right w:val="nil"/>
            </w:tcBorders>
            <w:vAlign w:val="center"/>
            <w:hideMark/>
          </w:tcPr>
          <w:p w:rsidR="00666E9B" w:rsidRDefault="00666E9B">
            <w:pPr>
              <w:rPr>
                <w:rFonts w:ascii="Arial" w:hAnsi="Arial" w:cs="Arial"/>
                <w:b/>
                <w:bCs/>
                <w:color w:val="000000"/>
                <w:sz w:val="16"/>
                <w:szCs w:val="16"/>
              </w:rPr>
            </w:pPr>
          </w:p>
        </w:tc>
        <w:tc>
          <w:tcPr>
            <w:tcW w:w="960" w:type="dxa"/>
            <w:vMerge/>
            <w:tcBorders>
              <w:top w:val="nil"/>
              <w:left w:val="nil"/>
              <w:bottom w:val="single" w:sz="8" w:space="0" w:color="009900"/>
              <w:right w:val="single" w:sz="8" w:space="0" w:color="009900"/>
            </w:tcBorders>
            <w:vAlign w:val="center"/>
            <w:hideMark/>
          </w:tcPr>
          <w:p w:rsidR="00666E9B" w:rsidRDefault="00666E9B">
            <w:pPr>
              <w:rPr>
                <w:rFonts w:ascii="Arial" w:hAnsi="Arial" w:cs="Arial"/>
                <w:b/>
                <w:bCs/>
                <w:color w:val="000000"/>
                <w:sz w:val="16"/>
                <w:szCs w:val="16"/>
              </w:rPr>
            </w:pPr>
          </w:p>
        </w:tc>
      </w:tr>
      <w:tr w:rsidR="00666E9B" w:rsidTr="00666E9B">
        <w:trPr>
          <w:trHeight w:val="315"/>
        </w:trPr>
        <w:tc>
          <w:tcPr>
            <w:tcW w:w="9840" w:type="dxa"/>
            <w:gridSpan w:val="9"/>
            <w:tcBorders>
              <w:top w:val="single" w:sz="8" w:space="0" w:color="009900"/>
              <w:left w:val="single" w:sz="8" w:space="0" w:color="009900"/>
              <w:bottom w:val="single" w:sz="8" w:space="0" w:color="009900"/>
              <w:right w:val="single" w:sz="8" w:space="0" w:color="009900"/>
            </w:tcBorders>
            <w:shd w:val="clear" w:color="000000" w:fill="FFFFE1"/>
            <w:noWrap/>
            <w:vAlign w:val="center"/>
            <w:hideMark/>
          </w:tcPr>
          <w:p w:rsidR="00666E9B" w:rsidRDefault="00666E9B">
            <w:pPr>
              <w:jc w:val="center"/>
              <w:rPr>
                <w:rFonts w:ascii="Arial" w:hAnsi="Arial" w:cs="Arial"/>
                <w:b/>
                <w:bCs/>
                <w:color w:val="000000"/>
                <w:sz w:val="16"/>
                <w:szCs w:val="16"/>
              </w:rPr>
            </w:pPr>
            <w:r>
              <w:rPr>
                <w:rFonts w:ascii="Arial" w:hAnsi="Arial" w:cs="Arial"/>
                <w:b/>
                <w:bCs/>
                <w:color w:val="000000"/>
                <w:sz w:val="16"/>
                <w:szCs w:val="16"/>
              </w:rPr>
              <w:t>With Housing Problems</w:t>
            </w:r>
          </w:p>
        </w:tc>
      </w:tr>
      <w:tr w:rsidR="00666E9B" w:rsidTr="00666E9B">
        <w:trPr>
          <w:trHeight w:val="300"/>
        </w:trPr>
        <w:tc>
          <w:tcPr>
            <w:tcW w:w="1820" w:type="dxa"/>
            <w:tcBorders>
              <w:top w:val="nil"/>
              <w:left w:val="single" w:sz="8" w:space="0" w:color="009900"/>
              <w:bottom w:val="nil"/>
              <w:right w:val="nil"/>
            </w:tcBorders>
            <w:shd w:val="clear" w:color="000000" w:fill="FFFFE1"/>
            <w:vAlign w:val="center"/>
            <w:hideMark/>
          </w:tcPr>
          <w:p w:rsidR="00666E9B" w:rsidRDefault="00666E9B">
            <w:pPr>
              <w:rPr>
                <w:rFonts w:ascii="Arial" w:hAnsi="Arial" w:cs="Arial"/>
                <w:color w:val="000000"/>
                <w:sz w:val="16"/>
                <w:szCs w:val="16"/>
              </w:rPr>
            </w:pPr>
            <w:r>
              <w:rPr>
                <w:rFonts w:ascii="Arial" w:hAnsi="Arial" w:cs="Arial"/>
                <w:color w:val="000000"/>
                <w:sz w:val="16"/>
                <w:szCs w:val="16"/>
              </w:rPr>
              <w:t>30% HAMFI or less</w:t>
            </w:r>
          </w:p>
        </w:tc>
        <w:tc>
          <w:tcPr>
            <w:tcW w:w="108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10,655</w:t>
            </w:r>
          </w:p>
        </w:tc>
        <w:tc>
          <w:tcPr>
            <w:tcW w:w="102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425</w:t>
            </w:r>
          </w:p>
        </w:tc>
        <w:tc>
          <w:tcPr>
            <w:tcW w:w="112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225</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3,420</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0</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250</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14,100</w:t>
            </w:r>
          </w:p>
        </w:tc>
        <w:tc>
          <w:tcPr>
            <w:tcW w:w="960" w:type="dxa"/>
            <w:tcBorders>
              <w:top w:val="nil"/>
              <w:left w:val="nil"/>
              <w:bottom w:val="nil"/>
              <w:right w:val="single" w:sz="8" w:space="0" w:color="009900"/>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29,075</w:t>
            </w:r>
          </w:p>
        </w:tc>
      </w:tr>
      <w:tr w:rsidR="00666E9B" w:rsidTr="00666E9B">
        <w:trPr>
          <w:trHeight w:val="300"/>
        </w:trPr>
        <w:tc>
          <w:tcPr>
            <w:tcW w:w="1820" w:type="dxa"/>
            <w:tcBorders>
              <w:top w:val="nil"/>
              <w:left w:val="single" w:sz="8" w:space="0" w:color="009900"/>
              <w:bottom w:val="nil"/>
              <w:right w:val="nil"/>
            </w:tcBorders>
            <w:shd w:val="clear" w:color="000000" w:fill="FFFFE1"/>
            <w:vAlign w:val="center"/>
            <w:hideMark/>
          </w:tcPr>
          <w:p w:rsidR="00666E9B" w:rsidRDefault="00666E9B">
            <w:pPr>
              <w:rPr>
                <w:rFonts w:ascii="Arial" w:hAnsi="Arial" w:cs="Arial"/>
                <w:color w:val="000000"/>
                <w:sz w:val="16"/>
                <w:szCs w:val="16"/>
              </w:rPr>
            </w:pPr>
            <w:r>
              <w:rPr>
                <w:rFonts w:ascii="Arial" w:hAnsi="Arial" w:cs="Arial"/>
                <w:color w:val="000000"/>
                <w:sz w:val="16"/>
                <w:szCs w:val="16"/>
              </w:rPr>
              <w:t>30.1-50% HAMFI</w:t>
            </w:r>
          </w:p>
        </w:tc>
        <w:tc>
          <w:tcPr>
            <w:tcW w:w="108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11,270</w:t>
            </w:r>
          </w:p>
        </w:tc>
        <w:tc>
          <w:tcPr>
            <w:tcW w:w="102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215</w:t>
            </w:r>
          </w:p>
        </w:tc>
        <w:tc>
          <w:tcPr>
            <w:tcW w:w="112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240</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1,995</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0</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270</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13,360</w:t>
            </w:r>
          </w:p>
        </w:tc>
        <w:tc>
          <w:tcPr>
            <w:tcW w:w="960" w:type="dxa"/>
            <w:tcBorders>
              <w:top w:val="nil"/>
              <w:left w:val="nil"/>
              <w:bottom w:val="nil"/>
              <w:right w:val="single" w:sz="8" w:space="0" w:color="009900"/>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27,350</w:t>
            </w:r>
          </w:p>
        </w:tc>
      </w:tr>
      <w:tr w:rsidR="00666E9B" w:rsidTr="00666E9B">
        <w:trPr>
          <w:trHeight w:val="300"/>
        </w:trPr>
        <w:tc>
          <w:tcPr>
            <w:tcW w:w="1820" w:type="dxa"/>
            <w:tcBorders>
              <w:top w:val="nil"/>
              <w:left w:val="single" w:sz="8" w:space="0" w:color="009900"/>
              <w:bottom w:val="nil"/>
              <w:right w:val="nil"/>
            </w:tcBorders>
            <w:shd w:val="clear" w:color="000000" w:fill="FFFFE1"/>
            <w:vAlign w:val="center"/>
            <w:hideMark/>
          </w:tcPr>
          <w:p w:rsidR="00666E9B" w:rsidRDefault="00666E9B">
            <w:pPr>
              <w:rPr>
                <w:rFonts w:ascii="Arial" w:hAnsi="Arial" w:cs="Arial"/>
                <w:color w:val="000000"/>
                <w:sz w:val="16"/>
                <w:szCs w:val="16"/>
              </w:rPr>
            </w:pPr>
            <w:r>
              <w:rPr>
                <w:rFonts w:ascii="Arial" w:hAnsi="Arial" w:cs="Arial"/>
                <w:color w:val="000000"/>
                <w:sz w:val="16"/>
                <w:szCs w:val="16"/>
              </w:rPr>
              <w:t>50.1-80% HAMFI</w:t>
            </w:r>
          </w:p>
        </w:tc>
        <w:tc>
          <w:tcPr>
            <w:tcW w:w="108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14,440</w:t>
            </w:r>
          </w:p>
        </w:tc>
        <w:tc>
          <w:tcPr>
            <w:tcW w:w="102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495</w:t>
            </w:r>
          </w:p>
        </w:tc>
        <w:tc>
          <w:tcPr>
            <w:tcW w:w="112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490</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1,885</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15</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290</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17,035</w:t>
            </w:r>
          </w:p>
        </w:tc>
        <w:tc>
          <w:tcPr>
            <w:tcW w:w="960" w:type="dxa"/>
            <w:tcBorders>
              <w:top w:val="nil"/>
              <w:left w:val="nil"/>
              <w:bottom w:val="nil"/>
              <w:right w:val="single" w:sz="8" w:space="0" w:color="009900"/>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34,650</w:t>
            </w:r>
          </w:p>
        </w:tc>
      </w:tr>
      <w:tr w:rsidR="00666E9B" w:rsidTr="00666E9B">
        <w:trPr>
          <w:trHeight w:val="300"/>
        </w:trPr>
        <w:tc>
          <w:tcPr>
            <w:tcW w:w="1820" w:type="dxa"/>
            <w:tcBorders>
              <w:top w:val="nil"/>
              <w:left w:val="single" w:sz="8" w:space="0" w:color="009900"/>
              <w:bottom w:val="nil"/>
              <w:right w:val="nil"/>
            </w:tcBorders>
            <w:shd w:val="clear" w:color="000000" w:fill="FFFFE1"/>
            <w:vAlign w:val="center"/>
            <w:hideMark/>
          </w:tcPr>
          <w:p w:rsidR="00666E9B" w:rsidRDefault="00666E9B">
            <w:pPr>
              <w:rPr>
                <w:rFonts w:ascii="Arial" w:hAnsi="Arial" w:cs="Arial"/>
                <w:color w:val="000000"/>
                <w:sz w:val="16"/>
                <w:szCs w:val="16"/>
              </w:rPr>
            </w:pPr>
            <w:r>
              <w:rPr>
                <w:rFonts w:ascii="Arial" w:hAnsi="Arial" w:cs="Arial"/>
                <w:color w:val="000000"/>
                <w:sz w:val="16"/>
                <w:szCs w:val="16"/>
              </w:rPr>
              <w:t>80.1-100% HAMFI</w:t>
            </w:r>
          </w:p>
        </w:tc>
        <w:tc>
          <w:tcPr>
            <w:tcW w:w="108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7,780</w:t>
            </w:r>
          </w:p>
        </w:tc>
        <w:tc>
          <w:tcPr>
            <w:tcW w:w="102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310</w:t>
            </w:r>
          </w:p>
        </w:tc>
        <w:tc>
          <w:tcPr>
            <w:tcW w:w="112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135</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605</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0</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180</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6,925</w:t>
            </w:r>
          </w:p>
        </w:tc>
        <w:tc>
          <w:tcPr>
            <w:tcW w:w="960" w:type="dxa"/>
            <w:tcBorders>
              <w:top w:val="nil"/>
              <w:left w:val="nil"/>
              <w:bottom w:val="nil"/>
              <w:right w:val="single" w:sz="8" w:space="0" w:color="009900"/>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15,935</w:t>
            </w:r>
          </w:p>
        </w:tc>
      </w:tr>
      <w:tr w:rsidR="00666E9B" w:rsidTr="00666E9B">
        <w:trPr>
          <w:trHeight w:val="300"/>
        </w:trPr>
        <w:tc>
          <w:tcPr>
            <w:tcW w:w="1820" w:type="dxa"/>
            <w:tcBorders>
              <w:top w:val="nil"/>
              <w:left w:val="single" w:sz="8" w:space="0" w:color="009900"/>
              <w:bottom w:val="nil"/>
              <w:right w:val="nil"/>
            </w:tcBorders>
            <w:shd w:val="clear" w:color="000000" w:fill="FFFFE1"/>
            <w:vAlign w:val="center"/>
            <w:hideMark/>
          </w:tcPr>
          <w:p w:rsidR="00666E9B" w:rsidRDefault="00666E9B">
            <w:pPr>
              <w:rPr>
                <w:rFonts w:ascii="Arial" w:hAnsi="Arial" w:cs="Arial"/>
                <w:color w:val="000000"/>
                <w:sz w:val="16"/>
                <w:szCs w:val="16"/>
              </w:rPr>
            </w:pPr>
            <w:r>
              <w:rPr>
                <w:rFonts w:ascii="Arial" w:hAnsi="Arial" w:cs="Arial"/>
                <w:color w:val="000000"/>
                <w:sz w:val="16"/>
                <w:szCs w:val="16"/>
              </w:rPr>
              <w:t>100.1% HAMFI or more</w:t>
            </w:r>
          </w:p>
        </w:tc>
        <w:tc>
          <w:tcPr>
            <w:tcW w:w="108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19,720</w:t>
            </w:r>
          </w:p>
        </w:tc>
        <w:tc>
          <w:tcPr>
            <w:tcW w:w="102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675</w:t>
            </w:r>
          </w:p>
        </w:tc>
        <w:tc>
          <w:tcPr>
            <w:tcW w:w="112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640</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1,840</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20</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450</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11,595</w:t>
            </w:r>
          </w:p>
        </w:tc>
        <w:tc>
          <w:tcPr>
            <w:tcW w:w="960" w:type="dxa"/>
            <w:tcBorders>
              <w:top w:val="nil"/>
              <w:left w:val="nil"/>
              <w:bottom w:val="nil"/>
              <w:right w:val="single" w:sz="8" w:space="0" w:color="009900"/>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34,940</w:t>
            </w:r>
          </w:p>
        </w:tc>
      </w:tr>
      <w:tr w:rsidR="00666E9B" w:rsidTr="00666E9B">
        <w:trPr>
          <w:trHeight w:val="315"/>
        </w:trPr>
        <w:tc>
          <w:tcPr>
            <w:tcW w:w="1820" w:type="dxa"/>
            <w:tcBorders>
              <w:top w:val="dotted" w:sz="4" w:space="0" w:color="009900"/>
              <w:left w:val="single" w:sz="8" w:space="0" w:color="009900"/>
              <w:bottom w:val="single" w:sz="8" w:space="0" w:color="009900"/>
              <w:right w:val="nil"/>
            </w:tcBorders>
            <w:shd w:val="clear" w:color="000000" w:fill="FFFFE1"/>
            <w:noWrap/>
            <w:vAlign w:val="center"/>
            <w:hideMark/>
          </w:tcPr>
          <w:p w:rsidR="00666E9B" w:rsidRDefault="00666E9B">
            <w:pPr>
              <w:rPr>
                <w:rFonts w:ascii="Arial" w:hAnsi="Arial" w:cs="Arial"/>
                <w:color w:val="000000"/>
                <w:sz w:val="16"/>
                <w:szCs w:val="16"/>
              </w:rPr>
            </w:pPr>
            <w:r>
              <w:rPr>
                <w:rFonts w:ascii="Arial" w:hAnsi="Arial" w:cs="Arial"/>
                <w:color w:val="000000"/>
                <w:sz w:val="16"/>
                <w:szCs w:val="16"/>
              </w:rPr>
              <w:t>Total</w:t>
            </w:r>
          </w:p>
        </w:tc>
        <w:tc>
          <w:tcPr>
            <w:tcW w:w="1080" w:type="dxa"/>
            <w:tcBorders>
              <w:top w:val="dotted" w:sz="4" w:space="0" w:color="009900"/>
              <w:left w:val="nil"/>
              <w:bottom w:val="single" w:sz="8" w:space="0" w:color="009900"/>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63,865</w:t>
            </w:r>
          </w:p>
        </w:tc>
        <w:tc>
          <w:tcPr>
            <w:tcW w:w="1020" w:type="dxa"/>
            <w:tcBorders>
              <w:top w:val="dotted" w:sz="4" w:space="0" w:color="009900"/>
              <w:left w:val="nil"/>
              <w:bottom w:val="single" w:sz="8" w:space="0" w:color="009900"/>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2,120</w:t>
            </w:r>
          </w:p>
        </w:tc>
        <w:tc>
          <w:tcPr>
            <w:tcW w:w="1120" w:type="dxa"/>
            <w:tcBorders>
              <w:top w:val="dotted" w:sz="4" w:space="0" w:color="009900"/>
              <w:left w:val="nil"/>
              <w:bottom w:val="single" w:sz="8" w:space="0" w:color="009900"/>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1,730</w:t>
            </w:r>
          </w:p>
        </w:tc>
        <w:tc>
          <w:tcPr>
            <w:tcW w:w="960" w:type="dxa"/>
            <w:tcBorders>
              <w:top w:val="dotted" w:sz="4" w:space="0" w:color="009900"/>
              <w:left w:val="nil"/>
              <w:bottom w:val="single" w:sz="8" w:space="0" w:color="009900"/>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9,745</w:t>
            </w:r>
          </w:p>
        </w:tc>
        <w:tc>
          <w:tcPr>
            <w:tcW w:w="960" w:type="dxa"/>
            <w:tcBorders>
              <w:top w:val="dotted" w:sz="4" w:space="0" w:color="009900"/>
              <w:left w:val="nil"/>
              <w:bottom w:val="single" w:sz="8" w:space="0" w:color="009900"/>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35</w:t>
            </w:r>
          </w:p>
        </w:tc>
        <w:tc>
          <w:tcPr>
            <w:tcW w:w="960" w:type="dxa"/>
            <w:tcBorders>
              <w:top w:val="dotted" w:sz="4" w:space="0" w:color="009900"/>
              <w:left w:val="nil"/>
              <w:bottom w:val="single" w:sz="8" w:space="0" w:color="009900"/>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1,440</w:t>
            </w:r>
          </w:p>
        </w:tc>
        <w:tc>
          <w:tcPr>
            <w:tcW w:w="960" w:type="dxa"/>
            <w:tcBorders>
              <w:top w:val="dotted" w:sz="4" w:space="0" w:color="009900"/>
              <w:left w:val="nil"/>
              <w:bottom w:val="single" w:sz="8" w:space="0" w:color="009900"/>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63,015</w:t>
            </w:r>
          </w:p>
        </w:tc>
        <w:tc>
          <w:tcPr>
            <w:tcW w:w="960" w:type="dxa"/>
            <w:tcBorders>
              <w:top w:val="dotted" w:sz="4" w:space="0" w:color="009900"/>
              <w:left w:val="nil"/>
              <w:bottom w:val="single" w:sz="8" w:space="0" w:color="009900"/>
              <w:right w:val="single" w:sz="8" w:space="0" w:color="009900"/>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141,950</w:t>
            </w:r>
          </w:p>
        </w:tc>
      </w:tr>
      <w:tr w:rsidR="00666E9B" w:rsidTr="00666E9B">
        <w:trPr>
          <w:trHeight w:val="315"/>
        </w:trPr>
        <w:tc>
          <w:tcPr>
            <w:tcW w:w="9840" w:type="dxa"/>
            <w:gridSpan w:val="9"/>
            <w:tcBorders>
              <w:top w:val="single" w:sz="8" w:space="0" w:color="009900"/>
              <w:left w:val="single" w:sz="8" w:space="0" w:color="009900"/>
              <w:bottom w:val="single" w:sz="8" w:space="0" w:color="009900"/>
              <w:right w:val="single" w:sz="8" w:space="0" w:color="009900"/>
            </w:tcBorders>
            <w:shd w:val="clear" w:color="000000" w:fill="FFFFE1"/>
            <w:noWrap/>
            <w:vAlign w:val="center"/>
            <w:hideMark/>
          </w:tcPr>
          <w:p w:rsidR="00666E9B" w:rsidRDefault="00666E9B">
            <w:pPr>
              <w:jc w:val="center"/>
              <w:rPr>
                <w:rFonts w:ascii="Arial" w:hAnsi="Arial" w:cs="Arial"/>
                <w:b/>
                <w:bCs/>
                <w:color w:val="000000"/>
                <w:sz w:val="16"/>
                <w:szCs w:val="16"/>
              </w:rPr>
            </w:pPr>
            <w:r>
              <w:rPr>
                <w:rFonts w:ascii="Arial" w:hAnsi="Arial" w:cs="Arial"/>
                <w:b/>
                <w:bCs/>
                <w:color w:val="000000"/>
                <w:sz w:val="16"/>
                <w:szCs w:val="16"/>
              </w:rPr>
              <w:t>Total</w:t>
            </w:r>
          </w:p>
        </w:tc>
      </w:tr>
      <w:tr w:rsidR="00666E9B" w:rsidTr="00666E9B">
        <w:trPr>
          <w:trHeight w:val="300"/>
        </w:trPr>
        <w:tc>
          <w:tcPr>
            <w:tcW w:w="1820" w:type="dxa"/>
            <w:tcBorders>
              <w:top w:val="nil"/>
              <w:left w:val="single" w:sz="8" w:space="0" w:color="009900"/>
              <w:bottom w:val="nil"/>
              <w:right w:val="nil"/>
            </w:tcBorders>
            <w:shd w:val="clear" w:color="000000" w:fill="FFFFE1"/>
            <w:vAlign w:val="center"/>
            <w:hideMark/>
          </w:tcPr>
          <w:p w:rsidR="00666E9B" w:rsidRDefault="00666E9B">
            <w:pPr>
              <w:rPr>
                <w:rFonts w:ascii="Arial" w:hAnsi="Arial" w:cs="Arial"/>
                <w:color w:val="000000"/>
                <w:sz w:val="16"/>
                <w:szCs w:val="16"/>
              </w:rPr>
            </w:pPr>
            <w:r>
              <w:rPr>
                <w:rFonts w:ascii="Arial" w:hAnsi="Arial" w:cs="Arial"/>
                <w:color w:val="000000"/>
                <w:sz w:val="16"/>
                <w:szCs w:val="16"/>
              </w:rPr>
              <w:t>30% HAMFI or less</w:t>
            </w:r>
          </w:p>
        </w:tc>
        <w:tc>
          <w:tcPr>
            <w:tcW w:w="108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14,525</w:t>
            </w:r>
          </w:p>
        </w:tc>
        <w:tc>
          <w:tcPr>
            <w:tcW w:w="102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505</w:t>
            </w:r>
          </w:p>
        </w:tc>
        <w:tc>
          <w:tcPr>
            <w:tcW w:w="112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250</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5,235</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0</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330</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17,800</w:t>
            </w:r>
          </w:p>
        </w:tc>
        <w:tc>
          <w:tcPr>
            <w:tcW w:w="960" w:type="dxa"/>
            <w:tcBorders>
              <w:top w:val="nil"/>
              <w:left w:val="nil"/>
              <w:bottom w:val="nil"/>
              <w:right w:val="single" w:sz="8" w:space="0" w:color="009900"/>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38,645</w:t>
            </w:r>
          </w:p>
        </w:tc>
      </w:tr>
      <w:tr w:rsidR="00666E9B" w:rsidTr="00666E9B">
        <w:trPr>
          <w:trHeight w:val="300"/>
        </w:trPr>
        <w:tc>
          <w:tcPr>
            <w:tcW w:w="1820" w:type="dxa"/>
            <w:tcBorders>
              <w:top w:val="nil"/>
              <w:left w:val="single" w:sz="8" w:space="0" w:color="009900"/>
              <w:bottom w:val="nil"/>
              <w:right w:val="nil"/>
            </w:tcBorders>
            <w:shd w:val="clear" w:color="000000" w:fill="FFFFE1"/>
            <w:vAlign w:val="center"/>
            <w:hideMark/>
          </w:tcPr>
          <w:p w:rsidR="00666E9B" w:rsidRDefault="00666E9B">
            <w:pPr>
              <w:rPr>
                <w:rFonts w:ascii="Arial" w:hAnsi="Arial" w:cs="Arial"/>
                <w:color w:val="000000"/>
                <w:sz w:val="16"/>
                <w:szCs w:val="16"/>
              </w:rPr>
            </w:pPr>
            <w:r>
              <w:rPr>
                <w:rFonts w:ascii="Arial" w:hAnsi="Arial" w:cs="Arial"/>
                <w:color w:val="000000"/>
                <w:sz w:val="16"/>
                <w:szCs w:val="16"/>
              </w:rPr>
              <w:t>30.1-50% HAMFI</w:t>
            </w:r>
          </w:p>
        </w:tc>
        <w:tc>
          <w:tcPr>
            <w:tcW w:w="108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19,815</w:t>
            </w:r>
          </w:p>
        </w:tc>
        <w:tc>
          <w:tcPr>
            <w:tcW w:w="102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550</w:t>
            </w:r>
          </w:p>
        </w:tc>
        <w:tc>
          <w:tcPr>
            <w:tcW w:w="112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440</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4,190</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0</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525</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24,710</w:t>
            </w:r>
          </w:p>
        </w:tc>
        <w:tc>
          <w:tcPr>
            <w:tcW w:w="960" w:type="dxa"/>
            <w:tcBorders>
              <w:top w:val="nil"/>
              <w:left w:val="nil"/>
              <w:bottom w:val="nil"/>
              <w:right w:val="single" w:sz="8" w:space="0" w:color="009900"/>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50,230</w:t>
            </w:r>
          </w:p>
        </w:tc>
      </w:tr>
      <w:tr w:rsidR="00666E9B" w:rsidTr="00666E9B">
        <w:trPr>
          <w:trHeight w:val="300"/>
        </w:trPr>
        <w:tc>
          <w:tcPr>
            <w:tcW w:w="1820" w:type="dxa"/>
            <w:tcBorders>
              <w:top w:val="nil"/>
              <w:left w:val="single" w:sz="8" w:space="0" w:color="009900"/>
              <w:bottom w:val="nil"/>
              <w:right w:val="nil"/>
            </w:tcBorders>
            <w:shd w:val="clear" w:color="000000" w:fill="FFFFE1"/>
            <w:vAlign w:val="center"/>
            <w:hideMark/>
          </w:tcPr>
          <w:p w:rsidR="00666E9B" w:rsidRDefault="00666E9B">
            <w:pPr>
              <w:rPr>
                <w:rFonts w:ascii="Arial" w:hAnsi="Arial" w:cs="Arial"/>
                <w:color w:val="000000"/>
                <w:sz w:val="16"/>
                <w:szCs w:val="16"/>
              </w:rPr>
            </w:pPr>
            <w:r>
              <w:rPr>
                <w:rFonts w:ascii="Arial" w:hAnsi="Arial" w:cs="Arial"/>
                <w:color w:val="000000"/>
                <w:sz w:val="16"/>
                <w:szCs w:val="16"/>
              </w:rPr>
              <w:t>50.1-80% HAMFI</w:t>
            </w:r>
          </w:p>
        </w:tc>
        <w:tc>
          <w:tcPr>
            <w:tcW w:w="108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34,200</w:t>
            </w:r>
          </w:p>
        </w:tc>
        <w:tc>
          <w:tcPr>
            <w:tcW w:w="102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870</w:t>
            </w:r>
          </w:p>
        </w:tc>
        <w:tc>
          <w:tcPr>
            <w:tcW w:w="112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640</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4,980</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15</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660</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38,115</w:t>
            </w:r>
          </w:p>
        </w:tc>
        <w:tc>
          <w:tcPr>
            <w:tcW w:w="960" w:type="dxa"/>
            <w:tcBorders>
              <w:top w:val="nil"/>
              <w:left w:val="nil"/>
              <w:bottom w:val="nil"/>
              <w:right w:val="single" w:sz="8" w:space="0" w:color="009900"/>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79,480</w:t>
            </w:r>
          </w:p>
        </w:tc>
      </w:tr>
      <w:tr w:rsidR="00666E9B" w:rsidTr="00666E9B">
        <w:trPr>
          <w:trHeight w:val="300"/>
        </w:trPr>
        <w:tc>
          <w:tcPr>
            <w:tcW w:w="1820" w:type="dxa"/>
            <w:tcBorders>
              <w:top w:val="nil"/>
              <w:left w:val="single" w:sz="8" w:space="0" w:color="009900"/>
              <w:bottom w:val="nil"/>
              <w:right w:val="nil"/>
            </w:tcBorders>
            <w:shd w:val="clear" w:color="000000" w:fill="FFFFE1"/>
            <w:vAlign w:val="center"/>
            <w:hideMark/>
          </w:tcPr>
          <w:p w:rsidR="00666E9B" w:rsidRDefault="00666E9B">
            <w:pPr>
              <w:rPr>
                <w:rFonts w:ascii="Arial" w:hAnsi="Arial" w:cs="Arial"/>
                <w:color w:val="000000"/>
                <w:sz w:val="16"/>
                <w:szCs w:val="16"/>
              </w:rPr>
            </w:pPr>
            <w:r>
              <w:rPr>
                <w:rFonts w:ascii="Arial" w:hAnsi="Arial" w:cs="Arial"/>
                <w:color w:val="000000"/>
                <w:sz w:val="16"/>
                <w:szCs w:val="16"/>
              </w:rPr>
              <w:t>80.1-100% HAMFI</w:t>
            </w:r>
          </w:p>
        </w:tc>
        <w:tc>
          <w:tcPr>
            <w:tcW w:w="108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24,230</w:t>
            </w:r>
          </w:p>
        </w:tc>
        <w:tc>
          <w:tcPr>
            <w:tcW w:w="102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665</w:t>
            </w:r>
          </w:p>
        </w:tc>
        <w:tc>
          <w:tcPr>
            <w:tcW w:w="112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355</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2,825</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20</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665</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21,815</w:t>
            </w:r>
          </w:p>
        </w:tc>
        <w:tc>
          <w:tcPr>
            <w:tcW w:w="960" w:type="dxa"/>
            <w:tcBorders>
              <w:top w:val="nil"/>
              <w:left w:val="nil"/>
              <w:bottom w:val="nil"/>
              <w:right w:val="single" w:sz="8" w:space="0" w:color="009900"/>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50,575</w:t>
            </w:r>
          </w:p>
        </w:tc>
      </w:tr>
      <w:tr w:rsidR="00666E9B" w:rsidTr="00666E9B">
        <w:trPr>
          <w:trHeight w:val="315"/>
        </w:trPr>
        <w:tc>
          <w:tcPr>
            <w:tcW w:w="1820" w:type="dxa"/>
            <w:tcBorders>
              <w:top w:val="nil"/>
              <w:left w:val="single" w:sz="8" w:space="0" w:color="009900"/>
              <w:bottom w:val="nil"/>
              <w:right w:val="nil"/>
            </w:tcBorders>
            <w:shd w:val="clear" w:color="000000" w:fill="FFFFE1"/>
            <w:vAlign w:val="center"/>
            <w:hideMark/>
          </w:tcPr>
          <w:p w:rsidR="00666E9B" w:rsidRDefault="00666E9B">
            <w:pPr>
              <w:rPr>
                <w:rFonts w:ascii="Arial" w:hAnsi="Arial" w:cs="Arial"/>
                <w:color w:val="000000"/>
                <w:sz w:val="16"/>
                <w:szCs w:val="16"/>
              </w:rPr>
            </w:pPr>
            <w:r>
              <w:rPr>
                <w:rFonts w:ascii="Arial" w:hAnsi="Arial" w:cs="Arial"/>
                <w:color w:val="000000"/>
                <w:sz w:val="16"/>
                <w:szCs w:val="16"/>
              </w:rPr>
              <w:t>100.1% HAMFI or more</w:t>
            </w:r>
          </w:p>
        </w:tc>
        <w:tc>
          <w:tcPr>
            <w:tcW w:w="108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186,880</w:t>
            </w:r>
          </w:p>
        </w:tc>
        <w:tc>
          <w:tcPr>
            <w:tcW w:w="102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3,625</w:t>
            </w:r>
          </w:p>
        </w:tc>
        <w:tc>
          <w:tcPr>
            <w:tcW w:w="112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3,785</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12,535</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90</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3,220</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96,445</w:t>
            </w:r>
          </w:p>
        </w:tc>
        <w:tc>
          <w:tcPr>
            <w:tcW w:w="960" w:type="dxa"/>
            <w:tcBorders>
              <w:top w:val="nil"/>
              <w:left w:val="nil"/>
              <w:bottom w:val="nil"/>
              <w:right w:val="single" w:sz="8" w:space="0" w:color="009900"/>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306,580</w:t>
            </w:r>
          </w:p>
        </w:tc>
      </w:tr>
      <w:tr w:rsidR="00666E9B" w:rsidTr="00666E9B">
        <w:trPr>
          <w:trHeight w:val="330"/>
        </w:trPr>
        <w:tc>
          <w:tcPr>
            <w:tcW w:w="1820" w:type="dxa"/>
            <w:tcBorders>
              <w:top w:val="double" w:sz="6" w:space="0" w:color="009900"/>
              <w:left w:val="single" w:sz="8" w:space="0" w:color="009900"/>
              <w:bottom w:val="single" w:sz="8" w:space="0" w:color="009900"/>
              <w:right w:val="nil"/>
            </w:tcBorders>
            <w:shd w:val="clear" w:color="000000" w:fill="FFFFE1"/>
            <w:noWrap/>
            <w:vAlign w:val="center"/>
            <w:hideMark/>
          </w:tcPr>
          <w:p w:rsidR="00666E9B" w:rsidRDefault="00666E9B">
            <w:pPr>
              <w:rPr>
                <w:rFonts w:ascii="Arial" w:hAnsi="Arial" w:cs="Arial"/>
                <w:b/>
                <w:bCs/>
                <w:color w:val="000000"/>
                <w:sz w:val="16"/>
                <w:szCs w:val="16"/>
              </w:rPr>
            </w:pPr>
            <w:r>
              <w:rPr>
                <w:rFonts w:ascii="Arial" w:hAnsi="Arial" w:cs="Arial"/>
                <w:b/>
                <w:bCs/>
                <w:color w:val="000000"/>
                <w:sz w:val="16"/>
                <w:szCs w:val="16"/>
              </w:rPr>
              <w:t>Total</w:t>
            </w:r>
          </w:p>
        </w:tc>
        <w:tc>
          <w:tcPr>
            <w:tcW w:w="1080" w:type="dxa"/>
            <w:tcBorders>
              <w:top w:val="double" w:sz="6" w:space="0" w:color="009900"/>
              <w:left w:val="nil"/>
              <w:bottom w:val="single" w:sz="8" w:space="0" w:color="009900"/>
              <w:right w:val="nil"/>
            </w:tcBorders>
            <w:shd w:val="clear" w:color="000000" w:fill="FFFFE1"/>
            <w:noWrap/>
            <w:vAlign w:val="center"/>
            <w:hideMark/>
          </w:tcPr>
          <w:p w:rsidR="00666E9B" w:rsidRDefault="00666E9B">
            <w:pPr>
              <w:jc w:val="center"/>
              <w:rPr>
                <w:rFonts w:ascii="Arial" w:hAnsi="Arial" w:cs="Arial"/>
                <w:b/>
                <w:bCs/>
                <w:color w:val="000000"/>
                <w:sz w:val="16"/>
                <w:szCs w:val="16"/>
              </w:rPr>
            </w:pPr>
            <w:r>
              <w:rPr>
                <w:rFonts w:ascii="Arial" w:hAnsi="Arial" w:cs="Arial"/>
                <w:b/>
                <w:bCs/>
                <w:color w:val="000000"/>
                <w:sz w:val="16"/>
                <w:szCs w:val="16"/>
              </w:rPr>
              <w:t>279,650</w:t>
            </w:r>
          </w:p>
        </w:tc>
        <w:tc>
          <w:tcPr>
            <w:tcW w:w="1020" w:type="dxa"/>
            <w:tcBorders>
              <w:top w:val="double" w:sz="6" w:space="0" w:color="009900"/>
              <w:left w:val="nil"/>
              <w:bottom w:val="single" w:sz="8" w:space="0" w:color="009900"/>
              <w:right w:val="nil"/>
            </w:tcBorders>
            <w:shd w:val="clear" w:color="000000" w:fill="FFFFE1"/>
            <w:noWrap/>
            <w:vAlign w:val="center"/>
            <w:hideMark/>
          </w:tcPr>
          <w:p w:rsidR="00666E9B" w:rsidRDefault="00666E9B">
            <w:pPr>
              <w:jc w:val="center"/>
              <w:rPr>
                <w:rFonts w:ascii="Arial" w:hAnsi="Arial" w:cs="Arial"/>
                <w:b/>
                <w:bCs/>
                <w:color w:val="000000"/>
                <w:sz w:val="16"/>
                <w:szCs w:val="16"/>
              </w:rPr>
            </w:pPr>
            <w:r>
              <w:rPr>
                <w:rFonts w:ascii="Arial" w:hAnsi="Arial" w:cs="Arial"/>
                <w:b/>
                <w:bCs/>
                <w:color w:val="000000"/>
                <w:sz w:val="16"/>
                <w:szCs w:val="16"/>
              </w:rPr>
              <w:t>6,215</w:t>
            </w:r>
          </w:p>
        </w:tc>
        <w:tc>
          <w:tcPr>
            <w:tcW w:w="1120" w:type="dxa"/>
            <w:tcBorders>
              <w:top w:val="double" w:sz="6" w:space="0" w:color="009900"/>
              <w:left w:val="nil"/>
              <w:bottom w:val="single" w:sz="8" w:space="0" w:color="009900"/>
              <w:right w:val="nil"/>
            </w:tcBorders>
            <w:shd w:val="clear" w:color="000000" w:fill="FFFFE1"/>
            <w:noWrap/>
            <w:vAlign w:val="center"/>
            <w:hideMark/>
          </w:tcPr>
          <w:p w:rsidR="00666E9B" w:rsidRDefault="00666E9B">
            <w:pPr>
              <w:jc w:val="center"/>
              <w:rPr>
                <w:rFonts w:ascii="Arial" w:hAnsi="Arial" w:cs="Arial"/>
                <w:b/>
                <w:bCs/>
                <w:color w:val="000000"/>
                <w:sz w:val="16"/>
                <w:szCs w:val="16"/>
              </w:rPr>
            </w:pPr>
            <w:r>
              <w:rPr>
                <w:rFonts w:ascii="Arial" w:hAnsi="Arial" w:cs="Arial"/>
                <w:b/>
                <w:bCs/>
                <w:color w:val="000000"/>
                <w:sz w:val="16"/>
                <w:szCs w:val="16"/>
              </w:rPr>
              <w:t>5,470</w:t>
            </w:r>
          </w:p>
        </w:tc>
        <w:tc>
          <w:tcPr>
            <w:tcW w:w="960" w:type="dxa"/>
            <w:tcBorders>
              <w:top w:val="double" w:sz="6" w:space="0" w:color="009900"/>
              <w:left w:val="nil"/>
              <w:bottom w:val="single" w:sz="8" w:space="0" w:color="009900"/>
              <w:right w:val="nil"/>
            </w:tcBorders>
            <w:shd w:val="clear" w:color="000000" w:fill="FFFFE1"/>
            <w:noWrap/>
            <w:vAlign w:val="center"/>
            <w:hideMark/>
          </w:tcPr>
          <w:p w:rsidR="00666E9B" w:rsidRDefault="00666E9B">
            <w:pPr>
              <w:jc w:val="center"/>
              <w:rPr>
                <w:rFonts w:ascii="Arial" w:hAnsi="Arial" w:cs="Arial"/>
                <w:b/>
                <w:bCs/>
                <w:color w:val="000000"/>
                <w:sz w:val="16"/>
                <w:szCs w:val="16"/>
              </w:rPr>
            </w:pPr>
            <w:r>
              <w:rPr>
                <w:rFonts w:ascii="Arial" w:hAnsi="Arial" w:cs="Arial"/>
                <w:b/>
                <w:bCs/>
                <w:color w:val="000000"/>
                <w:sz w:val="16"/>
                <w:szCs w:val="16"/>
              </w:rPr>
              <w:t>29,765</w:t>
            </w:r>
          </w:p>
        </w:tc>
        <w:tc>
          <w:tcPr>
            <w:tcW w:w="960" w:type="dxa"/>
            <w:tcBorders>
              <w:top w:val="double" w:sz="6" w:space="0" w:color="009900"/>
              <w:left w:val="nil"/>
              <w:bottom w:val="single" w:sz="8" w:space="0" w:color="009900"/>
              <w:right w:val="nil"/>
            </w:tcBorders>
            <w:shd w:val="clear" w:color="000000" w:fill="FFFFE1"/>
            <w:noWrap/>
            <w:vAlign w:val="center"/>
            <w:hideMark/>
          </w:tcPr>
          <w:p w:rsidR="00666E9B" w:rsidRDefault="00666E9B">
            <w:pPr>
              <w:jc w:val="center"/>
              <w:rPr>
                <w:rFonts w:ascii="Arial" w:hAnsi="Arial" w:cs="Arial"/>
                <w:b/>
                <w:bCs/>
                <w:color w:val="000000"/>
                <w:sz w:val="16"/>
                <w:szCs w:val="16"/>
              </w:rPr>
            </w:pPr>
            <w:r>
              <w:rPr>
                <w:rFonts w:ascii="Arial" w:hAnsi="Arial" w:cs="Arial"/>
                <w:b/>
                <w:bCs/>
                <w:color w:val="000000"/>
                <w:sz w:val="16"/>
                <w:szCs w:val="16"/>
              </w:rPr>
              <w:t>125</w:t>
            </w:r>
          </w:p>
        </w:tc>
        <w:tc>
          <w:tcPr>
            <w:tcW w:w="960" w:type="dxa"/>
            <w:tcBorders>
              <w:top w:val="double" w:sz="6" w:space="0" w:color="009900"/>
              <w:left w:val="nil"/>
              <w:bottom w:val="single" w:sz="8" w:space="0" w:color="009900"/>
              <w:right w:val="nil"/>
            </w:tcBorders>
            <w:shd w:val="clear" w:color="000000" w:fill="FFFFE1"/>
            <w:noWrap/>
            <w:vAlign w:val="center"/>
            <w:hideMark/>
          </w:tcPr>
          <w:p w:rsidR="00666E9B" w:rsidRDefault="00666E9B">
            <w:pPr>
              <w:jc w:val="center"/>
              <w:rPr>
                <w:rFonts w:ascii="Arial" w:hAnsi="Arial" w:cs="Arial"/>
                <w:b/>
                <w:bCs/>
                <w:color w:val="000000"/>
                <w:sz w:val="16"/>
                <w:szCs w:val="16"/>
              </w:rPr>
            </w:pPr>
            <w:r>
              <w:rPr>
                <w:rFonts w:ascii="Arial" w:hAnsi="Arial" w:cs="Arial"/>
                <w:b/>
                <w:bCs/>
                <w:color w:val="000000"/>
                <w:sz w:val="16"/>
                <w:szCs w:val="16"/>
              </w:rPr>
              <w:t>5,400</w:t>
            </w:r>
          </w:p>
        </w:tc>
        <w:tc>
          <w:tcPr>
            <w:tcW w:w="960" w:type="dxa"/>
            <w:tcBorders>
              <w:top w:val="double" w:sz="6" w:space="0" w:color="009900"/>
              <w:left w:val="nil"/>
              <w:bottom w:val="single" w:sz="8" w:space="0" w:color="009900"/>
              <w:right w:val="nil"/>
            </w:tcBorders>
            <w:shd w:val="clear" w:color="000000" w:fill="FFFFE1"/>
            <w:noWrap/>
            <w:vAlign w:val="center"/>
            <w:hideMark/>
          </w:tcPr>
          <w:p w:rsidR="00666E9B" w:rsidRDefault="00666E9B">
            <w:pPr>
              <w:jc w:val="center"/>
              <w:rPr>
                <w:rFonts w:ascii="Arial" w:hAnsi="Arial" w:cs="Arial"/>
                <w:b/>
                <w:bCs/>
                <w:color w:val="000000"/>
                <w:sz w:val="16"/>
                <w:szCs w:val="16"/>
              </w:rPr>
            </w:pPr>
            <w:r>
              <w:rPr>
                <w:rFonts w:ascii="Arial" w:hAnsi="Arial" w:cs="Arial"/>
                <w:b/>
                <w:bCs/>
                <w:color w:val="000000"/>
                <w:sz w:val="16"/>
                <w:szCs w:val="16"/>
              </w:rPr>
              <w:t>198,885</w:t>
            </w:r>
          </w:p>
        </w:tc>
        <w:tc>
          <w:tcPr>
            <w:tcW w:w="960" w:type="dxa"/>
            <w:tcBorders>
              <w:top w:val="double" w:sz="6" w:space="0" w:color="009900"/>
              <w:left w:val="nil"/>
              <w:bottom w:val="single" w:sz="8" w:space="0" w:color="009900"/>
              <w:right w:val="single" w:sz="8" w:space="0" w:color="009900"/>
            </w:tcBorders>
            <w:shd w:val="clear" w:color="000000" w:fill="FFFFE1"/>
            <w:noWrap/>
            <w:vAlign w:val="center"/>
            <w:hideMark/>
          </w:tcPr>
          <w:p w:rsidR="00666E9B" w:rsidRDefault="00666E9B">
            <w:pPr>
              <w:jc w:val="center"/>
              <w:rPr>
                <w:rFonts w:ascii="Arial" w:hAnsi="Arial" w:cs="Arial"/>
                <w:b/>
                <w:bCs/>
                <w:color w:val="000000"/>
                <w:sz w:val="16"/>
                <w:szCs w:val="16"/>
              </w:rPr>
            </w:pPr>
            <w:r>
              <w:rPr>
                <w:rFonts w:ascii="Arial" w:hAnsi="Arial" w:cs="Arial"/>
                <w:b/>
                <w:bCs/>
                <w:color w:val="000000"/>
                <w:sz w:val="16"/>
                <w:szCs w:val="16"/>
              </w:rPr>
              <w:t>525,510</w:t>
            </w:r>
          </w:p>
        </w:tc>
      </w:tr>
    </w:tbl>
    <w:p w:rsidR="00EA61D8" w:rsidRPr="008C0D1A" w:rsidRDefault="00EA61D8" w:rsidP="00EA61D8">
      <w:pPr>
        <w:pStyle w:val="BodyText"/>
        <w:tabs>
          <w:tab w:val="num" w:pos="360"/>
        </w:tabs>
        <w:rPr>
          <w:rFonts w:ascii="CG Omega" w:hAnsi="CG Omega"/>
          <w:sz w:val="16"/>
          <w:szCs w:val="16"/>
          <w:highlight w:val="yellow"/>
        </w:rPr>
      </w:pPr>
    </w:p>
    <w:p w:rsidR="00EA61D8" w:rsidRDefault="00EA61D8" w:rsidP="00EA61D8">
      <w:pPr>
        <w:pStyle w:val="BodyText"/>
        <w:tabs>
          <w:tab w:val="num" w:pos="360"/>
        </w:tabs>
        <w:rPr>
          <w:rFonts w:ascii="CG Omega" w:hAnsi="CG Omega"/>
          <w:sz w:val="16"/>
          <w:szCs w:val="16"/>
          <w:highlight w:val="yellow"/>
        </w:rPr>
      </w:pPr>
    </w:p>
    <w:p w:rsidR="008C0D1A" w:rsidRDefault="008C0D1A" w:rsidP="00EA61D8">
      <w:pPr>
        <w:pStyle w:val="BodyText"/>
        <w:tabs>
          <w:tab w:val="num" w:pos="360"/>
        </w:tabs>
        <w:rPr>
          <w:rFonts w:ascii="CG Omega" w:hAnsi="CG Omega"/>
          <w:sz w:val="16"/>
          <w:szCs w:val="16"/>
          <w:highlight w:val="yellow"/>
        </w:rPr>
      </w:pPr>
    </w:p>
    <w:p w:rsidR="008C0D1A" w:rsidRDefault="008C0D1A" w:rsidP="00EA61D8">
      <w:pPr>
        <w:pStyle w:val="BodyText"/>
        <w:tabs>
          <w:tab w:val="num" w:pos="360"/>
        </w:tabs>
        <w:rPr>
          <w:rFonts w:ascii="CG Omega" w:hAnsi="CG Omega"/>
          <w:sz w:val="16"/>
          <w:szCs w:val="16"/>
          <w:highlight w:val="yellow"/>
        </w:rPr>
      </w:pPr>
    </w:p>
    <w:p w:rsidR="008C0D1A" w:rsidRDefault="008C0D1A" w:rsidP="00EA61D8">
      <w:pPr>
        <w:pStyle w:val="BodyText"/>
        <w:tabs>
          <w:tab w:val="num" w:pos="360"/>
        </w:tabs>
        <w:rPr>
          <w:rFonts w:ascii="CG Omega" w:hAnsi="CG Omega"/>
          <w:sz w:val="16"/>
          <w:szCs w:val="16"/>
          <w:highlight w:val="yellow"/>
        </w:rPr>
      </w:pPr>
    </w:p>
    <w:p w:rsidR="00666E9B" w:rsidRDefault="00666E9B" w:rsidP="00EA61D8">
      <w:pPr>
        <w:pStyle w:val="BodyText"/>
        <w:tabs>
          <w:tab w:val="num" w:pos="360"/>
        </w:tabs>
        <w:rPr>
          <w:rFonts w:ascii="CG Omega" w:hAnsi="CG Omega"/>
          <w:sz w:val="16"/>
          <w:szCs w:val="16"/>
          <w:highlight w:val="yellow"/>
        </w:rPr>
      </w:pPr>
    </w:p>
    <w:p w:rsidR="00666E9B" w:rsidRDefault="00666E9B" w:rsidP="00EA61D8">
      <w:pPr>
        <w:pStyle w:val="BodyText"/>
        <w:tabs>
          <w:tab w:val="num" w:pos="360"/>
        </w:tabs>
        <w:rPr>
          <w:rFonts w:ascii="CG Omega" w:hAnsi="CG Omega"/>
          <w:sz w:val="16"/>
          <w:szCs w:val="16"/>
          <w:highlight w:val="yellow"/>
        </w:rPr>
      </w:pPr>
    </w:p>
    <w:p w:rsidR="00666E9B" w:rsidRDefault="00666E9B" w:rsidP="00EA61D8">
      <w:pPr>
        <w:pStyle w:val="BodyText"/>
        <w:tabs>
          <w:tab w:val="num" w:pos="360"/>
        </w:tabs>
        <w:rPr>
          <w:rFonts w:ascii="CG Omega" w:hAnsi="CG Omega"/>
          <w:sz w:val="16"/>
          <w:szCs w:val="16"/>
          <w:highlight w:val="yellow"/>
        </w:rPr>
      </w:pPr>
    </w:p>
    <w:p w:rsidR="00666E9B" w:rsidRDefault="00666E9B" w:rsidP="00EA61D8">
      <w:pPr>
        <w:pStyle w:val="BodyText"/>
        <w:tabs>
          <w:tab w:val="num" w:pos="360"/>
        </w:tabs>
        <w:rPr>
          <w:rFonts w:ascii="CG Omega" w:hAnsi="CG Omega"/>
          <w:sz w:val="16"/>
          <w:szCs w:val="16"/>
          <w:highlight w:val="yellow"/>
        </w:rPr>
      </w:pPr>
    </w:p>
    <w:p w:rsidR="00666E9B" w:rsidRDefault="00666E9B" w:rsidP="00EA61D8">
      <w:pPr>
        <w:pStyle w:val="BodyText"/>
        <w:tabs>
          <w:tab w:val="num" w:pos="360"/>
        </w:tabs>
        <w:rPr>
          <w:rFonts w:ascii="CG Omega" w:hAnsi="CG Omega"/>
          <w:sz w:val="16"/>
          <w:szCs w:val="16"/>
          <w:highlight w:val="yellow"/>
        </w:rPr>
      </w:pPr>
    </w:p>
    <w:p w:rsidR="008C0D1A" w:rsidRDefault="008C0D1A" w:rsidP="00EA61D8">
      <w:pPr>
        <w:pStyle w:val="BodyText"/>
        <w:tabs>
          <w:tab w:val="num" w:pos="360"/>
        </w:tabs>
        <w:rPr>
          <w:rFonts w:ascii="CG Omega" w:hAnsi="CG Omega"/>
          <w:sz w:val="16"/>
          <w:szCs w:val="16"/>
          <w:highlight w:val="yellow"/>
        </w:rPr>
      </w:pPr>
    </w:p>
    <w:p w:rsidR="008C0D1A" w:rsidRDefault="008C0D1A" w:rsidP="00EA61D8">
      <w:pPr>
        <w:pStyle w:val="BodyText"/>
        <w:tabs>
          <w:tab w:val="num" w:pos="360"/>
        </w:tabs>
        <w:rPr>
          <w:rFonts w:ascii="CG Omega" w:hAnsi="CG Omega"/>
          <w:sz w:val="16"/>
          <w:szCs w:val="16"/>
          <w:highlight w:val="yellow"/>
        </w:rPr>
      </w:pPr>
    </w:p>
    <w:p w:rsidR="008C0D1A" w:rsidRPr="008C0D1A" w:rsidRDefault="008C0D1A" w:rsidP="00EA61D8">
      <w:pPr>
        <w:pStyle w:val="BodyText"/>
        <w:tabs>
          <w:tab w:val="num" w:pos="360"/>
        </w:tabs>
        <w:rPr>
          <w:rFonts w:ascii="CG Omega" w:hAnsi="CG Omega"/>
          <w:sz w:val="16"/>
          <w:szCs w:val="16"/>
          <w:highlight w:val="yellow"/>
        </w:rPr>
      </w:pPr>
    </w:p>
    <w:tbl>
      <w:tblPr>
        <w:tblW w:w="9510" w:type="dxa"/>
        <w:jc w:val="center"/>
        <w:tblLook w:val="04A0" w:firstRow="1" w:lastRow="0" w:firstColumn="1" w:lastColumn="0" w:noHBand="0" w:noVBand="1"/>
      </w:tblPr>
      <w:tblGrid>
        <w:gridCol w:w="1490"/>
        <w:gridCol w:w="1080"/>
        <w:gridCol w:w="1020"/>
        <w:gridCol w:w="1120"/>
        <w:gridCol w:w="960"/>
        <w:gridCol w:w="960"/>
        <w:gridCol w:w="960"/>
        <w:gridCol w:w="960"/>
        <w:gridCol w:w="960"/>
      </w:tblGrid>
      <w:tr w:rsidR="00666E9B" w:rsidTr="008503F8">
        <w:trPr>
          <w:trHeight w:val="315"/>
          <w:jc w:val="center"/>
        </w:trPr>
        <w:tc>
          <w:tcPr>
            <w:tcW w:w="9510" w:type="dxa"/>
            <w:gridSpan w:val="9"/>
            <w:tcBorders>
              <w:top w:val="nil"/>
              <w:left w:val="nil"/>
              <w:bottom w:val="nil"/>
              <w:right w:val="nil"/>
            </w:tcBorders>
            <w:shd w:val="clear" w:color="000000" w:fill="FFFFFF"/>
            <w:noWrap/>
            <w:vAlign w:val="center"/>
            <w:hideMark/>
          </w:tcPr>
          <w:p w:rsidR="00666E9B" w:rsidRDefault="00666E9B" w:rsidP="00F92737">
            <w:pPr>
              <w:jc w:val="center"/>
              <w:rPr>
                <w:rFonts w:ascii="Arial" w:hAnsi="Arial" w:cs="Arial"/>
                <w:b/>
                <w:bCs/>
                <w:color w:val="000000"/>
              </w:rPr>
            </w:pPr>
            <w:r>
              <w:rPr>
                <w:rFonts w:ascii="Arial" w:hAnsi="Arial" w:cs="Arial"/>
                <w:b/>
                <w:bCs/>
                <w:color w:val="000000"/>
              </w:rPr>
              <w:t>Table IV.</w:t>
            </w:r>
            <w:r w:rsidR="00F92737">
              <w:rPr>
                <w:rFonts w:ascii="Arial" w:hAnsi="Arial" w:cs="Arial"/>
                <w:b/>
                <w:bCs/>
                <w:color w:val="000000"/>
              </w:rPr>
              <w:t>20</w:t>
            </w:r>
          </w:p>
        </w:tc>
      </w:tr>
      <w:tr w:rsidR="00666E9B" w:rsidTr="008503F8">
        <w:trPr>
          <w:trHeight w:val="255"/>
          <w:jc w:val="center"/>
        </w:trPr>
        <w:tc>
          <w:tcPr>
            <w:tcW w:w="9510" w:type="dxa"/>
            <w:gridSpan w:val="9"/>
            <w:tcBorders>
              <w:top w:val="nil"/>
              <w:left w:val="nil"/>
              <w:bottom w:val="nil"/>
              <w:right w:val="nil"/>
            </w:tcBorders>
            <w:shd w:val="clear" w:color="000000" w:fill="FFFFFF"/>
            <w:noWrap/>
            <w:vAlign w:val="center"/>
            <w:hideMark/>
          </w:tcPr>
          <w:p w:rsidR="00666E9B" w:rsidRDefault="00666E9B">
            <w:pPr>
              <w:jc w:val="center"/>
              <w:rPr>
                <w:rFonts w:ascii="Arial" w:hAnsi="Arial" w:cs="Arial"/>
                <w:b/>
                <w:bCs/>
                <w:color w:val="000000"/>
                <w:sz w:val="20"/>
                <w:szCs w:val="20"/>
              </w:rPr>
            </w:pPr>
            <w:r>
              <w:rPr>
                <w:rFonts w:ascii="Arial" w:hAnsi="Arial" w:cs="Arial"/>
                <w:b/>
                <w:bCs/>
                <w:color w:val="000000"/>
                <w:sz w:val="20"/>
                <w:szCs w:val="20"/>
              </w:rPr>
              <w:t>Renter-Occupied Households with Housing Problems by Income and Race</w:t>
            </w:r>
          </w:p>
        </w:tc>
      </w:tr>
      <w:tr w:rsidR="00666E9B" w:rsidTr="008503F8">
        <w:trPr>
          <w:trHeight w:val="195"/>
          <w:jc w:val="center"/>
        </w:trPr>
        <w:tc>
          <w:tcPr>
            <w:tcW w:w="9510" w:type="dxa"/>
            <w:gridSpan w:val="9"/>
            <w:tcBorders>
              <w:top w:val="nil"/>
              <w:left w:val="nil"/>
              <w:bottom w:val="nil"/>
              <w:right w:val="nil"/>
            </w:tcBorders>
            <w:shd w:val="clear" w:color="000000" w:fill="FFFFFF"/>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State of New Mexico</w:t>
            </w:r>
          </w:p>
        </w:tc>
      </w:tr>
      <w:tr w:rsidR="00666E9B" w:rsidTr="008503F8">
        <w:trPr>
          <w:trHeight w:val="255"/>
          <w:jc w:val="center"/>
        </w:trPr>
        <w:tc>
          <w:tcPr>
            <w:tcW w:w="9510" w:type="dxa"/>
            <w:gridSpan w:val="9"/>
            <w:tcBorders>
              <w:top w:val="nil"/>
              <w:left w:val="nil"/>
              <w:bottom w:val="single" w:sz="8" w:space="0" w:color="009900"/>
              <w:right w:val="nil"/>
            </w:tcBorders>
            <w:shd w:val="clear" w:color="000000" w:fill="FFFFFF"/>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2006–2010 HUD CHAS Data</w:t>
            </w:r>
          </w:p>
        </w:tc>
      </w:tr>
      <w:tr w:rsidR="00666E9B" w:rsidTr="008503F8">
        <w:trPr>
          <w:trHeight w:val="300"/>
          <w:jc w:val="center"/>
        </w:trPr>
        <w:tc>
          <w:tcPr>
            <w:tcW w:w="1490" w:type="dxa"/>
            <w:vMerge w:val="restart"/>
            <w:tcBorders>
              <w:top w:val="nil"/>
              <w:left w:val="single" w:sz="8" w:space="0" w:color="009900"/>
              <w:bottom w:val="single" w:sz="8" w:space="0" w:color="009900"/>
              <w:right w:val="nil"/>
            </w:tcBorders>
            <w:shd w:val="clear" w:color="000000" w:fill="FFFFE1"/>
            <w:vAlign w:val="center"/>
            <w:hideMark/>
          </w:tcPr>
          <w:p w:rsidR="00666E9B" w:rsidRDefault="00666E9B">
            <w:pPr>
              <w:rPr>
                <w:rFonts w:ascii="Arial" w:hAnsi="Arial" w:cs="Arial"/>
                <w:b/>
                <w:bCs/>
                <w:color w:val="000000"/>
                <w:sz w:val="16"/>
                <w:szCs w:val="16"/>
              </w:rPr>
            </w:pPr>
            <w:r>
              <w:rPr>
                <w:rFonts w:ascii="Arial" w:hAnsi="Arial" w:cs="Arial"/>
                <w:b/>
                <w:bCs/>
                <w:color w:val="000000"/>
                <w:sz w:val="16"/>
                <w:szCs w:val="16"/>
              </w:rPr>
              <w:t>Income</w:t>
            </w:r>
          </w:p>
        </w:tc>
        <w:tc>
          <w:tcPr>
            <w:tcW w:w="6100" w:type="dxa"/>
            <w:gridSpan w:val="6"/>
            <w:tcBorders>
              <w:top w:val="single" w:sz="8" w:space="0" w:color="009900"/>
              <w:left w:val="nil"/>
              <w:bottom w:val="dotted" w:sz="4" w:space="0" w:color="009900"/>
              <w:right w:val="dotted" w:sz="4" w:space="0" w:color="009900"/>
            </w:tcBorders>
            <w:shd w:val="clear" w:color="000000" w:fill="FFFFE1"/>
            <w:noWrap/>
            <w:vAlign w:val="center"/>
            <w:hideMark/>
          </w:tcPr>
          <w:p w:rsidR="00666E9B" w:rsidRDefault="00666E9B">
            <w:pPr>
              <w:jc w:val="center"/>
              <w:rPr>
                <w:rFonts w:ascii="Arial" w:hAnsi="Arial" w:cs="Arial"/>
                <w:b/>
                <w:bCs/>
                <w:color w:val="000000"/>
                <w:sz w:val="16"/>
                <w:szCs w:val="16"/>
              </w:rPr>
            </w:pPr>
            <w:r>
              <w:rPr>
                <w:rFonts w:ascii="Arial" w:hAnsi="Arial" w:cs="Arial"/>
                <w:b/>
                <w:bCs/>
                <w:color w:val="000000"/>
                <w:sz w:val="16"/>
                <w:szCs w:val="16"/>
              </w:rPr>
              <w:t>Non-Hispanic by Race/Ethnicity</w:t>
            </w:r>
          </w:p>
        </w:tc>
        <w:tc>
          <w:tcPr>
            <w:tcW w:w="960" w:type="dxa"/>
            <w:vMerge w:val="restart"/>
            <w:tcBorders>
              <w:top w:val="nil"/>
              <w:left w:val="dotted" w:sz="4" w:space="0" w:color="009900"/>
              <w:bottom w:val="single" w:sz="8" w:space="0" w:color="009900"/>
              <w:right w:val="nil"/>
            </w:tcBorders>
            <w:shd w:val="clear" w:color="000000" w:fill="FFFFE1"/>
            <w:vAlign w:val="center"/>
            <w:hideMark/>
          </w:tcPr>
          <w:p w:rsidR="00666E9B" w:rsidRDefault="00666E9B">
            <w:pPr>
              <w:jc w:val="center"/>
              <w:rPr>
                <w:rFonts w:ascii="Arial" w:hAnsi="Arial" w:cs="Arial"/>
                <w:b/>
                <w:bCs/>
                <w:color w:val="000000"/>
                <w:sz w:val="16"/>
                <w:szCs w:val="16"/>
              </w:rPr>
            </w:pPr>
            <w:r>
              <w:rPr>
                <w:rFonts w:ascii="Arial" w:hAnsi="Arial" w:cs="Arial"/>
                <w:b/>
                <w:bCs/>
                <w:color w:val="000000"/>
                <w:sz w:val="16"/>
                <w:szCs w:val="16"/>
              </w:rPr>
              <w:t>Hispanic (Any Race)</w:t>
            </w:r>
          </w:p>
        </w:tc>
        <w:tc>
          <w:tcPr>
            <w:tcW w:w="960" w:type="dxa"/>
            <w:vMerge w:val="restart"/>
            <w:tcBorders>
              <w:top w:val="nil"/>
              <w:left w:val="nil"/>
              <w:bottom w:val="single" w:sz="8" w:space="0" w:color="009900"/>
              <w:right w:val="single" w:sz="8" w:space="0" w:color="009900"/>
            </w:tcBorders>
            <w:shd w:val="clear" w:color="000000" w:fill="FFFFE1"/>
            <w:vAlign w:val="center"/>
            <w:hideMark/>
          </w:tcPr>
          <w:p w:rsidR="00666E9B" w:rsidRDefault="00666E9B">
            <w:pPr>
              <w:jc w:val="center"/>
              <w:rPr>
                <w:rFonts w:ascii="Arial" w:hAnsi="Arial" w:cs="Arial"/>
                <w:b/>
                <w:bCs/>
                <w:color w:val="000000"/>
                <w:sz w:val="16"/>
                <w:szCs w:val="16"/>
              </w:rPr>
            </w:pPr>
            <w:r>
              <w:rPr>
                <w:rFonts w:ascii="Arial" w:hAnsi="Arial" w:cs="Arial"/>
                <w:b/>
                <w:bCs/>
                <w:color w:val="000000"/>
                <w:sz w:val="16"/>
                <w:szCs w:val="16"/>
              </w:rPr>
              <w:t>Total</w:t>
            </w:r>
          </w:p>
        </w:tc>
      </w:tr>
      <w:tr w:rsidR="00666E9B" w:rsidTr="008503F8">
        <w:trPr>
          <w:trHeight w:val="465"/>
          <w:jc w:val="center"/>
        </w:trPr>
        <w:tc>
          <w:tcPr>
            <w:tcW w:w="1490" w:type="dxa"/>
            <w:vMerge/>
            <w:tcBorders>
              <w:top w:val="nil"/>
              <w:left w:val="single" w:sz="8" w:space="0" w:color="009900"/>
              <w:bottom w:val="single" w:sz="8" w:space="0" w:color="009900"/>
              <w:right w:val="nil"/>
            </w:tcBorders>
            <w:vAlign w:val="center"/>
            <w:hideMark/>
          </w:tcPr>
          <w:p w:rsidR="00666E9B" w:rsidRDefault="00666E9B">
            <w:pPr>
              <w:rPr>
                <w:rFonts w:ascii="Arial" w:hAnsi="Arial" w:cs="Arial"/>
                <w:b/>
                <w:bCs/>
                <w:color w:val="000000"/>
                <w:sz w:val="16"/>
                <w:szCs w:val="16"/>
              </w:rPr>
            </w:pPr>
          </w:p>
        </w:tc>
        <w:tc>
          <w:tcPr>
            <w:tcW w:w="1080" w:type="dxa"/>
            <w:tcBorders>
              <w:top w:val="nil"/>
              <w:left w:val="nil"/>
              <w:bottom w:val="single" w:sz="8" w:space="0" w:color="009900"/>
              <w:right w:val="nil"/>
            </w:tcBorders>
            <w:shd w:val="clear" w:color="000000" w:fill="FFFFE1"/>
            <w:vAlign w:val="center"/>
            <w:hideMark/>
          </w:tcPr>
          <w:p w:rsidR="00666E9B" w:rsidRDefault="00666E9B">
            <w:pPr>
              <w:jc w:val="center"/>
              <w:rPr>
                <w:rFonts w:ascii="Arial" w:hAnsi="Arial" w:cs="Arial"/>
                <w:b/>
                <w:bCs/>
                <w:color w:val="000000"/>
                <w:sz w:val="16"/>
                <w:szCs w:val="16"/>
              </w:rPr>
            </w:pPr>
            <w:r>
              <w:rPr>
                <w:rFonts w:ascii="Arial" w:hAnsi="Arial" w:cs="Arial"/>
                <w:b/>
                <w:bCs/>
                <w:color w:val="000000"/>
                <w:sz w:val="16"/>
                <w:szCs w:val="16"/>
              </w:rPr>
              <w:t>White</w:t>
            </w:r>
          </w:p>
        </w:tc>
        <w:tc>
          <w:tcPr>
            <w:tcW w:w="1020" w:type="dxa"/>
            <w:tcBorders>
              <w:top w:val="nil"/>
              <w:left w:val="nil"/>
              <w:bottom w:val="single" w:sz="8" w:space="0" w:color="009900"/>
              <w:right w:val="nil"/>
            </w:tcBorders>
            <w:shd w:val="clear" w:color="000000" w:fill="FFFFE1"/>
            <w:vAlign w:val="center"/>
            <w:hideMark/>
          </w:tcPr>
          <w:p w:rsidR="00666E9B" w:rsidRDefault="00666E9B">
            <w:pPr>
              <w:jc w:val="center"/>
              <w:rPr>
                <w:rFonts w:ascii="Arial" w:hAnsi="Arial" w:cs="Arial"/>
                <w:b/>
                <w:bCs/>
                <w:color w:val="000000"/>
                <w:sz w:val="16"/>
                <w:szCs w:val="16"/>
              </w:rPr>
            </w:pPr>
            <w:r>
              <w:rPr>
                <w:rFonts w:ascii="Arial" w:hAnsi="Arial" w:cs="Arial"/>
                <w:b/>
                <w:bCs/>
                <w:color w:val="000000"/>
                <w:sz w:val="16"/>
                <w:szCs w:val="16"/>
              </w:rPr>
              <w:t>Black</w:t>
            </w:r>
          </w:p>
        </w:tc>
        <w:tc>
          <w:tcPr>
            <w:tcW w:w="1120" w:type="dxa"/>
            <w:tcBorders>
              <w:top w:val="nil"/>
              <w:left w:val="nil"/>
              <w:bottom w:val="single" w:sz="8" w:space="0" w:color="009900"/>
              <w:right w:val="nil"/>
            </w:tcBorders>
            <w:shd w:val="clear" w:color="000000" w:fill="FFFFE1"/>
            <w:vAlign w:val="center"/>
            <w:hideMark/>
          </w:tcPr>
          <w:p w:rsidR="00666E9B" w:rsidRDefault="00666E9B">
            <w:pPr>
              <w:jc w:val="center"/>
              <w:rPr>
                <w:rFonts w:ascii="Arial" w:hAnsi="Arial" w:cs="Arial"/>
                <w:b/>
                <w:bCs/>
                <w:color w:val="000000"/>
                <w:sz w:val="16"/>
                <w:szCs w:val="16"/>
              </w:rPr>
            </w:pPr>
            <w:r>
              <w:rPr>
                <w:rFonts w:ascii="Arial" w:hAnsi="Arial" w:cs="Arial"/>
                <w:b/>
                <w:bCs/>
                <w:color w:val="000000"/>
                <w:sz w:val="16"/>
                <w:szCs w:val="16"/>
              </w:rPr>
              <w:t>Asian</w:t>
            </w:r>
          </w:p>
        </w:tc>
        <w:tc>
          <w:tcPr>
            <w:tcW w:w="960" w:type="dxa"/>
            <w:tcBorders>
              <w:top w:val="nil"/>
              <w:left w:val="nil"/>
              <w:bottom w:val="single" w:sz="8" w:space="0" w:color="009900"/>
              <w:right w:val="nil"/>
            </w:tcBorders>
            <w:shd w:val="clear" w:color="000000" w:fill="FFFFE1"/>
            <w:vAlign w:val="center"/>
            <w:hideMark/>
          </w:tcPr>
          <w:p w:rsidR="00666E9B" w:rsidRDefault="00666E9B">
            <w:pPr>
              <w:jc w:val="center"/>
              <w:rPr>
                <w:rFonts w:ascii="Arial" w:hAnsi="Arial" w:cs="Arial"/>
                <w:b/>
                <w:bCs/>
                <w:color w:val="000000"/>
                <w:sz w:val="16"/>
                <w:szCs w:val="16"/>
              </w:rPr>
            </w:pPr>
            <w:r>
              <w:rPr>
                <w:rFonts w:ascii="Arial" w:hAnsi="Arial" w:cs="Arial"/>
                <w:b/>
                <w:bCs/>
                <w:color w:val="000000"/>
                <w:sz w:val="16"/>
                <w:szCs w:val="16"/>
              </w:rPr>
              <w:t>American Indian</w:t>
            </w:r>
          </w:p>
        </w:tc>
        <w:tc>
          <w:tcPr>
            <w:tcW w:w="960" w:type="dxa"/>
            <w:tcBorders>
              <w:top w:val="nil"/>
              <w:left w:val="nil"/>
              <w:bottom w:val="single" w:sz="8" w:space="0" w:color="009900"/>
              <w:right w:val="nil"/>
            </w:tcBorders>
            <w:shd w:val="clear" w:color="000000" w:fill="FFFFE1"/>
            <w:vAlign w:val="center"/>
            <w:hideMark/>
          </w:tcPr>
          <w:p w:rsidR="00666E9B" w:rsidRDefault="00666E9B">
            <w:pPr>
              <w:jc w:val="center"/>
              <w:rPr>
                <w:rFonts w:ascii="Arial" w:hAnsi="Arial" w:cs="Arial"/>
                <w:b/>
                <w:bCs/>
                <w:color w:val="000000"/>
                <w:sz w:val="16"/>
                <w:szCs w:val="16"/>
              </w:rPr>
            </w:pPr>
            <w:r>
              <w:rPr>
                <w:rFonts w:ascii="Arial" w:hAnsi="Arial" w:cs="Arial"/>
                <w:b/>
                <w:bCs/>
                <w:color w:val="000000"/>
                <w:sz w:val="16"/>
                <w:szCs w:val="16"/>
              </w:rPr>
              <w:t>Pacific Islander</w:t>
            </w:r>
          </w:p>
        </w:tc>
        <w:tc>
          <w:tcPr>
            <w:tcW w:w="960" w:type="dxa"/>
            <w:tcBorders>
              <w:top w:val="nil"/>
              <w:left w:val="nil"/>
              <w:bottom w:val="single" w:sz="8" w:space="0" w:color="009900"/>
              <w:right w:val="nil"/>
            </w:tcBorders>
            <w:shd w:val="clear" w:color="000000" w:fill="FFFFE1"/>
            <w:vAlign w:val="center"/>
            <w:hideMark/>
          </w:tcPr>
          <w:p w:rsidR="00666E9B" w:rsidRDefault="00666E9B">
            <w:pPr>
              <w:jc w:val="center"/>
              <w:rPr>
                <w:rFonts w:ascii="Arial" w:hAnsi="Arial" w:cs="Arial"/>
                <w:b/>
                <w:bCs/>
                <w:color w:val="000000"/>
                <w:sz w:val="16"/>
                <w:szCs w:val="16"/>
              </w:rPr>
            </w:pPr>
            <w:r>
              <w:rPr>
                <w:rFonts w:ascii="Arial" w:hAnsi="Arial" w:cs="Arial"/>
                <w:b/>
                <w:bCs/>
                <w:color w:val="000000"/>
                <w:sz w:val="16"/>
                <w:szCs w:val="16"/>
              </w:rPr>
              <w:t>Other Race</w:t>
            </w:r>
          </w:p>
        </w:tc>
        <w:tc>
          <w:tcPr>
            <w:tcW w:w="960" w:type="dxa"/>
            <w:vMerge/>
            <w:tcBorders>
              <w:top w:val="nil"/>
              <w:left w:val="dotted" w:sz="4" w:space="0" w:color="009900"/>
              <w:bottom w:val="single" w:sz="8" w:space="0" w:color="009900"/>
              <w:right w:val="nil"/>
            </w:tcBorders>
            <w:vAlign w:val="center"/>
            <w:hideMark/>
          </w:tcPr>
          <w:p w:rsidR="00666E9B" w:rsidRDefault="00666E9B">
            <w:pPr>
              <w:rPr>
                <w:rFonts w:ascii="Arial" w:hAnsi="Arial" w:cs="Arial"/>
                <w:b/>
                <w:bCs/>
                <w:color w:val="000000"/>
                <w:sz w:val="16"/>
                <w:szCs w:val="16"/>
              </w:rPr>
            </w:pPr>
          </w:p>
        </w:tc>
        <w:tc>
          <w:tcPr>
            <w:tcW w:w="960" w:type="dxa"/>
            <w:vMerge/>
            <w:tcBorders>
              <w:top w:val="nil"/>
              <w:left w:val="nil"/>
              <w:bottom w:val="single" w:sz="8" w:space="0" w:color="009900"/>
              <w:right w:val="single" w:sz="8" w:space="0" w:color="009900"/>
            </w:tcBorders>
            <w:vAlign w:val="center"/>
            <w:hideMark/>
          </w:tcPr>
          <w:p w:rsidR="00666E9B" w:rsidRDefault="00666E9B">
            <w:pPr>
              <w:rPr>
                <w:rFonts w:ascii="Arial" w:hAnsi="Arial" w:cs="Arial"/>
                <w:b/>
                <w:bCs/>
                <w:color w:val="000000"/>
                <w:sz w:val="16"/>
                <w:szCs w:val="16"/>
              </w:rPr>
            </w:pPr>
          </w:p>
        </w:tc>
      </w:tr>
      <w:tr w:rsidR="00666E9B" w:rsidTr="008503F8">
        <w:trPr>
          <w:trHeight w:val="315"/>
          <w:jc w:val="center"/>
        </w:trPr>
        <w:tc>
          <w:tcPr>
            <w:tcW w:w="9510" w:type="dxa"/>
            <w:gridSpan w:val="9"/>
            <w:tcBorders>
              <w:top w:val="single" w:sz="8" w:space="0" w:color="009900"/>
              <w:left w:val="single" w:sz="8" w:space="0" w:color="009900"/>
              <w:bottom w:val="single" w:sz="8" w:space="0" w:color="009900"/>
              <w:right w:val="single" w:sz="8" w:space="0" w:color="009900"/>
            </w:tcBorders>
            <w:shd w:val="clear" w:color="000000" w:fill="FFFFE1"/>
            <w:noWrap/>
            <w:vAlign w:val="center"/>
            <w:hideMark/>
          </w:tcPr>
          <w:p w:rsidR="00666E9B" w:rsidRDefault="00666E9B">
            <w:pPr>
              <w:jc w:val="center"/>
              <w:rPr>
                <w:rFonts w:ascii="Arial" w:hAnsi="Arial" w:cs="Arial"/>
                <w:b/>
                <w:bCs/>
                <w:color w:val="000000"/>
                <w:sz w:val="16"/>
                <w:szCs w:val="16"/>
              </w:rPr>
            </w:pPr>
            <w:r>
              <w:rPr>
                <w:rFonts w:ascii="Arial" w:hAnsi="Arial" w:cs="Arial"/>
                <w:b/>
                <w:bCs/>
                <w:color w:val="000000"/>
                <w:sz w:val="16"/>
                <w:szCs w:val="16"/>
              </w:rPr>
              <w:t>With Housing Problems</w:t>
            </w:r>
          </w:p>
        </w:tc>
      </w:tr>
      <w:tr w:rsidR="00666E9B" w:rsidTr="008503F8">
        <w:trPr>
          <w:trHeight w:val="300"/>
          <w:jc w:val="center"/>
        </w:trPr>
        <w:tc>
          <w:tcPr>
            <w:tcW w:w="1490" w:type="dxa"/>
            <w:tcBorders>
              <w:top w:val="nil"/>
              <w:left w:val="single" w:sz="8" w:space="0" w:color="009900"/>
              <w:bottom w:val="nil"/>
              <w:right w:val="nil"/>
            </w:tcBorders>
            <w:shd w:val="clear" w:color="000000" w:fill="FFFFE1"/>
            <w:vAlign w:val="center"/>
            <w:hideMark/>
          </w:tcPr>
          <w:p w:rsidR="00666E9B" w:rsidRDefault="00666E9B">
            <w:pPr>
              <w:rPr>
                <w:rFonts w:ascii="Arial" w:hAnsi="Arial" w:cs="Arial"/>
                <w:color w:val="000000"/>
                <w:sz w:val="16"/>
                <w:szCs w:val="16"/>
              </w:rPr>
            </w:pPr>
            <w:r>
              <w:rPr>
                <w:rFonts w:ascii="Arial" w:hAnsi="Arial" w:cs="Arial"/>
                <w:color w:val="000000"/>
                <w:sz w:val="16"/>
                <w:szCs w:val="16"/>
              </w:rPr>
              <w:t>30% HAMFI or less</w:t>
            </w:r>
          </w:p>
        </w:tc>
        <w:tc>
          <w:tcPr>
            <w:tcW w:w="108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13,755</w:t>
            </w:r>
          </w:p>
        </w:tc>
        <w:tc>
          <w:tcPr>
            <w:tcW w:w="102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1,635</w:t>
            </w:r>
          </w:p>
        </w:tc>
        <w:tc>
          <w:tcPr>
            <w:tcW w:w="112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405</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3,250</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25</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585</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20,215</w:t>
            </w:r>
          </w:p>
        </w:tc>
        <w:tc>
          <w:tcPr>
            <w:tcW w:w="960" w:type="dxa"/>
            <w:tcBorders>
              <w:top w:val="nil"/>
              <w:left w:val="nil"/>
              <w:bottom w:val="nil"/>
              <w:right w:val="single" w:sz="8" w:space="0" w:color="009900"/>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39,870</w:t>
            </w:r>
          </w:p>
        </w:tc>
      </w:tr>
      <w:tr w:rsidR="00666E9B" w:rsidTr="008503F8">
        <w:trPr>
          <w:trHeight w:val="300"/>
          <w:jc w:val="center"/>
        </w:trPr>
        <w:tc>
          <w:tcPr>
            <w:tcW w:w="1490" w:type="dxa"/>
            <w:tcBorders>
              <w:top w:val="nil"/>
              <w:left w:val="single" w:sz="8" w:space="0" w:color="009900"/>
              <w:bottom w:val="nil"/>
              <w:right w:val="nil"/>
            </w:tcBorders>
            <w:shd w:val="clear" w:color="000000" w:fill="FFFFE1"/>
            <w:vAlign w:val="center"/>
            <w:hideMark/>
          </w:tcPr>
          <w:p w:rsidR="00666E9B" w:rsidRDefault="00666E9B">
            <w:pPr>
              <w:rPr>
                <w:rFonts w:ascii="Arial" w:hAnsi="Arial" w:cs="Arial"/>
                <w:color w:val="000000"/>
                <w:sz w:val="16"/>
                <w:szCs w:val="16"/>
              </w:rPr>
            </w:pPr>
            <w:r>
              <w:rPr>
                <w:rFonts w:ascii="Arial" w:hAnsi="Arial" w:cs="Arial"/>
                <w:color w:val="000000"/>
                <w:sz w:val="16"/>
                <w:szCs w:val="16"/>
              </w:rPr>
              <w:t>30.1-50% HAMFI</w:t>
            </w:r>
          </w:p>
        </w:tc>
        <w:tc>
          <w:tcPr>
            <w:tcW w:w="108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11,485</w:t>
            </w:r>
          </w:p>
        </w:tc>
        <w:tc>
          <w:tcPr>
            <w:tcW w:w="102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700</w:t>
            </w:r>
          </w:p>
        </w:tc>
        <w:tc>
          <w:tcPr>
            <w:tcW w:w="112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430</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2,150</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4</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400</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14,760</w:t>
            </w:r>
          </w:p>
        </w:tc>
        <w:tc>
          <w:tcPr>
            <w:tcW w:w="960" w:type="dxa"/>
            <w:tcBorders>
              <w:top w:val="nil"/>
              <w:left w:val="nil"/>
              <w:bottom w:val="nil"/>
              <w:right w:val="single" w:sz="8" w:space="0" w:color="009900"/>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29,929</w:t>
            </w:r>
          </w:p>
        </w:tc>
      </w:tr>
      <w:tr w:rsidR="00666E9B" w:rsidTr="008503F8">
        <w:trPr>
          <w:trHeight w:val="300"/>
          <w:jc w:val="center"/>
        </w:trPr>
        <w:tc>
          <w:tcPr>
            <w:tcW w:w="1490" w:type="dxa"/>
            <w:tcBorders>
              <w:top w:val="nil"/>
              <w:left w:val="single" w:sz="8" w:space="0" w:color="009900"/>
              <w:bottom w:val="nil"/>
              <w:right w:val="nil"/>
            </w:tcBorders>
            <w:shd w:val="clear" w:color="000000" w:fill="FFFFE1"/>
            <w:vAlign w:val="center"/>
            <w:hideMark/>
          </w:tcPr>
          <w:p w:rsidR="00666E9B" w:rsidRDefault="00666E9B">
            <w:pPr>
              <w:rPr>
                <w:rFonts w:ascii="Arial" w:hAnsi="Arial" w:cs="Arial"/>
                <w:color w:val="000000"/>
                <w:sz w:val="16"/>
                <w:szCs w:val="16"/>
              </w:rPr>
            </w:pPr>
            <w:r>
              <w:rPr>
                <w:rFonts w:ascii="Arial" w:hAnsi="Arial" w:cs="Arial"/>
                <w:color w:val="000000"/>
                <w:sz w:val="16"/>
                <w:szCs w:val="16"/>
              </w:rPr>
              <w:t>50.1-80% HAMFI</w:t>
            </w:r>
          </w:p>
        </w:tc>
        <w:tc>
          <w:tcPr>
            <w:tcW w:w="108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10,485</w:t>
            </w:r>
          </w:p>
        </w:tc>
        <w:tc>
          <w:tcPr>
            <w:tcW w:w="102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755</w:t>
            </w:r>
          </w:p>
        </w:tc>
        <w:tc>
          <w:tcPr>
            <w:tcW w:w="112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155</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1,245</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0</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250</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9,360</w:t>
            </w:r>
          </w:p>
        </w:tc>
        <w:tc>
          <w:tcPr>
            <w:tcW w:w="960" w:type="dxa"/>
            <w:tcBorders>
              <w:top w:val="nil"/>
              <w:left w:val="nil"/>
              <w:bottom w:val="nil"/>
              <w:right w:val="single" w:sz="8" w:space="0" w:color="009900"/>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22,250</w:t>
            </w:r>
          </w:p>
        </w:tc>
      </w:tr>
      <w:tr w:rsidR="00666E9B" w:rsidTr="008503F8">
        <w:trPr>
          <w:trHeight w:val="300"/>
          <w:jc w:val="center"/>
        </w:trPr>
        <w:tc>
          <w:tcPr>
            <w:tcW w:w="1490" w:type="dxa"/>
            <w:tcBorders>
              <w:top w:val="nil"/>
              <w:left w:val="single" w:sz="8" w:space="0" w:color="009900"/>
              <w:bottom w:val="nil"/>
              <w:right w:val="nil"/>
            </w:tcBorders>
            <w:shd w:val="clear" w:color="000000" w:fill="FFFFE1"/>
            <w:vAlign w:val="center"/>
            <w:hideMark/>
          </w:tcPr>
          <w:p w:rsidR="00666E9B" w:rsidRDefault="00666E9B">
            <w:pPr>
              <w:rPr>
                <w:rFonts w:ascii="Arial" w:hAnsi="Arial" w:cs="Arial"/>
                <w:color w:val="000000"/>
                <w:sz w:val="16"/>
                <w:szCs w:val="16"/>
              </w:rPr>
            </w:pPr>
            <w:r>
              <w:rPr>
                <w:rFonts w:ascii="Arial" w:hAnsi="Arial" w:cs="Arial"/>
                <w:color w:val="000000"/>
                <w:sz w:val="16"/>
                <w:szCs w:val="16"/>
              </w:rPr>
              <w:t>80.1-100% HAMFI</w:t>
            </w:r>
          </w:p>
        </w:tc>
        <w:tc>
          <w:tcPr>
            <w:tcW w:w="108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2,610</w:t>
            </w:r>
          </w:p>
        </w:tc>
        <w:tc>
          <w:tcPr>
            <w:tcW w:w="102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275</w:t>
            </w:r>
          </w:p>
        </w:tc>
        <w:tc>
          <w:tcPr>
            <w:tcW w:w="112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50</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285</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10</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45</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1,695</w:t>
            </w:r>
          </w:p>
        </w:tc>
        <w:tc>
          <w:tcPr>
            <w:tcW w:w="960" w:type="dxa"/>
            <w:tcBorders>
              <w:top w:val="nil"/>
              <w:left w:val="nil"/>
              <w:bottom w:val="nil"/>
              <w:right w:val="single" w:sz="8" w:space="0" w:color="009900"/>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4,970</w:t>
            </w:r>
          </w:p>
        </w:tc>
      </w:tr>
      <w:tr w:rsidR="00666E9B" w:rsidTr="008503F8">
        <w:trPr>
          <w:trHeight w:val="300"/>
          <w:jc w:val="center"/>
        </w:trPr>
        <w:tc>
          <w:tcPr>
            <w:tcW w:w="1490" w:type="dxa"/>
            <w:tcBorders>
              <w:top w:val="nil"/>
              <w:left w:val="single" w:sz="8" w:space="0" w:color="009900"/>
              <w:bottom w:val="nil"/>
              <w:right w:val="nil"/>
            </w:tcBorders>
            <w:shd w:val="clear" w:color="000000" w:fill="FFFFE1"/>
            <w:vAlign w:val="center"/>
            <w:hideMark/>
          </w:tcPr>
          <w:p w:rsidR="00666E9B" w:rsidRDefault="00666E9B">
            <w:pPr>
              <w:rPr>
                <w:rFonts w:ascii="Arial" w:hAnsi="Arial" w:cs="Arial"/>
                <w:color w:val="000000"/>
                <w:sz w:val="16"/>
                <w:szCs w:val="16"/>
              </w:rPr>
            </w:pPr>
            <w:r>
              <w:rPr>
                <w:rFonts w:ascii="Arial" w:hAnsi="Arial" w:cs="Arial"/>
                <w:color w:val="000000"/>
                <w:sz w:val="16"/>
                <w:szCs w:val="16"/>
              </w:rPr>
              <w:t>100.1% HAMFI or more</w:t>
            </w:r>
          </w:p>
        </w:tc>
        <w:tc>
          <w:tcPr>
            <w:tcW w:w="108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2,745</w:t>
            </w:r>
          </w:p>
        </w:tc>
        <w:tc>
          <w:tcPr>
            <w:tcW w:w="102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205</w:t>
            </w:r>
          </w:p>
        </w:tc>
        <w:tc>
          <w:tcPr>
            <w:tcW w:w="112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105</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695</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0</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25</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1,200</w:t>
            </w:r>
          </w:p>
        </w:tc>
        <w:tc>
          <w:tcPr>
            <w:tcW w:w="960" w:type="dxa"/>
            <w:tcBorders>
              <w:top w:val="nil"/>
              <w:left w:val="nil"/>
              <w:bottom w:val="nil"/>
              <w:right w:val="single" w:sz="8" w:space="0" w:color="009900"/>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4,975</w:t>
            </w:r>
          </w:p>
        </w:tc>
      </w:tr>
      <w:tr w:rsidR="00666E9B" w:rsidTr="008503F8">
        <w:trPr>
          <w:trHeight w:val="315"/>
          <w:jc w:val="center"/>
        </w:trPr>
        <w:tc>
          <w:tcPr>
            <w:tcW w:w="1490" w:type="dxa"/>
            <w:tcBorders>
              <w:top w:val="dotted" w:sz="4" w:space="0" w:color="009900"/>
              <w:left w:val="single" w:sz="8" w:space="0" w:color="009900"/>
              <w:bottom w:val="single" w:sz="8" w:space="0" w:color="009900"/>
              <w:right w:val="nil"/>
            </w:tcBorders>
            <w:shd w:val="clear" w:color="000000" w:fill="FFFFE1"/>
            <w:noWrap/>
            <w:vAlign w:val="center"/>
            <w:hideMark/>
          </w:tcPr>
          <w:p w:rsidR="00666E9B" w:rsidRDefault="00666E9B">
            <w:pPr>
              <w:rPr>
                <w:rFonts w:ascii="Arial" w:hAnsi="Arial" w:cs="Arial"/>
                <w:color w:val="000000"/>
                <w:sz w:val="16"/>
                <w:szCs w:val="16"/>
              </w:rPr>
            </w:pPr>
            <w:r>
              <w:rPr>
                <w:rFonts w:ascii="Arial" w:hAnsi="Arial" w:cs="Arial"/>
                <w:color w:val="000000"/>
                <w:sz w:val="16"/>
                <w:szCs w:val="16"/>
              </w:rPr>
              <w:t>Total</w:t>
            </w:r>
          </w:p>
        </w:tc>
        <w:tc>
          <w:tcPr>
            <w:tcW w:w="1080" w:type="dxa"/>
            <w:tcBorders>
              <w:top w:val="dotted" w:sz="4" w:space="0" w:color="009900"/>
              <w:left w:val="nil"/>
              <w:bottom w:val="single" w:sz="8" w:space="0" w:color="009900"/>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41,080</w:t>
            </w:r>
          </w:p>
        </w:tc>
        <w:tc>
          <w:tcPr>
            <w:tcW w:w="1020" w:type="dxa"/>
            <w:tcBorders>
              <w:top w:val="dotted" w:sz="4" w:space="0" w:color="009900"/>
              <w:left w:val="nil"/>
              <w:bottom w:val="single" w:sz="8" w:space="0" w:color="009900"/>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3,570</w:t>
            </w:r>
          </w:p>
        </w:tc>
        <w:tc>
          <w:tcPr>
            <w:tcW w:w="1120" w:type="dxa"/>
            <w:tcBorders>
              <w:top w:val="dotted" w:sz="4" w:space="0" w:color="009900"/>
              <w:left w:val="nil"/>
              <w:bottom w:val="single" w:sz="8" w:space="0" w:color="009900"/>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1,145</w:t>
            </w:r>
          </w:p>
        </w:tc>
        <w:tc>
          <w:tcPr>
            <w:tcW w:w="960" w:type="dxa"/>
            <w:tcBorders>
              <w:top w:val="dotted" w:sz="4" w:space="0" w:color="009900"/>
              <w:left w:val="nil"/>
              <w:bottom w:val="single" w:sz="8" w:space="0" w:color="009900"/>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7,625</w:t>
            </w:r>
          </w:p>
        </w:tc>
        <w:tc>
          <w:tcPr>
            <w:tcW w:w="960" w:type="dxa"/>
            <w:tcBorders>
              <w:top w:val="dotted" w:sz="4" w:space="0" w:color="009900"/>
              <w:left w:val="nil"/>
              <w:bottom w:val="single" w:sz="8" w:space="0" w:color="009900"/>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39</w:t>
            </w:r>
          </w:p>
        </w:tc>
        <w:tc>
          <w:tcPr>
            <w:tcW w:w="960" w:type="dxa"/>
            <w:tcBorders>
              <w:top w:val="dotted" w:sz="4" w:space="0" w:color="009900"/>
              <w:left w:val="nil"/>
              <w:bottom w:val="single" w:sz="8" w:space="0" w:color="009900"/>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1,305</w:t>
            </w:r>
          </w:p>
        </w:tc>
        <w:tc>
          <w:tcPr>
            <w:tcW w:w="960" w:type="dxa"/>
            <w:tcBorders>
              <w:top w:val="dotted" w:sz="4" w:space="0" w:color="009900"/>
              <w:left w:val="nil"/>
              <w:bottom w:val="single" w:sz="8" w:space="0" w:color="009900"/>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47,230</w:t>
            </w:r>
          </w:p>
        </w:tc>
        <w:tc>
          <w:tcPr>
            <w:tcW w:w="960" w:type="dxa"/>
            <w:tcBorders>
              <w:top w:val="dotted" w:sz="4" w:space="0" w:color="009900"/>
              <w:left w:val="nil"/>
              <w:bottom w:val="single" w:sz="8" w:space="0" w:color="009900"/>
              <w:right w:val="single" w:sz="8" w:space="0" w:color="009900"/>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101,994</w:t>
            </w:r>
          </w:p>
        </w:tc>
      </w:tr>
      <w:tr w:rsidR="00666E9B" w:rsidTr="008503F8">
        <w:trPr>
          <w:trHeight w:val="315"/>
          <w:jc w:val="center"/>
        </w:trPr>
        <w:tc>
          <w:tcPr>
            <w:tcW w:w="9510" w:type="dxa"/>
            <w:gridSpan w:val="9"/>
            <w:tcBorders>
              <w:top w:val="single" w:sz="8" w:space="0" w:color="009900"/>
              <w:left w:val="single" w:sz="8" w:space="0" w:color="009900"/>
              <w:bottom w:val="single" w:sz="8" w:space="0" w:color="009900"/>
              <w:right w:val="single" w:sz="8" w:space="0" w:color="009900"/>
            </w:tcBorders>
            <w:shd w:val="clear" w:color="000000" w:fill="FFFFE1"/>
            <w:noWrap/>
            <w:vAlign w:val="center"/>
            <w:hideMark/>
          </w:tcPr>
          <w:p w:rsidR="00666E9B" w:rsidRDefault="00666E9B">
            <w:pPr>
              <w:jc w:val="center"/>
              <w:rPr>
                <w:rFonts w:ascii="Arial" w:hAnsi="Arial" w:cs="Arial"/>
                <w:b/>
                <w:bCs/>
                <w:color w:val="000000"/>
                <w:sz w:val="16"/>
                <w:szCs w:val="16"/>
              </w:rPr>
            </w:pPr>
            <w:r>
              <w:rPr>
                <w:rFonts w:ascii="Arial" w:hAnsi="Arial" w:cs="Arial"/>
                <w:b/>
                <w:bCs/>
                <w:color w:val="000000"/>
                <w:sz w:val="16"/>
                <w:szCs w:val="16"/>
              </w:rPr>
              <w:t>Total</w:t>
            </w:r>
          </w:p>
        </w:tc>
      </w:tr>
      <w:tr w:rsidR="00666E9B" w:rsidTr="008503F8">
        <w:trPr>
          <w:trHeight w:val="300"/>
          <w:jc w:val="center"/>
        </w:trPr>
        <w:tc>
          <w:tcPr>
            <w:tcW w:w="1490" w:type="dxa"/>
            <w:tcBorders>
              <w:top w:val="nil"/>
              <w:left w:val="single" w:sz="8" w:space="0" w:color="009900"/>
              <w:bottom w:val="nil"/>
              <w:right w:val="nil"/>
            </w:tcBorders>
            <w:shd w:val="clear" w:color="000000" w:fill="FFFFE1"/>
            <w:vAlign w:val="center"/>
            <w:hideMark/>
          </w:tcPr>
          <w:p w:rsidR="00666E9B" w:rsidRDefault="00666E9B">
            <w:pPr>
              <w:rPr>
                <w:rFonts w:ascii="Arial" w:hAnsi="Arial" w:cs="Arial"/>
                <w:color w:val="000000"/>
                <w:sz w:val="16"/>
                <w:szCs w:val="16"/>
              </w:rPr>
            </w:pPr>
            <w:r>
              <w:rPr>
                <w:rFonts w:ascii="Arial" w:hAnsi="Arial" w:cs="Arial"/>
                <w:color w:val="000000"/>
                <w:sz w:val="16"/>
                <w:szCs w:val="16"/>
              </w:rPr>
              <w:t>30% HAMFI or less</w:t>
            </w:r>
          </w:p>
        </w:tc>
        <w:tc>
          <w:tcPr>
            <w:tcW w:w="108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18,530</w:t>
            </w:r>
          </w:p>
        </w:tc>
        <w:tc>
          <w:tcPr>
            <w:tcW w:w="102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2,125</w:t>
            </w:r>
          </w:p>
        </w:tc>
        <w:tc>
          <w:tcPr>
            <w:tcW w:w="112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760</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4,350</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60</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820</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27,195</w:t>
            </w:r>
          </w:p>
        </w:tc>
        <w:tc>
          <w:tcPr>
            <w:tcW w:w="960" w:type="dxa"/>
            <w:tcBorders>
              <w:top w:val="nil"/>
              <w:left w:val="nil"/>
              <w:bottom w:val="nil"/>
              <w:right w:val="single" w:sz="8" w:space="0" w:color="009900"/>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53,840</w:t>
            </w:r>
          </w:p>
        </w:tc>
      </w:tr>
      <w:tr w:rsidR="00666E9B" w:rsidTr="008503F8">
        <w:trPr>
          <w:trHeight w:val="300"/>
          <w:jc w:val="center"/>
        </w:trPr>
        <w:tc>
          <w:tcPr>
            <w:tcW w:w="1490" w:type="dxa"/>
            <w:tcBorders>
              <w:top w:val="nil"/>
              <w:left w:val="single" w:sz="8" w:space="0" w:color="009900"/>
              <w:bottom w:val="nil"/>
              <w:right w:val="nil"/>
            </w:tcBorders>
            <w:shd w:val="clear" w:color="000000" w:fill="FFFFE1"/>
            <w:vAlign w:val="center"/>
            <w:hideMark/>
          </w:tcPr>
          <w:p w:rsidR="00666E9B" w:rsidRDefault="00666E9B">
            <w:pPr>
              <w:rPr>
                <w:rFonts w:ascii="Arial" w:hAnsi="Arial" w:cs="Arial"/>
                <w:color w:val="000000"/>
                <w:sz w:val="16"/>
                <w:szCs w:val="16"/>
              </w:rPr>
            </w:pPr>
            <w:r>
              <w:rPr>
                <w:rFonts w:ascii="Arial" w:hAnsi="Arial" w:cs="Arial"/>
                <w:color w:val="000000"/>
                <w:sz w:val="16"/>
                <w:szCs w:val="16"/>
              </w:rPr>
              <w:t>30.1-50% HAMFI</w:t>
            </w:r>
          </w:p>
        </w:tc>
        <w:tc>
          <w:tcPr>
            <w:tcW w:w="108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15,015</w:t>
            </w:r>
          </w:p>
        </w:tc>
        <w:tc>
          <w:tcPr>
            <w:tcW w:w="102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905</w:t>
            </w:r>
          </w:p>
        </w:tc>
        <w:tc>
          <w:tcPr>
            <w:tcW w:w="112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595</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3,150</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4</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585</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19,575</w:t>
            </w:r>
          </w:p>
        </w:tc>
        <w:tc>
          <w:tcPr>
            <w:tcW w:w="960" w:type="dxa"/>
            <w:tcBorders>
              <w:top w:val="nil"/>
              <w:left w:val="nil"/>
              <w:bottom w:val="nil"/>
              <w:right w:val="single" w:sz="8" w:space="0" w:color="009900"/>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39,829</w:t>
            </w:r>
          </w:p>
        </w:tc>
      </w:tr>
      <w:tr w:rsidR="00666E9B" w:rsidTr="008503F8">
        <w:trPr>
          <w:trHeight w:val="300"/>
          <w:jc w:val="center"/>
        </w:trPr>
        <w:tc>
          <w:tcPr>
            <w:tcW w:w="1490" w:type="dxa"/>
            <w:tcBorders>
              <w:top w:val="nil"/>
              <w:left w:val="single" w:sz="8" w:space="0" w:color="009900"/>
              <w:bottom w:val="nil"/>
              <w:right w:val="nil"/>
            </w:tcBorders>
            <w:shd w:val="clear" w:color="000000" w:fill="FFFFE1"/>
            <w:vAlign w:val="center"/>
            <w:hideMark/>
          </w:tcPr>
          <w:p w:rsidR="00666E9B" w:rsidRDefault="00666E9B">
            <w:pPr>
              <w:rPr>
                <w:rFonts w:ascii="Arial" w:hAnsi="Arial" w:cs="Arial"/>
                <w:color w:val="000000"/>
                <w:sz w:val="16"/>
                <w:szCs w:val="16"/>
              </w:rPr>
            </w:pPr>
            <w:r>
              <w:rPr>
                <w:rFonts w:ascii="Arial" w:hAnsi="Arial" w:cs="Arial"/>
                <w:color w:val="000000"/>
                <w:sz w:val="16"/>
                <w:szCs w:val="16"/>
              </w:rPr>
              <w:t>50.1-80% HAMFI</w:t>
            </w:r>
          </w:p>
        </w:tc>
        <w:tc>
          <w:tcPr>
            <w:tcW w:w="108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21,245</w:t>
            </w:r>
          </w:p>
        </w:tc>
        <w:tc>
          <w:tcPr>
            <w:tcW w:w="102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1,360</w:t>
            </w:r>
          </w:p>
        </w:tc>
        <w:tc>
          <w:tcPr>
            <w:tcW w:w="112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590</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3,320</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85</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760</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21,370</w:t>
            </w:r>
          </w:p>
        </w:tc>
        <w:tc>
          <w:tcPr>
            <w:tcW w:w="960" w:type="dxa"/>
            <w:tcBorders>
              <w:top w:val="nil"/>
              <w:left w:val="nil"/>
              <w:bottom w:val="nil"/>
              <w:right w:val="single" w:sz="8" w:space="0" w:color="009900"/>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48,730</w:t>
            </w:r>
          </w:p>
        </w:tc>
      </w:tr>
      <w:tr w:rsidR="00666E9B" w:rsidTr="008503F8">
        <w:trPr>
          <w:trHeight w:val="300"/>
          <w:jc w:val="center"/>
        </w:trPr>
        <w:tc>
          <w:tcPr>
            <w:tcW w:w="1490" w:type="dxa"/>
            <w:tcBorders>
              <w:top w:val="nil"/>
              <w:left w:val="single" w:sz="8" w:space="0" w:color="009900"/>
              <w:bottom w:val="nil"/>
              <w:right w:val="nil"/>
            </w:tcBorders>
            <w:shd w:val="clear" w:color="000000" w:fill="FFFFE1"/>
            <w:vAlign w:val="center"/>
            <w:hideMark/>
          </w:tcPr>
          <w:p w:rsidR="00666E9B" w:rsidRDefault="00666E9B">
            <w:pPr>
              <w:rPr>
                <w:rFonts w:ascii="Arial" w:hAnsi="Arial" w:cs="Arial"/>
                <w:color w:val="000000"/>
                <w:sz w:val="16"/>
                <w:szCs w:val="16"/>
              </w:rPr>
            </w:pPr>
            <w:r>
              <w:rPr>
                <w:rFonts w:ascii="Arial" w:hAnsi="Arial" w:cs="Arial"/>
                <w:color w:val="000000"/>
                <w:sz w:val="16"/>
                <w:szCs w:val="16"/>
              </w:rPr>
              <w:t>80.1-100% HAMFI</w:t>
            </w:r>
          </w:p>
        </w:tc>
        <w:tc>
          <w:tcPr>
            <w:tcW w:w="108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9,785</w:t>
            </w:r>
          </w:p>
        </w:tc>
        <w:tc>
          <w:tcPr>
            <w:tcW w:w="102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1,000</w:t>
            </w:r>
          </w:p>
        </w:tc>
        <w:tc>
          <w:tcPr>
            <w:tcW w:w="112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445</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1,750</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35</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300</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8,965</w:t>
            </w:r>
          </w:p>
        </w:tc>
        <w:tc>
          <w:tcPr>
            <w:tcW w:w="960" w:type="dxa"/>
            <w:tcBorders>
              <w:top w:val="nil"/>
              <w:left w:val="nil"/>
              <w:bottom w:val="nil"/>
              <w:right w:val="single" w:sz="8" w:space="0" w:color="009900"/>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22,280</w:t>
            </w:r>
          </w:p>
        </w:tc>
      </w:tr>
      <w:tr w:rsidR="00666E9B" w:rsidTr="008503F8">
        <w:trPr>
          <w:trHeight w:val="315"/>
          <w:jc w:val="center"/>
        </w:trPr>
        <w:tc>
          <w:tcPr>
            <w:tcW w:w="1490" w:type="dxa"/>
            <w:tcBorders>
              <w:top w:val="nil"/>
              <w:left w:val="single" w:sz="8" w:space="0" w:color="009900"/>
              <w:bottom w:val="nil"/>
              <w:right w:val="nil"/>
            </w:tcBorders>
            <w:shd w:val="clear" w:color="000000" w:fill="FFFFE1"/>
            <w:vAlign w:val="center"/>
            <w:hideMark/>
          </w:tcPr>
          <w:p w:rsidR="00666E9B" w:rsidRDefault="00666E9B">
            <w:pPr>
              <w:rPr>
                <w:rFonts w:ascii="Arial" w:hAnsi="Arial" w:cs="Arial"/>
                <w:color w:val="000000"/>
                <w:sz w:val="16"/>
                <w:szCs w:val="16"/>
              </w:rPr>
            </w:pPr>
            <w:r>
              <w:rPr>
                <w:rFonts w:ascii="Arial" w:hAnsi="Arial" w:cs="Arial"/>
                <w:color w:val="000000"/>
                <w:sz w:val="16"/>
                <w:szCs w:val="16"/>
              </w:rPr>
              <w:t>100.1% HAMFI or more</w:t>
            </w:r>
          </w:p>
        </w:tc>
        <w:tc>
          <w:tcPr>
            <w:tcW w:w="108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38,005</w:t>
            </w:r>
          </w:p>
        </w:tc>
        <w:tc>
          <w:tcPr>
            <w:tcW w:w="102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2,095</w:t>
            </w:r>
          </w:p>
        </w:tc>
        <w:tc>
          <w:tcPr>
            <w:tcW w:w="112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1,285</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3,905</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35</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835</w:t>
            </w:r>
          </w:p>
        </w:tc>
        <w:tc>
          <w:tcPr>
            <w:tcW w:w="960" w:type="dxa"/>
            <w:tcBorders>
              <w:top w:val="nil"/>
              <w:left w:val="nil"/>
              <w:bottom w:val="nil"/>
              <w:right w:val="nil"/>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18,675</w:t>
            </w:r>
          </w:p>
        </w:tc>
        <w:tc>
          <w:tcPr>
            <w:tcW w:w="960" w:type="dxa"/>
            <w:tcBorders>
              <w:top w:val="nil"/>
              <w:left w:val="nil"/>
              <w:bottom w:val="nil"/>
              <w:right w:val="single" w:sz="8" w:space="0" w:color="009900"/>
            </w:tcBorders>
            <w:shd w:val="clear" w:color="000000" w:fill="FFFFE1"/>
            <w:noWrap/>
            <w:vAlign w:val="center"/>
            <w:hideMark/>
          </w:tcPr>
          <w:p w:rsidR="00666E9B" w:rsidRDefault="00666E9B">
            <w:pPr>
              <w:jc w:val="center"/>
              <w:rPr>
                <w:rFonts w:ascii="Arial" w:hAnsi="Arial" w:cs="Arial"/>
                <w:color w:val="000000"/>
                <w:sz w:val="16"/>
                <w:szCs w:val="16"/>
              </w:rPr>
            </w:pPr>
            <w:r>
              <w:rPr>
                <w:rFonts w:ascii="Arial" w:hAnsi="Arial" w:cs="Arial"/>
                <w:color w:val="000000"/>
                <w:sz w:val="16"/>
                <w:szCs w:val="16"/>
              </w:rPr>
              <w:t>64,835</w:t>
            </w:r>
          </w:p>
        </w:tc>
      </w:tr>
      <w:tr w:rsidR="00666E9B" w:rsidTr="008503F8">
        <w:trPr>
          <w:trHeight w:val="330"/>
          <w:jc w:val="center"/>
        </w:trPr>
        <w:tc>
          <w:tcPr>
            <w:tcW w:w="1490" w:type="dxa"/>
            <w:tcBorders>
              <w:top w:val="double" w:sz="6" w:space="0" w:color="009900"/>
              <w:left w:val="single" w:sz="8" w:space="0" w:color="009900"/>
              <w:bottom w:val="single" w:sz="8" w:space="0" w:color="009900"/>
              <w:right w:val="nil"/>
            </w:tcBorders>
            <w:shd w:val="clear" w:color="000000" w:fill="FFFFE1"/>
            <w:noWrap/>
            <w:vAlign w:val="center"/>
            <w:hideMark/>
          </w:tcPr>
          <w:p w:rsidR="00666E9B" w:rsidRDefault="00666E9B">
            <w:pPr>
              <w:rPr>
                <w:rFonts w:ascii="Arial" w:hAnsi="Arial" w:cs="Arial"/>
                <w:b/>
                <w:bCs/>
                <w:color w:val="000000"/>
                <w:sz w:val="16"/>
                <w:szCs w:val="16"/>
              </w:rPr>
            </w:pPr>
            <w:r>
              <w:rPr>
                <w:rFonts w:ascii="Arial" w:hAnsi="Arial" w:cs="Arial"/>
                <w:b/>
                <w:bCs/>
                <w:color w:val="000000"/>
                <w:sz w:val="16"/>
                <w:szCs w:val="16"/>
              </w:rPr>
              <w:t>Total</w:t>
            </w:r>
          </w:p>
        </w:tc>
        <w:tc>
          <w:tcPr>
            <w:tcW w:w="1080" w:type="dxa"/>
            <w:tcBorders>
              <w:top w:val="double" w:sz="6" w:space="0" w:color="009900"/>
              <w:left w:val="nil"/>
              <w:bottom w:val="single" w:sz="8" w:space="0" w:color="009900"/>
              <w:right w:val="nil"/>
            </w:tcBorders>
            <w:shd w:val="clear" w:color="000000" w:fill="FFFFE1"/>
            <w:noWrap/>
            <w:vAlign w:val="center"/>
            <w:hideMark/>
          </w:tcPr>
          <w:p w:rsidR="00666E9B" w:rsidRDefault="00666E9B">
            <w:pPr>
              <w:jc w:val="center"/>
              <w:rPr>
                <w:rFonts w:ascii="Arial" w:hAnsi="Arial" w:cs="Arial"/>
                <w:b/>
                <w:bCs/>
                <w:color w:val="000000"/>
                <w:sz w:val="16"/>
                <w:szCs w:val="16"/>
              </w:rPr>
            </w:pPr>
            <w:r>
              <w:rPr>
                <w:rFonts w:ascii="Arial" w:hAnsi="Arial" w:cs="Arial"/>
                <w:b/>
                <w:bCs/>
                <w:color w:val="000000"/>
                <w:sz w:val="16"/>
                <w:szCs w:val="16"/>
              </w:rPr>
              <w:t>102,580</w:t>
            </w:r>
          </w:p>
        </w:tc>
        <w:tc>
          <w:tcPr>
            <w:tcW w:w="1020" w:type="dxa"/>
            <w:tcBorders>
              <w:top w:val="double" w:sz="6" w:space="0" w:color="009900"/>
              <w:left w:val="nil"/>
              <w:bottom w:val="single" w:sz="8" w:space="0" w:color="009900"/>
              <w:right w:val="nil"/>
            </w:tcBorders>
            <w:shd w:val="clear" w:color="000000" w:fill="FFFFE1"/>
            <w:noWrap/>
            <w:vAlign w:val="center"/>
            <w:hideMark/>
          </w:tcPr>
          <w:p w:rsidR="00666E9B" w:rsidRDefault="00666E9B">
            <w:pPr>
              <w:jc w:val="center"/>
              <w:rPr>
                <w:rFonts w:ascii="Arial" w:hAnsi="Arial" w:cs="Arial"/>
                <w:b/>
                <w:bCs/>
                <w:color w:val="000000"/>
                <w:sz w:val="16"/>
                <w:szCs w:val="16"/>
              </w:rPr>
            </w:pPr>
            <w:r>
              <w:rPr>
                <w:rFonts w:ascii="Arial" w:hAnsi="Arial" w:cs="Arial"/>
                <w:b/>
                <w:bCs/>
                <w:color w:val="000000"/>
                <w:sz w:val="16"/>
                <w:szCs w:val="16"/>
              </w:rPr>
              <w:t>7,485</w:t>
            </w:r>
          </w:p>
        </w:tc>
        <w:tc>
          <w:tcPr>
            <w:tcW w:w="1120" w:type="dxa"/>
            <w:tcBorders>
              <w:top w:val="double" w:sz="6" w:space="0" w:color="009900"/>
              <w:left w:val="nil"/>
              <w:bottom w:val="single" w:sz="8" w:space="0" w:color="009900"/>
              <w:right w:val="nil"/>
            </w:tcBorders>
            <w:shd w:val="clear" w:color="000000" w:fill="FFFFE1"/>
            <w:noWrap/>
            <w:vAlign w:val="center"/>
            <w:hideMark/>
          </w:tcPr>
          <w:p w:rsidR="00666E9B" w:rsidRDefault="00666E9B">
            <w:pPr>
              <w:jc w:val="center"/>
              <w:rPr>
                <w:rFonts w:ascii="Arial" w:hAnsi="Arial" w:cs="Arial"/>
                <w:b/>
                <w:bCs/>
                <w:color w:val="000000"/>
                <w:sz w:val="16"/>
                <w:szCs w:val="16"/>
              </w:rPr>
            </w:pPr>
            <w:r>
              <w:rPr>
                <w:rFonts w:ascii="Arial" w:hAnsi="Arial" w:cs="Arial"/>
                <w:b/>
                <w:bCs/>
                <w:color w:val="000000"/>
                <w:sz w:val="16"/>
                <w:szCs w:val="16"/>
              </w:rPr>
              <w:t>3,675</w:t>
            </w:r>
          </w:p>
        </w:tc>
        <w:tc>
          <w:tcPr>
            <w:tcW w:w="960" w:type="dxa"/>
            <w:tcBorders>
              <w:top w:val="double" w:sz="6" w:space="0" w:color="009900"/>
              <w:left w:val="nil"/>
              <w:bottom w:val="single" w:sz="8" w:space="0" w:color="009900"/>
              <w:right w:val="nil"/>
            </w:tcBorders>
            <w:shd w:val="clear" w:color="000000" w:fill="FFFFE1"/>
            <w:noWrap/>
            <w:vAlign w:val="center"/>
            <w:hideMark/>
          </w:tcPr>
          <w:p w:rsidR="00666E9B" w:rsidRDefault="00666E9B">
            <w:pPr>
              <w:jc w:val="center"/>
              <w:rPr>
                <w:rFonts w:ascii="Arial" w:hAnsi="Arial" w:cs="Arial"/>
                <w:b/>
                <w:bCs/>
                <w:color w:val="000000"/>
                <w:sz w:val="16"/>
                <w:szCs w:val="16"/>
              </w:rPr>
            </w:pPr>
            <w:r>
              <w:rPr>
                <w:rFonts w:ascii="Arial" w:hAnsi="Arial" w:cs="Arial"/>
                <w:b/>
                <w:bCs/>
                <w:color w:val="000000"/>
                <w:sz w:val="16"/>
                <w:szCs w:val="16"/>
              </w:rPr>
              <w:t>16,475</w:t>
            </w:r>
          </w:p>
        </w:tc>
        <w:tc>
          <w:tcPr>
            <w:tcW w:w="960" w:type="dxa"/>
            <w:tcBorders>
              <w:top w:val="double" w:sz="6" w:space="0" w:color="009900"/>
              <w:left w:val="nil"/>
              <w:bottom w:val="single" w:sz="8" w:space="0" w:color="009900"/>
              <w:right w:val="nil"/>
            </w:tcBorders>
            <w:shd w:val="clear" w:color="000000" w:fill="FFFFE1"/>
            <w:noWrap/>
            <w:vAlign w:val="center"/>
            <w:hideMark/>
          </w:tcPr>
          <w:p w:rsidR="00666E9B" w:rsidRDefault="00666E9B">
            <w:pPr>
              <w:jc w:val="center"/>
              <w:rPr>
                <w:rFonts w:ascii="Arial" w:hAnsi="Arial" w:cs="Arial"/>
                <w:b/>
                <w:bCs/>
                <w:color w:val="000000"/>
                <w:sz w:val="16"/>
                <w:szCs w:val="16"/>
              </w:rPr>
            </w:pPr>
            <w:r>
              <w:rPr>
                <w:rFonts w:ascii="Arial" w:hAnsi="Arial" w:cs="Arial"/>
                <w:b/>
                <w:bCs/>
                <w:color w:val="000000"/>
                <w:sz w:val="16"/>
                <w:szCs w:val="16"/>
              </w:rPr>
              <w:t>219</w:t>
            </w:r>
          </w:p>
        </w:tc>
        <w:tc>
          <w:tcPr>
            <w:tcW w:w="960" w:type="dxa"/>
            <w:tcBorders>
              <w:top w:val="double" w:sz="6" w:space="0" w:color="009900"/>
              <w:left w:val="nil"/>
              <w:bottom w:val="single" w:sz="8" w:space="0" w:color="009900"/>
              <w:right w:val="nil"/>
            </w:tcBorders>
            <w:shd w:val="clear" w:color="000000" w:fill="FFFFE1"/>
            <w:noWrap/>
            <w:vAlign w:val="center"/>
            <w:hideMark/>
          </w:tcPr>
          <w:p w:rsidR="00666E9B" w:rsidRDefault="00666E9B">
            <w:pPr>
              <w:jc w:val="center"/>
              <w:rPr>
                <w:rFonts w:ascii="Arial" w:hAnsi="Arial" w:cs="Arial"/>
                <w:b/>
                <w:bCs/>
                <w:color w:val="000000"/>
                <w:sz w:val="16"/>
                <w:szCs w:val="16"/>
              </w:rPr>
            </w:pPr>
            <w:r>
              <w:rPr>
                <w:rFonts w:ascii="Arial" w:hAnsi="Arial" w:cs="Arial"/>
                <w:b/>
                <w:bCs/>
                <w:color w:val="000000"/>
                <w:sz w:val="16"/>
                <w:szCs w:val="16"/>
              </w:rPr>
              <w:t>3,300</w:t>
            </w:r>
          </w:p>
        </w:tc>
        <w:tc>
          <w:tcPr>
            <w:tcW w:w="960" w:type="dxa"/>
            <w:tcBorders>
              <w:top w:val="double" w:sz="6" w:space="0" w:color="009900"/>
              <w:left w:val="nil"/>
              <w:bottom w:val="single" w:sz="8" w:space="0" w:color="009900"/>
              <w:right w:val="nil"/>
            </w:tcBorders>
            <w:shd w:val="clear" w:color="000000" w:fill="FFFFE1"/>
            <w:noWrap/>
            <w:vAlign w:val="center"/>
            <w:hideMark/>
          </w:tcPr>
          <w:p w:rsidR="00666E9B" w:rsidRDefault="00666E9B">
            <w:pPr>
              <w:jc w:val="center"/>
              <w:rPr>
                <w:rFonts w:ascii="Arial" w:hAnsi="Arial" w:cs="Arial"/>
                <w:b/>
                <w:bCs/>
                <w:color w:val="000000"/>
                <w:sz w:val="16"/>
                <w:szCs w:val="16"/>
              </w:rPr>
            </w:pPr>
            <w:r>
              <w:rPr>
                <w:rFonts w:ascii="Arial" w:hAnsi="Arial" w:cs="Arial"/>
                <w:b/>
                <w:bCs/>
                <w:color w:val="000000"/>
                <w:sz w:val="16"/>
                <w:szCs w:val="16"/>
              </w:rPr>
              <w:t>95,780</w:t>
            </w:r>
          </w:p>
        </w:tc>
        <w:tc>
          <w:tcPr>
            <w:tcW w:w="960" w:type="dxa"/>
            <w:tcBorders>
              <w:top w:val="double" w:sz="6" w:space="0" w:color="009900"/>
              <w:left w:val="nil"/>
              <w:bottom w:val="single" w:sz="8" w:space="0" w:color="009900"/>
              <w:right w:val="single" w:sz="8" w:space="0" w:color="009900"/>
            </w:tcBorders>
            <w:shd w:val="clear" w:color="000000" w:fill="FFFFE1"/>
            <w:noWrap/>
            <w:vAlign w:val="center"/>
            <w:hideMark/>
          </w:tcPr>
          <w:p w:rsidR="00666E9B" w:rsidRDefault="00666E9B">
            <w:pPr>
              <w:jc w:val="center"/>
              <w:rPr>
                <w:rFonts w:ascii="Arial" w:hAnsi="Arial" w:cs="Arial"/>
                <w:b/>
                <w:bCs/>
                <w:color w:val="000000"/>
                <w:sz w:val="16"/>
                <w:szCs w:val="16"/>
              </w:rPr>
            </w:pPr>
            <w:r>
              <w:rPr>
                <w:rFonts w:ascii="Arial" w:hAnsi="Arial" w:cs="Arial"/>
                <w:b/>
                <w:bCs/>
                <w:color w:val="000000"/>
                <w:sz w:val="16"/>
                <w:szCs w:val="16"/>
              </w:rPr>
              <w:t>229,514</w:t>
            </w:r>
          </w:p>
        </w:tc>
      </w:tr>
    </w:tbl>
    <w:p w:rsidR="006A0C5C" w:rsidRPr="00955C8C" w:rsidRDefault="006A0C5C" w:rsidP="00DC6779">
      <w:pPr>
        <w:pStyle w:val="BodyText"/>
        <w:tabs>
          <w:tab w:val="num" w:pos="360"/>
        </w:tabs>
        <w:rPr>
          <w:rFonts w:ascii="CG Omega" w:hAnsi="CG Omega"/>
          <w:szCs w:val="24"/>
          <w:highlight w:val="yellow"/>
        </w:rPr>
      </w:pPr>
    </w:p>
    <w:p w:rsidR="00CF4D65" w:rsidRPr="009B4972" w:rsidRDefault="00CF4D65" w:rsidP="00BB666B">
      <w:pPr>
        <w:pStyle w:val="FirstHead"/>
      </w:pPr>
      <w:bookmarkStart w:id="95" w:name="_Toc399834576"/>
      <w:r w:rsidRPr="009B4972">
        <w:t xml:space="preserve">I. </w:t>
      </w:r>
      <w:r w:rsidR="00394FF6" w:rsidRPr="00E72B41">
        <w:t xml:space="preserve">Institutional </w:t>
      </w:r>
      <w:r w:rsidRPr="00E72B41">
        <w:t>Barriers to Affordable Housing</w:t>
      </w:r>
      <w:bookmarkEnd w:id="95"/>
    </w:p>
    <w:p w:rsidR="00CF4D65" w:rsidRPr="008503F8" w:rsidRDefault="00CF4D65" w:rsidP="00DC6779">
      <w:pPr>
        <w:pStyle w:val="BodyText"/>
        <w:tabs>
          <w:tab w:val="num" w:pos="360"/>
        </w:tabs>
        <w:rPr>
          <w:rFonts w:ascii="CG Omega" w:hAnsi="CG Omega"/>
          <w:szCs w:val="24"/>
        </w:rPr>
      </w:pPr>
    </w:p>
    <w:p w:rsidR="00E72B41" w:rsidRPr="00955C8C" w:rsidRDefault="00E72B41" w:rsidP="00E72B41">
      <w:pPr>
        <w:jc w:val="both"/>
        <w:rPr>
          <w:rFonts w:ascii="CG Omega" w:hAnsi="CG Omega"/>
          <w:spacing w:val="-2"/>
          <w:highlight w:val="yellow"/>
        </w:rPr>
      </w:pPr>
      <w:r w:rsidRPr="00A929A2">
        <w:rPr>
          <w:rFonts w:ascii="CG Omega" w:hAnsi="CG Omega"/>
          <w:spacing w:val="-2"/>
        </w:rPr>
        <w:t>The 2014 Housing and Community Development survey provided respondents with a list of a number of possible barriers to affordable housing and asked participants to select any barriers that they felt existed in New Mexico.</w:t>
      </w:r>
      <w:r w:rsidRPr="00832AB3">
        <w:rPr>
          <w:rFonts w:ascii="CG Omega" w:hAnsi="CG Omega"/>
          <w:spacing w:val="-2"/>
        </w:rPr>
        <w:t xml:space="preserve"> </w:t>
      </w:r>
      <w:r w:rsidRPr="00E87A53">
        <w:rPr>
          <w:rFonts w:ascii="CG Omega" w:hAnsi="CG Omega"/>
          <w:spacing w:val="-2"/>
        </w:rPr>
        <w:t xml:space="preserve">The cost of land or lot was voiced most often by respondents as a barrier to affordable housing, followed </w:t>
      </w:r>
      <w:r>
        <w:rPr>
          <w:rFonts w:ascii="CG Omega" w:hAnsi="CG Omega"/>
          <w:spacing w:val="-2"/>
        </w:rPr>
        <w:t>a Not in My Back Yard (NIMBY) mentality</w:t>
      </w:r>
      <w:r w:rsidRPr="00E87A53">
        <w:rPr>
          <w:rFonts w:ascii="CG Omega" w:hAnsi="CG Omega"/>
          <w:spacing w:val="-2"/>
        </w:rPr>
        <w:t>.</w:t>
      </w:r>
      <w:r>
        <w:rPr>
          <w:rFonts w:ascii="CG Omega" w:hAnsi="CG Omega"/>
          <w:spacing w:val="-2"/>
        </w:rPr>
        <w:t xml:space="preserve"> </w:t>
      </w:r>
      <w:r w:rsidRPr="008C6744">
        <w:rPr>
          <w:rFonts w:ascii="CG Omega" w:hAnsi="CG Omega"/>
        </w:rPr>
        <w:t xml:space="preserve">This phrase refers to a “Not in My Backyard” mentality that resists construction of projects like public or supportive housing in neighborhoods and communities. </w:t>
      </w:r>
      <w:r>
        <w:rPr>
          <w:rFonts w:ascii="CG Omega" w:hAnsi="CG Omega"/>
          <w:spacing w:val="-2"/>
        </w:rPr>
        <w:t>This was followed by cost of materials and cost of labor.</w:t>
      </w:r>
      <w:r w:rsidRPr="00E87A53">
        <w:rPr>
          <w:rFonts w:ascii="CG Omega" w:hAnsi="CG Omega"/>
          <w:spacing w:val="-2"/>
        </w:rPr>
        <w:t xml:space="preserve">  </w:t>
      </w:r>
      <w:r w:rsidRPr="00815780">
        <w:rPr>
          <w:rFonts w:ascii="CG Omega" w:hAnsi="CG Omega"/>
          <w:spacing w:val="-2"/>
        </w:rPr>
        <w:t xml:space="preserve">While </w:t>
      </w:r>
      <w:r w:rsidR="00CC3344">
        <w:rPr>
          <w:rFonts w:ascii="CG Omega" w:hAnsi="CG Omega"/>
          <w:spacing w:val="-2"/>
        </w:rPr>
        <w:t>MFA</w:t>
      </w:r>
      <w:r w:rsidRPr="00815780">
        <w:rPr>
          <w:rFonts w:ascii="CG Omega" w:hAnsi="CG Omega"/>
          <w:spacing w:val="-2"/>
        </w:rPr>
        <w:t xml:space="preserve"> can do very little about the market driven costs of materials or labor, the costs of lands or lots could be combated with land trusts or tax incentives.</w:t>
      </w:r>
    </w:p>
    <w:p w:rsidR="00E72B41" w:rsidRPr="00955C8C" w:rsidRDefault="00E72B41" w:rsidP="00E72B41">
      <w:pPr>
        <w:jc w:val="both"/>
        <w:rPr>
          <w:rFonts w:ascii="CG Omega" w:hAnsi="CG Omega"/>
          <w:sz w:val="18"/>
          <w:szCs w:val="18"/>
          <w:highlight w:val="yellow"/>
        </w:rPr>
      </w:pPr>
    </w:p>
    <w:p w:rsidR="00E72B41" w:rsidRDefault="009673D1" w:rsidP="00E72B41">
      <w:pPr>
        <w:jc w:val="both"/>
        <w:rPr>
          <w:rFonts w:ascii="CG Omega" w:hAnsi="CG Omega"/>
        </w:rPr>
      </w:pPr>
      <w:r>
        <w:rPr>
          <w:rFonts w:ascii="CG Omega" w:hAnsi="CG Omega"/>
        </w:rPr>
        <w:t>Lack of a</w:t>
      </w:r>
      <w:r w:rsidR="00E72B41" w:rsidRPr="00815780">
        <w:rPr>
          <w:rFonts w:ascii="CG Omega" w:hAnsi="CG Omega"/>
        </w:rPr>
        <w:t xml:space="preserve">ffordable housing development policies and lack of other infrastructure were also cited by numerous respondents as a barrier to affordable housing.  </w:t>
      </w:r>
      <w:r w:rsidR="00E72B41" w:rsidRPr="009C6A0D">
        <w:rPr>
          <w:rFonts w:ascii="CG Omega" w:hAnsi="CG Omega"/>
        </w:rPr>
        <w:t>This concern was also raised in the focus groups</w:t>
      </w:r>
      <w:r w:rsidR="00E72B41">
        <w:rPr>
          <w:rFonts w:ascii="CG Omega" w:hAnsi="CG Omega"/>
        </w:rPr>
        <w:t xml:space="preserve">. </w:t>
      </w:r>
      <w:r w:rsidR="00E72B41" w:rsidRPr="009C6A0D">
        <w:rPr>
          <w:rFonts w:ascii="CG Omega" w:hAnsi="CG Omega"/>
        </w:rPr>
        <w:t xml:space="preserve">As the housing stock in New Mexico ages, the need for rental demolition and reconstruction or rehabilitation increases. </w:t>
      </w:r>
      <w:r w:rsidR="00CC3344">
        <w:rPr>
          <w:rFonts w:ascii="CG Omega" w:hAnsi="CG Omega"/>
        </w:rPr>
        <w:t>MFA</w:t>
      </w:r>
      <w:r w:rsidR="00E72B41" w:rsidRPr="009C6A0D">
        <w:rPr>
          <w:rFonts w:ascii="CG Omega" w:hAnsi="CG Omega"/>
        </w:rPr>
        <w:t xml:space="preserve"> might address this barrier through incentives for </w:t>
      </w:r>
      <w:r>
        <w:rPr>
          <w:rFonts w:ascii="CG Omega" w:hAnsi="CG Omega"/>
        </w:rPr>
        <w:t>multi</w:t>
      </w:r>
      <w:r w:rsidR="00E72B41" w:rsidRPr="009C6A0D">
        <w:rPr>
          <w:rFonts w:ascii="CG Omega" w:hAnsi="CG Omega"/>
        </w:rPr>
        <w:t>family unit owners to rehab</w:t>
      </w:r>
      <w:r w:rsidR="000F42FA">
        <w:rPr>
          <w:rFonts w:ascii="CG Omega" w:hAnsi="CG Omega"/>
        </w:rPr>
        <w:t>ilitate</w:t>
      </w:r>
      <w:r w:rsidR="00E72B41" w:rsidRPr="009C6A0D">
        <w:rPr>
          <w:rFonts w:ascii="CG Omega" w:hAnsi="CG Omega"/>
        </w:rPr>
        <w:t xml:space="preserve"> rental properties.</w:t>
      </w:r>
    </w:p>
    <w:p w:rsidR="00F067DA" w:rsidRDefault="00F067DA" w:rsidP="00E72B41">
      <w:pPr>
        <w:jc w:val="both"/>
        <w:rPr>
          <w:rFonts w:ascii="CG Omega" w:hAnsi="CG Omega"/>
        </w:rPr>
      </w:pPr>
    </w:p>
    <w:p w:rsidR="008503F8" w:rsidRDefault="008503F8" w:rsidP="00BB666B">
      <w:pPr>
        <w:pStyle w:val="FirstHead"/>
      </w:pPr>
    </w:p>
    <w:p w:rsidR="00484BF2" w:rsidRPr="009B4972" w:rsidRDefault="00BD3F5A" w:rsidP="00BB666B">
      <w:pPr>
        <w:pStyle w:val="FirstHead"/>
      </w:pPr>
      <w:bookmarkStart w:id="96" w:name="_Toc399834577"/>
      <w:r w:rsidRPr="009B4972">
        <w:t>J</w:t>
      </w:r>
      <w:r w:rsidR="00484BF2" w:rsidRPr="009B4972">
        <w:t>. Summary</w:t>
      </w:r>
      <w:bookmarkEnd w:id="96"/>
    </w:p>
    <w:p w:rsidR="00484BF2" w:rsidRPr="008C0D1A" w:rsidRDefault="00484BF2" w:rsidP="00484BF2">
      <w:pPr>
        <w:pStyle w:val="BodyText"/>
        <w:tabs>
          <w:tab w:val="num" w:pos="360"/>
        </w:tabs>
        <w:rPr>
          <w:rFonts w:ascii="CG Omega" w:hAnsi="CG Omega"/>
          <w:sz w:val="16"/>
          <w:szCs w:val="16"/>
          <w:highlight w:val="yellow"/>
        </w:rPr>
      </w:pPr>
    </w:p>
    <w:p w:rsidR="00274486" w:rsidRDefault="00274486" w:rsidP="00274486">
      <w:pPr>
        <w:jc w:val="both"/>
        <w:rPr>
          <w:rFonts w:ascii="CG Omega" w:hAnsi="CG Omega"/>
          <w:bCs/>
        </w:rPr>
      </w:pPr>
      <w:r w:rsidRPr="008E7570">
        <w:rPr>
          <w:rFonts w:ascii="CG Omega" w:hAnsi="CG Omega"/>
        </w:rPr>
        <w:t xml:space="preserve">In 2000, the state of New Mexico had 780,579 total housing units.  Since that time, the total housing stock increased each year through </w:t>
      </w:r>
      <w:r w:rsidRPr="000A7CAC">
        <w:rPr>
          <w:rFonts w:ascii="CG Omega" w:hAnsi="CG Omega"/>
        </w:rPr>
        <w:t>2012 by a total of over 126,000 units</w:t>
      </w:r>
      <w:r w:rsidRPr="008E7570">
        <w:rPr>
          <w:rFonts w:ascii="CG Omega" w:hAnsi="CG Omega"/>
        </w:rPr>
        <w:t xml:space="preserve">.  </w:t>
      </w:r>
      <w:r w:rsidRPr="00291D14">
        <w:rPr>
          <w:rFonts w:ascii="CG Omega" w:hAnsi="CG Omega"/>
        </w:rPr>
        <w:t>Of the total housing stock counted in the 20</w:t>
      </w:r>
      <w:r>
        <w:rPr>
          <w:rFonts w:ascii="CG Omega" w:hAnsi="CG Omega"/>
        </w:rPr>
        <w:t xml:space="preserve">12 </w:t>
      </w:r>
      <w:r w:rsidR="008503F8">
        <w:rPr>
          <w:rFonts w:ascii="CG Omega" w:hAnsi="CG Omega"/>
        </w:rPr>
        <w:t>ACS</w:t>
      </w:r>
      <w:r w:rsidRPr="00291D14">
        <w:rPr>
          <w:rFonts w:ascii="CG Omega" w:hAnsi="CG Omega"/>
        </w:rPr>
        <w:t xml:space="preserve">, 615,159 units were </w:t>
      </w:r>
      <w:r w:rsidR="00BB2854">
        <w:rPr>
          <w:rFonts w:ascii="CG Omega" w:hAnsi="CG Omega"/>
        </w:rPr>
        <w:t>single family</w:t>
      </w:r>
      <w:r w:rsidRPr="00291D14">
        <w:rPr>
          <w:rFonts w:ascii="CG Omega" w:hAnsi="CG Omega"/>
        </w:rPr>
        <w:t xml:space="preserve"> units.  Another 149,074 were mobile homes.  Of the 90</w:t>
      </w:r>
      <w:r>
        <w:rPr>
          <w:rFonts w:ascii="CG Omega" w:hAnsi="CG Omega"/>
        </w:rPr>
        <w:t xml:space="preserve">1,388 </w:t>
      </w:r>
      <w:r w:rsidRPr="00291D14">
        <w:rPr>
          <w:rFonts w:ascii="CG Omega" w:hAnsi="CG Omega"/>
        </w:rPr>
        <w:t xml:space="preserve">housing units counted in New Mexico in the 2010 census, 791,395 units were occupied, with 542,122 counted as </w:t>
      </w:r>
      <w:r w:rsidR="00BB2854">
        <w:rPr>
          <w:rFonts w:ascii="CG Omega" w:hAnsi="CG Omega"/>
        </w:rPr>
        <w:t>owner occupied</w:t>
      </w:r>
      <w:r w:rsidRPr="00291D14">
        <w:rPr>
          <w:rFonts w:ascii="CG Omega" w:hAnsi="CG Omega"/>
        </w:rPr>
        <w:t xml:space="preserve"> and 249,273</w:t>
      </w:r>
      <w:r>
        <w:rPr>
          <w:rFonts w:ascii="CG Omega" w:hAnsi="CG Omega"/>
        </w:rPr>
        <w:t xml:space="preserve"> counted as </w:t>
      </w:r>
      <w:r w:rsidR="00BB2854">
        <w:rPr>
          <w:rFonts w:ascii="CG Omega" w:hAnsi="CG Omega"/>
        </w:rPr>
        <w:t>renter occupied</w:t>
      </w:r>
      <w:r>
        <w:rPr>
          <w:rFonts w:ascii="CG Omega" w:hAnsi="CG Omega"/>
        </w:rPr>
        <w:t>.</w:t>
      </w:r>
      <w:r w:rsidRPr="00291D14">
        <w:rPr>
          <w:rFonts w:ascii="CG Omega" w:hAnsi="CG Omega"/>
        </w:rPr>
        <w:t xml:space="preserve"> This equated to a homeownership rate of 68.5 percent.  T</w:t>
      </w:r>
      <w:r w:rsidRPr="00291D14">
        <w:rPr>
          <w:rFonts w:ascii="CG Omega" w:hAnsi="CG Omega"/>
          <w:bCs/>
        </w:rPr>
        <w:t xml:space="preserve">he </w:t>
      </w:r>
      <w:r>
        <w:rPr>
          <w:rFonts w:ascii="CG Omega" w:hAnsi="CG Omega"/>
          <w:bCs/>
        </w:rPr>
        <w:t xml:space="preserve">real value of </w:t>
      </w:r>
      <w:r w:rsidRPr="00291D14">
        <w:rPr>
          <w:rFonts w:ascii="CG Omega" w:hAnsi="CG Omega"/>
          <w:bCs/>
        </w:rPr>
        <w:t xml:space="preserve">construction of </w:t>
      </w:r>
      <w:r w:rsidR="00BB2854">
        <w:rPr>
          <w:rFonts w:ascii="CG Omega" w:hAnsi="CG Omega"/>
          <w:bCs/>
        </w:rPr>
        <w:t>single family</w:t>
      </w:r>
      <w:r w:rsidRPr="00291D14">
        <w:rPr>
          <w:rFonts w:ascii="CG Omega" w:hAnsi="CG Omega"/>
          <w:bCs/>
        </w:rPr>
        <w:t xml:space="preserve"> dwellings generally increased from 1980 through 2013, </w:t>
      </w:r>
      <w:r>
        <w:rPr>
          <w:rFonts w:ascii="CG Omega" w:hAnsi="CG Omega"/>
          <w:bCs/>
        </w:rPr>
        <w:t xml:space="preserve">reaching almost $220,000 in 2012.  Home values and rental rates were </w:t>
      </w:r>
      <w:r w:rsidRPr="00291D14">
        <w:rPr>
          <w:rFonts w:ascii="CG Omega" w:hAnsi="CG Omega"/>
          <w:bCs/>
        </w:rPr>
        <w:t xml:space="preserve">generally higher in urban areas near major cities like Albuquerque and Santa Fe.  </w:t>
      </w:r>
      <w:r w:rsidRPr="00291D14">
        <w:rPr>
          <w:rFonts w:ascii="CG Omega" w:hAnsi="CG Omega"/>
        </w:rPr>
        <w:t xml:space="preserve">There were </w:t>
      </w:r>
      <w:r>
        <w:rPr>
          <w:rFonts w:ascii="CG Omega" w:hAnsi="CG Omega"/>
        </w:rPr>
        <w:t>141,93</w:t>
      </w:r>
      <w:r w:rsidRPr="00291D14">
        <w:rPr>
          <w:rFonts w:ascii="CG Omega" w:hAnsi="CG Omega"/>
        </w:rPr>
        <w:t>0 owners and 101,9</w:t>
      </w:r>
      <w:r>
        <w:rPr>
          <w:rFonts w:ascii="CG Omega" w:hAnsi="CG Omega"/>
        </w:rPr>
        <w:t>85</w:t>
      </w:r>
      <w:r w:rsidRPr="00291D14">
        <w:rPr>
          <w:rFonts w:ascii="CG Omega" w:hAnsi="CG Omega"/>
        </w:rPr>
        <w:t xml:space="preserve"> renters that had an unmet housing need, such as a cost burden or overcrowding problem, in New Mexico at the time of the 2010 census. </w:t>
      </w:r>
      <w:r>
        <w:rPr>
          <w:rFonts w:ascii="CG Omega" w:hAnsi="CG Omega"/>
        </w:rPr>
        <w:t xml:space="preserve">This included 91,065 owners and 92,045 renter households at or below 80 percent MFI with unmet need. </w:t>
      </w:r>
      <w:r w:rsidRPr="00291D14">
        <w:rPr>
          <w:rFonts w:ascii="CG Omega" w:hAnsi="CG Omega"/>
        </w:rPr>
        <w:t xml:space="preserve"> </w:t>
      </w:r>
      <w:r w:rsidRPr="00E73966">
        <w:rPr>
          <w:rFonts w:ascii="CG Omega" w:hAnsi="CG Omega"/>
        </w:rPr>
        <w:t xml:space="preserve">By 2020, </w:t>
      </w:r>
      <w:r w:rsidRPr="00E73966">
        <w:rPr>
          <w:rFonts w:ascii="CG Omega" w:hAnsi="CG Omega"/>
          <w:bCs/>
        </w:rPr>
        <w:t>there are expected to be roughly 169,664 owner and 121,913 renter households wit</w:t>
      </w:r>
      <w:r>
        <w:rPr>
          <w:rFonts w:ascii="CG Omega" w:hAnsi="CG Omega"/>
          <w:bCs/>
        </w:rPr>
        <w:t xml:space="preserve">h housing problems in the state, which is expected to include 108,859 owner and 110,031 renter households at or below 80 percent MFI with unmet need. There is no disproportionately greater need of housing problems for racial or ethnic groups on a statewide scale. </w:t>
      </w:r>
    </w:p>
    <w:p w:rsidR="00F067DA" w:rsidRDefault="00F067DA" w:rsidP="002838CE">
      <w:pPr>
        <w:jc w:val="both"/>
        <w:rPr>
          <w:rFonts w:ascii="CG Omega" w:hAnsi="CG Omega"/>
          <w:bCs/>
        </w:rPr>
      </w:pPr>
    </w:p>
    <w:p w:rsidR="001A5A3D" w:rsidRPr="00955C8C" w:rsidRDefault="001A5A3D" w:rsidP="0083778B">
      <w:pPr>
        <w:pStyle w:val="BodyText"/>
        <w:tabs>
          <w:tab w:val="num" w:pos="360"/>
        </w:tabs>
        <w:rPr>
          <w:rFonts w:ascii="CG Omega" w:hAnsi="CG Omega"/>
          <w:szCs w:val="24"/>
          <w:highlight w:val="yellow"/>
        </w:rPr>
      </w:pPr>
    </w:p>
    <w:p w:rsidR="001A5A3D" w:rsidRPr="00955C8C" w:rsidRDefault="001A5A3D" w:rsidP="0083778B">
      <w:pPr>
        <w:pStyle w:val="BodyText"/>
        <w:tabs>
          <w:tab w:val="num" w:pos="360"/>
        </w:tabs>
        <w:rPr>
          <w:rFonts w:ascii="CG Omega" w:hAnsi="CG Omega"/>
          <w:szCs w:val="24"/>
          <w:highlight w:val="yellow"/>
        </w:rPr>
        <w:sectPr w:rsidR="001A5A3D" w:rsidRPr="00955C8C" w:rsidSect="006757C0">
          <w:headerReference w:type="default" r:id="rId50"/>
          <w:headerReference w:type="first" r:id="rId51"/>
          <w:pgSz w:w="12240" w:h="15840"/>
          <w:pgMar w:top="1440" w:right="1440" w:bottom="1440" w:left="1440" w:header="1080" w:footer="720" w:gutter="0"/>
          <w:cols w:space="720"/>
          <w:titlePg/>
          <w:docGrid w:linePitch="360"/>
        </w:sectPr>
      </w:pPr>
    </w:p>
    <w:p w:rsidR="00623759" w:rsidRPr="00955C8C" w:rsidRDefault="003C0C4B" w:rsidP="005249F1">
      <w:pPr>
        <w:pStyle w:val="Subhead1"/>
        <w:rPr>
          <w:highlight w:val="yellow"/>
        </w:rPr>
      </w:pPr>
      <w:r>
        <w:rPr>
          <w:highlight w:val="yellow"/>
        </w:rPr>
        <w:t xml:space="preserve"> </w:t>
      </w:r>
      <w:r w:rsidR="00623759" w:rsidRPr="00955C8C">
        <w:rPr>
          <w:highlight w:val="yellow"/>
        </w:rPr>
        <w:fldChar w:fldCharType="begin"/>
      </w:r>
      <w:r w:rsidR="00623759" w:rsidRPr="00955C8C">
        <w:rPr>
          <w:highlight w:val="yellow"/>
        </w:rPr>
        <w:instrText xml:space="preserve"> TC  "</w:instrText>
      </w:r>
      <w:bookmarkStart w:id="97" w:name="_Toc233426585"/>
      <w:bookmarkStart w:id="98" w:name="_Toc233426770"/>
      <w:bookmarkStart w:id="99" w:name="_Toc399834578"/>
      <w:r w:rsidR="00623759" w:rsidRPr="00955C8C">
        <w:rPr>
          <w:highlight w:val="yellow"/>
        </w:rPr>
        <w:instrText xml:space="preserve">V. </w:instrText>
      </w:r>
      <w:r w:rsidR="00F66636" w:rsidRPr="00955C8C">
        <w:rPr>
          <w:highlight w:val="yellow"/>
        </w:rPr>
        <w:instrText xml:space="preserve"> </w:instrText>
      </w:r>
      <w:r w:rsidR="00623759" w:rsidRPr="00955C8C">
        <w:rPr>
          <w:highlight w:val="yellow"/>
        </w:rPr>
        <w:instrText>Housing and Homeless Needs Assessment</w:instrText>
      </w:r>
      <w:bookmarkEnd w:id="97"/>
      <w:bookmarkEnd w:id="98"/>
      <w:bookmarkEnd w:id="99"/>
      <w:r w:rsidR="00623759" w:rsidRPr="00955C8C">
        <w:rPr>
          <w:highlight w:val="yellow"/>
        </w:rPr>
        <w:instrText xml:space="preserve">" </w:instrText>
      </w:r>
      <w:r w:rsidR="00623759" w:rsidRPr="00955C8C">
        <w:rPr>
          <w:highlight w:val="yellow"/>
        </w:rPr>
        <w:fldChar w:fldCharType="end"/>
      </w:r>
    </w:p>
    <w:p w:rsidR="000869BD" w:rsidRPr="0013476F" w:rsidRDefault="000869BD" w:rsidP="00BB666B">
      <w:pPr>
        <w:pStyle w:val="FirstHead"/>
      </w:pPr>
      <w:bookmarkStart w:id="100" w:name="_Toc233700881"/>
      <w:bookmarkStart w:id="101" w:name="_Toc399834579"/>
      <w:bookmarkStart w:id="102" w:name="_Toc233426586"/>
      <w:bookmarkStart w:id="103" w:name="_Toc233426771"/>
      <w:r w:rsidRPr="0013476F">
        <w:t>A. Introduction</w:t>
      </w:r>
      <w:bookmarkEnd w:id="100"/>
      <w:bookmarkEnd w:id="101"/>
    </w:p>
    <w:p w:rsidR="000869BD" w:rsidRPr="008503F8" w:rsidRDefault="000869BD" w:rsidP="006A215D">
      <w:pPr>
        <w:pStyle w:val="BodyText"/>
        <w:tabs>
          <w:tab w:val="clear" w:pos="720"/>
          <w:tab w:val="clear" w:pos="900"/>
          <w:tab w:val="clear" w:pos="1080"/>
          <w:tab w:val="clear" w:pos="126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 w:val="left" w:pos="7530"/>
        </w:tabs>
        <w:jc w:val="left"/>
        <w:rPr>
          <w:rFonts w:ascii="CG Omega" w:hAnsi="CG Omega"/>
          <w:szCs w:val="24"/>
        </w:rPr>
      </w:pPr>
    </w:p>
    <w:p w:rsidR="000869BD" w:rsidRPr="00955C8C" w:rsidRDefault="0050298A" w:rsidP="009910BC">
      <w:pPr>
        <w:pStyle w:val="BodyText"/>
        <w:rPr>
          <w:rFonts w:ascii="CG Omega" w:hAnsi="CG Omega"/>
          <w:szCs w:val="24"/>
          <w:highlight w:val="yellow"/>
        </w:rPr>
      </w:pPr>
      <w:r w:rsidRPr="0013476F">
        <w:rPr>
          <w:rFonts w:ascii="CG Omega" w:hAnsi="CG Omega"/>
          <w:szCs w:val="24"/>
        </w:rPr>
        <w:t>This section addresses housin</w:t>
      </w:r>
      <w:r w:rsidR="00C946F9" w:rsidRPr="0013476F">
        <w:rPr>
          <w:rFonts w:ascii="CG Omega" w:hAnsi="CG Omega"/>
          <w:szCs w:val="24"/>
        </w:rPr>
        <w:t>g a</w:t>
      </w:r>
      <w:r w:rsidR="00BF7C1B" w:rsidRPr="0013476F">
        <w:rPr>
          <w:rFonts w:ascii="CG Omega" w:hAnsi="CG Omega"/>
          <w:szCs w:val="24"/>
        </w:rPr>
        <w:t>nd homeless needs in New Mexico</w:t>
      </w:r>
      <w:r w:rsidRPr="0013476F">
        <w:rPr>
          <w:rFonts w:ascii="CG Omega" w:hAnsi="CG Omega"/>
          <w:szCs w:val="24"/>
        </w:rPr>
        <w:t xml:space="preserve">.  </w:t>
      </w:r>
      <w:r w:rsidRPr="00815780">
        <w:rPr>
          <w:rFonts w:ascii="CG Omega" w:hAnsi="CG Omega"/>
          <w:szCs w:val="24"/>
        </w:rPr>
        <w:t>Specific needs and the priority level of these needs were determ</w:t>
      </w:r>
      <w:r w:rsidR="00815780" w:rsidRPr="00815780">
        <w:rPr>
          <w:rFonts w:ascii="CG Omega" w:hAnsi="CG Omega"/>
          <w:szCs w:val="24"/>
        </w:rPr>
        <w:t>ined based on data from the 2014</w:t>
      </w:r>
      <w:r w:rsidR="00BF7C1B" w:rsidRPr="00815780">
        <w:rPr>
          <w:rFonts w:ascii="CG Omega" w:hAnsi="CG Omega"/>
          <w:szCs w:val="24"/>
        </w:rPr>
        <w:t xml:space="preserve"> </w:t>
      </w:r>
      <w:r w:rsidR="006B2A3D" w:rsidRPr="00815780">
        <w:rPr>
          <w:rFonts w:ascii="CG Omega" w:hAnsi="CG Omega"/>
          <w:szCs w:val="24"/>
        </w:rPr>
        <w:t>Hou</w:t>
      </w:r>
      <w:r w:rsidR="00BF7C1B" w:rsidRPr="00815780">
        <w:rPr>
          <w:rFonts w:ascii="CG Omega" w:hAnsi="CG Omega"/>
          <w:szCs w:val="24"/>
        </w:rPr>
        <w:t>sing and Community Development S</w:t>
      </w:r>
      <w:r w:rsidR="006B2A3D" w:rsidRPr="00815780">
        <w:rPr>
          <w:rFonts w:ascii="CG Omega" w:hAnsi="CG Omega"/>
          <w:szCs w:val="24"/>
        </w:rPr>
        <w:t xml:space="preserve">urvey, focus groups, </w:t>
      </w:r>
      <w:r w:rsidR="00F4500E" w:rsidRPr="00815780">
        <w:rPr>
          <w:rFonts w:ascii="CG Omega" w:hAnsi="CG Omega"/>
          <w:szCs w:val="24"/>
        </w:rPr>
        <w:t>public input meetings,</w:t>
      </w:r>
      <w:r w:rsidRPr="00815780">
        <w:rPr>
          <w:rFonts w:ascii="CG Omega" w:hAnsi="CG Omega"/>
          <w:szCs w:val="24"/>
        </w:rPr>
        <w:t xml:space="preserve"> a foreca</w:t>
      </w:r>
      <w:r w:rsidR="00BC4AD8">
        <w:rPr>
          <w:rFonts w:ascii="CG Omega" w:hAnsi="CG Omega"/>
          <w:szCs w:val="24"/>
        </w:rPr>
        <w:t>st of households anticipated having</w:t>
      </w:r>
      <w:r w:rsidR="00B72571" w:rsidRPr="00815780">
        <w:rPr>
          <w:rFonts w:ascii="CG Omega" w:hAnsi="CG Omega"/>
          <w:szCs w:val="24"/>
        </w:rPr>
        <w:t xml:space="preserve"> problems in 20</w:t>
      </w:r>
      <w:r w:rsidR="00815780" w:rsidRPr="00815780">
        <w:rPr>
          <w:rFonts w:ascii="CG Omega" w:hAnsi="CG Omega"/>
          <w:szCs w:val="24"/>
        </w:rPr>
        <w:t>20</w:t>
      </w:r>
      <w:r w:rsidR="00B72571" w:rsidRPr="00815780">
        <w:rPr>
          <w:rFonts w:ascii="CG Omega" w:hAnsi="CG Omega"/>
          <w:szCs w:val="24"/>
        </w:rPr>
        <w:t xml:space="preserve">, and from </w:t>
      </w:r>
      <w:r w:rsidR="006B2A3D" w:rsidRPr="00815780">
        <w:rPr>
          <w:rFonts w:ascii="CG Omega" w:hAnsi="CG Omega"/>
          <w:szCs w:val="24"/>
        </w:rPr>
        <w:t>consultation with</w:t>
      </w:r>
      <w:r w:rsidRPr="00815780">
        <w:rPr>
          <w:rFonts w:ascii="CG Omega" w:hAnsi="CG Omega"/>
          <w:szCs w:val="24"/>
        </w:rPr>
        <w:t xml:space="preserve"> representatives of </w:t>
      </w:r>
      <w:r w:rsidR="006B2A3D" w:rsidRPr="00815780">
        <w:rPr>
          <w:rFonts w:ascii="CG Omega" w:hAnsi="CG Omega"/>
          <w:szCs w:val="24"/>
        </w:rPr>
        <w:t xml:space="preserve">various </w:t>
      </w:r>
      <w:r w:rsidR="009106C4" w:rsidRPr="00815780">
        <w:rPr>
          <w:rFonts w:ascii="CG Omega" w:hAnsi="CG Omega"/>
          <w:szCs w:val="24"/>
        </w:rPr>
        <w:t xml:space="preserve">state and local </w:t>
      </w:r>
      <w:r w:rsidR="00BF7C1B" w:rsidRPr="00815780">
        <w:rPr>
          <w:rFonts w:ascii="CG Omega" w:hAnsi="CG Omega"/>
          <w:szCs w:val="24"/>
        </w:rPr>
        <w:t>agencies throughout New Mexico</w:t>
      </w:r>
      <w:r w:rsidR="009106C4" w:rsidRPr="00815780">
        <w:rPr>
          <w:rFonts w:ascii="CG Omega" w:hAnsi="CG Omega"/>
          <w:szCs w:val="24"/>
        </w:rPr>
        <w:t>.</w:t>
      </w:r>
    </w:p>
    <w:p w:rsidR="000869BD" w:rsidRPr="008503F8" w:rsidRDefault="000869BD" w:rsidP="009910BC">
      <w:pPr>
        <w:pStyle w:val="BodyText"/>
        <w:rPr>
          <w:rFonts w:ascii="CG Omega" w:hAnsi="CG Omega"/>
          <w:szCs w:val="24"/>
          <w:highlight w:val="yellow"/>
        </w:rPr>
      </w:pPr>
    </w:p>
    <w:p w:rsidR="007078DB" w:rsidRPr="00815780" w:rsidRDefault="000869BD" w:rsidP="00BB666B">
      <w:pPr>
        <w:pStyle w:val="FirstHead"/>
      </w:pPr>
      <w:bookmarkStart w:id="104" w:name="_Toc399834580"/>
      <w:r w:rsidRPr="00815780">
        <w:t>B</w:t>
      </w:r>
      <w:r w:rsidR="007078DB" w:rsidRPr="00815780">
        <w:t>. Housing Needs Assessment</w:t>
      </w:r>
      <w:bookmarkEnd w:id="102"/>
      <w:bookmarkEnd w:id="103"/>
      <w:bookmarkEnd w:id="104"/>
    </w:p>
    <w:tbl>
      <w:tblPr>
        <w:tblpPr w:leftFromText="180" w:rightFromText="180" w:vertAnchor="text" w:tblpXSpec="right" w:tblpY="219"/>
        <w:tblOverlap w:val="never"/>
        <w:tblW w:w="4446" w:type="dxa"/>
        <w:tblLook w:val="0000" w:firstRow="0" w:lastRow="0" w:firstColumn="0" w:lastColumn="0" w:noHBand="0" w:noVBand="0"/>
      </w:tblPr>
      <w:tblGrid>
        <w:gridCol w:w="2409"/>
        <w:gridCol w:w="2037"/>
      </w:tblGrid>
      <w:tr w:rsidR="00E56B71" w:rsidRPr="008D0BF5" w:rsidTr="00AC6C3B">
        <w:trPr>
          <w:trHeight w:val="1170"/>
        </w:trPr>
        <w:tc>
          <w:tcPr>
            <w:tcW w:w="4446" w:type="dxa"/>
            <w:gridSpan w:val="2"/>
            <w:shd w:val="clear" w:color="auto" w:fill="auto"/>
            <w:noWrap/>
            <w:vAlign w:val="center"/>
          </w:tcPr>
          <w:p w:rsidR="00E56B71" w:rsidRPr="008D0BF5" w:rsidRDefault="00C55FAD" w:rsidP="000960B9">
            <w:pPr>
              <w:jc w:val="center"/>
              <w:rPr>
                <w:rFonts w:ascii="Arial" w:hAnsi="Arial" w:cs="Arial"/>
                <w:b/>
                <w:bCs/>
              </w:rPr>
            </w:pPr>
            <w:r w:rsidRPr="00C55FAD">
              <w:rPr>
                <w:rFonts w:ascii="Arial" w:hAnsi="Arial" w:cs="Arial"/>
                <w:b/>
                <w:bCs/>
              </w:rPr>
              <w:t xml:space="preserve">Table </w:t>
            </w:r>
            <w:r w:rsidRPr="00C55FAD">
              <w:rPr>
                <w:rFonts w:ascii="Arial" w:hAnsi="Arial" w:cs="Arial"/>
                <w:b/>
                <w:bCs/>
                <w:noProof/>
              </w:rPr>
              <w:t>V</w:t>
            </w:r>
            <w:r w:rsidR="00E56B71" w:rsidRPr="00C55FAD">
              <w:rPr>
                <w:rFonts w:ascii="Arial" w:hAnsi="Arial" w:cs="Arial"/>
                <w:b/>
                <w:bCs/>
              </w:rPr>
              <w:t>.1</w:t>
            </w:r>
          </w:p>
          <w:p w:rsidR="00E56B71" w:rsidRDefault="00E56B71" w:rsidP="000960B9">
            <w:pPr>
              <w:jc w:val="center"/>
              <w:rPr>
                <w:rFonts w:ascii="Arial" w:hAnsi="Arial" w:cs="Arial"/>
                <w:b/>
                <w:bCs/>
                <w:sz w:val="20"/>
                <w:szCs w:val="20"/>
              </w:rPr>
            </w:pPr>
            <w:r w:rsidRPr="008D0BF5">
              <w:rPr>
                <w:rFonts w:ascii="Arial" w:hAnsi="Arial" w:cs="Arial"/>
                <w:b/>
                <w:bCs/>
                <w:sz w:val="20"/>
                <w:szCs w:val="20"/>
              </w:rPr>
              <w:t xml:space="preserve">How would allocate your </w:t>
            </w:r>
          </w:p>
          <w:p w:rsidR="00E56B71" w:rsidRDefault="00E56B71" w:rsidP="000960B9">
            <w:pPr>
              <w:jc w:val="center"/>
              <w:rPr>
                <w:rFonts w:ascii="Arial" w:hAnsi="Arial" w:cs="Arial"/>
                <w:b/>
                <w:bCs/>
                <w:sz w:val="20"/>
                <w:szCs w:val="20"/>
              </w:rPr>
            </w:pPr>
            <w:r w:rsidRPr="008D0BF5">
              <w:rPr>
                <w:rFonts w:ascii="Arial" w:hAnsi="Arial" w:cs="Arial"/>
                <w:b/>
                <w:bCs/>
                <w:sz w:val="20"/>
                <w:szCs w:val="20"/>
              </w:rPr>
              <w:t>resources among these areas?</w:t>
            </w:r>
          </w:p>
          <w:p w:rsidR="00E56B71" w:rsidRPr="00717166" w:rsidRDefault="00E56B71" w:rsidP="000960B9">
            <w:pPr>
              <w:jc w:val="center"/>
              <w:rPr>
                <w:rFonts w:ascii="Arial" w:hAnsi="Arial" w:cs="Arial"/>
                <w:bCs/>
                <w:sz w:val="16"/>
                <w:szCs w:val="16"/>
              </w:rPr>
            </w:pPr>
            <w:r w:rsidRPr="004356A3">
              <w:rPr>
                <w:rFonts w:ascii="Arial" w:hAnsi="Arial" w:cs="Arial"/>
                <w:bCs/>
                <w:noProof/>
                <w:sz w:val="16"/>
                <w:szCs w:val="16"/>
              </w:rPr>
              <w:t>State of New Mexico</w:t>
            </w:r>
          </w:p>
          <w:p w:rsidR="00E56B71" w:rsidRPr="008D0BF5" w:rsidRDefault="00E56B71" w:rsidP="000960B9">
            <w:pPr>
              <w:jc w:val="center"/>
              <w:rPr>
                <w:rFonts w:ascii="Arial" w:hAnsi="Arial" w:cs="Arial"/>
                <w:b/>
                <w:bCs/>
              </w:rPr>
            </w:pPr>
            <w:r>
              <w:rPr>
                <w:rFonts w:ascii="Arial" w:hAnsi="Arial" w:cs="Arial"/>
                <w:sz w:val="16"/>
                <w:szCs w:val="16"/>
              </w:rPr>
              <w:t>2014</w:t>
            </w:r>
            <w:r w:rsidRPr="008D0BF5">
              <w:rPr>
                <w:rFonts w:ascii="Arial" w:hAnsi="Arial" w:cs="Arial"/>
                <w:sz w:val="16"/>
                <w:szCs w:val="16"/>
              </w:rPr>
              <w:t xml:space="preserve"> Housing and Community Development Survey</w:t>
            </w:r>
          </w:p>
        </w:tc>
      </w:tr>
      <w:tr w:rsidR="00E56B71" w:rsidRPr="008D0BF5" w:rsidTr="00AC6C3B">
        <w:trPr>
          <w:trHeight w:val="255"/>
        </w:trPr>
        <w:tc>
          <w:tcPr>
            <w:tcW w:w="2409" w:type="dxa"/>
            <w:tcBorders>
              <w:top w:val="single" w:sz="4" w:space="0" w:color="009900"/>
              <w:left w:val="single" w:sz="4" w:space="0" w:color="009900"/>
              <w:bottom w:val="single" w:sz="4" w:space="0" w:color="009900"/>
              <w:right w:val="nil"/>
            </w:tcBorders>
            <w:shd w:val="clear" w:color="auto" w:fill="FFFFE1"/>
            <w:noWrap/>
            <w:vAlign w:val="center"/>
          </w:tcPr>
          <w:p w:rsidR="00E56B71" w:rsidRPr="008D0BF5" w:rsidRDefault="00E56B71" w:rsidP="000960B9">
            <w:pPr>
              <w:rPr>
                <w:rFonts w:ascii="Arial" w:hAnsi="Arial" w:cs="Arial"/>
                <w:b/>
                <w:bCs/>
                <w:sz w:val="16"/>
                <w:szCs w:val="16"/>
              </w:rPr>
            </w:pPr>
            <w:r w:rsidRPr="008D0BF5">
              <w:rPr>
                <w:rFonts w:ascii="Arial" w:hAnsi="Arial" w:cs="Arial"/>
                <w:b/>
                <w:bCs/>
                <w:sz w:val="16"/>
                <w:szCs w:val="16"/>
              </w:rPr>
              <w:t>Area</w:t>
            </w:r>
          </w:p>
        </w:tc>
        <w:tc>
          <w:tcPr>
            <w:tcW w:w="2037" w:type="dxa"/>
            <w:tcBorders>
              <w:top w:val="single" w:sz="4" w:space="0" w:color="009900"/>
              <w:left w:val="nil"/>
              <w:bottom w:val="single" w:sz="4" w:space="0" w:color="009900"/>
              <w:right w:val="single" w:sz="4" w:space="0" w:color="009900"/>
            </w:tcBorders>
            <w:shd w:val="clear" w:color="auto" w:fill="FFFFE1"/>
            <w:noWrap/>
            <w:vAlign w:val="center"/>
          </w:tcPr>
          <w:p w:rsidR="00E56B71" w:rsidRPr="008D0BF5" w:rsidRDefault="00E56B71" w:rsidP="000960B9">
            <w:pPr>
              <w:jc w:val="center"/>
              <w:rPr>
                <w:rFonts w:ascii="Arial" w:hAnsi="Arial" w:cs="Arial"/>
                <w:b/>
                <w:bCs/>
                <w:sz w:val="16"/>
                <w:szCs w:val="16"/>
              </w:rPr>
            </w:pPr>
            <w:r w:rsidRPr="008D0BF5">
              <w:rPr>
                <w:rFonts w:ascii="Arial" w:hAnsi="Arial" w:cs="Arial"/>
                <w:b/>
                <w:bCs/>
                <w:sz w:val="16"/>
                <w:szCs w:val="16"/>
              </w:rPr>
              <w:t>Percentage Allocated</w:t>
            </w:r>
          </w:p>
        </w:tc>
      </w:tr>
      <w:tr w:rsidR="00E56B71" w:rsidRPr="008D0BF5" w:rsidTr="00AC6C3B">
        <w:trPr>
          <w:trHeight w:val="255"/>
        </w:trPr>
        <w:tc>
          <w:tcPr>
            <w:tcW w:w="2409" w:type="dxa"/>
            <w:tcBorders>
              <w:top w:val="nil"/>
              <w:left w:val="single" w:sz="4" w:space="0" w:color="009900"/>
              <w:bottom w:val="nil"/>
              <w:right w:val="nil"/>
            </w:tcBorders>
            <w:shd w:val="clear" w:color="auto" w:fill="FFFFE1"/>
            <w:noWrap/>
            <w:vAlign w:val="center"/>
          </w:tcPr>
          <w:p w:rsidR="00E56B71" w:rsidRPr="008D0BF5" w:rsidRDefault="00E56B71" w:rsidP="000960B9">
            <w:pPr>
              <w:rPr>
                <w:rFonts w:ascii="Arial" w:hAnsi="Arial" w:cs="Arial"/>
                <w:sz w:val="16"/>
                <w:szCs w:val="16"/>
              </w:rPr>
            </w:pPr>
            <w:r w:rsidRPr="008D0BF5">
              <w:rPr>
                <w:rFonts w:ascii="Arial" w:hAnsi="Arial" w:cs="Arial"/>
                <w:sz w:val="16"/>
                <w:szCs w:val="16"/>
              </w:rPr>
              <w:t>Housing</w:t>
            </w:r>
          </w:p>
        </w:tc>
        <w:tc>
          <w:tcPr>
            <w:tcW w:w="2037" w:type="dxa"/>
            <w:tcBorders>
              <w:top w:val="nil"/>
              <w:left w:val="nil"/>
              <w:bottom w:val="nil"/>
              <w:right w:val="single" w:sz="4" w:space="0" w:color="009900"/>
            </w:tcBorders>
            <w:shd w:val="clear" w:color="auto" w:fill="FFFFE1"/>
            <w:noWrap/>
            <w:vAlign w:val="center"/>
          </w:tcPr>
          <w:p w:rsidR="00E56B71" w:rsidRPr="00E90DE2" w:rsidRDefault="00E56B71" w:rsidP="000960B9">
            <w:pPr>
              <w:jc w:val="center"/>
              <w:rPr>
                <w:rFonts w:ascii="Arial" w:hAnsi="Arial" w:cs="Arial"/>
                <w:sz w:val="16"/>
                <w:szCs w:val="16"/>
              </w:rPr>
            </w:pPr>
            <w:r w:rsidRPr="004356A3">
              <w:rPr>
                <w:rFonts w:ascii="Arial" w:hAnsi="Arial" w:cs="Arial"/>
                <w:noProof/>
                <w:sz w:val="16"/>
                <w:szCs w:val="16"/>
              </w:rPr>
              <w:t>27.0</w:t>
            </w:r>
            <w:r>
              <w:rPr>
                <w:rFonts w:ascii="Arial" w:hAnsi="Arial" w:cs="Arial"/>
                <w:sz w:val="16"/>
                <w:szCs w:val="16"/>
              </w:rPr>
              <w:t>%</w:t>
            </w:r>
          </w:p>
        </w:tc>
      </w:tr>
      <w:tr w:rsidR="00E56B71" w:rsidRPr="008D0BF5" w:rsidTr="00AC6C3B">
        <w:trPr>
          <w:trHeight w:val="255"/>
        </w:trPr>
        <w:tc>
          <w:tcPr>
            <w:tcW w:w="2409" w:type="dxa"/>
            <w:tcBorders>
              <w:top w:val="nil"/>
              <w:left w:val="single" w:sz="4" w:space="0" w:color="009900"/>
              <w:bottom w:val="nil"/>
              <w:right w:val="nil"/>
            </w:tcBorders>
            <w:shd w:val="clear" w:color="auto" w:fill="FFFFE1"/>
            <w:noWrap/>
            <w:vAlign w:val="center"/>
          </w:tcPr>
          <w:p w:rsidR="00E56B71" w:rsidRPr="008D0BF5" w:rsidRDefault="00E56B71" w:rsidP="000960B9">
            <w:pPr>
              <w:rPr>
                <w:rFonts w:ascii="Arial" w:hAnsi="Arial" w:cs="Arial"/>
                <w:sz w:val="16"/>
                <w:szCs w:val="16"/>
              </w:rPr>
            </w:pPr>
            <w:r w:rsidRPr="008D0BF5">
              <w:rPr>
                <w:rFonts w:ascii="Arial" w:hAnsi="Arial" w:cs="Arial"/>
                <w:sz w:val="16"/>
                <w:szCs w:val="16"/>
              </w:rPr>
              <w:t>Economic Development</w:t>
            </w:r>
          </w:p>
        </w:tc>
        <w:tc>
          <w:tcPr>
            <w:tcW w:w="2037" w:type="dxa"/>
            <w:tcBorders>
              <w:top w:val="nil"/>
              <w:left w:val="nil"/>
              <w:bottom w:val="nil"/>
              <w:right w:val="single" w:sz="4" w:space="0" w:color="009900"/>
            </w:tcBorders>
            <w:shd w:val="clear" w:color="auto" w:fill="FFFFE1"/>
            <w:noWrap/>
            <w:vAlign w:val="center"/>
          </w:tcPr>
          <w:p w:rsidR="00E56B71" w:rsidRPr="008D0BF5" w:rsidRDefault="00E56B71" w:rsidP="000960B9">
            <w:pPr>
              <w:jc w:val="center"/>
              <w:rPr>
                <w:rFonts w:ascii="Arial" w:hAnsi="Arial" w:cs="Arial"/>
                <w:sz w:val="16"/>
                <w:szCs w:val="16"/>
              </w:rPr>
            </w:pPr>
            <w:r w:rsidRPr="004356A3">
              <w:rPr>
                <w:rFonts w:ascii="Arial" w:hAnsi="Arial" w:cs="Arial"/>
                <w:noProof/>
                <w:sz w:val="16"/>
                <w:szCs w:val="16"/>
              </w:rPr>
              <w:t>21.5</w:t>
            </w:r>
            <w:r>
              <w:rPr>
                <w:rFonts w:ascii="Arial" w:hAnsi="Arial" w:cs="Arial"/>
                <w:sz w:val="16"/>
                <w:szCs w:val="16"/>
              </w:rPr>
              <w:t>%</w:t>
            </w:r>
          </w:p>
        </w:tc>
      </w:tr>
      <w:tr w:rsidR="00E56B71" w:rsidRPr="008D0BF5" w:rsidTr="00AC6C3B">
        <w:trPr>
          <w:trHeight w:val="255"/>
        </w:trPr>
        <w:tc>
          <w:tcPr>
            <w:tcW w:w="2409" w:type="dxa"/>
            <w:tcBorders>
              <w:top w:val="nil"/>
              <w:left w:val="single" w:sz="4" w:space="0" w:color="009900"/>
              <w:bottom w:val="nil"/>
              <w:right w:val="nil"/>
            </w:tcBorders>
            <w:shd w:val="clear" w:color="auto" w:fill="FFFFE1"/>
            <w:noWrap/>
            <w:vAlign w:val="center"/>
          </w:tcPr>
          <w:p w:rsidR="00E56B71" w:rsidRPr="008D0BF5" w:rsidRDefault="00E56B71" w:rsidP="000960B9">
            <w:pPr>
              <w:rPr>
                <w:rFonts w:ascii="Arial" w:hAnsi="Arial" w:cs="Arial"/>
                <w:sz w:val="16"/>
                <w:szCs w:val="16"/>
              </w:rPr>
            </w:pPr>
            <w:r>
              <w:rPr>
                <w:rFonts w:ascii="Arial" w:hAnsi="Arial" w:cs="Arial"/>
                <w:sz w:val="16"/>
                <w:szCs w:val="16"/>
              </w:rPr>
              <w:t>Water Systems</w:t>
            </w:r>
          </w:p>
        </w:tc>
        <w:tc>
          <w:tcPr>
            <w:tcW w:w="2037" w:type="dxa"/>
            <w:tcBorders>
              <w:top w:val="nil"/>
              <w:left w:val="nil"/>
              <w:bottom w:val="nil"/>
              <w:right w:val="single" w:sz="4" w:space="0" w:color="009900"/>
            </w:tcBorders>
            <w:shd w:val="clear" w:color="auto" w:fill="FFFFE1"/>
            <w:noWrap/>
            <w:vAlign w:val="center"/>
          </w:tcPr>
          <w:p w:rsidR="00E56B71" w:rsidRDefault="00E56B71" w:rsidP="000960B9">
            <w:pPr>
              <w:jc w:val="center"/>
              <w:rPr>
                <w:rFonts w:ascii="Arial" w:hAnsi="Arial" w:cs="Arial"/>
                <w:sz w:val="16"/>
                <w:szCs w:val="16"/>
              </w:rPr>
            </w:pPr>
            <w:r w:rsidRPr="004356A3">
              <w:rPr>
                <w:rFonts w:ascii="Arial" w:hAnsi="Arial" w:cs="Arial"/>
                <w:noProof/>
                <w:sz w:val="16"/>
                <w:szCs w:val="16"/>
              </w:rPr>
              <w:t>15.1</w:t>
            </w:r>
            <w:r>
              <w:rPr>
                <w:rFonts w:ascii="Arial" w:hAnsi="Arial" w:cs="Arial"/>
                <w:sz w:val="16"/>
                <w:szCs w:val="16"/>
              </w:rPr>
              <w:t>%</w:t>
            </w:r>
          </w:p>
        </w:tc>
      </w:tr>
      <w:tr w:rsidR="00E56B71" w:rsidRPr="008D0BF5" w:rsidTr="00AC6C3B">
        <w:trPr>
          <w:trHeight w:val="255"/>
        </w:trPr>
        <w:tc>
          <w:tcPr>
            <w:tcW w:w="2409" w:type="dxa"/>
            <w:tcBorders>
              <w:top w:val="nil"/>
              <w:left w:val="single" w:sz="4" w:space="0" w:color="009900"/>
              <w:bottom w:val="nil"/>
              <w:right w:val="nil"/>
            </w:tcBorders>
            <w:shd w:val="clear" w:color="auto" w:fill="FFFFE1"/>
            <w:noWrap/>
            <w:vAlign w:val="center"/>
          </w:tcPr>
          <w:p w:rsidR="00E56B71" w:rsidRPr="008D0BF5" w:rsidRDefault="00E56B71" w:rsidP="000960B9">
            <w:pPr>
              <w:rPr>
                <w:rFonts w:ascii="Arial" w:hAnsi="Arial" w:cs="Arial"/>
                <w:sz w:val="16"/>
                <w:szCs w:val="16"/>
              </w:rPr>
            </w:pPr>
            <w:r w:rsidRPr="008D0BF5">
              <w:rPr>
                <w:rFonts w:ascii="Arial" w:hAnsi="Arial" w:cs="Arial"/>
                <w:sz w:val="16"/>
                <w:szCs w:val="16"/>
              </w:rPr>
              <w:t>Infrastructure</w:t>
            </w:r>
          </w:p>
        </w:tc>
        <w:tc>
          <w:tcPr>
            <w:tcW w:w="2037" w:type="dxa"/>
            <w:tcBorders>
              <w:top w:val="nil"/>
              <w:left w:val="nil"/>
              <w:bottom w:val="nil"/>
              <w:right w:val="single" w:sz="4" w:space="0" w:color="009900"/>
            </w:tcBorders>
            <w:shd w:val="clear" w:color="auto" w:fill="FFFFE1"/>
            <w:noWrap/>
            <w:vAlign w:val="center"/>
          </w:tcPr>
          <w:p w:rsidR="00E56B71" w:rsidRPr="008D0BF5" w:rsidRDefault="00E56B71" w:rsidP="000960B9">
            <w:pPr>
              <w:jc w:val="center"/>
              <w:rPr>
                <w:rFonts w:ascii="Arial" w:hAnsi="Arial" w:cs="Arial"/>
                <w:sz w:val="16"/>
                <w:szCs w:val="16"/>
              </w:rPr>
            </w:pPr>
            <w:r w:rsidRPr="004356A3">
              <w:rPr>
                <w:rFonts w:ascii="Arial" w:hAnsi="Arial" w:cs="Arial"/>
                <w:noProof/>
                <w:sz w:val="16"/>
                <w:szCs w:val="16"/>
              </w:rPr>
              <w:t>10.8</w:t>
            </w:r>
            <w:r>
              <w:rPr>
                <w:rFonts w:ascii="Arial" w:hAnsi="Arial" w:cs="Arial"/>
                <w:sz w:val="16"/>
                <w:szCs w:val="16"/>
              </w:rPr>
              <w:t>%</w:t>
            </w:r>
          </w:p>
        </w:tc>
      </w:tr>
      <w:tr w:rsidR="00E56B71" w:rsidRPr="008D0BF5" w:rsidTr="00AC6C3B">
        <w:trPr>
          <w:trHeight w:val="255"/>
        </w:trPr>
        <w:tc>
          <w:tcPr>
            <w:tcW w:w="2409" w:type="dxa"/>
            <w:tcBorders>
              <w:top w:val="nil"/>
              <w:left w:val="single" w:sz="4" w:space="0" w:color="009900"/>
              <w:bottom w:val="nil"/>
              <w:right w:val="nil"/>
            </w:tcBorders>
            <w:shd w:val="clear" w:color="auto" w:fill="FFFFE1"/>
            <w:noWrap/>
            <w:vAlign w:val="center"/>
          </w:tcPr>
          <w:p w:rsidR="00E56B71" w:rsidRPr="008D0BF5" w:rsidRDefault="00E56B71" w:rsidP="000960B9">
            <w:pPr>
              <w:rPr>
                <w:rFonts w:ascii="Arial" w:hAnsi="Arial" w:cs="Arial"/>
                <w:sz w:val="16"/>
                <w:szCs w:val="16"/>
              </w:rPr>
            </w:pPr>
            <w:r w:rsidRPr="008D0BF5">
              <w:rPr>
                <w:rFonts w:ascii="Arial" w:hAnsi="Arial" w:cs="Arial"/>
                <w:sz w:val="16"/>
                <w:szCs w:val="16"/>
              </w:rPr>
              <w:t>Public Facilities</w:t>
            </w:r>
          </w:p>
        </w:tc>
        <w:tc>
          <w:tcPr>
            <w:tcW w:w="2037" w:type="dxa"/>
            <w:tcBorders>
              <w:top w:val="nil"/>
              <w:left w:val="nil"/>
              <w:bottom w:val="nil"/>
              <w:right w:val="single" w:sz="4" w:space="0" w:color="009900"/>
            </w:tcBorders>
            <w:shd w:val="clear" w:color="auto" w:fill="FFFFE1"/>
            <w:noWrap/>
            <w:vAlign w:val="center"/>
          </w:tcPr>
          <w:p w:rsidR="00E56B71" w:rsidRPr="008D0BF5" w:rsidRDefault="00E56B71" w:rsidP="000960B9">
            <w:pPr>
              <w:jc w:val="center"/>
              <w:rPr>
                <w:rFonts w:ascii="Arial" w:hAnsi="Arial" w:cs="Arial"/>
                <w:sz w:val="16"/>
                <w:szCs w:val="16"/>
              </w:rPr>
            </w:pPr>
            <w:r w:rsidRPr="004356A3">
              <w:rPr>
                <w:rFonts w:ascii="Arial" w:hAnsi="Arial" w:cs="Arial"/>
                <w:noProof/>
                <w:sz w:val="16"/>
                <w:szCs w:val="16"/>
              </w:rPr>
              <w:t>8.6</w:t>
            </w:r>
            <w:r>
              <w:rPr>
                <w:rFonts w:ascii="Arial" w:hAnsi="Arial" w:cs="Arial"/>
                <w:sz w:val="16"/>
                <w:szCs w:val="16"/>
              </w:rPr>
              <w:t>%</w:t>
            </w:r>
          </w:p>
        </w:tc>
      </w:tr>
      <w:tr w:rsidR="00E56B71" w:rsidRPr="008D0BF5" w:rsidTr="00AC6C3B">
        <w:trPr>
          <w:trHeight w:val="255"/>
        </w:trPr>
        <w:tc>
          <w:tcPr>
            <w:tcW w:w="2409" w:type="dxa"/>
            <w:tcBorders>
              <w:top w:val="nil"/>
              <w:left w:val="single" w:sz="4" w:space="0" w:color="009900"/>
              <w:bottom w:val="nil"/>
              <w:right w:val="nil"/>
            </w:tcBorders>
            <w:shd w:val="clear" w:color="auto" w:fill="FFFFE1"/>
            <w:noWrap/>
            <w:vAlign w:val="center"/>
          </w:tcPr>
          <w:p w:rsidR="00E56B71" w:rsidRPr="008D0BF5" w:rsidRDefault="00E56B71" w:rsidP="000960B9">
            <w:pPr>
              <w:rPr>
                <w:rFonts w:ascii="Arial" w:hAnsi="Arial" w:cs="Arial"/>
                <w:sz w:val="16"/>
                <w:szCs w:val="16"/>
              </w:rPr>
            </w:pPr>
            <w:r w:rsidRPr="008D0BF5">
              <w:rPr>
                <w:rFonts w:ascii="Arial" w:hAnsi="Arial" w:cs="Arial"/>
                <w:sz w:val="16"/>
                <w:szCs w:val="16"/>
              </w:rPr>
              <w:t>Human Services</w:t>
            </w:r>
          </w:p>
        </w:tc>
        <w:tc>
          <w:tcPr>
            <w:tcW w:w="2037" w:type="dxa"/>
            <w:tcBorders>
              <w:top w:val="nil"/>
              <w:left w:val="nil"/>
              <w:bottom w:val="nil"/>
              <w:right w:val="single" w:sz="4" w:space="0" w:color="009900"/>
            </w:tcBorders>
            <w:shd w:val="clear" w:color="auto" w:fill="FFFFE1"/>
            <w:noWrap/>
            <w:vAlign w:val="center"/>
          </w:tcPr>
          <w:p w:rsidR="00E56B71" w:rsidRPr="008D0BF5" w:rsidRDefault="00E56B71" w:rsidP="000960B9">
            <w:pPr>
              <w:jc w:val="center"/>
              <w:rPr>
                <w:rFonts w:ascii="Arial" w:hAnsi="Arial" w:cs="Arial"/>
                <w:sz w:val="16"/>
                <w:szCs w:val="16"/>
              </w:rPr>
            </w:pPr>
            <w:r w:rsidRPr="004356A3">
              <w:rPr>
                <w:rFonts w:ascii="Arial" w:hAnsi="Arial" w:cs="Arial"/>
                <w:noProof/>
                <w:sz w:val="16"/>
                <w:szCs w:val="16"/>
              </w:rPr>
              <w:t>15.0</w:t>
            </w:r>
            <w:r>
              <w:rPr>
                <w:rFonts w:ascii="Arial" w:hAnsi="Arial" w:cs="Arial"/>
                <w:sz w:val="16"/>
                <w:szCs w:val="16"/>
              </w:rPr>
              <w:t>%</w:t>
            </w:r>
          </w:p>
        </w:tc>
      </w:tr>
      <w:tr w:rsidR="00E56B71" w:rsidRPr="008D0BF5" w:rsidTr="00AC6C3B">
        <w:trPr>
          <w:trHeight w:val="270"/>
        </w:trPr>
        <w:tc>
          <w:tcPr>
            <w:tcW w:w="2409" w:type="dxa"/>
            <w:tcBorders>
              <w:top w:val="nil"/>
              <w:left w:val="single" w:sz="4" w:space="0" w:color="009900"/>
              <w:bottom w:val="nil"/>
              <w:right w:val="nil"/>
            </w:tcBorders>
            <w:shd w:val="clear" w:color="auto" w:fill="FFFFE1"/>
            <w:noWrap/>
            <w:vAlign w:val="center"/>
          </w:tcPr>
          <w:p w:rsidR="00E56B71" w:rsidRPr="008D0BF5" w:rsidRDefault="00E56B71" w:rsidP="000960B9">
            <w:pPr>
              <w:rPr>
                <w:rFonts w:ascii="Arial" w:hAnsi="Arial" w:cs="Arial"/>
                <w:sz w:val="16"/>
                <w:szCs w:val="16"/>
              </w:rPr>
            </w:pPr>
            <w:r w:rsidRPr="008D0BF5">
              <w:rPr>
                <w:rFonts w:ascii="Arial" w:hAnsi="Arial" w:cs="Arial"/>
                <w:sz w:val="16"/>
                <w:szCs w:val="16"/>
              </w:rPr>
              <w:t>All Other</w:t>
            </w:r>
          </w:p>
        </w:tc>
        <w:tc>
          <w:tcPr>
            <w:tcW w:w="2037" w:type="dxa"/>
            <w:tcBorders>
              <w:top w:val="nil"/>
              <w:left w:val="nil"/>
              <w:bottom w:val="nil"/>
              <w:right w:val="single" w:sz="4" w:space="0" w:color="009900"/>
            </w:tcBorders>
            <w:shd w:val="clear" w:color="auto" w:fill="FFFFE1"/>
            <w:noWrap/>
            <w:vAlign w:val="center"/>
          </w:tcPr>
          <w:p w:rsidR="00E56B71" w:rsidRPr="008D0BF5" w:rsidRDefault="00E56B71" w:rsidP="000960B9">
            <w:pPr>
              <w:jc w:val="center"/>
              <w:rPr>
                <w:rFonts w:ascii="Arial" w:hAnsi="Arial" w:cs="Arial"/>
                <w:sz w:val="16"/>
                <w:szCs w:val="16"/>
              </w:rPr>
            </w:pPr>
            <w:r w:rsidRPr="004356A3">
              <w:rPr>
                <w:rFonts w:ascii="Arial" w:hAnsi="Arial" w:cs="Arial"/>
                <w:noProof/>
                <w:sz w:val="16"/>
                <w:szCs w:val="16"/>
              </w:rPr>
              <w:t>2.0</w:t>
            </w:r>
            <w:r>
              <w:rPr>
                <w:rFonts w:ascii="Arial" w:hAnsi="Arial" w:cs="Arial"/>
                <w:sz w:val="16"/>
                <w:szCs w:val="16"/>
              </w:rPr>
              <w:t>%</w:t>
            </w:r>
          </w:p>
        </w:tc>
      </w:tr>
      <w:tr w:rsidR="00E56B71" w:rsidRPr="008D0BF5" w:rsidTr="00AC6C3B">
        <w:trPr>
          <w:trHeight w:val="270"/>
        </w:trPr>
        <w:tc>
          <w:tcPr>
            <w:tcW w:w="2409" w:type="dxa"/>
            <w:tcBorders>
              <w:top w:val="double" w:sz="6" w:space="0" w:color="009900"/>
              <w:left w:val="single" w:sz="4" w:space="0" w:color="009900"/>
              <w:bottom w:val="single" w:sz="4" w:space="0" w:color="009900"/>
              <w:right w:val="nil"/>
            </w:tcBorders>
            <w:shd w:val="clear" w:color="auto" w:fill="FFFFE1"/>
            <w:noWrap/>
            <w:vAlign w:val="center"/>
          </w:tcPr>
          <w:p w:rsidR="00E56B71" w:rsidRPr="008D0BF5" w:rsidRDefault="00E56B71" w:rsidP="000960B9">
            <w:pPr>
              <w:rPr>
                <w:rFonts w:ascii="Arial" w:hAnsi="Arial" w:cs="Arial"/>
                <w:b/>
                <w:bCs/>
                <w:sz w:val="16"/>
                <w:szCs w:val="16"/>
              </w:rPr>
            </w:pPr>
            <w:r w:rsidRPr="008D0BF5">
              <w:rPr>
                <w:rFonts w:ascii="Arial" w:hAnsi="Arial" w:cs="Arial"/>
                <w:b/>
                <w:bCs/>
                <w:sz w:val="16"/>
                <w:szCs w:val="16"/>
              </w:rPr>
              <w:t>Total</w:t>
            </w:r>
          </w:p>
        </w:tc>
        <w:tc>
          <w:tcPr>
            <w:tcW w:w="2037" w:type="dxa"/>
            <w:tcBorders>
              <w:top w:val="double" w:sz="6" w:space="0" w:color="009900"/>
              <w:left w:val="nil"/>
              <w:bottom w:val="single" w:sz="4" w:space="0" w:color="009900"/>
              <w:right w:val="single" w:sz="4" w:space="0" w:color="009900"/>
            </w:tcBorders>
            <w:shd w:val="clear" w:color="auto" w:fill="FFFFE1"/>
            <w:noWrap/>
            <w:vAlign w:val="center"/>
          </w:tcPr>
          <w:p w:rsidR="00E56B71" w:rsidRPr="0074463E" w:rsidRDefault="00E56B71" w:rsidP="000960B9">
            <w:pPr>
              <w:jc w:val="center"/>
              <w:rPr>
                <w:rFonts w:ascii="Arial" w:hAnsi="Arial" w:cs="Arial"/>
                <w:b/>
                <w:bCs/>
                <w:sz w:val="16"/>
                <w:szCs w:val="16"/>
              </w:rPr>
            </w:pPr>
            <w:r w:rsidRPr="0074463E">
              <w:rPr>
                <w:rFonts w:ascii="Arial" w:hAnsi="Arial" w:cs="Arial"/>
                <w:b/>
                <w:sz w:val="16"/>
                <w:szCs w:val="16"/>
              </w:rPr>
              <w:t>100.0%</w:t>
            </w:r>
          </w:p>
        </w:tc>
      </w:tr>
    </w:tbl>
    <w:p w:rsidR="008C0D1A" w:rsidRPr="008503F8" w:rsidRDefault="008C0D1A" w:rsidP="006B2A3D">
      <w:pPr>
        <w:pStyle w:val="BodyText"/>
        <w:tabs>
          <w:tab w:val="num" w:pos="360"/>
        </w:tabs>
        <w:rPr>
          <w:rFonts w:ascii="CG Omega" w:hAnsi="CG Omega"/>
          <w:szCs w:val="24"/>
        </w:rPr>
      </w:pPr>
    </w:p>
    <w:p w:rsidR="001E0368" w:rsidRPr="00955C8C" w:rsidRDefault="00BD2837" w:rsidP="006B2A3D">
      <w:pPr>
        <w:pStyle w:val="BodyText"/>
        <w:tabs>
          <w:tab w:val="num" w:pos="360"/>
        </w:tabs>
        <w:rPr>
          <w:rFonts w:ascii="CG Omega" w:hAnsi="CG Omega"/>
          <w:szCs w:val="24"/>
          <w:highlight w:val="yellow"/>
        </w:rPr>
      </w:pPr>
      <w:r w:rsidRPr="00E56B71">
        <w:rPr>
          <w:rFonts w:ascii="CG Omega" w:hAnsi="CG Omega"/>
        </w:rPr>
        <w:t>T</w:t>
      </w:r>
      <w:r w:rsidR="00E56B71" w:rsidRPr="00E56B71">
        <w:rPr>
          <w:rFonts w:ascii="CG Omega" w:hAnsi="CG Omega"/>
        </w:rPr>
        <w:t xml:space="preserve">he </w:t>
      </w:r>
      <w:r w:rsidR="00E56B71" w:rsidRPr="008503F8">
        <w:rPr>
          <w:rFonts w:ascii="CG Omega" w:hAnsi="CG Omega"/>
          <w:i/>
        </w:rPr>
        <w:t>2014</w:t>
      </w:r>
      <w:r w:rsidR="00E7245A" w:rsidRPr="008503F8">
        <w:rPr>
          <w:rFonts w:ascii="CG Omega" w:hAnsi="CG Omega"/>
          <w:i/>
        </w:rPr>
        <w:t xml:space="preserve"> Housing and Community Development </w:t>
      </w:r>
      <w:r w:rsidRPr="008503F8">
        <w:rPr>
          <w:rFonts w:ascii="CG Omega" w:hAnsi="CG Omega"/>
          <w:i/>
        </w:rPr>
        <w:t xml:space="preserve">Needs </w:t>
      </w:r>
      <w:r w:rsidR="00E7245A" w:rsidRPr="008503F8">
        <w:rPr>
          <w:rFonts w:ascii="CG Omega" w:hAnsi="CG Omega"/>
          <w:i/>
        </w:rPr>
        <w:t>Survey</w:t>
      </w:r>
      <w:r w:rsidR="00E7245A" w:rsidRPr="00E56B71">
        <w:rPr>
          <w:rFonts w:ascii="CG Omega" w:hAnsi="CG Omega"/>
        </w:rPr>
        <w:t xml:space="preserve"> was</w:t>
      </w:r>
      <w:r w:rsidR="006B2A3D" w:rsidRPr="00E56B71">
        <w:rPr>
          <w:rFonts w:ascii="CG Omega" w:hAnsi="CG Omega"/>
        </w:rPr>
        <w:t xml:space="preserve"> conducted</w:t>
      </w:r>
      <w:r w:rsidRPr="00E56B71">
        <w:rPr>
          <w:rFonts w:ascii="CG Omega" w:hAnsi="CG Omega"/>
        </w:rPr>
        <w:t xml:space="preserve"> as part of the process of evaluating housing needs in New Mexico</w:t>
      </w:r>
      <w:r w:rsidR="006B2A3D" w:rsidRPr="00E56B71">
        <w:rPr>
          <w:rFonts w:ascii="CG Omega" w:hAnsi="CG Omega"/>
        </w:rPr>
        <w:t xml:space="preserve">.  </w:t>
      </w:r>
      <w:r w:rsidR="00E56B71" w:rsidRPr="00E56B71">
        <w:rPr>
          <w:rFonts w:ascii="CG Omega" w:hAnsi="CG Omega"/>
        </w:rPr>
        <w:t xml:space="preserve">A total of </w:t>
      </w:r>
      <w:r w:rsidR="00E56B71" w:rsidRPr="00F215BB">
        <w:rPr>
          <w:rFonts w:ascii="CG Omega" w:hAnsi="CG Omega"/>
        </w:rPr>
        <w:t>343</w:t>
      </w:r>
      <w:r w:rsidRPr="00F215BB">
        <w:rPr>
          <w:rFonts w:ascii="CG Omega" w:hAnsi="CG Omega"/>
        </w:rPr>
        <w:t xml:space="preserve"> responses</w:t>
      </w:r>
      <w:r w:rsidRPr="00BC4AD8">
        <w:rPr>
          <w:rFonts w:ascii="CG Omega" w:hAnsi="CG Omega"/>
        </w:rPr>
        <w:t xml:space="preserve"> </w:t>
      </w:r>
      <w:r w:rsidRPr="00E56B71">
        <w:rPr>
          <w:rFonts w:ascii="CG Omega" w:hAnsi="CG Omega"/>
        </w:rPr>
        <w:t>were received from stakeholders throughout the state. One of the first survey questions asked respondents to identify h</w:t>
      </w:r>
      <w:r w:rsidR="00394FF6" w:rsidRPr="00E56B71">
        <w:rPr>
          <w:rFonts w:ascii="CG Omega" w:hAnsi="CG Omega"/>
        </w:rPr>
        <w:t>ow they would allocate housing and community development</w:t>
      </w:r>
      <w:r w:rsidRPr="00E56B71">
        <w:rPr>
          <w:rFonts w:ascii="CG Omega" w:hAnsi="CG Omega"/>
        </w:rPr>
        <w:t xml:space="preserve"> resources</w:t>
      </w:r>
      <w:r w:rsidR="00394FF6" w:rsidRPr="00E56B71">
        <w:rPr>
          <w:rFonts w:ascii="CG Omega" w:hAnsi="CG Omega"/>
        </w:rPr>
        <w:t xml:space="preserve"> in the state.  </w:t>
      </w:r>
      <w:r w:rsidR="00394FF6" w:rsidRPr="00AC6C3B">
        <w:rPr>
          <w:rFonts w:ascii="CG Omega" w:hAnsi="CG Omega"/>
          <w:b/>
        </w:rPr>
        <w:t>Table V.1</w:t>
      </w:r>
      <w:r w:rsidRPr="00C55FAD">
        <w:rPr>
          <w:rFonts w:ascii="CG Omega" w:hAnsi="CG Omega"/>
        </w:rPr>
        <w:t xml:space="preserve"> </w:t>
      </w:r>
      <w:r w:rsidRPr="00E56B71">
        <w:rPr>
          <w:rFonts w:ascii="CG Omega" w:hAnsi="CG Omega"/>
        </w:rPr>
        <w:t>shows that housing was clearly the prima</w:t>
      </w:r>
      <w:r w:rsidR="00BC79FB" w:rsidRPr="00E56B71">
        <w:rPr>
          <w:rFonts w:ascii="CG Omega" w:hAnsi="CG Omega"/>
        </w:rPr>
        <w:t>ry focus for funding</w:t>
      </w:r>
      <w:r w:rsidR="00BC79FB" w:rsidRPr="00BB791D">
        <w:rPr>
          <w:rFonts w:ascii="CG Omega" w:hAnsi="CG Omega"/>
        </w:rPr>
        <w:t xml:space="preserve">, </w:t>
      </w:r>
      <w:r w:rsidRPr="001C417C">
        <w:rPr>
          <w:rFonts w:ascii="CG Omega" w:hAnsi="CG Omega"/>
        </w:rPr>
        <w:t>with respondents indicating that this category should re</w:t>
      </w:r>
      <w:r w:rsidR="00BC79FB" w:rsidRPr="001C417C">
        <w:rPr>
          <w:rFonts w:ascii="CG Omega" w:hAnsi="CG Omega"/>
        </w:rPr>
        <w:t xml:space="preserve">ceive more </w:t>
      </w:r>
      <w:r w:rsidR="00BC79FB" w:rsidRPr="00F215BB">
        <w:rPr>
          <w:rFonts w:ascii="CG Omega" w:hAnsi="CG Omega"/>
        </w:rPr>
        <w:t>than one-</w:t>
      </w:r>
      <w:r w:rsidR="001C417C" w:rsidRPr="00F215BB">
        <w:rPr>
          <w:rFonts w:ascii="CG Omega" w:hAnsi="CG Omega"/>
        </w:rPr>
        <w:t>quarter</w:t>
      </w:r>
      <w:r w:rsidR="00BC79FB" w:rsidRPr="00F215BB">
        <w:rPr>
          <w:rFonts w:ascii="CG Omega" w:hAnsi="CG Omega"/>
        </w:rPr>
        <w:t xml:space="preserve"> </w:t>
      </w:r>
      <w:r w:rsidR="00BC79FB" w:rsidRPr="001C417C">
        <w:rPr>
          <w:rFonts w:ascii="CG Omega" w:hAnsi="CG Omega"/>
        </w:rPr>
        <w:t>of</w:t>
      </w:r>
      <w:r w:rsidRPr="001C417C">
        <w:rPr>
          <w:rFonts w:ascii="CG Omega" w:hAnsi="CG Omega"/>
        </w:rPr>
        <w:t xml:space="preserve"> available funding.</w:t>
      </w:r>
    </w:p>
    <w:p w:rsidR="00E47159" w:rsidRPr="00AC6C3B" w:rsidRDefault="00E47159" w:rsidP="006B2A3D">
      <w:pPr>
        <w:pStyle w:val="BodyText"/>
        <w:tabs>
          <w:tab w:val="num" w:pos="360"/>
        </w:tabs>
        <w:rPr>
          <w:rFonts w:ascii="CG Omega" w:hAnsi="CG Omega"/>
          <w:szCs w:val="24"/>
          <w:highlight w:val="yellow"/>
        </w:rPr>
      </w:pPr>
    </w:p>
    <w:p w:rsidR="00BD2837" w:rsidRPr="00AC6C3B" w:rsidRDefault="00BD2837" w:rsidP="006B2A3D">
      <w:pPr>
        <w:pStyle w:val="BodyText"/>
        <w:tabs>
          <w:tab w:val="num" w:pos="360"/>
        </w:tabs>
        <w:rPr>
          <w:rFonts w:ascii="CG Omega" w:hAnsi="CG Omega"/>
          <w:szCs w:val="24"/>
        </w:rPr>
      </w:pPr>
      <w:r w:rsidRPr="00AC6C3B">
        <w:rPr>
          <w:rFonts w:ascii="CG Omega" w:hAnsi="CG Omega"/>
          <w:szCs w:val="24"/>
        </w:rPr>
        <w:t xml:space="preserve">Survey respondents were also asked to rate the need for a variety of rental and homeowner housing activities.  Using the same rating scale as that needed for the Consolidated Plan, respondents were asked to rank the needs as </w:t>
      </w:r>
      <w:r w:rsidR="007C2499" w:rsidRPr="00AC6C3B">
        <w:rPr>
          <w:rFonts w:ascii="CG Omega" w:hAnsi="CG Omega"/>
          <w:szCs w:val="24"/>
        </w:rPr>
        <w:t>low, medium, high or no need.</w:t>
      </w:r>
      <w:r w:rsidRPr="00AC6C3B">
        <w:rPr>
          <w:rFonts w:ascii="CG Omega" w:hAnsi="CG Omega"/>
          <w:szCs w:val="24"/>
        </w:rPr>
        <w:t xml:space="preserve">  </w:t>
      </w:r>
    </w:p>
    <w:p w:rsidR="001E0368" w:rsidRPr="00AC6C3B" w:rsidRDefault="001E0368" w:rsidP="006B2A3D">
      <w:pPr>
        <w:pStyle w:val="BodyText"/>
        <w:tabs>
          <w:tab w:val="num" w:pos="360"/>
        </w:tabs>
        <w:rPr>
          <w:rFonts w:ascii="CG Omega" w:hAnsi="CG Omega"/>
          <w:szCs w:val="24"/>
          <w:highlight w:val="yellow"/>
        </w:rPr>
      </w:pPr>
    </w:p>
    <w:p w:rsidR="001E0368" w:rsidRPr="00AC6C3B" w:rsidRDefault="001E0368" w:rsidP="001E0368">
      <w:pPr>
        <w:jc w:val="both"/>
        <w:rPr>
          <w:rFonts w:ascii="CG Omega" w:hAnsi="CG Omega"/>
        </w:rPr>
      </w:pPr>
      <w:r w:rsidRPr="00AC6C3B">
        <w:rPr>
          <w:rFonts w:ascii="CG Omega" w:hAnsi="CG Omega"/>
          <w:b/>
          <w:bCs/>
        </w:rPr>
        <w:t>Expressed Housing Needs</w:t>
      </w:r>
    </w:p>
    <w:p w:rsidR="001E0368" w:rsidRPr="00AC6C3B" w:rsidRDefault="001E0368" w:rsidP="001E0368">
      <w:pPr>
        <w:pStyle w:val="BodyText"/>
        <w:rPr>
          <w:rFonts w:ascii="CG Omega" w:hAnsi="CG Omega"/>
          <w:bCs/>
          <w:szCs w:val="24"/>
          <w:highlight w:val="yellow"/>
        </w:rPr>
      </w:pPr>
    </w:p>
    <w:p w:rsidR="00962D5D" w:rsidRDefault="00962D5D" w:rsidP="00962D5D">
      <w:pPr>
        <w:jc w:val="both"/>
        <w:rPr>
          <w:rFonts w:ascii="CG Omega" w:hAnsi="CG Omega"/>
        </w:rPr>
      </w:pPr>
      <w:r w:rsidRPr="00AC6C3B">
        <w:rPr>
          <w:rFonts w:ascii="CG Omega" w:hAnsi="CG Omega"/>
          <w:b/>
        </w:rPr>
        <w:t>Table V.2,</w:t>
      </w:r>
      <w:r>
        <w:rPr>
          <w:rFonts w:ascii="CG Omega" w:hAnsi="CG Omega"/>
        </w:rPr>
        <w:t xml:space="preserve"> on the following page,</w:t>
      </w:r>
      <w:r w:rsidRPr="00C55FAD">
        <w:rPr>
          <w:rFonts w:ascii="CG Omega" w:hAnsi="CG Omega"/>
        </w:rPr>
        <w:t xml:space="preserve"> </w:t>
      </w:r>
      <w:r w:rsidRPr="00E56B71">
        <w:rPr>
          <w:rFonts w:ascii="CG Omega" w:hAnsi="CG Omega"/>
        </w:rPr>
        <w:t>shows the ranking</w:t>
      </w:r>
      <w:r>
        <w:rPr>
          <w:rFonts w:ascii="CG Omega" w:hAnsi="CG Omega"/>
        </w:rPr>
        <w:t>s</w:t>
      </w:r>
      <w:r w:rsidRPr="00E56B71">
        <w:rPr>
          <w:rFonts w:ascii="CG Omega" w:hAnsi="CG Omega"/>
        </w:rPr>
        <w:t xml:space="preserve"> for housing activities. </w:t>
      </w:r>
      <w:r>
        <w:rPr>
          <w:rFonts w:ascii="CG Omega" w:hAnsi="CG Omega"/>
        </w:rPr>
        <w:t xml:space="preserve">Rental housing for very low-income households </w:t>
      </w:r>
      <w:r w:rsidRPr="00E56B71">
        <w:rPr>
          <w:rFonts w:ascii="CG Omega" w:hAnsi="CG Omega"/>
        </w:rPr>
        <w:t xml:space="preserve">was seen as the activity with the highest needs, followed </w:t>
      </w:r>
      <w:r>
        <w:rPr>
          <w:rFonts w:ascii="CG Omega" w:hAnsi="CG Omega"/>
        </w:rPr>
        <w:t xml:space="preserve">closely </w:t>
      </w:r>
      <w:r w:rsidRPr="00E56B71">
        <w:rPr>
          <w:rFonts w:ascii="CG Omega" w:hAnsi="CG Omega"/>
        </w:rPr>
        <w:t xml:space="preserve">by </w:t>
      </w:r>
      <w:r>
        <w:rPr>
          <w:rFonts w:ascii="CG Omega" w:hAnsi="CG Omega"/>
        </w:rPr>
        <w:t xml:space="preserve">construction of new rental housing. These were followed by rental assistance and supportive housing. Energy efficient retrofits and senior-friendly housing also ranked high on the survey. First-time </w:t>
      </w:r>
      <w:r w:rsidR="00CC3344">
        <w:rPr>
          <w:rFonts w:ascii="CG Omega" w:hAnsi="CG Omega"/>
        </w:rPr>
        <w:t>homebuyer</w:t>
      </w:r>
      <w:r>
        <w:rPr>
          <w:rFonts w:ascii="CG Omega" w:hAnsi="CG Omega"/>
        </w:rPr>
        <w:t xml:space="preserve"> assistance and homeowner housing rehabilitation were two homeowner activities that ranked highly, with over </w:t>
      </w:r>
      <w:r w:rsidRPr="00F215BB">
        <w:rPr>
          <w:rFonts w:ascii="CG Omega" w:hAnsi="CG Omega"/>
        </w:rPr>
        <w:t>65 percent</w:t>
      </w:r>
      <w:r>
        <w:rPr>
          <w:rFonts w:ascii="CG Omega" w:hAnsi="CG Omega"/>
        </w:rPr>
        <w:t xml:space="preserve"> of respondents indicating a medium or high need</w:t>
      </w:r>
      <w:r w:rsidR="00AD2DE3">
        <w:rPr>
          <w:rFonts w:ascii="CG Omega" w:hAnsi="CG Omega"/>
        </w:rPr>
        <w:t xml:space="preserve"> for both activities</w:t>
      </w:r>
      <w:r>
        <w:rPr>
          <w:rFonts w:ascii="CG Omega" w:hAnsi="CG Omega"/>
        </w:rPr>
        <w:t>.</w:t>
      </w:r>
    </w:p>
    <w:p w:rsidR="00962D5D" w:rsidRDefault="00962D5D" w:rsidP="00962D5D">
      <w:pPr>
        <w:jc w:val="both"/>
        <w:rPr>
          <w:rFonts w:ascii="CG Omega" w:hAnsi="CG Omega"/>
        </w:rPr>
      </w:pPr>
    </w:p>
    <w:p w:rsidR="00962D5D" w:rsidRDefault="00962D5D" w:rsidP="00962D5D">
      <w:pPr>
        <w:jc w:val="both"/>
        <w:rPr>
          <w:rFonts w:ascii="CG Omega" w:hAnsi="CG Omega"/>
        </w:rPr>
      </w:pPr>
    </w:p>
    <w:p w:rsidR="00962D5D" w:rsidRDefault="00962D5D" w:rsidP="00962D5D">
      <w:pPr>
        <w:jc w:val="both"/>
        <w:rPr>
          <w:rFonts w:ascii="CG Omega" w:hAnsi="CG Omega"/>
        </w:rPr>
      </w:pPr>
    </w:p>
    <w:p w:rsidR="00962D5D" w:rsidRDefault="00962D5D" w:rsidP="00962D5D">
      <w:pPr>
        <w:jc w:val="both"/>
        <w:rPr>
          <w:rFonts w:ascii="CG Omega" w:hAnsi="CG Omega"/>
          <w:highlight w:val="yellow"/>
        </w:rPr>
      </w:pPr>
    </w:p>
    <w:p w:rsidR="00AC6C3B" w:rsidRDefault="00AC6C3B">
      <w:r>
        <w:br w:type="page"/>
      </w:r>
    </w:p>
    <w:tbl>
      <w:tblPr>
        <w:tblW w:w="9280" w:type="dxa"/>
        <w:tblInd w:w="93" w:type="dxa"/>
        <w:tblLook w:val="04A0" w:firstRow="1" w:lastRow="0" w:firstColumn="1" w:lastColumn="0" w:noHBand="0" w:noVBand="1"/>
      </w:tblPr>
      <w:tblGrid>
        <w:gridCol w:w="4846"/>
        <w:gridCol w:w="608"/>
        <w:gridCol w:w="608"/>
        <w:gridCol w:w="843"/>
        <w:gridCol w:w="608"/>
        <w:gridCol w:w="1026"/>
        <w:gridCol w:w="741"/>
      </w:tblGrid>
      <w:tr w:rsidR="00962D5D" w:rsidTr="008A1544">
        <w:trPr>
          <w:trHeight w:val="300"/>
        </w:trPr>
        <w:tc>
          <w:tcPr>
            <w:tcW w:w="9280" w:type="dxa"/>
            <w:gridSpan w:val="7"/>
            <w:tcBorders>
              <w:top w:val="nil"/>
              <w:left w:val="nil"/>
              <w:bottom w:val="nil"/>
              <w:right w:val="nil"/>
            </w:tcBorders>
            <w:shd w:val="clear" w:color="auto" w:fill="auto"/>
            <w:noWrap/>
            <w:vAlign w:val="center"/>
            <w:hideMark/>
          </w:tcPr>
          <w:p w:rsidR="00962D5D" w:rsidRPr="00580924" w:rsidRDefault="00962D5D" w:rsidP="008A1544">
            <w:pPr>
              <w:jc w:val="center"/>
              <w:rPr>
                <w:rFonts w:ascii="Arial" w:hAnsi="Arial" w:cs="Arial"/>
                <w:b/>
                <w:bCs/>
                <w:color w:val="000000"/>
                <w:sz w:val="16"/>
                <w:szCs w:val="16"/>
              </w:rPr>
            </w:pPr>
          </w:p>
          <w:p w:rsidR="00962D5D" w:rsidRDefault="00962D5D" w:rsidP="008A1544">
            <w:pPr>
              <w:jc w:val="center"/>
              <w:rPr>
                <w:rFonts w:ascii="Arial" w:hAnsi="Arial" w:cs="Arial"/>
                <w:b/>
                <w:bCs/>
                <w:color w:val="000000"/>
                <w:sz w:val="22"/>
                <w:szCs w:val="22"/>
              </w:rPr>
            </w:pPr>
            <w:r>
              <w:rPr>
                <w:rFonts w:ascii="Arial" w:hAnsi="Arial" w:cs="Arial"/>
                <w:b/>
                <w:bCs/>
                <w:color w:val="000000"/>
                <w:sz w:val="22"/>
                <w:szCs w:val="22"/>
              </w:rPr>
              <w:t>Table V.2</w:t>
            </w:r>
          </w:p>
        </w:tc>
      </w:tr>
      <w:tr w:rsidR="00962D5D" w:rsidTr="008A1544">
        <w:trPr>
          <w:trHeight w:val="240"/>
        </w:trPr>
        <w:tc>
          <w:tcPr>
            <w:tcW w:w="9280" w:type="dxa"/>
            <w:gridSpan w:val="7"/>
            <w:tcBorders>
              <w:top w:val="nil"/>
              <w:left w:val="nil"/>
              <w:bottom w:val="nil"/>
              <w:right w:val="nil"/>
            </w:tcBorders>
            <w:shd w:val="clear" w:color="auto" w:fill="auto"/>
            <w:noWrap/>
            <w:vAlign w:val="center"/>
            <w:hideMark/>
          </w:tcPr>
          <w:p w:rsidR="00962D5D" w:rsidRDefault="00962D5D" w:rsidP="008A1544">
            <w:pPr>
              <w:jc w:val="center"/>
              <w:rPr>
                <w:rFonts w:ascii="Arial" w:hAnsi="Arial" w:cs="Arial"/>
                <w:b/>
                <w:bCs/>
                <w:color w:val="000000"/>
                <w:sz w:val="20"/>
                <w:szCs w:val="20"/>
              </w:rPr>
            </w:pPr>
            <w:r>
              <w:rPr>
                <w:rFonts w:ascii="Arial" w:hAnsi="Arial" w:cs="Arial"/>
                <w:b/>
                <w:bCs/>
                <w:color w:val="000000"/>
                <w:sz w:val="20"/>
                <w:szCs w:val="20"/>
              </w:rPr>
              <w:t>Please rate the need for the following Housing activities.</w:t>
            </w:r>
          </w:p>
        </w:tc>
      </w:tr>
      <w:tr w:rsidR="00962D5D" w:rsidTr="008A1544">
        <w:trPr>
          <w:trHeight w:val="225"/>
        </w:trPr>
        <w:tc>
          <w:tcPr>
            <w:tcW w:w="9280" w:type="dxa"/>
            <w:gridSpan w:val="7"/>
            <w:tcBorders>
              <w:top w:val="nil"/>
              <w:left w:val="nil"/>
              <w:bottom w:val="nil"/>
              <w:right w:val="nil"/>
            </w:tcBorders>
            <w:shd w:val="clear" w:color="auto" w:fill="auto"/>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State of New Mexico</w:t>
            </w:r>
          </w:p>
        </w:tc>
      </w:tr>
      <w:tr w:rsidR="00962D5D" w:rsidTr="008A1544">
        <w:trPr>
          <w:trHeight w:val="225"/>
        </w:trPr>
        <w:tc>
          <w:tcPr>
            <w:tcW w:w="9280" w:type="dxa"/>
            <w:gridSpan w:val="7"/>
            <w:tcBorders>
              <w:top w:val="nil"/>
              <w:left w:val="nil"/>
              <w:bottom w:val="single" w:sz="8" w:space="0" w:color="009900"/>
              <w:right w:val="nil"/>
            </w:tcBorders>
            <w:shd w:val="clear" w:color="auto" w:fill="auto"/>
            <w:noWrap/>
            <w:vAlign w:val="center"/>
            <w:hideMark/>
          </w:tcPr>
          <w:p w:rsidR="00962D5D" w:rsidRDefault="00962D5D" w:rsidP="008A1544">
            <w:pPr>
              <w:jc w:val="center"/>
              <w:rPr>
                <w:rFonts w:ascii="Arial" w:hAnsi="Arial" w:cs="Arial"/>
                <w:color w:val="000000"/>
                <w:sz w:val="16"/>
                <w:szCs w:val="16"/>
              </w:rPr>
            </w:pPr>
            <w:r>
              <w:rPr>
                <w:rFonts w:ascii="Arial" w:hAnsi="Arial" w:cs="Arial"/>
                <w:color w:val="000000"/>
                <w:sz w:val="16"/>
                <w:szCs w:val="16"/>
              </w:rPr>
              <w:t>2014 Housing and Community Development Survey</w:t>
            </w:r>
          </w:p>
        </w:tc>
      </w:tr>
      <w:tr w:rsidR="00962D5D" w:rsidTr="00AC6C3B">
        <w:trPr>
          <w:trHeight w:val="300"/>
        </w:trPr>
        <w:tc>
          <w:tcPr>
            <w:tcW w:w="4846" w:type="dxa"/>
            <w:vMerge w:val="restart"/>
            <w:tcBorders>
              <w:top w:val="nil"/>
              <w:left w:val="single" w:sz="8" w:space="0" w:color="009900"/>
              <w:bottom w:val="single" w:sz="8" w:space="0" w:color="009900"/>
              <w:right w:val="nil"/>
            </w:tcBorders>
            <w:shd w:val="clear" w:color="000000" w:fill="FFFFE1"/>
            <w:noWrap/>
            <w:vAlign w:val="center"/>
            <w:hideMark/>
          </w:tcPr>
          <w:p w:rsidR="00962D5D" w:rsidRDefault="00962D5D" w:rsidP="008A1544">
            <w:pPr>
              <w:rPr>
                <w:rFonts w:ascii="Arial" w:hAnsi="Arial" w:cs="Arial"/>
                <w:b/>
                <w:bCs/>
                <w:color w:val="000000"/>
                <w:sz w:val="16"/>
                <w:szCs w:val="16"/>
              </w:rPr>
            </w:pPr>
            <w:r>
              <w:rPr>
                <w:rFonts w:ascii="Arial" w:hAnsi="Arial" w:cs="Arial"/>
                <w:b/>
                <w:bCs/>
                <w:color w:val="000000"/>
                <w:sz w:val="16"/>
                <w:szCs w:val="16"/>
              </w:rPr>
              <w:t>Question</w:t>
            </w:r>
          </w:p>
        </w:tc>
        <w:tc>
          <w:tcPr>
            <w:tcW w:w="608"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b/>
                <w:bCs/>
                <w:color w:val="000000"/>
                <w:sz w:val="16"/>
                <w:szCs w:val="16"/>
              </w:rPr>
            </w:pPr>
            <w:r>
              <w:rPr>
                <w:rFonts w:ascii="Arial" w:hAnsi="Arial" w:cs="Arial"/>
                <w:b/>
                <w:bCs/>
                <w:color w:val="000000"/>
                <w:sz w:val="16"/>
                <w:szCs w:val="16"/>
              </w:rPr>
              <w:t xml:space="preserve">No </w:t>
            </w:r>
          </w:p>
        </w:tc>
        <w:tc>
          <w:tcPr>
            <w:tcW w:w="608"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b/>
                <w:bCs/>
                <w:color w:val="000000"/>
                <w:sz w:val="16"/>
                <w:szCs w:val="16"/>
              </w:rPr>
            </w:pPr>
            <w:r>
              <w:rPr>
                <w:rFonts w:ascii="Arial" w:hAnsi="Arial" w:cs="Arial"/>
                <w:b/>
                <w:bCs/>
                <w:color w:val="000000"/>
                <w:sz w:val="16"/>
                <w:szCs w:val="16"/>
              </w:rPr>
              <w:t xml:space="preserve">Low </w:t>
            </w:r>
          </w:p>
        </w:tc>
        <w:tc>
          <w:tcPr>
            <w:tcW w:w="843"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b/>
                <w:bCs/>
                <w:color w:val="000000"/>
                <w:sz w:val="16"/>
                <w:szCs w:val="16"/>
              </w:rPr>
            </w:pPr>
            <w:r>
              <w:rPr>
                <w:rFonts w:ascii="Arial" w:hAnsi="Arial" w:cs="Arial"/>
                <w:b/>
                <w:bCs/>
                <w:color w:val="000000"/>
                <w:sz w:val="16"/>
                <w:szCs w:val="16"/>
              </w:rPr>
              <w:t xml:space="preserve">Medium </w:t>
            </w:r>
          </w:p>
        </w:tc>
        <w:tc>
          <w:tcPr>
            <w:tcW w:w="608"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b/>
                <w:bCs/>
                <w:color w:val="000000"/>
                <w:sz w:val="16"/>
                <w:szCs w:val="16"/>
              </w:rPr>
            </w:pPr>
            <w:r>
              <w:rPr>
                <w:rFonts w:ascii="Arial" w:hAnsi="Arial" w:cs="Arial"/>
                <w:b/>
                <w:bCs/>
                <w:color w:val="000000"/>
                <w:sz w:val="16"/>
                <w:szCs w:val="16"/>
              </w:rPr>
              <w:t xml:space="preserve">High </w:t>
            </w:r>
          </w:p>
        </w:tc>
        <w:tc>
          <w:tcPr>
            <w:tcW w:w="1026" w:type="dxa"/>
            <w:vMerge w:val="restart"/>
            <w:tcBorders>
              <w:top w:val="nil"/>
              <w:left w:val="nil"/>
              <w:bottom w:val="single" w:sz="8" w:space="0" w:color="009900"/>
              <w:right w:val="nil"/>
            </w:tcBorders>
            <w:shd w:val="clear" w:color="000000" w:fill="FFFFE1"/>
            <w:vAlign w:val="center"/>
            <w:hideMark/>
          </w:tcPr>
          <w:p w:rsidR="00962D5D" w:rsidRDefault="00962D5D" w:rsidP="008A1544">
            <w:pPr>
              <w:jc w:val="center"/>
              <w:rPr>
                <w:rFonts w:ascii="Arial" w:hAnsi="Arial" w:cs="Arial"/>
                <w:b/>
                <w:bCs/>
                <w:color w:val="000000"/>
                <w:sz w:val="16"/>
                <w:szCs w:val="16"/>
              </w:rPr>
            </w:pPr>
            <w:r>
              <w:rPr>
                <w:rFonts w:ascii="Arial" w:hAnsi="Arial" w:cs="Arial"/>
                <w:b/>
                <w:bCs/>
                <w:color w:val="000000"/>
                <w:sz w:val="16"/>
                <w:szCs w:val="16"/>
              </w:rPr>
              <w:t>Missing</w:t>
            </w:r>
          </w:p>
        </w:tc>
        <w:tc>
          <w:tcPr>
            <w:tcW w:w="741" w:type="dxa"/>
            <w:vMerge w:val="restart"/>
            <w:tcBorders>
              <w:top w:val="nil"/>
              <w:left w:val="nil"/>
              <w:bottom w:val="single" w:sz="8" w:space="0" w:color="009900"/>
              <w:right w:val="single" w:sz="8" w:space="0" w:color="009900"/>
            </w:tcBorders>
            <w:shd w:val="clear" w:color="000000" w:fill="FFFFE1"/>
            <w:vAlign w:val="center"/>
            <w:hideMark/>
          </w:tcPr>
          <w:p w:rsidR="00962D5D" w:rsidRDefault="00962D5D" w:rsidP="008A1544">
            <w:pPr>
              <w:jc w:val="center"/>
              <w:rPr>
                <w:rFonts w:ascii="Arial" w:hAnsi="Arial" w:cs="Arial"/>
                <w:b/>
                <w:bCs/>
                <w:color w:val="000000"/>
                <w:sz w:val="16"/>
                <w:szCs w:val="16"/>
              </w:rPr>
            </w:pPr>
            <w:r>
              <w:rPr>
                <w:rFonts w:ascii="Arial" w:hAnsi="Arial" w:cs="Arial"/>
                <w:b/>
                <w:bCs/>
                <w:color w:val="000000"/>
                <w:sz w:val="16"/>
                <w:szCs w:val="16"/>
              </w:rPr>
              <w:t>Total</w:t>
            </w:r>
          </w:p>
        </w:tc>
      </w:tr>
      <w:tr w:rsidR="00962D5D" w:rsidTr="00AC6C3B">
        <w:trPr>
          <w:trHeight w:val="315"/>
        </w:trPr>
        <w:tc>
          <w:tcPr>
            <w:tcW w:w="4846" w:type="dxa"/>
            <w:vMerge/>
            <w:tcBorders>
              <w:top w:val="nil"/>
              <w:left w:val="single" w:sz="8" w:space="0" w:color="009900"/>
              <w:bottom w:val="single" w:sz="8" w:space="0" w:color="009900"/>
              <w:right w:val="nil"/>
            </w:tcBorders>
            <w:vAlign w:val="center"/>
            <w:hideMark/>
          </w:tcPr>
          <w:p w:rsidR="00962D5D" w:rsidRDefault="00962D5D" w:rsidP="008A1544">
            <w:pPr>
              <w:rPr>
                <w:rFonts w:ascii="Arial" w:hAnsi="Arial" w:cs="Arial"/>
                <w:b/>
                <w:bCs/>
                <w:color w:val="000000"/>
                <w:sz w:val="16"/>
                <w:szCs w:val="16"/>
              </w:rPr>
            </w:pPr>
          </w:p>
        </w:tc>
        <w:tc>
          <w:tcPr>
            <w:tcW w:w="608" w:type="dxa"/>
            <w:tcBorders>
              <w:top w:val="nil"/>
              <w:left w:val="nil"/>
              <w:bottom w:val="single" w:sz="8" w:space="0" w:color="009900"/>
              <w:right w:val="nil"/>
            </w:tcBorders>
            <w:shd w:val="clear" w:color="000000" w:fill="FFFFE1"/>
            <w:noWrap/>
            <w:vAlign w:val="center"/>
            <w:hideMark/>
          </w:tcPr>
          <w:p w:rsidR="00962D5D" w:rsidRDefault="00962D5D" w:rsidP="008A1544">
            <w:pPr>
              <w:jc w:val="center"/>
              <w:rPr>
                <w:rFonts w:ascii="Arial" w:hAnsi="Arial" w:cs="Arial"/>
                <w:b/>
                <w:bCs/>
                <w:color w:val="000000"/>
                <w:sz w:val="16"/>
                <w:szCs w:val="16"/>
              </w:rPr>
            </w:pPr>
            <w:r>
              <w:rPr>
                <w:rFonts w:ascii="Arial" w:hAnsi="Arial" w:cs="Arial"/>
                <w:b/>
                <w:bCs/>
                <w:color w:val="000000"/>
                <w:sz w:val="16"/>
                <w:szCs w:val="16"/>
              </w:rPr>
              <w:t>Need</w:t>
            </w:r>
          </w:p>
        </w:tc>
        <w:tc>
          <w:tcPr>
            <w:tcW w:w="608" w:type="dxa"/>
            <w:tcBorders>
              <w:top w:val="nil"/>
              <w:left w:val="nil"/>
              <w:bottom w:val="single" w:sz="8" w:space="0" w:color="009900"/>
              <w:right w:val="nil"/>
            </w:tcBorders>
            <w:shd w:val="clear" w:color="000000" w:fill="FFFFE1"/>
            <w:noWrap/>
            <w:vAlign w:val="center"/>
            <w:hideMark/>
          </w:tcPr>
          <w:p w:rsidR="00962D5D" w:rsidRDefault="00962D5D" w:rsidP="008A1544">
            <w:pPr>
              <w:jc w:val="center"/>
              <w:rPr>
                <w:rFonts w:ascii="Arial" w:hAnsi="Arial" w:cs="Arial"/>
                <w:b/>
                <w:bCs/>
                <w:color w:val="000000"/>
                <w:sz w:val="16"/>
                <w:szCs w:val="16"/>
              </w:rPr>
            </w:pPr>
            <w:r>
              <w:rPr>
                <w:rFonts w:ascii="Arial" w:hAnsi="Arial" w:cs="Arial"/>
                <w:b/>
                <w:bCs/>
                <w:color w:val="000000"/>
                <w:sz w:val="16"/>
                <w:szCs w:val="16"/>
              </w:rPr>
              <w:t>Need</w:t>
            </w:r>
          </w:p>
        </w:tc>
        <w:tc>
          <w:tcPr>
            <w:tcW w:w="843" w:type="dxa"/>
            <w:tcBorders>
              <w:top w:val="nil"/>
              <w:left w:val="nil"/>
              <w:bottom w:val="single" w:sz="8" w:space="0" w:color="009900"/>
              <w:right w:val="nil"/>
            </w:tcBorders>
            <w:shd w:val="clear" w:color="000000" w:fill="FFFFE1"/>
            <w:noWrap/>
            <w:vAlign w:val="center"/>
            <w:hideMark/>
          </w:tcPr>
          <w:p w:rsidR="00962D5D" w:rsidRDefault="00962D5D" w:rsidP="008A1544">
            <w:pPr>
              <w:jc w:val="center"/>
              <w:rPr>
                <w:rFonts w:ascii="Arial" w:hAnsi="Arial" w:cs="Arial"/>
                <w:b/>
                <w:bCs/>
                <w:color w:val="000000"/>
                <w:sz w:val="16"/>
                <w:szCs w:val="16"/>
              </w:rPr>
            </w:pPr>
            <w:r>
              <w:rPr>
                <w:rFonts w:ascii="Arial" w:hAnsi="Arial" w:cs="Arial"/>
                <w:b/>
                <w:bCs/>
                <w:color w:val="000000"/>
                <w:sz w:val="16"/>
                <w:szCs w:val="16"/>
              </w:rPr>
              <w:t>Need</w:t>
            </w:r>
          </w:p>
        </w:tc>
        <w:tc>
          <w:tcPr>
            <w:tcW w:w="608" w:type="dxa"/>
            <w:tcBorders>
              <w:top w:val="nil"/>
              <w:left w:val="nil"/>
              <w:bottom w:val="single" w:sz="8" w:space="0" w:color="009900"/>
              <w:right w:val="nil"/>
            </w:tcBorders>
            <w:shd w:val="clear" w:color="000000" w:fill="FFFFE1"/>
            <w:noWrap/>
            <w:vAlign w:val="center"/>
            <w:hideMark/>
          </w:tcPr>
          <w:p w:rsidR="00962D5D" w:rsidRDefault="00962D5D" w:rsidP="008A1544">
            <w:pPr>
              <w:jc w:val="center"/>
              <w:rPr>
                <w:rFonts w:ascii="Arial" w:hAnsi="Arial" w:cs="Arial"/>
                <w:b/>
                <w:bCs/>
                <w:color w:val="000000"/>
                <w:sz w:val="16"/>
                <w:szCs w:val="16"/>
              </w:rPr>
            </w:pPr>
            <w:r>
              <w:rPr>
                <w:rFonts w:ascii="Arial" w:hAnsi="Arial" w:cs="Arial"/>
                <w:b/>
                <w:bCs/>
                <w:color w:val="000000"/>
                <w:sz w:val="16"/>
                <w:szCs w:val="16"/>
              </w:rPr>
              <w:t>Need</w:t>
            </w:r>
          </w:p>
        </w:tc>
        <w:tc>
          <w:tcPr>
            <w:tcW w:w="1026" w:type="dxa"/>
            <w:vMerge/>
            <w:tcBorders>
              <w:top w:val="nil"/>
              <w:left w:val="nil"/>
              <w:bottom w:val="single" w:sz="8" w:space="0" w:color="009900"/>
              <w:right w:val="nil"/>
            </w:tcBorders>
            <w:vAlign w:val="center"/>
            <w:hideMark/>
          </w:tcPr>
          <w:p w:rsidR="00962D5D" w:rsidRDefault="00962D5D" w:rsidP="008A1544">
            <w:pPr>
              <w:rPr>
                <w:rFonts w:ascii="Arial" w:hAnsi="Arial" w:cs="Arial"/>
                <w:b/>
                <w:bCs/>
                <w:color w:val="000000"/>
                <w:sz w:val="16"/>
                <w:szCs w:val="16"/>
              </w:rPr>
            </w:pPr>
          </w:p>
        </w:tc>
        <w:tc>
          <w:tcPr>
            <w:tcW w:w="741" w:type="dxa"/>
            <w:vMerge/>
            <w:tcBorders>
              <w:top w:val="nil"/>
              <w:left w:val="nil"/>
              <w:bottom w:val="single" w:sz="8" w:space="0" w:color="009900"/>
              <w:right w:val="single" w:sz="8" w:space="0" w:color="009900"/>
            </w:tcBorders>
            <w:vAlign w:val="center"/>
            <w:hideMark/>
          </w:tcPr>
          <w:p w:rsidR="00962D5D" w:rsidRDefault="00962D5D" w:rsidP="008A1544">
            <w:pPr>
              <w:rPr>
                <w:rFonts w:ascii="Arial" w:hAnsi="Arial" w:cs="Arial"/>
                <w:b/>
                <w:bCs/>
                <w:color w:val="000000"/>
                <w:sz w:val="16"/>
                <w:szCs w:val="16"/>
              </w:rPr>
            </w:pPr>
          </w:p>
        </w:tc>
      </w:tr>
      <w:tr w:rsidR="00962D5D" w:rsidTr="00AC6C3B">
        <w:trPr>
          <w:trHeight w:val="240"/>
        </w:trPr>
        <w:tc>
          <w:tcPr>
            <w:tcW w:w="4846" w:type="dxa"/>
            <w:tcBorders>
              <w:top w:val="nil"/>
              <w:left w:val="single" w:sz="8" w:space="0" w:color="009900"/>
              <w:bottom w:val="nil"/>
              <w:right w:val="nil"/>
            </w:tcBorders>
            <w:shd w:val="clear" w:color="000000" w:fill="FFFFE1"/>
            <w:noWrap/>
            <w:vAlign w:val="center"/>
            <w:hideMark/>
          </w:tcPr>
          <w:p w:rsidR="00962D5D" w:rsidRDefault="00962D5D" w:rsidP="008A1544">
            <w:pPr>
              <w:rPr>
                <w:rFonts w:ascii="Arial" w:hAnsi="Arial" w:cs="Arial"/>
                <w:color w:val="000000"/>
                <w:sz w:val="16"/>
                <w:szCs w:val="16"/>
              </w:rPr>
            </w:pPr>
            <w:r>
              <w:rPr>
                <w:rFonts w:ascii="Arial" w:hAnsi="Arial" w:cs="Arial"/>
                <w:color w:val="000000"/>
                <w:sz w:val="16"/>
                <w:szCs w:val="16"/>
              </w:rPr>
              <w:t>Rental housing for very low-income households</w:t>
            </w:r>
          </w:p>
        </w:tc>
        <w:tc>
          <w:tcPr>
            <w:tcW w:w="608"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4</w:t>
            </w:r>
          </w:p>
        </w:tc>
        <w:tc>
          <w:tcPr>
            <w:tcW w:w="608"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25</w:t>
            </w:r>
          </w:p>
        </w:tc>
        <w:tc>
          <w:tcPr>
            <w:tcW w:w="843"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48</w:t>
            </w:r>
          </w:p>
        </w:tc>
        <w:tc>
          <w:tcPr>
            <w:tcW w:w="608"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175</w:t>
            </w:r>
          </w:p>
        </w:tc>
        <w:tc>
          <w:tcPr>
            <w:tcW w:w="1026" w:type="dxa"/>
            <w:tcBorders>
              <w:top w:val="nil"/>
              <w:left w:val="nil"/>
              <w:bottom w:val="nil"/>
              <w:right w:val="nil"/>
            </w:tcBorders>
            <w:shd w:val="clear" w:color="000000" w:fill="FFFFE1"/>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91</w:t>
            </w:r>
          </w:p>
        </w:tc>
        <w:tc>
          <w:tcPr>
            <w:tcW w:w="741" w:type="dxa"/>
            <w:tcBorders>
              <w:top w:val="nil"/>
              <w:left w:val="nil"/>
              <w:bottom w:val="nil"/>
              <w:right w:val="single" w:sz="8" w:space="0" w:color="009900"/>
            </w:tcBorders>
            <w:shd w:val="clear" w:color="000000" w:fill="FFFFE1"/>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343</w:t>
            </w:r>
          </w:p>
        </w:tc>
      </w:tr>
      <w:tr w:rsidR="00962D5D" w:rsidTr="00AC6C3B">
        <w:trPr>
          <w:trHeight w:val="240"/>
        </w:trPr>
        <w:tc>
          <w:tcPr>
            <w:tcW w:w="4846" w:type="dxa"/>
            <w:tcBorders>
              <w:top w:val="nil"/>
              <w:left w:val="single" w:sz="8" w:space="0" w:color="009900"/>
              <w:bottom w:val="nil"/>
              <w:right w:val="nil"/>
            </w:tcBorders>
            <w:shd w:val="clear" w:color="000000" w:fill="FFFFE1"/>
            <w:noWrap/>
            <w:vAlign w:val="center"/>
            <w:hideMark/>
          </w:tcPr>
          <w:p w:rsidR="00962D5D" w:rsidRDefault="00962D5D" w:rsidP="008A1544">
            <w:pPr>
              <w:rPr>
                <w:rFonts w:ascii="Arial" w:hAnsi="Arial" w:cs="Arial"/>
                <w:color w:val="000000"/>
                <w:sz w:val="16"/>
                <w:szCs w:val="16"/>
              </w:rPr>
            </w:pPr>
            <w:r>
              <w:rPr>
                <w:rFonts w:ascii="Arial" w:hAnsi="Arial" w:cs="Arial"/>
                <w:color w:val="000000"/>
                <w:sz w:val="16"/>
                <w:szCs w:val="16"/>
              </w:rPr>
              <w:t>Construction of new rental housing</w:t>
            </w:r>
          </w:p>
        </w:tc>
        <w:tc>
          <w:tcPr>
            <w:tcW w:w="608"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4</w:t>
            </w:r>
          </w:p>
        </w:tc>
        <w:tc>
          <w:tcPr>
            <w:tcW w:w="608"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20</w:t>
            </w:r>
          </w:p>
        </w:tc>
        <w:tc>
          <w:tcPr>
            <w:tcW w:w="843"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59</w:t>
            </w:r>
          </w:p>
        </w:tc>
        <w:tc>
          <w:tcPr>
            <w:tcW w:w="608"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172</w:t>
            </w:r>
          </w:p>
        </w:tc>
        <w:tc>
          <w:tcPr>
            <w:tcW w:w="1026" w:type="dxa"/>
            <w:tcBorders>
              <w:top w:val="nil"/>
              <w:left w:val="nil"/>
              <w:bottom w:val="nil"/>
              <w:right w:val="nil"/>
            </w:tcBorders>
            <w:shd w:val="clear" w:color="000000" w:fill="FFFFE1"/>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88</w:t>
            </w:r>
          </w:p>
        </w:tc>
        <w:tc>
          <w:tcPr>
            <w:tcW w:w="741" w:type="dxa"/>
            <w:tcBorders>
              <w:top w:val="nil"/>
              <w:left w:val="nil"/>
              <w:bottom w:val="nil"/>
              <w:right w:val="single" w:sz="8" w:space="0" w:color="009900"/>
            </w:tcBorders>
            <w:shd w:val="clear" w:color="000000" w:fill="FFFFE1"/>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343</w:t>
            </w:r>
          </w:p>
        </w:tc>
      </w:tr>
      <w:tr w:rsidR="00962D5D" w:rsidTr="00AC6C3B">
        <w:trPr>
          <w:trHeight w:val="240"/>
        </w:trPr>
        <w:tc>
          <w:tcPr>
            <w:tcW w:w="4846" w:type="dxa"/>
            <w:tcBorders>
              <w:top w:val="nil"/>
              <w:left w:val="single" w:sz="8" w:space="0" w:color="009900"/>
              <w:bottom w:val="nil"/>
              <w:right w:val="nil"/>
            </w:tcBorders>
            <w:shd w:val="clear" w:color="000000" w:fill="FFFFE1"/>
            <w:noWrap/>
            <w:vAlign w:val="center"/>
            <w:hideMark/>
          </w:tcPr>
          <w:p w:rsidR="00962D5D" w:rsidRDefault="00962D5D" w:rsidP="008A1544">
            <w:pPr>
              <w:rPr>
                <w:rFonts w:ascii="Arial" w:hAnsi="Arial" w:cs="Arial"/>
                <w:color w:val="000000"/>
                <w:sz w:val="16"/>
                <w:szCs w:val="16"/>
              </w:rPr>
            </w:pPr>
            <w:r>
              <w:rPr>
                <w:rFonts w:ascii="Arial" w:hAnsi="Arial" w:cs="Arial"/>
                <w:color w:val="000000"/>
                <w:sz w:val="16"/>
                <w:szCs w:val="16"/>
              </w:rPr>
              <w:t>Rental assistance</w:t>
            </w:r>
          </w:p>
        </w:tc>
        <w:tc>
          <w:tcPr>
            <w:tcW w:w="608"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5</w:t>
            </w:r>
          </w:p>
        </w:tc>
        <w:tc>
          <w:tcPr>
            <w:tcW w:w="608"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19</w:t>
            </w:r>
          </w:p>
        </w:tc>
        <w:tc>
          <w:tcPr>
            <w:tcW w:w="843"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70</w:t>
            </w:r>
          </w:p>
        </w:tc>
        <w:tc>
          <w:tcPr>
            <w:tcW w:w="608"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162</w:t>
            </w:r>
          </w:p>
        </w:tc>
        <w:tc>
          <w:tcPr>
            <w:tcW w:w="1026" w:type="dxa"/>
            <w:tcBorders>
              <w:top w:val="nil"/>
              <w:left w:val="nil"/>
              <w:bottom w:val="nil"/>
              <w:right w:val="nil"/>
            </w:tcBorders>
            <w:shd w:val="clear" w:color="000000" w:fill="FFFFE1"/>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87</w:t>
            </w:r>
          </w:p>
        </w:tc>
        <w:tc>
          <w:tcPr>
            <w:tcW w:w="741" w:type="dxa"/>
            <w:tcBorders>
              <w:top w:val="nil"/>
              <w:left w:val="nil"/>
              <w:bottom w:val="nil"/>
              <w:right w:val="single" w:sz="8" w:space="0" w:color="009900"/>
            </w:tcBorders>
            <w:shd w:val="clear" w:color="000000" w:fill="FFFFE1"/>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343</w:t>
            </w:r>
          </w:p>
        </w:tc>
      </w:tr>
      <w:tr w:rsidR="00962D5D" w:rsidTr="00AC6C3B">
        <w:trPr>
          <w:trHeight w:val="240"/>
        </w:trPr>
        <w:tc>
          <w:tcPr>
            <w:tcW w:w="4846" w:type="dxa"/>
            <w:tcBorders>
              <w:top w:val="nil"/>
              <w:left w:val="single" w:sz="8" w:space="0" w:color="009900"/>
              <w:bottom w:val="nil"/>
              <w:right w:val="nil"/>
            </w:tcBorders>
            <w:shd w:val="clear" w:color="000000" w:fill="FFFFE1"/>
            <w:noWrap/>
            <w:vAlign w:val="center"/>
            <w:hideMark/>
          </w:tcPr>
          <w:p w:rsidR="00962D5D" w:rsidRDefault="00962D5D" w:rsidP="008A1544">
            <w:pPr>
              <w:rPr>
                <w:rFonts w:ascii="Arial" w:hAnsi="Arial" w:cs="Arial"/>
                <w:color w:val="000000"/>
                <w:sz w:val="16"/>
                <w:szCs w:val="16"/>
              </w:rPr>
            </w:pPr>
            <w:r>
              <w:rPr>
                <w:rFonts w:ascii="Arial" w:hAnsi="Arial" w:cs="Arial"/>
                <w:color w:val="000000"/>
                <w:sz w:val="16"/>
                <w:szCs w:val="16"/>
              </w:rPr>
              <w:t>Supportive housing</w:t>
            </w:r>
          </w:p>
        </w:tc>
        <w:tc>
          <w:tcPr>
            <w:tcW w:w="608"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6</w:t>
            </w:r>
          </w:p>
        </w:tc>
        <w:tc>
          <w:tcPr>
            <w:tcW w:w="608"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22</w:t>
            </w:r>
          </w:p>
        </w:tc>
        <w:tc>
          <w:tcPr>
            <w:tcW w:w="843"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72</w:t>
            </w:r>
          </w:p>
        </w:tc>
        <w:tc>
          <w:tcPr>
            <w:tcW w:w="608"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156</w:t>
            </w:r>
          </w:p>
        </w:tc>
        <w:tc>
          <w:tcPr>
            <w:tcW w:w="1026" w:type="dxa"/>
            <w:tcBorders>
              <w:top w:val="nil"/>
              <w:left w:val="nil"/>
              <w:bottom w:val="nil"/>
              <w:right w:val="nil"/>
            </w:tcBorders>
            <w:shd w:val="clear" w:color="000000" w:fill="FFFFE1"/>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87</w:t>
            </w:r>
          </w:p>
        </w:tc>
        <w:tc>
          <w:tcPr>
            <w:tcW w:w="741" w:type="dxa"/>
            <w:tcBorders>
              <w:top w:val="nil"/>
              <w:left w:val="nil"/>
              <w:bottom w:val="nil"/>
              <w:right w:val="single" w:sz="8" w:space="0" w:color="009900"/>
            </w:tcBorders>
            <w:shd w:val="clear" w:color="000000" w:fill="FFFFE1"/>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343</w:t>
            </w:r>
          </w:p>
        </w:tc>
      </w:tr>
      <w:tr w:rsidR="00962D5D" w:rsidTr="00AC6C3B">
        <w:trPr>
          <w:trHeight w:val="240"/>
        </w:trPr>
        <w:tc>
          <w:tcPr>
            <w:tcW w:w="4846" w:type="dxa"/>
            <w:tcBorders>
              <w:top w:val="nil"/>
              <w:left w:val="single" w:sz="8" w:space="0" w:color="009900"/>
              <w:bottom w:val="nil"/>
              <w:right w:val="nil"/>
            </w:tcBorders>
            <w:shd w:val="clear" w:color="000000" w:fill="FFFFE1"/>
            <w:noWrap/>
            <w:vAlign w:val="center"/>
            <w:hideMark/>
          </w:tcPr>
          <w:p w:rsidR="00962D5D" w:rsidRDefault="00962D5D" w:rsidP="008A1544">
            <w:pPr>
              <w:rPr>
                <w:rFonts w:ascii="Arial" w:hAnsi="Arial" w:cs="Arial"/>
                <w:color w:val="000000"/>
                <w:sz w:val="16"/>
                <w:szCs w:val="16"/>
              </w:rPr>
            </w:pPr>
            <w:r>
              <w:rPr>
                <w:rFonts w:ascii="Arial" w:hAnsi="Arial" w:cs="Arial"/>
                <w:color w:val="000000"/>
                <w:sz w:val="16"/>
                <w:szCs w:val="16"/>
              </w:rPr>
              <w:t>Energy efficient retrofits</w:t>
            </w:r>
          </w:p>
        </w:tc>
        <w:tc>
          <w:tcPr>
            <w:tcW w:w="608"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4</w:t>
            </w:r>
          </w:p>
        </w:tc>
        <w:tc>
          <w:tcPr>
            <w:tcW w:w="608"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21</w:t>
            </w:r>
          </w:p>
        </w:tc>
        <w:tc>
          <w:tcPr>
            <w:tcW w:w="843"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81</w:t>
            </w:r>
          </w:p>
        </w:tc>
        <w:tc>
          <w:tcPr>
            <w:tcW w:w="608"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140</w:t>
            </w:r>
          </w:p>
        </w:tc>
        <w:tc>
          <w:tcPr>
            <w:tcW w:w="1026" w:type="dxa"/>
            <w:tcBorders>
              <w:top w:val="nil"/>
              <w:left w:val="nil"/>
              <w:bottom w:val="nil"/>
              <w:right w:val="nil"/>
            </w:tcBorders>
            <w:shd w:val="clear" w:color="000000" w:fill="FFFFE1"/>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97</w:t>
            </w:r>
          </w:p>
        </w:tc>
        <w:tc>
          <w:tcPr>
            <w:tcW w:w="741" w:type="dxa"/>
            <w:tcBorders>
              <w:top w:val="nil"/>
              <w:left w:val="nil"/>
              <w:bottom w:val="nil"/>
              <w:right w:val="single" w:sz="8" w:space="0" w:color="009900"/>
            </w:tcBorders>
            <w:shd w:val="clear" w:color="000000" w:fill="FFFFE1"/>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343</w:t>
            </w:r>
          </w:p>
        </w:tc>
      </w:tr>
      <w:tr w:rsidR="00962D5D" w:rsidTr="00AC6C3B">
        <w:trPr>
          <w:trHeight w:val="240"/>
        </w:trPr>
        <w:tc>
          <w:tcPr>
            <w:tcW w:w="4846" w:type="dxa"/>
            <w:tcBorders>
              <w:top w:val="nil"/>
              <w:left w:val="single" w:sz="8" w:space="0" w:color="009900"/>
              <w:bottom w:val="nil"/>
              <w:right w:val="nil"/>
            </w:tcBorders>
            <w:shd w:val="clear" w:color="000000" w:fill="FFFFE1"/>
            <w:noWrap/>
            <w:vAlign w:val="center"/>
            <w:hideMark/>
          </w:tcPr>
          <w:p w:rsidR="00962D5D" w:rsidRDefault="00962D5D" w:rsidP="008A1544">
            <w:pPr>
              <w:rPr>
                <w:rFonts w:ascii="Arial" w:hAnsi="Arial" w:cs="Arial"/>
                <w:color w:val="000000"/>
                <w:sz w:val="16"/>
                <w:szCs w:val="16"/>
              </w:rPr>
            </w:pPr>
            <w:r>
              <w:rPr>
                <w:rFonts w:ascii="Arial" w:hAnsi="Arial" w:cs="Arial"/>
                <w:color w:val="000000"/>
                <w:sz w:val="16"/>
                <w:szCs w:val="16"/>
              </w:rPr>
              <w:t>Senior-friendly housing</w:t>
            </w:r>
          </w:p>
        </w:tc>
        <w:tc>
          <w:tcPr>
            <w:tcW w:w="608"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2</w:t>
            </w:r>
          </w:p>
        </w:tc>
        <w:tc>
          <w:tcPr>
            <w:tcW w:w="608"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24</w:t>
            </w:r>
          </w:p>
        </w:tc>
        <w:tc>
          <w:tcPr>
            <w:tcW w:w="843"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87</w:t>
            </w:r>
          </w:p>
        </w:tc>
        <w:tc>
          <w:tcPr>
            <w:tcW w:w="608"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138</w:t>
            </w:r>
          </w:p>
        </w:tc>
        <w:tc>
          <w:tcPr>
            <w:tcW w:w="1026" w:type="dxa"/>
            <w:tcBorders>
              <w:top w:val="nil"/>
              <w:left w:val="nil"/>
              <w:bottom w:val="nil"/>
              <w:right w:val="nil"/>
            </w:tcBorders>
            <w:shd w:val="clear" w:color="000000" w:fill="FFFFE1"/>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92</w:t>
            </w:r>
          </w:p>
        </w:tc>
        <w:tc>
          <w:tcPr>
            <w:tcW w:w="741" w:type="dxa"/>
            <w:tcBorders>
              <w:top w:val="nil"/>
              <w:left w:val="nil"/>
              <w:bottom w:val="nil"/>
              <w:right w:val="single" w:sz="8" w:space="0" w:color="009900"/>
            </w:tcBorders>
            <w:shd w:val="clear" w:color="000000" w:fill="FFFFE1"/>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343</w:t>
            </w:r>
          </w:p>
        </w:tc>
      </w:tr>
      <w:tr w:rsidR="00962D5D" w:rsidTr="00AC6C3B">
        <w:trPr>
          <w:trHeight w:val="240"/>
        </w:trPr>
        <w:tc>
          <w:tcPr>
            <w:tcW w:w="4846" w:type="dxa"/>
            <w:tcBorders>
              <w:top w:val="nil"/>
              <w:left w:val="single" w:sz="8" w:space="0" w:color="009900"/>
              <w:bottom w:val="nil"/>
              <w:right w:val="nil"/>
            </w:tcBorders>
            <w:shd w:val="clear" w:color="000000" w:fill="FFFFE1"/>
            <w:noWrap/>
            <w:vAlign w:val="center"/>
            <w:hideMark/>
          </w:tcPr>
          <w:p w:rsidR="00962D5D" w:rsidRDefault="00962D5D" w:rsidP="008A1544">
            <w:pPr>
              <w:rPr>
                <w:rFonts w:ascii="Arial" w:hAnsi="Arial" w:cs="Arial"/>
                <w:color w:val="000000"/>
                <w:sz w:val="16"/>
                <w:szCs w:val="16"/>
              </w:rPr>
            </w:pPr>
            <w:r>
              <w:rPr>
                <w:rFonts w:ascii="Arial" w:hAnsi="Arial" w:cs="Arial"/>
                <w:color w:val="000000"/>
                <w:sz w:val="16"/>
                <w:szCs w:val="16"/>
              </w:rPr>
              <w:t>First-time home-buyer assistance</w:t>
            </w:r>
          </w:p>
        </w:tc>
        <w:tc>
          <w:tcPr>
            <w:tcW w:w="608"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6</w:t>
            </w:r>
          </w:p>
        </w:tc>
        <w:tc>
          <w:tcPr>
            <w:tcW w:w="608"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23</w:t>
            </w:r>
          </w:p>
        </w:tc>
        <w:tc>
          <w:tcPr>
            <w:tcW w:w="843"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87</w:t>
            </w:r>
          </w:p>
        </w:tc>
        <w:tc>
          <w:tcPr>
            <w:tcW w:w="608"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136</w:t>
            </w:r>
          </w:p>
        </w:tc>
        <w:tc>
          <w:tcPr>
            <w:tcW w:w="1026" w:type="dxa"/>
            <w:tcBorders>
              <w:top w:val="nil"/>
              <w:left w:val="nil"/>
              <w:bottom w:val="nil"/>
              <w:right w:val="nil"/>
            </w:tcBorders>
            <w:shd w:val="clear" w:color="000000" w:fill="FFFFE1"/>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91</w:t>
            </w:r>
          </w:p>
        </w:tc>
        <w:tc>
          <w:tcPr>
            <w:tcW w:w="741" w:type="dxa"/>
            <w:tcBorders>
              <w:top w:val="nil"/>
              <w:left w:val="nil"/>
              <w:bottom w:val="nil"/>
              <w:right w:val="single" w:sz="8" w:space="0" w:color="009900"/>
            </w:tcBorders>
            <w:shd w:val="clear" w:color="000000" w:fill="FFFFE1"/>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343</w:t>
            </w:r>
          </w:p>
        </w:tc>
      </w:tr>
      <w:tr w:rsidR="00962D5D" w:rsidTr="00AC6C3B">
        <w:trPr>
          <w:trHeight w:val="240"/>
        </w:trPr>
        <w:tc>
          <w:tcPr>
            <w:tcW w:w="4846" w:type="dxa"/>
            <w:tcBorders>
              <w:top w:val="nil"/>
              <w:left w:val="single" w:sz="8" w:space="0" w:color="009900"/>
              <w:bottom w:val="nil"/>
              <w:right w:val="nil"/>
            </w:tcBorders>
            <w:shd w:val="clear" w:color="000000" w:fill="FFFFE1"/>
            <w:noWrap/>
            <w:vAlign w:val="center"/>
            <w:hideMark/>
          </w:tcPr>
          <w:p w:rsidR="00962D5D" w:rsidRDefault="00962D5D" w:rsidP="008A1544">
            <w:pPr>
              <w:rPr>
                <w:rFonts w:ascii="Arial" w:hAnsi="Arial" w:cs="Arial"/>
                <w:color w:val="000000"/>
                <w:sz w:val="16"/>
                <w:szCs w:val="16"/>
              </w:rPr>
            </w:pPr>
            <w:r>
              <w:rPr>
                <w:rFonts w:ascii="Arial" w:hAnsi="Arial" w:cs="Arial"/>
                <w:color w:val="000000"/>
                <w:sz w:val="16"/>
                <w:szCs w:val="16"/>
              </w:rPr>
              <w:t>Rental housing rehabilitation</w:t>
            </w:r>
          </w:p>
        </w:tc>
        <w:tc>
          <w:tcPr>
            <w:tcW w:w="608"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5</w:t>
            </w:r>
          </w:p>
        </w:tc>
        <w:tc>
          <w:tcPr>
            <w:tcW w:w="608"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30</w:t>
            </w:r>
          </w:p>
        </w:tc>
        <w:tc>
          <w:tcPr>
            <w:tcW w:w="843"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87</w:t>
            </w:r>
          </w:p>
        </w:tc>
        <w:tc>
          <w:tcPr>
            <w:tcW w:w="608"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134</w:t>
            </w:r>
          </w:p>
        </w:tc>
        <w:tc>
          <w:tcPr>
            <w:tcW w:w="1026" w:type="dxa"/>
            <w:tcBorders>
              <w:top w:val="nil"/>
              <w:left w:val="nil"/>
              <w:bottom w:val="nil"/>
              <w:right w:val="nil"/>
            </w:tcBorders>
            <w:shd w:val="clear" w:color="000000" w:fill="FFFFE1"/>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87</w:t>
            </w:r>
          </w:p>
        </w:tc>
        <w:tc>
          <w:tcPr>
            <w:tcW w:w="741" w:type="dxa"/>
            <w:tcBorders>
              <w:top w:val="nil"/>
              <w:left w:val="nil"/>
              <w:bottom w:val="nil"/>
              <w:right w:val="single" w:sz="8" w:space="0" w:color="009900"/>
            </w:tcBorders>
            <w:shd w:val="clear" w:color="000000" w:fill="FFFFE1"/>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343</w:t>
            </w:r>
          </w:p>
        </w:tc>
      </w:tr>
      <w:tr w:rsidR="00962D5D" w:rsidTr="00AC6C3B">
        <w:trPr>
          <w:trHeight w:val="240"/>
        </w:trPr>
        <w:tc>
          <w:tcPr>
            <w:tcW w:w="4846" w:type="dxa"/>
            <w:tcBorders>
              <w:top w:val="nil"/>
              <w:left w:val="single" w:sz="8" w:space="0" w:color="009900"/>
              <w:bottom w:val="nil"/>
              <w:right w:val="nil"/>
            </w:tcBorders>
            <w:shd w:val="clear" w:color="000000" w:fill="FFFFE1"/>
            <w:noWrap/>
            <w:vAlign w:val="center"/>
            <w:hideMark/>
          </w:tcPr>
          <w:p w:rsidR="00962D5D" w:rsidRDefault="00962D5D" w:rsidP="008A1544">
            <w:pPr>
              <w:rPr>
                <w:rFonts w:ascii="Arial" w:hAnsi="Arial" w:cs="Arial"/>
                <w:color w:val="000000"/>
                <w:sz w:val="16"/>
                <w:szCs w:val="16"/>
              </w:rPr>
            </w:pPr>
            <w:r>
              <w:rPr>
                <w:rFonts w:ascii="Arial" w:hAnsi="Arial" w:cs="Arial"/>
                <w:color w:val="000000"/>
                <w:sz w:val="16"/>
                <w:szCs w:val="16"/>
              </w:rPr>
              <w:t>Retrofitting existing housing to meet seniors’ needs</w:t>
            </w:r>
          </w:p>
        </w:tc>
        <w:tc>
          <w:tcPr>
            <w:tcW w:w="608"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2</w:t>
            </w:r>
          </w:p>
        </w:tc>
        <w:tc>
          <w:tcPr>
            <w:tcW w:w="608"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22</w:t>
            </w:r>
          </w:p>
        </w:tc>
        <w:tc>
          <w:tcPr>
            <w:tcW w:w="843"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94</w:t>
            </w:r>
          </w:p>
        </w:tc>
        <w:tc>
          <w:tcPr>
            <w:tcW w:w="608"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130</w:t>
            </w:r>
          </w:p>
        </w:tc>
        <w:tc>
          <w:tcPr>
            <w:tcW w:w="1026" w:type="dxa"/>
            <w:tcBorders>
              <w:top w:val="nil"/>
              <w:left w:val="nil"/>
              <w:bottom w:val="nil"/>
              <w:right w:val="nil"/>
            </w:tcBorders>
            <w:shd w:val="clear" w:color="000000" w:fill="FFFFE1"/>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95</w:t>
            </w:r>
          </w:p>
        </w:tc>
        <w:tc>
          <w:tcPr>
            <w:tcW w:w="741" w:type="dxa"/>
            <w:tcBorders>
              <w:top w:val="nil"/>
              <w:left w:val="nil"/>
              <w:bottom w:val="nil"/>
              <w:right w:val="single" w:sz="8" w:space="0" w:color="009900"/>
            </w:tcBorders>
            <w:shd w:val="clear" w:color="000000" w:fill="FFFFE1"/>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343</w:t>
            </w:r>
          </w:p>
        </w:tc>
      </w:tr>
      <w:tr w:rsidR="00962D5D" w:rsidTr="00AC6C3B">
        <w:trPr>
          <w:trHeight w:val="240"/>
        </w:trPr>
        <w:tc>
          <w:tcPr>
            <w:tcW w:w="4846" w:type="dxa"/>
            <w:tcBorders>
              <w:top w:val="nil"/>
              <w:left w:val="single" w:sz="8" w:space="0" w:color="009900"/>
              <w:bottom w:val="nil"/>
              <w:right w:val="nil"/>
            </w:tcBorders>
            <w:shd w:val="clear" w:color="000000" w:fill="FFFFE1"/>
            <w:noWrap/>
            <w:vAlign w:val="center"/>
            <w:hideMark/>
          </w:tcPr>
          <w:p w:rsidR="00962D5D" w:rsidRDefault="00962D5D" w:rsidP="008A1544">
            <w:pPr>
              <w:rPr>
                <w:rFonts w:ascii="Arial" w:hAnsi="Arial" w:cs="Arial"/>
                <w:color w:val="000000"/>
                <w:sz w:val="16"/>
                <w:szCs w:val="16"/>
              </w:rPr>
            </w:pPr>
            <w:r>
              <w:rPr>
                <w:rFonts w:ascii="Arial" w:hAnsi="Arial" w:cs="Arial"/>
                <w:color w:val="000000"/>
                <w:sz w:val="16"/>
                <w:szCs w:val="16"/>
              </w:rPr>
              <w:t>Construction of new for-sale housing</w:t>
            </w:r>
          </w:p>
        </w:tc>
        <w:tc>
          <w:tcPr>
            <w:tcW w:w="608"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6</w:t>
            </w:r>
          </w:p>
        </w:tc>
        <w:tc>
          <w:tcPr>
            <w:tcW w:w="608"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50</w:t>
            </w:r>
          </w:p>
        </w:tc>
        <w:tc>
          <w:tcPr>
            <w:tcW w:w="843"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69</w:t>
            </w:r>
          </w:p>
        </w:tc>
        <w:tc>
          <w:tcPr>
            <w:tcW w:w="608"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127</w:t>
            </w:r>
          </w:p>
        </w:tc>
        <w:tc>
          <w:tcPr>
            <w:tcW w:w="1026" w:type="dxa"/>
            <w:tcBorders>
              <w:top w:val="nil"/>
              <w:left w:val="nil"/>
              <w:bottom w:val="nil"/>
              <w:right w:val="nil"/>
            </w:tcBorders>
            <w:shd w:val="clear" w:color="000000" w:fill="FFFFE1"/>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91</w:t>
            </w:r>
          </w:p>
        </w:tc>
        <w:tc>
          <w:tcPr>
            <w:tcW w:w="741" w:type="dxa"/>
            <w:tcBorders>
              <w:top w:val="nil"/>
              <w:left w:val="nil"/>
              <w:bottom w:val="nil"/>
              <w:right w:val="single" w:sz="8" w:space="0" w:color="009900"/>
            </w:tcBorders>
            <w:shd w:val="clear" w:color="000000" w:fill="FFFFE1"/>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343</w:t>
            </w:r>
          </w:p>
        </w:tc>
      </w:tr>
      <w:tr w:rsidR="00962D5D" w:rsidTr="00AC6C3B">
        <w:trPr>
          <w:trHeight w:val="240"/>
        </w:trPr>
        <w:tc>
          <w:tcPr>
            <w:tcW w:w="4846" w:type="dxa"/>
            <w:tcBorders>
              <w:top w:val="nil"/>
              <w:left w:val="single" w:sz="8" w:space="0" w:color="009900"/>
              <w:bottom w:val="nil"/>
              <w:right w:val="nil"/>
            </w:tcBorders>
            <w:shd w:val="clear" w:color="000000" w:fill="FFFFE1"/>
            <w:noWrap/>
            <w:vAlign w:val="center"/>
            <w:hideMark/>
          </w:tcPr>
          <w:p w:rsidR="00962D5D" w:rsidRDefault="00962D5D" w:rsidP="008A1544">
            <w:pPr>
              <w:rPr>
                <w:rFonts w:ascii="Arial" w:hAnsi="Arial" w:cs="Arial"/>
                <w:color w:val="000000"/>
                <w:sz w:val="16"/>
                <w:szCs w:val="16"/>
              </w:rPr>
            </w:pPr>
            <w:r>
              <w:rPr>
                <w:rFonts w:ascii="Arial" w:hAnsi="Arial" w:cs="Arial"/>
                <w:color w:val="000000"/>
                <w:sz w:val="16"/>
                <w:szCs w:val="16"/>
              </w:rPr>
              <w:t>Preservation of federal subsidized housing</w:t>
            </w:r>
          </w:p>
        </w:tc>
        <w:tc>
          <w:tcPr>
            <w:tcW w:w="608"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10</w:t>
            </w:r>
          </w:p>
        </w:tc>
        <w:tc>
          <w:tcPr>
            <w:tcW w:w="608"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31</w:t>
            </w:r>
          </w:p>
        </w:tc>
        <w:tc>
          <w:tcPr>
            <w:tcW w:w="843"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86</w:t>
            </w:r>
          </w:p>
        </w:tc>
        <w:tc>
          <w:tcPr>
            <w:tcW w:w="608"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124</w:t>
            </w:r>
          </w:p>
        </w:tc>
        <w:tc>
          <w:tcPr>
            <w:tcW w:w="1026" w:type="dxa"/>
            <w:tcBorders>
              <w:top w:val="nil"/>
              <w:left w:val="nil"/>
              <w:bottom w:val="nil"/>
              <w:right w:val="nil"/>
            </w:tcBorders>
            <w:shd w:val="clear" w:color="000000" w:fill="FFFFE1"/>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92</w:t>
            </w:r>
          </w:p>
        </w:tc>
        <w:tc>
          <w:tcPr>
            <w:tcW w:w="741" w:type="dxa"/>
            <w:tcBorders>
              <w:top w:val="nil"/>
              <w:left w:val="nil"/>
              <w:bottom w:val="nil"/>
              <w:right w:val="single" w:sz="8" w:space="0" w:color="009900"/>
            </w:tcBorders>
            <w:shd w:val="clear" w:color="000000" w:fill="FFFFE1"/>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343</w:t>
            </w:r>
          </w:p>
        </w:tc>
      </w:tr>
      <w:tr w:rsidR="00962D5D" w:rsidTr="00AC6C3B">
        <w:trPr>
          <w:trHeight w:val="240"/>
        </w:trPr>
        <w:tc>
          <w:tcPr>
            <w:tcW w:w="4846" w:type="dxa"/>
            <w:tcBorders>
              <w:top w:val="nil"/>
              <w:left w:val="single" w:sz="8" w:space="0" w:color="009900"/>
              <w:bottom w:val="nil"/>
              <w:right w:val="nil"/>
            </w:tcBorders>
            <w:shd w:val="clear" w:color="000000" w:fill="FFFFE1"/>
            <w:noWrap/>
            <w:vAlign w:val="center"/>
            <w:hideMark/>
          </w:tcPr>
          <w:p w:rsidR="00962D5D" w:rsidRDefault="00962D5D" w:rsidP="008A1544">
            <w:pPr>
              <w:rPr>
                <w:rFonts w:ascii="Arial" w:hAnsi="Arial" w:cs="Arial"/>
                <w:color w:val="000000"/>
                <w:sz w:val="16"/>
                <w:szCs w:val="16"/>
              </w:rPr>
            </w:pPr>
            <w:r>
              <w:rPr>
                <w:rFonts w:ascii="Arial" w:hAnsi="Arial" w:cs="Arial"/>
                <w:color w:val="000000"/>
                <w:sz w:val="16"/>
                <w:szCs w:val="16"/>
              </w:rPr>
              <w:t>Homeowner housing rehabilitation</w:t>
            </w:r>
          </w:p>
        </w:tc>
        <w:tc>
          <w:tcPr>
            <w:tcW w:w="608"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7</w:t>
            </w:r>
          </w:p>
        </w:tc>
        <w:tc>
          <w:tcPr>
            <w:tcW w:w="608"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21</w:t>
            </w:r>
          </w:p>
        </w:tc>
        <w:tc>
          <w:tcPr>
            <w:tcW w:w="843"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108</w:t>
            </w:r>
          </w:p>
        </w:tc>
        <w:tc>
          <w:tcPr>
            <w:tcW w:w="608"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119</w:t>
            </w:r>
          </w:p>
        </w:tc>
        <w:tc>
          <w:tcPr>
            <w:tcW w:w="1026" w:type="dxa"/>
            <w:tcBorders>
              <w:top w:val="nil"/>
              <w:left w:val="nil"/>
              <w:bottom w:val="nil"/>
              <w:right w:val="nil"/>
            </w:tcBorders>
            <w:shd w:val="clear" w:color="000000" w:fill="FFFFE1"/>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88</w:t>
            </w:r>
          </w:p>
        </w:tc>
        <w:tc>
          <w:tcPr>
            <w:tcW w:w="741" w:type="dxa"/>
            <w:tcBorders>
              <w:top w:val="nil"/>
              <w:left w:val="nil"/>
              <w:bottom w:val="nil"/>
              <w:right w:val="single" w:sz="8" w:space="0" w:color="009900"/>
            </w:tcBorders>
            <w:shd w:val="clear" w:color="000000" w:fill="FFFFE1"/>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343</w:t>
            </w:r>
          </w:p>
        </w:tc>
      </w:tr>
      <w:tr w:rsidR="00962D5D" w:rsidTr="00AC6C3B">
        <w:trPr>
          <w:trHeight w:val="240"/>
        </w:trPr>
        <w:tc>
          <w:tcPr>
            <w:tcW w:w="4846" w:type="dxa"/>
            <w:tcBorders>
              <w:top w:val="nil"/>
              <w:left w:val="single" w:sz="8" w:space="0" w:color="009900"/>
              <w:bottom w:val="nil"/>
              <w:right w:val="nil"/>
            </w:tcBorders>
            <w:shd w:val="clear" w:color="000000" w:fill="FFFFE1"/>
            <w:noWrap/>
            <w:vAlign w:val="center"/>
            <w:hideMark/>
          </w:tcPr>
          <w:p w:rsidR="00962D5D" w:rsidRDefault="00962D5D" w:rsidP="008A1544">
            <w:pPr>
              <w:rPr>
                <w:rFonts w:ascii="Arial" w:hAnsi="Arial" w:cs="Arial"/>
                <w:color w:val="000000"/>
                <w:sz w:val="16"/>
                <w:szCs w:val="16"/>
              </w:rPr>
            </w:pPr>
            <w:r>
              <w:rPr>
                <w:rFonts w:ascii="Arial" w:hAnsi="Arial" w:cs="Arial"/>
                <w:color w:val="000000"/>
                <w:sz w:val="16"/>
                <w:szCs w:val="16"/>
              </w:rPr>
              <w:t>Mixed income housing</w:t>
            </w:r>
          </w:p>
        </w:tc>
        <w:tc>
          <w:tcPr>
            <w:tcW w:w="608"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16</w:t>
            </w:r>
          </w:p>
        </w:tc>
        <w:tc>
          <w:tcPr>
            <w:tcW w:w="608"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42</w:t>
            </w:r>
          </w:p>
        </w:tc>
        <w:tc>
          <w:tcPr>
            <w:tcW w:w="843"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97</w:t>
            </w:r>
          </w:p>
        </w:tc>
        <w:tc>
          <w:tcPr>
            <w:tcW w:w="608"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94</w:t>
            </w:r>
          </w:p>
        </w:tc>
        <w:tc>
          <w:tcPr>
            <w:tcW w:w="1026" w:type="dxa"/>
            <w:tcBorders>
              <w:top w:val="nil"/>
              <w:left w:val="nil"/>
              <w:bottom w:val="nil"/>
              <w:right w:val="nil"/>
            </w:tcBorders>
            <w:shd w:val="clear" w:color="000000" w:fill="FFFFE1"/>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94</w:t>
            </w:r>
          </w:p>
        </w:tc>
        <w:tc>
          <w:tcPr>
            <w:tcW w:w="741" w:type="dxa"/>
            <w:tcBorders>
              <w:top w:val="nil"/>
              <w:left w:val="nil"/>
              <w:bottom w:val="nil"/>
              <w:right w:val="single" w:sz="8" w:space="0" w:color="009900"/>
            </w:tcBorders>
            <w:shd w:val="clear" w:color="000000" w:fill="FFFFE1"/>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343</w:t>
            </w:r>
          </w:p>
        </w:tc>
      </w:tr>
      <w:tr w:rsidR="00962D5D" w:rsidTr="00AC6C3B">
        <w:trPr>
          <w:trHeight w:val="240"/>
        </w:trPr>
        <w:tc>
          <w:tcPr>
            <w:tcW w:w="4846" w:type="dxa"/>
            <w:tcBorders>
              <w:top w:val="nil"/>
              <w:left w:val="single" w:sz="8" w:space="0" w:color="009900"/>
              <w:bottom w:val="nil"/>
              <w:right w:val="nil"/>
            </w:tcBorders>
            <w:shd w:val="clear" w:color="000000" w:fill="FFFFE1"/>
            <w:noWrap/>
            <w:vAlign w:val="center"/>
            <w:hideMark/>
          </w:tcPr>
          <w:p w:rsidR="00962D5D" w:rsidRDefault="00962D5D" w:rsidP="008A1544">
            <w:pPr>
              <w:rPr>
                <w:rFonts w:ascii="Arial" w:hAnsi="Arial" w:cs="Arial"/>
                <w:color w:val="000000"/>
                <w:sz w:val="16"/>
                <w:szCs w:val="16"/>
              </w:rPr>
            </w:pPr>
            <w:r>
              <w:rPr>
                <w:rFonts w:ascii="Arial" w:hAnsi="Arial" w:cs="Arial"/>
                <w:color w:val="000000"/>
                <w:sz w:val="16"/>
                <w:szCs w:val="16"/>
              </w:rPr>
              <w:t>Homeownership in communities of color</w:t>
            </w:r>
          </w:p>
        </w:tc>
        <w:tc>
          <w:tcPr>
            <w:tcW w:w="608"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18</w:t>
            </w:r>
          </w:p>
        </w:tc>
        <w:tc>
          <w:tcPr>
            <w:tcW w:w="608"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53</w:t>
            </w:r>
          </w:p>
        </w:tc>
        <w:tc>
          <w:tcPr>
            <w:tcW w:w="843"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93</w:t>
            </w:r>
          </w:p>
        </w:tc>
        <w:tc>
          <w:tcPr>
            <w:tcW w:w="608"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78</w:t>
            </w:r>
          </w:p>
        </w:tc>
        <w:tc>
          <w:tcPr>
            <w:tcW w:w="1026" w:type="dxa"/>
            <w:tcBorders>
              <w:top w:val="nil"/>
              <w:left w:val="nil"/>
              <w:bottom w:val="nil"/>
              <w:right w:val="nil"/>
            </w:tcBorders>
            <w:shd w:val="clear" w:color="000000" w:fill="FFFFE1"/>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101</w:t>
            </w:r>
          </w:p>
        </w:tc>
        <w:tc>
          <w:tcPr>
            <w:tcW w:w="741" w:type="dxa"/>
            <w:tcBorders>
              <w:top w:val="nil"/>
              <w:left w:val="nil"/>
              <w:bottom w:val="nil"/>
              <w:right w:val="single" w:sz="8" w:space="0" w:color="009900"/>
            </w:tcBorders>
            <w:shd w:val="clear" w:color="000000" w:fill="FFFFE1"/>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343</w:t>
            </w:r>
          </w:p>
        </w:tc>
      </w:tr>
      <w:tr w:rsidR="00962D5D" w:rsidTr="00AC6C3B">
        <w:trPr>
          <w:trHeight w:val="240"/>
        </w:trPr>
        <w:tc>
          <w:tcPr>
            <w:tcW w:w="4846" w:type="dxa"/>
            <w:tcBorders>
              <w:top w:val="nil"/>
              <w:left w:val="single" w:sz="8" w:space="0" w:color="009900"/>
              <w:bottom w:val="nil"/>
              <w:right w:val="nil"/>
            </w:tcBorders>
            <w:shd w:val="clear" w:color="000000" w:fill="FFFFE1"/>
            <w:noWrap/>
            <w:vAlign w:val="center"/>
            <w:hideMark/>
          </w:tcPr>
          <w:p w:rsidR="00962D5D" w:rsidRDefault="00962D5D" w:rsidP="008A1544">
            <w:pPr>
              <w:rPr>
                <w:rFonts w:ascii="Arial" w:hAnsi="Arial" w:cs="Arial"/>
                <w:color w:val="000000"/>
                <w:sz w:val="16"/>
                <w:szCs w:val="16"/>
              </w:rPr>
            </w:pPr>
            <w:r>
              <w:rPr>
                <w:rFonts w:ascii="Arial" w:hAnsi="Arial" w:cs="Arial"/>
                <w:color w:val="000000"/>
                <w:sz w:val="16"/>
                <w:szCs w:val="16"/>
              </w:rPr>
              <w:t>Mixed use housing</w:t>
            </w:r>
          </w:p>
        </w:tc>
        <w:tc>
          <w:tcPr>
            <w:tcW w:w="608"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20</w:t>
            </w:r>
          </w:p>
        </w:tc>
        <w:tc>
          <w:tcPr>
            <w:tcW w:w="608"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57</w:t>
            </w:r>
          </w:p>
        </w:tc>
        <w:tc>
          <w:tcPr>
            <w:tcW w:w="843"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102</w:t>
            </w:r>
          </w:p>
        </w:tc>
        <w:tc>
          <w:tcPr>
            <w:tcW w:w="608"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73</w:t>
            </w:r>
          </w:p>
        </w:tc>
        <w:tc>
          <w:tcPr>
            <w:tcW w:w="1026" w:type="dxa"/>
            <w:tcBorders>
              <w:top w:val="nil"/>
              <w:left w:val="nil"/>
              <w:bottom w:val="nil"/>
              <w:right w:val="nil"/>
            </w:tcBorders>
            <w:shd w:val="clear" w:color="000000" w:fill="FFFFE1"/>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91</w:t>
            </w:r>
          </w:p>
        </w:tc>
        <w:tc>
          <w:tcPr>
            <w:tcW w:w="741" w:type="dxa"/>
            <w:tcBorders>
              <w:top w:val="nil"/>
              <w:left w:val="nil"/>
              <w:bottom w:val="nil"/>
              <w:right w:val="single" w:sz="8" w:space="0" w:color="009900"/>
            </w:tcBorders>
            <w:shd w:val="clear" w:color="000000" w:fill="FFFFE1"/>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343</w:t>
            </w:r>
          </w:p>
        </w:tc>
      </w:tr>
      <w:tr w:rsidR="00962D5D" w:rsidTr="00AC6C3B">
        <w:trPr>
          <w:trHeight w:val="240"/>
        </w:trPr>
        <w:tc>
          <w:tcPr>
            <w:tcW w:w="4846" w:type="dxa"/>
            <w:tcBorders>
              <w:top w:val="nil"/>
              <w:left w:val="single" w:sz="8" w:space="0" w:color="009900"/>
              <w:bottom w:val="nil"/>
              <w:right w:val="nil"/>
            </w:tcBorders>
            <w:shd w:val="clear" w:color="000000" w:fill="FFFFE1"/>
            <w:noWrap/>
            <w:vAlign w:val="center"/>
            <w:hideMark/>
          </w:tcPr>
          <w:p w:rsidR="00962D5D" w:rsidRDefault="00962D5D" w:rsidP="008A1544">
            <w:pPr>
              <w:rPr>
                <w:rFonts w:ascii="Arial" w:hAnsi="Arial" w:cs="Arial"/>
                <w:color w:val="000000"/>
                <w:sz w:val="16"/>
                <w:szCs w:val="16"/>
              </w:rPr>
            </w:pPr>
            <w:r>
              <w:rPr>
                <w:rFonts w:ascii="Arial" w:hAnsi="Arial" w:cs="Arial"/>
                <w:color w:val="000000"/>
                <w:sz w:val="16"/>
                <w:szCs w:val="16"/>
              </w:rPr>
              <w:t>Downtown housing</w:t>
            </w:r>
          </w:p>
        </w:tc>
        <w:tc>
          <w:tcPr>
            <w:tcW w:w="608"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30</w:t>
            </w:r>
          </w:p>
        </w:tc>
        <w:tc>
          <w:tcPr>
            <w:tcW w:w="608"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79</w:t>
            </w:r>
          </w:p>
        </w:tc>
        <w:tc>
          <w:tcPr>
            <w:tcW w:w="843"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80</w:t>
            </w:r>
          </w:p>
        </w:tc>
        <w:tc>
          <w:tcPr>
            <w:tcW w:w="608"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55</w:t>
            </w:r>
          </w:p>
        </w:tc>
        <w:tc>
          <w:tcPr>
            <w:tcW w:w="1026" w:type="dxa"/>
            <w:tcBorders>
              <w:top w:val="nil"/>
              <w:left w:val="nil"/>
              <w:bottom w:val="nil"/>
              <w:right w:val="nil"/>
            </w:tcBorders>
            <w:shd w:val="clear" w:color="000000" w:fill="FFFFE1"/>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99</w:t>
            </w:r>
          </w:p>
        </w:tc>
        <w:tc>
          <w:tcPr>
            <w:tcW w:w="741" w:type="dxa"/>
            <w:tcBorders>
              <w:top w:val="nil"/>
              <w:left w:val="nil"/>
              <w:bottom w:val="nil"/>
              <w:right w:val="single" w:sz="8" w:space="0" w:color="009900"/>
            </w:tcBorders>
            <w:shd w:val="clear" w:color="000000" w:fill="FFFFE1"/>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343</w:t>
            </w:r>
          </w:p>
        </w:tc>
      </w:tr>
      <w:tr w:rsidR="00962D5D" w:rsidTr="00AC6C3B">
        <w:trPr>
          <w:trHeight w:val="240"/>
        </w:trPr>
        <w:tc>
          <w:tcPr>
            <w:tcW w:w="4846" w:type="dxa"/>
            <w:tcBorders>
              <w:top w:val="nil"/>
              <w:left w:val="single" w:sz="8" w:space="0" w:color="009900"/>
              <w:bottom w:val="nil"/>
              <w:right w:val="nil"/>
            </w:tcBorders>
            <w:shd w:val="clear" w:color="000000" w:fill="FFFFE1"/>
            <w:noWrap/>
            <w:vAlign w:val="center"/>
            <w:hideMark/>
          </w:tcPr>
          <w:p w:rsidR="00962D5D" w:rsidRDefault="00962D5D" w:rsidP="008A1544">
            <w:pPr>
              <w:rPr>
                <w:rFonts w:ascii="Arial" w:hAnsi="Arial" w:cs="Arial"/>
                <w:color w:val="000000"/>
                <w:sz w:val="16"/>
                <w:szCs w:val="16"/>
              </w:rPr>
            </w:pPr>
            <w:r>
              <w:rPr>
                <w:rFonts w:ascii="Arial" w:hAnsi="Arial" w:cs="Arial"/>
                <w:color w:val="000000"/>
                <w:sz w:val="16"/>
                <w:szCs w:val="16"/>
              </w:rPr>
              <w:t>Housing demolition</w:t>
            </w:r>
          </w:p>
        </w:tc>
        <w:tc>
          <w:tcPr>
            <w:tcW w:w="608"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18</w:t>
            </w:r>
          </w:p>
        </w:tc>
        <w:tc>
          <w:tcPr>
            <w:tcW w:w="608"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95</w:t>
            </w:r>
          </w:p>
        </w:tc>
        <w:tc>
          <w:tcPr>
            <w:tcW w:w="843"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86</w:t>
            </w:r>
          </w:p>
        </w:tc>
        <w:tc>
          <w:tcPr>
            <w:tcW w:w="608" w:type="dxa"/>
            <w:tcBorders>
              <w:top w:val="nil"/>
              <w:left w:val="nil"/>
              <w:bottom w:val="nil"/>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49</w:t>
            </w:r>
          </w:p>
        </w:tc>
        <w:tc>
          <w:tcPr>
            <w:tcW w:w="1026" w:type="dxa"/>
            <w:tcBorders>
              <w:top w:val="nil"/>
              <w:left w:val="nil"/>
              <w:bottom w:val="nil"/>
              <w:right w:val="nil"/>
            </w:tcBorders>
            <w:shd w:val="clear" w:color="000000" w:fill="FFFFE1"/>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95</w:t>
            </w:r>
          </w:p>
        </w:tc>
        <w:tc>
          <w:tcPr>
            <w:tcW w:w="741" w:type="dxa"/>
            <w:tcBorders>
              <w:top w:val="nil"/>
              <w:left w:val="nil"/>
              <w:bottom w:val="nil"/>
              <w:right w:val="single" w:sz="8" w:space="0" w:color="009900"/>
            </w:tcBorders>
            <w:shd w:val="clear" w:color="000000" w:fill="FFFFE1"/>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343</w:t>
            </w:r>
          </w:p>
        </w:tc>
      </w:tr>
      <w:tr w:rsidR="00962D5D" w:rsidTr="00AC6C3B">
        <w:trPr>
          <w:trHeight w:val="240"/>
        </w:trPr>
        <w:tc>
          <w:tcPr>
            <w:tcW w:w="4846" w:type="dxa"/>
            <w:tcBorders>
              <w:top w:val="nil"/>
              <w:left w:val="single" w:sz="8" w:space="0" w:color="009900"/>
              <w:bottom w:val="single" w:sz="8" w:space="0" w:color="009900"/>
              <w:right w:val="nil"/>
            </w:tcBorders>
            <w:shd w:val="clear" w:color="000000" w:fill="FFFFE1"/>
            <w:noWrap/>
            <w:vAlign w:val="center"/>
            <w:hideMark/>
          </w:tcPr>
          <w:p w:rsidR="00962D5D" w:rsidRDefault="00962D5D" w:rsidP="008A1544">
            <w:pPr>
              <w:rPr>
                <w:rFonts w:ascii="Arial" w:hAnsi="Arial" w:cs="Arial"/>
                <w:color w:val="000000"/>
                <w:sz w:val="16"/>
                <w:szCs w:val="16"/>
              </w:rPr>
            </w:pPr>
            <w:r>
              <w:rPr>
                <w:rFonts w:ascii="Arial" w:hAnsi="Arial" w:cs="Arial"/>
                <w:color w:val="000000"/>
                <w:sz w:val="16"/>
                <w:szCs w:val="16"/>
              </w:rPr>
              <w:t>Other Housing activities</w:t>
            </w:r>
          </w:p>
        </w:tc>
        <w:tc>
          <w:tcPr>
            <w:tcW w:w="608" w:type="dxa"/>
            <w:tcBorders>
              <w:top w:val="nil"/>
              <w:left w:val="nil"/>
              <w:bottom w:val="single" w:sz="8" w:space="0" w:color="009900"/>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7</w:t>
            </w:r>
          </w:p>
        </w:tc>
        <w:tc>
          <w:tcPr>
            <w:tcW w:w="608" w:type="dxa"/>
            <w:tcBorders>
              <w:top w:val="nil"/>
              <w:left w:val="nil"/>
              <w:bottom w:val="single" w:sz="8" w:space="0" w:color="009900"/>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1</w:t>
            </w:r>
          </w:p>
        </w:tc>
        <w:tc>
          <w:tcPr>
            <w:tcW w:w="843" w:type="dxa"/>
            <w:tcBorders>
              <w:top w:val="nil"/>
              <w:left w:val="nil"/>
              <w:bottom w:val="single" w:sz="8" w:space="0" w:color="009900"/>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5</w:t>
            </w:r>
          </w:p>
        </w:tc>
        <w:tc>
          <w:tcPr>
            <w:tcW w:w="608" w:type="dxa"/>
            <w:tcBorders>
              <w:top w:val="nil"/>
              <w:left w:val="nil"/>
              <w:bottom w:val="single" w:sz="8" w:space="0" w:color="009900"/>
              <w:right w:val="nil"/>
            </w:tcBorders>
            <w:shd w:val="clear" w:color="000000" w:fill="FFFFE1"/>
            <w:noWrap/>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28</w:t>
            </w:r>
          </w:p>
        </w:tc>
        <w:tc>
          <w:tcPr>
            <w:tcW w:w="1026" w:type="dxa"/>
            <w:tcBorders>
              <w:top w:val="nil"/>
              <w:left w:val="nil"/>
              <w:bottom w:val="single" w:sz="8" w:space="0" w:color="009900"/>
              <w:right w:val="nil"/>
            </w:tcBorders>
            <w:shd w:val="clear" w:color="000000" w:fill="FFFFE1"/>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302</w:t>
            </w:r>
          </w:p>
        </w:tc>
        <w:tc>
          <w:tcPr>
            <w:tcW w:w="741" w:type="dxa"/>
            <w:tcBorders>
              <w:top w:val="nil"/>
              <w:left w:val="nil"/>
              <w:bottom w:val="single" w:sz="8" w:space="0" w:color="009900"/>
              <w:right w:val="single" w:sz="8" w:space="0" w:color="009900"/>
            </w:tcBorders>
            <w:shd w:val="clear" w:color="000000" w:fill="FFFFE1"/>
            <w:vAlign w:val="center"/>
            <w:hideMark/>
          </w:tcPr>
          <w:p w:rsidR="00962D5D" w:rsidRDefault="00962D5D" w:rsidP="008A1544">
            <w:pPr>
              <w:jc w:val="center"/>
              <w:rPr>
                <w:rFonts w:ascii="Arial" w:hAnsi="Arial" w:cs="Arial"/>
                <w:color w:val="000000"/>
                <w:sz w:val="16"/>
                <w:szCs w:val="16"/>
              </w:rPr>
            </w:pPr>
            <w:r>
              <w:rPr>
                <w:rFonts w:ascii="Arial" w:hAnsi="Arial" w:cs="Arial"/>
                <w:noProof/>
                <w:color w:val="000000"/>
                <w:sz w:val="16"/>
                <w:szCs w:val="16"/>
              </w:rPr>
              <w:t>343</w:t>
            </w:r>
          </w:p>
        </w:tc>
      </w:tr>
    </w:tbl>
    <w:p w:rsidR="00A0381D" w:rsidRPr="00AC6C3B" w:rsidRDefault="00A0381D" w:rsidP="001E0368">
      <w:pPr>
        <w:jc w:val="both"/>
        <w:rPr>
          <w:rFonts w:ascii="CG Omega" w:hAnsi="CG Omega"/>
          <w:b/>
          <w:bCs/>
        </w:rPr>
      </w:pPr>
    </w:p>
    <w:p w:rsidR="001E0368" w:rsidRPr="00AC6C3B" w:rsidRDefault="00394FF6" w:rsidP="001E0368">
      <w:pPr>
        <w:jc w:val="both"/>
        <w:rPr>
          <w:rFonts w:ascii="CG Omega" w:hAnsi="CG Omega"/>
        </w:rPr>
      </w:pPr>
      <w:r w:rsidRPr="00AC6C3B">
        <w:rPr>
          <w:rFonts w:ascii="CG Omega" w:hAnsi="CG Omega"/>
          <w:b/>
          <w:bCs/>
        </w:rPr>
        <w:t xml:space="preserve">Expressed </w:t>
      </w:r>
      <w:r w:rsidR="0019667B" w:rsidRPr="00AC6C3B">
        <w:rPr>
          <w:rFonts w:ascii="CG Omega" w:hAnsi="CG Omega"/>
          <w:b/>
          <w:bCs/>
        </w:rPr>
        <w:t>Barriers to Affordable Housing</w:t>
      </w:r>
    </w:p>
    <w:p w:rsidR="001E0368" w:rsidRPr="00AC6C3B" w:rsidRDefault="001E0368" w:rsidP="006B2A3D">
      <w:pPr>
        <w:jc w:val="both"/>
        <w:rPr>
          <w:rFonts w:ascii="CG Omega" w:hAnsi="CG Omega"/>
        </w:rPr>
      </w:pPr>
    </w:p>
    <w:p w:rsidR="0019667B" w:rsidRPr="00955C8C" w:rsidRDefault="006B2A3D" w:rsidP="006B2A3D">
      <w:pPr>
        <w:jc w:val="both"/>
        <w:rPr>
          <w:rFonts w:ascii="CG Omega" w:hAnsi="CG Omega"/>
          <w:spacing w:val="-2"/>
          <w:highlight w:val="yellow"/>
        </w:rPr>
      </w:pPr>
      <w:r w:rsidRPr="00A929A2">
        <w:rPr>
          <w:rFonts w:ascii="CG Omega" w:hAnsi="CG Omega"/>
          <w:spacing w:val="-2"/>
        </w:rPr>
        <w:t xml:space="preserve">The </w:t>
      </w:r>
      <w:r w:rsidR="00A929A2" w:rsidRPr="00AC6C3B">
        <w:rPr>
          <w:rFonts w:ascii="CG Omega" w:hAnsi="CG Omega"/>
          <w:i/>
          <w:spacing w:val="-2"/>
        </w:rPr>
        <w:t>2014</w:t>
      </w:r>
      <w:r w:rsidR="0019667B" w:rsidRPr="00AC6C3B">
        <w:rPr>
          <w:rFonts w:ascii="CG Omega" w:hAnsi="CG Omega"/>
          <w:i/>
          <w:spacing w:val="-2"/>
        </w:rPr>
        <w:t xml:space="preserve"> Housing and Community Development </w:t>
      </w:r>
      <w:r w:rsidR="00AC6C3B">
        <w:rPr>
          <w:rFonts w:ascii="CG Omega" w:hAnsi="CG Omega"/>
          <w:i/>
          <w:spacing w:val="-2"/>
        </w:rPr>
        <w:t>S</w:t>
      </w:r>
      <w:r w:rsidR="00B87325" w:rsidRPr="00AC6C3B">
        <w:rPr>
          <w:rFonts w:ascii="CG Omega" w:hAnsi="CG Omega"/>
          <w:i/>
          <w:spacing w:val="-2"/>
        </w:rPr>
        <w:t>urvey</w:t>
      </w:r>
      <w:r w:rsidR="00B87325" w:rsidRPr="00A929A2">
        <w:rPr>
          <w:rFonts w:ascii="CG Omega" w:hAnsi="CG Omega"/>
          <w:spacing w:val="-2"/>
        </w:rPr>
        <w:t xml:space="preserve"> </w:t>
      </w:r>
      <w:r w:rsidR="0019667B" w:rsidRPr="00A929A2">
        <w:rPr>
          <w:rFonts w:ascii="CG Omega" w:hAnsi="CG Omega"/>
          <w:spacing w:val="-2"/>
        </w:rPr>
        <w:t>provided respondents with a list of a</w:t>
      </w:r>
      <w:r w:rsidRPr="00A929A2">
        <w:rPr>
          <w:rFonts w:ascii="CG Omega" w:hAnsi="CG Omega"/>
          <w:spacing w:val="-2"/>
        </w:rPr>
        <w:t xml:space="preserve"> number of possible barriers to affordable housing and asked participants to select any barriers that </w:t>
      </w:r>
      <w:r w:rsidR="00447518" w:rsidRPr="00A929A2">
        <w:rPr>
          <w:rFonts w:ascii="CG Omega" w:hAnsi="CG Omega"/>
          <w:spacing w:val="-2"/>
        </w:rPr>
        <w:t>they felt existed in New Mexico</w:t>
      </w:r>
      <w:r w:rsidRPr="00A929A2">
        <w:rPr>
          <w:rFonts w:ascii="CG Omega" w:hAnsi="CG Omega"/>
          <w:spacing w:val="-2"/>
        </w:rPr>
        <w:t xml:space="preserve">. The results are presented in </w:t>
      </w:r>
      <w:r w:rsidRPr="00AC6C3B">
        <w:rPr>
          <w:rFonts w:ascii="CG Omega" w:hAnsi="CG Omega"/>
          <w:b/>
          <w:spacing w:val="-2"/>
        </w:rPr>
        <w:t>Table V.</w:t>
      </w:r>
      <w:r w:rsidR="000155B6" w:rsidRPr="00AC6C3B">
        <w:rPr>
          <w:rFonts w:ascii="CG Omega" w:hAnsi="CG Omega"/>
          <w:b/>
          <w:spacing w:val="-2"/>
        </w:rPr>
        <w:t>3</w:t>
      </w:r>
      <w:r w:rsidRPr="00832AB3">
        <w:rPr>
          <w:rFonts w:ascii="CG Omega" w:hAnsi="CG Omega"/>
          <w:spacing w:val="-2"/>
        </w:rPr>
        <w:t xml:space="preserve">, </w:t>
      </w:r>
      <w:r w:rsidR="007B040A">
        <w:rPr>
          <w:rFonts w:ascii="CG Omega" w:hAnsi="CG Omega"/>
          <w:spacing w:val="-2"/>
        </w:rPr>
        <w:t>on the following page</w:t>
      </w:r>
      <w:r w:rsidRPr="00832AB3">
        <w:rPr>
          <w:rFonts w:ascii="CG Omega" w:hAnsi="CG Omega"/>
          <w:spacing w:val="-2"/>
        </w:rPr>
        <w:t xml:space="preserve">. </w:t>
      </w:r>
      <w:r w:rsidR="00447518" w:rsidRPr="00E87A53">
        <w:rPr>
          <w:rFonts w:ascii="CG Omega" w:hAnsi="CG Omega"/>
          <w:spacing w:val="-2"/>
        </w:rPr>
        <w:t xml:space="preserve">The cost of land or lot was voiced most often by respondents as a barrier to affordable housing, followed </w:t>
      </w:r>
      <w:r w:rsidR="00E87A53">
        <w:rPr>
          <w:rFonts w:ascii="CG Omega" w:hAnsi="CG Omega"/>
          <w:spacing w:val="-2"/>
        </w:rPr>
        <w:t>a Not in My Back Yard (NIMBY) mentality</w:t>
      </w:r>
      <w:r w:rsidR="00447518" w:rsidRPr="00E87A53">
        <w:rPr>
          <w:rFonts w:ascii="CG Omega" w:hAnsi="CG Omega"/>
          <w:spacing w:val="-2"/>
        </w:rPr>
        <w:t>.</w:t>
      </w:r>
      <w:r w:rsidR="00E87A53">
        <w:rPr>
          <w:rFonts w:ascii="CG Omega" w:hAnsi="CG Omega"/>
          <w:spacing w:val="-2"/>
        </w:rPr>
        <w:t xml:space="preserve"> </w:t>
      </w:r>
      <w:r w:rsidR="008C6744" w:rsidRPr="008C6744">
        <w:rPr>
          <w:rFonts w:ascii="CG Omega" w:hAnsi="CG Omega"/>
        </w:rPr>
        <w:t xml:space="preserve">This phrase refers to a “Not in My Backyard” mentality that resists construction of projects like public or supportive housing in neighborhoods and communities. </w:t>
      </w:r>
      <w:r w:rsidR="00E87A53">
        <w:rPr>
          <w:rFonts w:ascii="CG Omega" w:hAnsi="CG Omega"/>
          <w:spacing w:val="-2"/>
        </w:rPr>
        <w:t>This was followed by cost of materials and cost of labor.</w:t>
      </w:r>
      <w:r w:rsidR="006E1B4D" w:rsidRPr="00E87A53">
        <w:rPr>
          <w:rFonts w:ascii="CG Omega" w:hAnsi="CG Omega"/>
          <w:spacing w:val="-2"/>
        </w:rPr>
        <w:t xml:space="preserve">  </w:t>
      </w:r>
      <w:r w:rsidR="006E1B4D" w:rsidRPr="00815780">
        <w:rPr>
          <w:rFonts w:ascii="CG Omega" w:hAnsi="CG Omega"/>
          <w:spacing w:val="-2"/>
        </w:rPr>
        <w:t xml:space="preserve">While </w:t>
      </w:r>
      <w:r w:rsidR="00CC3344">
        <w:rPr>
          <w:rFonts w:ascii="CG Omega" w:hAnsi="CG Omega"/>
          <w:spacing w:val="-2"/>
        </w:rPr>
        <w:t>MFA</w:t>
      </w:r>
      <w:r w:rsidR="006E1B4D" w:rsidRPr="00815780">
        <w:rPr>
          <w:rFonts w:ascii="CG Omega" w:hAnsi="CG Omega"/>
          <w:spacing w:val="-2"/>
        </w:rPr>
        <w:t xml:space="preserve"> can do very little about the market driven costs of materials or labor, the costs of lands or lots could be combated with land trusts or tax incentives.</w:t>
      </w:r>
    </w:p>
    <w:p w:rsidR="0019667B" w:rsidRPr="00AC6C3B" w:rsidRDefault="0019667B" w:rsidP="006B2A3D">
      <w:pPr>
        <w:jc w:val="both"/>
        <w:rPr>
          <w:rFonts w:ascii="CG Omega" w:hAnsi="CG Omega"/>
          <w:highlight w:val="yellow"/>
        </w:rPr>
      </w:pPr>
    </w:p>
    <w:p w:rsidR="0083033A" w:rsidRPr="00AC6C3B" w:rsidRDefault="00AF45D4" w:rsidP="009478B6">
      <w:pPr>
        <w:jc w:val="both"/>
        <w:rPr>
          <w:rFonts w:ascii="CG Omega" w:hAnsi="CG Omega"/>
          <w:highlight w:val="yellow"/>
        </w:rPr>
      </w:pPr>
      <w:r w:rsidRPr="00AC6C3B">
        <w:rPr>
          <w:rFonts w:ascii="CG Omega" w:hAnsi="CG Omega"/>
        </w:rPr>
        <w:t>Lack of a</w:t>
      </w:r>
      <w:r w:rsidR="00815780" w:rsidRPr="00AC6C3B">
        <w:rPr>
          <w:rFonts w:ascii="CG Omega" w:hAnsi="CG Omega"/>
        </w:rPr>
        <w:t xml:space="preserve">ffordable housing development policies and lack of other infrastructure were also cited by numerous respondents as a barrier to affordable housing.  </w:t>
      </w:r>
      <w:r w:rsidR="006E1B4D" w:rsidRPr="00AC6C3B">
        <w:rPr>
          <w:rFonts w:ascii="CG Omega" w:hAnsi="CG Omega"/>
        </w:rPr>
        <w:t xml:space="preserve">This concern was also raised in the focus groups, as discussed in the following section.  As the housing stock in New Mexico ages, the need for rental demolition and reconstruction or rehabilitation increases. </w:t>
      </w:r>
      <w:r w:rsidR="00CC3344" w:rsidRPr="00AC6C3B">
        <w:rPr>
          <w:rFonts w:ascii="CG Omega" w:hAnsi="CG Omega"/>
        </w:rPr>
        <w:t>MFA</w:t>
      </w:r>
      <w:r w:rsidR="006E1B4D" w:rsidRPr="00AC6C3B">
        <w:rPr>
          <w:rFonts w:ascii="CG Omega" w:hAnsi="CG Omega"/>
        </w:rPr>
        <w:t xml:space="preserve"> might address this barrier through incentives for </w:t>
      </w:r>
      <w:r w:rsidR="00BB2854" w:rsidRPr="00AC6C3B">
        <w:rPr>
          <w:rFonts w:ascii="CG Omega" w:hAnsi="CG Omega"/>
        </w:rPr>
        <w:t>multifamily</w:t>
      </w:r>
      <w:r w:rsidR="006E1B4D" w:rsidRPr="00AC6C3B">
        <w:rPr>
          <w:rFonts w:ascii="CG Omega" w:hAnsi="CG Omega"/>
        </w:rPr>
        <w:t xml:space="preserve"> unit owners to rehab</w:t>
      </w:r>
      <w:r w:rsidR="000F42FA" w:rsidRPr="00AC6C3B">
        <w:rPr>
          <w:rFonts w:ascii="CG Omega" w:hAnsi="CG Omega"/>
        </w:rPr>
        <w:t>ilitate</w:t>
      </w:r>
      <w:r w:rsidR="006E1B4D" w:rsidRPr="00AC6C3B">
        <w:rPr>
          <w:rFonts w:ascii="CG Omega" w:hAnsi="CG Omega"/>
        </w:rPr>
        <w:t xml:space="preserve"> rental properties.</w:t>
      </w:r>
    </w:p>
    <w:p w:rsidR="00F16F12" w:rsidRPr="00AC6C3B" w:rsidRDefault="00F16F12" w:rsidP="00F16F12">
      <w:pPr>
        <w:jc w:val="both"/>
        <w:rPr>
          <w:rFonts w:ascii="CG Omega" w:hAnsi="CG Omega"/>
          <w:highlight w:val="yellow"/>
        </w:rPr>
      </w:pPr>
    </w:p>
    <w:p w:rsidR="006B2A3D" w:rsidRPr="00AC6C3B" w:rsidRDefault="0019667B" w:rsidP="0019667B">
      <w:pPr>
        <w:jc w:val="both"/>
        <w:rPr>
          <w:rFonts w:ascii="CG Omega" w:hAnsi="CG Omega"/>
        </w:rPr>
      </w:pPr>
      <w:r w:rsidRPr="00AC6C3B">
        <w:rPr>
          <w:rFonts w:ascii="CG Omega" w:hAnsi="CG Omega"/>
        </w:rPr>
        <w:t xml:space="preserve">Respondents were also provided </w:t>
      </w:r>
      <w:r w:rsidR="00060C29" w:rsidRPr="00AC6C3B">
        <w:rPr>
          <w:rFonts w:ascii="CG Omega" w:hAnsi="CG Omega"/>
        </w:rPr>
        <w:t xml:space="preserve">with </w:t>
      </w:r>
      <w:r w:rsidRPr="00AC6C3B">
        <w:rPr>
          <w:rFonts w:ascii="CG Omega" w:hAnsi="CG Omega"/>
        </w:rPr>
        <w:t>an opportunity to offer their own commentary about barriers to affordable housing</w:t>
      </w:r>
      <w:r w:rsidR="00060C29" w:rsidRPr="00AC6C3B">
        <w:rPr>
          <w:rFonts w:ascii="CG Omega" w:hAnsi="CG Omega"/>
        </w:rPr>
        <w:t xml:space="preserve"> and</w:t>
      </w:r>
      <w:r w:rsidR="006B2A3D" w:rsidRPr="00AC6C3B">
        <w:rPr>
          <w:rFonts w:ascii="CG Omega" w:hAnsi="CG Omega"/>
        </w:rPr>
        <w:t xml:space="preserve"> </w:t>
      </w:r>
      <w:r w:rsidRPr="00AC6C3B">
        <w:rPr>
          <w:rFonts w:ascii="CG Omega" w:hAnsi="CG Omega"/>
        </w:rPr>
        <w:t>several theme</w:t>
      </w:r>
      <w:r w:rsidR="009106C4" w:rsidRPr="00AC6C3B">
        <w:rPr>
          <w:rFonts w:ascii="CG Omega" w:hAnsi="CG Omega"/>
        </w:rPr>
        <w:t>s</w:t>
      </w:r>
      <w:r w:rsidRPr="00AC6C3B">
        <w:rPr>
          <w:rFonts w:ascii="CG Omega" w:hAnsi="CG Omega"/>
        </w:rPr>
        <w:t xml:space="preserve"> emerged from these narrative responses</w:t>
      </w:r>
      <w:r w:rsidR="006B2A3D" w:rsidRPr="00AC6C3B">
        <w:rPr>
          <w:rFonts w:ascii="CG Omega" w:hAnsi="CG Omega"/>
        </w:rPr>
        <w:t>:</w:t>
      </w:r>
    </w:p>
    <w:p w:rsidR="0019667B" w:rsidRPr="00AC6C3B" w:rsidRDefault="0019667B" w:rsidP="006B2A3D">
      <w:pPr>
        <w:rPr>
          <w:rFonts w:ascii="CG Omega" w:hAnsi="CG Omega"/>
          <w:highlight w:val="yellow"/>
        </w:rPr>
      </w:pPr>
    </w:p>
    <w:p w:rsidR="000155B6" w:rsidRPr="00955C8C" w:rsidRDefault="000155B6" w:rsidP="006B2A3D">
      <w:pPr>
        <w:rPr>
          <w:rFonts w:ascii="CG Omega" w:hAnsi="CG Omega"/>
          <w:sz w:val="12"/>
          <w:szCs w:val="12"/>
          <w:highlight w:val="yellow"/>
        </w:rPr>
      </w:pPr>
    </w:p>
    <w:tbl>
      <w:tblPr>
        <w:tblpPr w:leftFromText="180" w:rightFromText="180" w:vertAnchor="text" w:horzAnchor="margin" w:tblpXSpec="right" w:tblpY="192"/>
        <w:tblOverlap w:val="never"/>
        <w:tblW w:w="4544" w:type="dxa"/>
        <w:tblLook w:val="04A0" w:firstRow="1" w:lastRow="0" w:firstColumn="1" w:lastColumn="0" w:noHBand="0" w:noVBand="1"/>
      </w:tblPr>
      <w:tblGrid>
        <w:gridCol w:w="3643"/>
        <w:gridCol w:w="901"/>
      </w:tblGrid>
      <w:tr w:rsidR="00274486" w:rsidTr="00AC6C3B">
        <w:trPr>
          <w:trHeight w:val="225"/>
        </w:trPr>
        <w:tc>
          <w:tcPr>
            <w:tcW w:w="4544" w:type="dxa"/>
            <w:gridSpan w:val="2"/>
            <w:tcBorders>
              <w:top w:val="nil"/>
              <w:left w:val="nil"/>
              <w:bottom w:val="nil"/>
              <w:right w:val="nil"/>
            </w:tcBorders>
            <w:shd w:val="clear" w:color="auto" w:fill="auto"/>
            <w:noWrap/>
            <w:vAlign w:val="center"/>
            <w:hideMark/>
          </w:tcPr>
          <w:p w:rsidR="00274486" w:rsidRDefault="00274486" w:rsidP="00274486">
            <w:pPr>
              <w:jc w:val="center"/>
              <w:rPr>
                <w:rFonts w:ascii="Arial" w:hAnsi="Arial" w:cs="Arial"/>
                <w:b/>
                <w:bCs/>
                <w:color w:val="000000"/>
                <w:sz w:val="22"/>
                <w:szCs w:val="22"/>
              </w:rPr>
            </w:pPr>
            <w:r>
              <w:rPr>
                <w:rFonts w:ascii="Arial" w:hAnsi="Arial" w:cs="Arial"/>
                <w:b/>
                <w:bCs/>
                <w:color w:val="000000"/>
                <w:sz w:val="22"/>
                <w:szCs w:val="22"/>
              </w:rPr>
              <w:t>Table V.</w:t>
            </w:r>
            <w:r w:rsidR="000155B6">
              <w:rPr>
                <w:rFonts w:ascii="Arial" w:hAnsi="Arial" w:cs="Arial"/>
                <w:b/>
                <w:bCs/>
                <w:color w:val="000000"/>
                <w:sz w:val="22"/>
                <w:szCs w:val="22"/>
              </w:rPr>
              <w:t>3</w:t>
            </w:r>
          </w:p>
        </w:tc>
      </w:tr>
      <w:tr w:rsidR="00274486" w:rsidTr="00AC6C3B">
        <w:trPr>
          <w:trHeight w:val="390"/>
        </w:trPr>
        <w:tc>
          <w:tcPr>
            <w:tcW w:w="4544" w:type="dxa"/>
            <w:gridSpan w:val="2"/>
            <w:tcBorders>
              <w:top w:val="nil"/>
              <w:left w:val="nil"/>
              <w:bottom w:val="nil"/>
              <w:right w:val="nil"/>
            </w:tcBorders>
            <w:shd w:val="clear" w:color="auto" w:fill="auto"/>
            <w:vAlign w:val="center"/>
            <w:hideMark/>
          </w:tcPr>
          <w:p w:rsidR="00274486" w:rsidRDefault="00274486" w:rsidP="00274486">
            <w:pPr>
              <w:jc w:val="center"/>
              <w:rPr>
                <w:rFonts w:ascii="Arial" w:hAnsi="Arial" w:cs="Arial"/>
                <w:b/>
                <w:bCs/>
                <w:color w:val="000000"/>
                <w:sz w:val="20"/>
                <w:szCs w:val="20"/>
              </w:rPr>
            </w:pPr>
            <w:r>
              <w:rPr>
                <w:rFonts w:ascii="Arial" w:hAnsi="Arial" w:cs="Arial"/>
                <w:b/>
                <w:bCs/>
                <w:color w:val="000000"/>
                <w:sz w:val="20"/>
                <w:szCs w:val="20"/>
              </w:rPr>
              <w:t>Do any of the following acts as barriers to the development or preservation of housing?</w:t>
            </w:r>
          </w:p>
        </w:tc>
      </w:tr>
      <w:tr w:rsidR="00274486" w:rsidTr="00AC6C3B">
        <w:trPr>
          <w:trHeight w:val="147"/>
        </w:trPr>
        <w:tc>
          <w:tcPr>
            <w:tcW w:w="4544" w:type="dxa"/>
            <w:gridSpan w:val="2"/>
            <w:tcBorders>
              <w:top w:val="nil"/>
              <w:left w:val="nil"/>
              <w:bottom w:val="nil"/>
              <w:right w:val="nil"/>
            </w:tcBorders>
            <w:shd w:val="clear" w:color="auto" w:fill="auto"/>
            <w:noWrap/>
            <w:vAlign w:val="center"/>
            <w:hideMark/>
          </w:tcPr>
          <w:p w:rsidR="00274486" w:rsidRDefault="00274486" w:rsidP="00274486">
            <w:pPr>
              <w:jc w:val="center"/>
              <w:rPr>
                <w:rFonts w:ascii="Arial" w:hAnsi="Arial" w:cs="Arial"/>
                <w:color w:val="000000"/>
                <w:sz w:val="16"/>
                <w:szCs w:val="16"/>
              </w:rPr>
            </w:pPr>
            <w:r>
              <w:rPr>
                <w:rFonts w:ascii="Arial" w:hAnsi="Arial" w:cs="Arial"/>
                <w:noProof/>
                <w:color w:val="000000"/>
                <w:sz w:val="16"/>
                <w:szCs w:val="16"/>
              </w:rPr>
              <w:t>State of New Mexico</w:t>
            </w:r>
          </w:p>
        </w:tc>
      </w:tr>
      <w:tr w:rsidR="00274486" w:rsidTr="00AC6C3B">
        <w:trPr>
          <w:trHeight w:val="102"/>
        </w:trPr>
        <w:tc>
          <w:tcPr>
            <w:tcW w:w="4544" w:type="dxa"/>
            <w:gridSpan w:val="2"/>
            <w:tcBorders>
              <w:top w:val="nil"/>
              <w:left w:val="nil"/>
              <w:bottom w:val="single" w:sz="8" w:space="0" w:color="009900"/>
              <w:right w:val="nil"/>
            </w:tcBorders>
            <w:shd w:val="clear" w:color="auto" w:fill="auto"/>
            <w:noWrap/>
            <w:vAlign w:val="center"/>
            <w:hideMark/>
          </w:tcPr>
          <w:p w:rsidR="00274486" w:rsidRDefault="00274486" w:rsidP="00274486">
            <w:pPr>
              <w:jc w:val="center"/>
              <w:rPr>
                <w:rFonts w:ascii="Arial" w:hAnsi="Arial" w:cs="Arial"/>
                <w:color w:val="000000"/>
                <w:sz w:val="16"/>
                <w:szCs w:val="16"/>
              </w:rPr>
            </w:pPr>
            <w:r>
              <w:rPr>
                <w:rFonts w:ascii="Arial" w:hAnsi="Arial" w:cs="Arial"/>
                <w:bCs/>
                <w:color w:val="000000"/>
                <w:sz w:val="16"/>
                <w:szCs w:val="16"/>
              </w:rPr>
              <w:t>2014 Housing and Community Development Survey</w:t>
            </w:r>
          </w:p>
        </w:tc>
      </w:tr>
      <w:tr w:rsidR="00274486" w:rsidTr="00AC6C3B">
        <w:trPr>
          <w:trHeight w:val="240"/>
        </w:trPr>
        <w:tc>
          <w:tcPr>
            <w:tcW w:w="3643" w:type="dxa"/>
            <w:vMerge w:val="restart"/>
            <w:tcBorders>
              <w:top w:val="nil"/>
              <w:left w:val="single" w:sz="8" w:space="0" w:color="009900"/>
              <w:bottom w:val="single" w:sz="8" w:space="0" w:color="009900"/>
              <w:right w:val="nil"/>
            </w:tcBorders>
            <w:shd w:val="clear" w:color="000000" w:fill="FFFFE1"/>
            <w:noWrap/>
            <w:vAlign w:val="center"/>
            <w:hideMark/>
          </w:tcPr>
          <w:p w:rsidR="00274486" w:rsidRDefault="00274486" w:rsidP="00274486">
            <w:pPr>
              <w:rPr>
                <w:rFonts w:ascii="Arial" w:hAnsi="Arial" w:cs="Arial"/>
                <w:b/>
                <w:bCs/>
                <w:color w:val="000000"/>
                <w:sz w:val="16"/>
                <w:szCs w:val="16"/>
              </w:rPr>
            </w:pPr>
            <w:r>
              <w:rPr>
                <w:rFonts w:ascii="Arial" w:hAnsi="Arial" w:cs="Arial"/>
                <w:b/>
                <w:bCs/>
                <w:color w:val="000000"/>
                <w:sz w:val="16"/>
                <w:szCs w:val="16"/>
              </w:rPr>
              <w:t>Barrier</w:t>
            </w:r>
          </w:p>
        </w:tc>
        <w:tc>
          <w:tcPr>
            <w:tcW w:w="901" w:type="dxa"/>
            <w:tcBorders>
              <w:top w:val="nil"/>
              <w:left w:val="nil"/>
              <w:bottom w:val="nil"/>
              <w:right w:val="single" w:sz="8" w:space="0" w:color="009900"/>
            </w:tcBorders>
            <w:shd w:val="clear" w:color="000000" w:fill="FFFFE1"/>
            <w:noWrap/>
            <w:vAlign w:val="center"/>
            <w:hideMark/>
          </w:tcPr>
          <w:p w:rsidR="00274486" w:rsidRDefault="00274486" w:rsidP="00274486">
            <w:pPr>
              <w:jc w:val="center"/>
              <w:rPr>
                <w:rFonts w:ascii="Arial" w:hAnsi="Arial" w:cs="Arial"/>
                <w:b/>
                <w:bCs/>
                <w:color w:val="000000"/>
                <w:sz w:val="16"/>
                <w:szCs w:val="16"/>
              </w:rPr>
            </w:pPr>
            <w:r>
              <w:rPr>
                <w:rFonts w:ascii="Arial" w:hAnsi="Arial" w:cs="Arial"/>
                <w:b/>
                <w:bCs/>
                <w:color w:val="000000"/>
                <w:sz w:val="16"/>
                <w:szCs w:val="16"/>
              </w:rPr>
              <w:t xml:space="preserve">Number of </w:t>
            </w:r>
          </w:p>
        </w:tc>
      </w:tr>
      <w:tr w:rsidR="00274486" w:rsidTr="00AC6C3B">
        <w:trPr>
          <w:trHeight w:val="240"/>
        </w:trPr>
        <w:tc>
          <w:tcPr>
            <w:tcW w:w="3643" w:type="dxa"/>
            <w:vMerge/>
            <w:tcBorders>
              <w:top w:val="nil"/>
              <w:left w:val="single" w:sz="8" w:space="0" w:color="009900"/>
              <w:bottom w:val="single" w:sz="8" w:space="0" w:color="009900"/>
              <w:right w:val="nil"/>
            </w:tcBorders>
            <w:vAlign w:val="center"/>
            <w:hideMark/>
          </w:tcPr>
          <w:p w:rsidR="00274486" w:rsidRDefault="00274486" w:rsidP="00274486">
            <w:pPr>
              <w:rPr>
                <w:rFonts w:ascii="Arial" w:hAnsi="Arial" w:cs="Arial"/>
                <w:b/>
                <w:bCs/>
                <w:color w:val="000000"/>
                <w:sz w:val="16"/>
                <w:szCs w:val="16"/>
              </w:rPr>
            </w:pPr>
          </w:p>
        </w:tc>
        <w:tc>
          <w:tcPr>
            <w:tcW w:w="901" w:type="dxa"/>
            <w:tcBorders>
              <w:top w:val="nil"/>
              <w:left w:val="nil"/>
              <w:bottom w:val="single" w:sz="8" w:space="0" w:color="009900"/>
              <w:right w:val="single" w:sz="8" w:space="0" w:color="009900"/>
            </w:tcBorders>
            <w:shd w:val="clear" w:color="000000" w:fill="FFFFE1"/>
            <w:noWrap/>
            <w:vAlign w:val="center"/>
            <w:hideMark/>
          </w:tcPr>
          <w:p w:rsidR="00274486" w:rsidRDefault="00274486" w:rsidP="00274486">
            <w:pPr>
              <w:jc w:val="center"/>
              <w:rPr>
                <w:rFonts w:ascii="Arial" w:hAnsi="Arial" w:cs="Arial"/>
                <w:b/>
                <w:bCs/>
                <w:color w:val="000000"/>
                <w:sz w:val="16"/>
                <w:szCs w:val="16"/>
              </w:rPr>
            </w:pPr>
            <w:r>
              <w:rPr>
                <w:rFonts w:ascii="Arial" w:hAnsi="Arial" w:cs="Arial"/>
                <w:b/>
                <w:bCs/>
                <w:color w:val="000000"/>
                <w:sz w:val="16"/>
                <w:szCs w:val="16"/>
              </w:rPr>
              <w:t>Citations</w:t>
            </w:r>
          </w:p>
        </w:tc>
      </w:tr>
      <w:tr w:rsidR="00274486" w:rsidTr="00AC6C3B">
        <w:trPr>
          <w:trHeight w:val="240"/>
        </w:trPr>
        <w:tc>
          <w:tcPr>
            <w:tcW w:w="3643" w:type="dxa"/>
            <w:tcBorders>
              <w:top w:val="nil"/>
              <w:left w:val="single" w:sz="8" w:space="0" w:color="009900"/>
              <w:bottom w:val="nil"/>
              <w:right w:val="nil"/>
            </w:tcBorders>
            <w:shd w:val="clear" w:color="000000" w:fill="FFFFE1"/>
            <w:noWrap/>
            <w:vAlign w:val="center"/>
            <w:hideMark/>
          </w:tcPr>
          <w:p w:rsidR="00274486" w:rsidRDefault="00274486" w:rsidP="00274486">
            <w:pPr>
              <w:rPr>
                <w:rFonts w:ascii="Arial" w:hAnsi="Arial" w:cs="Arial"/>
                <w:color w:val="000000"/>
                <w:sz w:val="16"/>
                <w:szCs w:val="16"/>
              </w:rPr>
            </w:pPr>
            <w:r>
              <w:rPr>
                <w:rFonts w:ascii="Arial" w:hAnsi="Arial" w:cs="Arial"/>
                <w:color w:val="000000"/>
                <w:sz w:val="16"/>
                <w:szCs w:val="16"/>
              </w:rPr>
              <w:t>Cost of land or lot</w:t>
            </w:r>
          </w:p>
        </w:tc>
        <w:tc>
          <w:tcPr>
            <w:tcW w:w="901" w:type="dxa"/>
            <w:tcBorders>
              <w:top w:val="nil"/>
              <w:left w:val="nil"/>
              <w:bottom w:val="nil"/>
              <w:right w:val="single" w:sz="8" w:space="0" w:color="009900"/>
            </w:tcBorders>
            <w:shd w:val="clear" w:color="000000" w:fill="FFFFE1"/>
            <w:noWrap/>
            <w:vAlign w:val="center"/>
            <w:hideMark/>
          </w:tcPr>
          <w:p w:rsidR="00274486" w:rsidRDefault="00274486" w:rsidP="00274486">
            <w:pPr>
              <w:jc w:val="center"/>
              <w:rPr>
                <w:rFonts w:ascii="Arial" w:hAnsi="Arial" w:cs="Arial"/>
                <w:color w:val="000000"/>
                <w:sz w:val="16"/>
                <w:szCs w:val="16"/>
              </w:rPr>
            </w:pPr>
            <w:r>
              <w:rPr>
                <w:rFonts w:ascii="Arial" w:hAnsi="Arial" w:cs="Arial"/>
                <w:noProof/>
                <w:color w:val="000000"/>
                <w:sz w:val="16"/>
                <w:szCs w:val="16"/>
              </w:rPr>
              <w:t>133</w:t>
            </w:r>
          </w:p>
        </w:tc>
      </w:tr>
      <w:tr w:rsidR="00274486" w:rsidTr="00AC6C3B">
        <w:trPr>
          <w:trHeight w:val="240"/>
        </w:trPr>
        <w:tc>
          <w:tcPr>
            <w:tcW w:w="3643" w:type="dxa"/>
            <w:tcBorders>
              <w:top w:val="nil"/>
              <w:left w:val="single" w:sz="8" w:space="0" w:color="009900"/>
              <w:bottom w:val="nil"/>
              <w:right w:val="nil"/>
            </w:tcBorders>
            <w:shd w:val="clear" w:color="000000" w:fill="FFFFE1"/>
            <w:noWrap/>
            <w:vAlign w:val="center"/>
            <w:hideMark/>
          </w:tcPr>
          <w:p w:rsidR="00274486" w:rsidRDefault="00274486" w:rsidP="00274486">
            <w:pPr>
              <w:rPr>
                <w:rFonts w:ascii="Arial" w:hAnsi="Arial" w:cs="Arial"/>
                <w:color w:val="000000"/>
                <w:sz w:val="16"/>
                <w:szCs w:val="16"/>
              </w:rPr>
            </w:pPr>
            <w:r>
              <w:rPr>
                <w:rFonts w:ascii="Arial" w:hAnsi="Arial" w:cs="Arial"/>
                <w:color w:val="000000"/>
                <w:sz w:val="16"/>
                <w:szCs w:val="16"/>
              </w:rPr>
              <w:t>Not In My Back Yard (NIMBY) mentality</w:t>
            </w:r>
          </w:p>
        </w:tc>
        <w:tc>
          <w:tcPr>
            <w:tcW w:w="901" w:type="dxa"/>
            <w:tcBorders>
              <w:top w:val="nil"/>
              <w:left w:val="nil"/>
              <w:bottom w:val="nil"/>
              <w:right w:val="single" w:sz="8" w:space="0" w:color="009900"/>
            </w:tcBorders>
            <w:shd w:val="clear" w:color="000000" w:fill="FFFFE1"/>
            <w:noWrap/>
            <w:vAlign w:val="center"/>
            <w:hideMark/>
          </w:tcPr>
          <w:p w:rsidR="00274486" w:rsidRDefault="00274486" w:rsidP="00274486">
            <w:pPr>
              <w:jc w:val="center"/>
              <w:rPr>
                <w:rFonts w:ascii="Arial" w:hAnsi="Arial" w:cs="Arial"/>
                <w:color w:val="000000"/>
                <w:sz w:val="16"/>
                <w:szCs w:val="16"/>
              </w:rPr>
            </w:pPr>
            <w:r>
              <w:rPr>
                <w:rFonts w:ascii="Arial" w:hAnsi="Arial" w:cs="Arial"/>
                <w:noProof/>
                <w:color w:val="000000"/>
                <w:sz w:val="16"/>
                <w:szCs w:val="16"/>
              </w:rPr>
              <w:t>122</w:t>
            </w:r>
          </w:p>
        </w:tc>
      </w:tr>
      <w:tr w:rsidR="00274486" w:rsidTr="00AC6C3B">
        <w:trPr>
          <w:trHeight w:val="240"/>
        </w:trPr>
        <w:tc>
          <w:tcPr>
            <w:tcW w:w="3643" w:type="dxa"/>
            <w:tcBorders>
              <w:top w:val="nil"/>
              <w:left w:val="single" w:sz="8" w:space="0" w:color="009900"/>
              <w:bottom w:val="nil"/>
              <w:right w:val="nil"/>
            </w:tcBorders>
            <w:shd w:val="clear" w:color="000000" w:fill="FFFFE1"/>
            <w:noWrap/>
            <w:vAlign w:val="center"/>
            <w:hideMark/>
          </w:tcPr>
          <w:p w:rsidR="00274486" w:rsidRDefault="00274486" w:rsidP="00274486">
            <w:pPr>
              <w:rPr>
                <w:rFonts w:ascii="Arial" w:hAnsi="Arial" w:cs="Arial"/>
                <w:color w:val="000000"/>
                <w:sz w:val="16"/>
                <w:szCs w:val="16"/>
              </w:rPr>
            </w:pPr>
            <w:r>
              <w:rPr>
                <w:rFonts w:ascii="Arial" w:hAnsi="Arial" w:cs="Arial"/>
                <w:color w:val="000000"/>
                <w:sz w:val="16"/>
                <w:szCs w:val="16"/>
              </w:rPr>
              <w:t>Cost of materials</w:t>
            </w:r>
          </w:p>
        </w:tc>
        <w:tc>
          <w:tcPr>
            <w:tcW w:w="901" w:type="dxa"/>
            <w:tcBorders>
              <w:top w:val="nil"/>
              <w:left w:val="nil"/>
              <w:bottom w:val="nil"/>
              <w:right w:val="single" w:sz="8" w:space="0" w:color="009900"/>
            </w:tcBorders>
            <w:shd w:val="clear" w:color="000000" w:fill="FFFFE1"/>
            <w:noWrap/>
            <w:vAlign w:val="center"/>
            <w:hideMark/>
          </w:tcPr>
          <w:p w:rsidR="00274486" w:rsidRDefault="00274486" w:rsidP="00274486">
            <w:pPr>
              <w:jc w:val="center"/>
              <w:rPr>
                <w:rFonts w:ascii="Arial" w:hAnsi="Arial" w:cs="Arial"/>
                <w:color w:val="000000"/>
                <w:sz w:val="16"/>
                <w:szCs w:val="16"/>
              </w:rPr>
            </w:pPr>
            <w:r>
              <w:rPr>
                <w:rFonts w:ascii="Arial" w:hAnsi="Arial" w:cs="Arial"/>
                <w:noProof/>
                <w:color w:val="000000"/>
                <w:sz w:val="16"/>
                <w:szCs w:val="16"/>
              </w:rPr>
              <w:t>121</w:t>
            </w:r>
          </w:p>
        </w:tc>
      </w:tr>
      <w:tr w:rsidR="00274486" w:rsidTr="00AC6C3B">
        <w:trPr>
          <w:trHeight w:val="240"/>
        </w:trPr>
        <w:tc>
          <w:tcPr>
            <w:tcW w:w="3643" w:type="dxa"/>
            <w:tcBorders>
              <w:top w:val="nil"/>
              <w:left w:val="single" w:sz="8" w:space="0" w:color="009900"/>
              <w:bottom w:val="nil"/>
              <w:right w:val="nil"/>
            </w:tcBorders>
            <w:shd w:val="clear" w:color="000000" w:fill="FFFFE1"/>
            <w:noWrap/>
            <w:vAlign w:val="center"/>
            <w:hideMark/>
          </w:tcPr>
          <w:p w:rsidR="00274486" w:rsidRDefault="00274486" w:rsidP="00274486">
            <w:pPr>
              <w:rPr>
                <w:rFonts w:ascii="Arial" w:hAnsi="Arial" w:cs="Arial"/>
                <w:color w:val="000000"/>
                <w:sz w:val="16"/>
                <w:szCs w:val="16"/>
              </w:rPr>
            </w:pPr>
            <w:r>
              <w:rPr>
                <w:rFonts w:ascii="Arial" w:hAnsi="Arial" w:cs="Arial"/>
                <w:color w:val="000000"/>
                <w:sz w:val="16"/>
                <w:szCs w:val="16"/>
              </w:rPr>
              <w:t>Cost of labor</w:t>
            </w:r>
          </w:p>
        </w:tc>
        <w:tc>
          <w:tcPr>
            <w:tcW w:w="901" w:type="dxa"/>
            <w:tcBorders>
              <w:top w:val="nil"/>
              <w:left w:val="nil"/>
              <w:bottom w:val="nil"/>
              <w:right w:val="single" w:sz="8" w:space="0" w:color="009900"/>
            </w:tcBorders>
            <w:shd w:val="clear" w:color="000000" w:fill="FFFFE1"/>
            <w:noWrap/>
            <w:vAlign w:val="center"/>
            <w:hideMark/>
          </w:tcPr>
          <w:p w:rsidR="00274486" w:rsidRDefault="00274486" w:rsidP="00274486">
            <w:pPr>
              <w:jc w:val="center"/>
              <w:rPr>
                <w:rFonts w:ascii="Arial" w:hAnsi="Arial" w:cs="Arial"/>
                <w:color w:val="000000"/>
                <w:sz w:val="16"/>
                <w:szCs w:val="16"/>
              </w:rPr>
            </w:pPr>
            <w:r>
              <w:rPr>
                <w:rFonts w:ascii="Arial" w:hAnsi="Arial" w:cs="Arial"/>
                <w:noProof/>
                <w:color w:val="000000"/>
                <w:sz w:val="16"/>
                <w:szCs w:val="16"/>
              </w:rPr>
              <w:t>106</w:t>
            </w:r>
          </w:p>
        </w:tc>
      </w:tr>
      <w:tr w:rsidR="00274486" w:rsidTr="00AC6C3B">
        <w:trPr>
          <w:trHeight w:val="240"/>
        </w:trPr>
        <w:tc>
          <w:tcPr>
            <w:tcW w:w="3643" w:type="dxa"/>
            <w:tcBorders>
              <w:top w:val="nil"/>
              <w:left w:val="single" w:sz="8" w:space="0" w:color="009900"/>
              <w:bottom w:val="nil"/>
              <w:right w:val="nil"/>
            </w:tcBorders>
            <w:shd w:val="clear" w:color="000000" w:fill="FFFFE1"/>
            <w:noWrap/>
            <w:vAlign w:val="center"/>
            <w:hideMark/>
          </w:tcPr>
          <w:p w:rsidR="00274486" w:rsidRDefault="00274486" w:rsidP="00274486">
            <w:pPr>
              <w:rPr>
                <w:rFonts w:ascii="Arial" w:hAnsi="Arial" w:cs="Arial"/>
                <w:color w:val="000000"/>
                <w:sz w:val="16"/>
                <w:szCs w:val="16"/>
              </w:rPr>
            </w:pPr>
            <w:r>
              <w:rPr>
                <w:rFonts w:ascii="Arial" w:hAnsi="Arial" w:cs="Arial"/>
                <w:color w:val="000000"/>
                <w:sz w:val="16"/>
                <w:szCs w:val="16"/>
              </w:rPr>
              <w:t>Lack of Affordable housing development policies</w:t>
            </w:r>
          </w:p>
        </w:tc>
        <w:tc>
          <w:tcPr>
            <w:tcW w:w="901" w:type="dxa"/>
            <w:tcBorders>
              <w:top w:val="nil"/>
              <w:left w:val="nil"/>
              <w:bottom w:val="nil"/>
              <w:right w:val="single" w:sz="8" w:space="0" w:color="009900"/>
            </w:tcBorders>
            <w:shd w:val="clear" w:color="000000" w:fill="FFFFE1"/>
            <w:noWrap/>
            <w:vAlign w:val="center"/>
            <w:hideMark/>
          </w:tcPr>
          <w:p w:rsidR="00274486" w:rsidRDefault="00274486" w:rsidP="00274486">
            <w:pPr>
              <w:jc w:val="center"/>
              <w:rPr>
                <w:rFonts w:ascii="Arial" w:hAnsi="Arial" w:cs="Arial"/>
                <w:color w:val="000000"/>
                <w:sz w:val="16"/>
                <w:szCs w:val="16"/>
              </w:rPr>
            </w:pPr>
            <w:r>
              <w:rPr>
                <w:rFonts w:ascii="Arial" w:hAnsi="Arial" w:cs="Arial"/>
                <w:noProof/>
                <w:color w:val="000000"/>
                <w:sz w:val="16"/>
                <w:szCs w:val="16"/>
              </w:rPr>
              <w:t>96</w:t>
            </w:r>
          </w:p>
        </w:tc>
      </w:tr>
      <w:tr w:rsidR="00274486" w:rsidTr="00AC6C3B">
        <w:trPr>
          <w:trHeight w:val="240"/>
        </w:trPr>
        <w:tc>
          <w:tcPr>
            <w:tcW w:w="3643" w:type="dxa"/>
            <w:tcBorders>
              <w:top w:val="nil"/>
              <w:left w:val="single" w:sz="8" w:space="0" w:color="009900"/>
              <w:bottom w:val="nil"/>
              <w:right w:val="nil"/>
            </w:tcBorders>
            <w:shd w:val="clear" w:color="000000" w:fill="FFFFE1"/>
            <w:noWrap/>
            <w:vAlign w:val="center"/>
            <w:hideMark/>
          </w:tcPr>
          <w:p w:rsidR="00274486" w:rsidRDefault="00274486" w:rsidP="00274486">
            <w:pPr>
              <w:rPr>
                <w:rFonts w:ascii="Arial" w:hAnsi="Arial" w:cs="Arial"/>
                <w:color w:val="000000"/>
                <w:sz w:val="16"/>
                <w:szCs w:val="16"/>
              </w:rPr>
            </w:pPr>
            <w:r>
              <w:rPr>
                <w:rFonts w:ascii="Arial" w:hAnsi="Arial" w:cs="Arial"/>
                <w:color w:val="000000"/>
                <w:sz w:val="16"/>
                <w:szCs w:val="16"/>
              </w:rPr>
              <w:t>Lack of other infrastructure</w:t>
            </w:r>
          </w:p>
        </w:tc>
        <w:tc>
          <w:tcPr>
            <w:tcW w:w="901" w:type="dxa"/>
            <w:tcBorders>
              <w:top w:val="nil"/>
              <w:left w:val="nil"/>
              <w:bottom w:val="nil"/>
              <w:right w:val="single" w:sz="8" w:space="0" w:color="009900"/>
            </w:tcBorders>
            <w:shd w:val="clear" w:color="000000" w:fill="FFFFE1"/>
            <w:noWrap/>
            <w:vAlign w:val="center"/>
            <w:hideMark/>
          </w:tcPr>
          <w:p w:rsidR="00274486" w:rsidRDefault="00274486" w:rsidP="00274486">
            <w:pPr>
              <w:jc w:val="center"/>
              <w:rPr>
                <w:rFonts w:ascii="Arial" w:hAnsi="Arial" w:cs="Arial"/>
                <w:color w:val="000000"/>
                <w:sz w:val="16"/>
                <w:szCs w:val="16"/>
              </w:rPr>
            </w:pPr>
            <w:r>
              <w:rPr>
                <w:rFonts w:ascii="Arial" w:hAnsi="Arial" w:cs="Arial"/>
                <w:noProof/>
                <w:color w:val="000000"/>
                <w:sz w:val="16"/>
                <w:szCs w:val="16"/>
              </w:rPr>
              <w:t>95</w:t>
            </w:r>
          </w:p>
        </w:tc>
      </w:tr>
      <w:tr w:rsidR="00274486" w:rsidTr="00AC6C3B">
        <w:trPr>
          <w:trHeight w:val="240"/>
        </w:trPr>
        <w:tc>
          <w:tcPr>
            <w:tcW w:w="3643" w:type="dxa"/>
            <w:tcBorders>
              <w:top w:val="nil"/>
              <w:left w:val="single" w:sz="8" w:space="0" w:color="009900"/>
              <w:bottom w:val="nil"/>
              <w:right w:val="nil"/>
            </w:tcBorders>
            <w:shd w:val="clear" w:color="000000" w:fill="FFFFE1"/>
            <w:noWrap/>
            <w:vAlign w:val="center"/>
            <w:hideMark/>
          </w:tcPr>
          <w:p w:rsidR="00274486" w:rsidRDefault="00274486" w:rsidP="00274486">
            <w:pPr>
              <w:rPr>
                <w:rFonts w:ascii="Arial" w:hAnsi="Arial" w:cs="Arial"/>
                <w:color w:val="000000"/>
                <w:sz w:val="16"/>
                <w:szCs w:val="16"/>
              </w:rPr>
            </w:pPr>
            <w:r>
              <w:rPr>
                <w:rFonts w:ascii="Arial" w:hAnsi="Arial" w:cs="Arial"/>
                <w:color w:val="000000"/>
                <w:sz w:val="16"/>
                <w:szCs w:val="16"/>
              </w:rPr>
              <w:t>Permitting process</w:t>
            </w:r>
          </w:p>
        </w:tc>
        <w:tc>
          <w:tcPr>
            <w:tcW w:w="901" w:type="dxa"/>
            <w:tcBorders>
              <w:top w:val="nil"/>
              <w:left w:val="nil"/>
              <w:bottom w:val="nil"/>
              <w:right w:val="single" w:sz="8" w:space="0" w:color="009900"/>
            </w:tcBorders>
            <w:shd w:val="clear" w:color="000000" w:fill="FFFFE1"/>
            <w:noWrap/>
            <w:vAlign w:val="center"/>
            <w:hideMark/>
          </w:tcPr>
          <w:p w:rsidR="00274486" w:rsidRDefault="00274486" w:rsidP="00274486">
            <w:pPr>
              <w:jc w:val="center"/>
              <w:rPr>
                <w:rFonts w:ascii="Arial" w:hAnsi="Arial" w:cs="Arial"/>
                <w:color w:val="000000"/>
                <w:sz w:val="16"/>
                <w:szCs w:val="16"/>
              </w:rPr>
            </w:pPr>
            <w:r>
              <w:rPr>
                <w:rFonts w:ascii="Arial" w:hAnsi="Arial" w:cs="Arial"/>
                <w:noProof/>
                <w:color w:val="000000"/>
                <w:sz w:val="16"/>
                <w:szCs w:val="16"/>
              </w:rPr>
              <w:t>79</w:t>
            </w:r>
          </w:p>
        </w:tc>
      </w:tr>
      <w:tr w:rsidR="00274486" w:rsidTr="00AC6C3B">
        <w:trPr>
          <w:trHeight w:val="240"/>
        </w:trPr>
        <w:tc>
          <w:tcPr>
            <w:tcW w:w="3643" w:type="dxa"/>
            <w:tcBorders>
              <w:top w:val="nil"/>
              <w:left w:val="single" w:sz="8" w:space="0" w:color="009900"/>
              <w:bottom w:val="nil"/>
              <w:right w:val="nil"/>
            </w:tcBorders>
            <w:shd w:val="clear" w:color="000000" w:fill="FFFFE1"/>
            <w:noWrap/>
            <w:vAlign w:val="center"/>
            <w:hideMark/>
          </w:tcPr>
          <w:p w:rsidR="00274486" w:rsidRDefault="00274486" w:rsidP="00274486">
            <w:pPr>
              <w:rPr>
                <w:rFonts w:ascii="Arial" w:hAnsi="Arial" w:cs="Arial"/>
                <w:color w:val="000000"/>
                <w:sz w:val="16"/>
                <w:szCs w:val="16"/>
              </w:rPr>
            </w:pPr>
            <w:r>
              <w:rPr>
                <w:rFonts w:ascii="Arial" w:hAnsi="Arial" w:cs="Arial"/>
                <w:color w:val="000000"/>
                <w:sz w:val="16"/>
                <w:szCs w:val="16"/>
              </w:rPr>
              <w:t>Lack of water system</w:t>
            </w:r>
          </w:p>
        </w:tc>
        <w:tc>
          <w:tcPr>
            <w:tcW w:w="901" w:type="dxa"/>
            <w:tcBorders>
              <w:top w:val="nil"/>
              <w:left w:val="nil"/>
              <w:bottom w:val="nil"/>
              <w:right w:val="single" w:sz="8" w:space="0" w:color="009900"/>
            </w:tcBorders>
            <w:shd w:val="clear" w:color="000000" w:fill="FFFFE1"/>
            <w:noWrap/>
            <w:vAlign w:val="center"/>
            <w:hideMark/>
          </w:tcPr>
          <w:p w:rsidR="00274486" w:rsidRDefault="00274486" w:rsidP="00274486">
            <w:pPr>
              <w:jc w:val="center"/>
              <w:rPr>
                <w:rFonts w:ascii="Arial" w:hAnsi="Arial" w:cs="Arial"/>
                <w:color w:val="000000"/>
                <w:sz w:val="16"/>
                <w:szCs w:val="16"/>
              </w:rPr>
            </w:pPr>
            <w:r>
              <w:rPr>
                <w:rFonts w:ascii="Arial" w:hAnsi="Arial" w:cs="Arial"/>
                <w:noProof/>
                <w:color w:val="000000"/>
                <w:sz w:val="16"/>
                <w:szCs w:val="16"/>
              </w:rPr>
              <w:t>78</w:t>
            </w:r>
          </w:p>
        </w:tc>
      </w:tr>
      <w:tr w:rsidR="00274486" w:rsidTr="00AC6C3B">
        <w:trPr>
          <w:trHeight w:val="240"/>
        </w:trPr>
        <w:tc>
          <w:tcPr>
            <w:tcW w:w="3643" w:type="dxa"/>
            <w:tcBorders>
              <w:top w:val="nil"/>
              <w:left w:val="single" w:sz="8" w:space="0" w:color="009900"/>
              <w:bottom w:val="nil"/>
              <w:right w:val="nil"/>
            </w:tcBorders>
            <w:shd w:val="clear" w:color="000000" w:fill="FFFFE1"/>
            <w:noWrap/>
            <w:vAlign w:val="center"/>
            <w:hideMark/>
          </w:tcPr>
          <w:p w:rsidR="00274486" w:rsidRDefault="00274486" w:rsidP="00274486">
            <w:pPr>
              <w:rPr>
                <w:rFonts w:ascii="Arial" w:hAnsi="Arial" w:cs="Arial"/>
                <w:color w:val="000000"/>
                <w:sz w:val="16"/>
                <w:szCs w:val="16"/>
              </w:rPr>
            </w:pPr>
            <w:r>
              <w:rPr>
                <w:rFonts w:ascii="Arial" w:hAnsi="Arial" w:cs="Arial"/>
                <w:color w:val="000000"/>
                <w:sz w:val="16"/>
                <w:szCs w:val="16"/>
              </w:rPr>
              <w:t>Lack of sewer system</w:t>
            </w:r>
          </w:p>
        </w:tc>
        <w:tc>
          <w:tcPr>
            <w:tcW w:w="901" w:type="dxa"/>
            <w:tcBorders>
              <w:top w:val="nil"/>
              <w:left w:val="nil"/>
              <w:bottom w:val="nil"/>
              <w:right w:val="single" w:sz="8" w:space="0" w:color="009900"/>
            </w:tcBorders>
            <w:shd w:val="clear" w:color="000000" w:fill="FFFFE1"/>
            <w:noWrap/>
            <w:vAlign w:val="center"/>
            <w:hideMark/>
          </w:tcPr>
          <w:p w:rsidR="00274486" w:rsidRDefault="00274486" w:rsidP="00274486">
            <w:pPr>
              <w:jc w:val="center"/>
              <w:rPr>
                <w:rFonts w:ascii="Arial" w:hAnsi="Arial" w:cs="Arial"/>
                <w:color w:val="000000"/>
                <w:sz w:val="16"/>
                <w:szCs w:val="16"/>
              </w:rPr>
            </w:pPr>
            <w:r>
              <w:rPr>
                <w:rFonts w:ascii="Arial" w:hAnsi="Arial" w:cs="Arial"/>
                <w:noProof/>
                <w:color w:val="000000"/>
                <w:sz w:val="16"/>
                <w:szCs w:val="16"/>
              </w:rPr>
              <w:t>76</w:t>
            </w:r>
          </w:p>
        </w:tc>
      </w:tr>
      <w:tr w:rsidR="00274486" w:rsidTr="00AC6C3B">
        <w:trPr>
          <w:trHeight w:val="240"/>
        </w:trPr>
        <w:tc>
          <w:tcPr>
            <w:tcW w:w="3643" w:type="dxa"/>
            <w:tcBorders>
              <w:top w:val="nil"/>
              <w:left w:val="single" w:sz="8" w:space="0" w:color="009900"/>
              <w:bottom w:val="nil"/>
              <w:right w:val="nil"/>
            </w:tcBorders>
            <w:shd w:val="clear" w:color="000000" w:fill="FFFFE1"/>
            <w:noWrap/>
            <w:vAlign w:val="center"/>
            <w:hideMark/>
          </w:tcPr>
          <w:p w:rsidR="00274486" w:rsidRDefault="00274486" w:rsidP="00274486">
            <w:pPr>
              <w:rPr>
                <w:rFonts w:ascii="Arial" w:hAnsi="Arial" w:cs="Arial"/>
                <w:color w:val="000000"/>
                <w:sz w:val="16"/>
                <w:szCs w:val="16"/>
              </w:rPr>
            </w:pPr>
            <w:r>
              <w:rPr>
                <w:rFonts w:ascii="Arial" w:hAnsi="Arial" w:cs="Arial"/>
                <w:color w:val="000000"/>
                <w:sz w:val="16"/>
                <w:szCs w:val="16"/>
              </w:rPr>
              <w:t>Construction fees</w:t>
            </w:r>
          </w:p>
        </w:tc>
        <w:tc>
          <w:tcPr>
            <w:tcW w:w="901" w:type="dxa"/>
            <w:tcBorders>
              <w:top w:val="nil"/>
              <w:left w:val="nil"/>
              <w:bottom w:val="nil"/>
              <w:right w:val="single" w:sz="8" w:space="0" w:color="009900"/>
            </w:tcBorders>
            <w:shd w:val="clear" w:color="000000" w:fill="FFFFE1"/>
            <w:noWrap/>
            <w:vAlign w:val="center"/>
            <w:hideMark/>
          </w:tcPr>
          <w:p w:rsidR="00274486" w:rsidRDefault="00274486" w:rsidP="00274486">
            <w:pPr>
              <w:jc w:val="center"/>
              <w:rPr>
                <w:rFonts w:ascii="Arial" w:hAnsi="Arial" w:cs="Arial"/>
                <w:color w:val="000000"/>
                <w:sz w:val="16"/>
                <w:szCs w:val="16"/>
              </w:rPr>
            </w:pPr>
            <w:r>
              <w:rPr>
                <w:rFonts w:ascii="Arial" w:hAnsi="Arial" w:cs="Arial"/>
                <w:noProof/>
                <w:color w:val="000000"/>
                <w:sz w:val="16"/>
                <w:szCs w:val="16"/>
              </w:rPr>
              <w:t>63</w:t>
            </w:r>
          </w:p>
        </w:tc>
      </w:tr>
      <w:tr w:rsidR="00274486" w:rsidTr="00AC6C3B">
        <w:trPr>
          <w:trHeight w:val="240"/>
        </w:trPr>
        <w:tc>
          <w:tcPr>
            <w:tcW w:w="3643" w:type="dxa"/>
            <w:tcBorders>
              <w:top w:val="nil"/>
              <w:left w:val="single" w:sz="8" w:space="0" w:color="009900"/>
              <w:bottom w:val="nil"/>
              <w:right w:val="nil"/>
            </w:tcBorders>
            <w:shd w:val="clear" w:color="000000" w:fill="FFFFE1"/>
            <w:noWrap/>
            <w:vAlign w:val="center"/>
            <w:hideMark/>
          </w:tcPr>
          <w:p w:rsidR="00274486" w:rsidRDefault="00274486" w:rsidP="00274486">
            <w:pPr>
              <w:rPr>
                <w:rFonts w:ascii="Arial" w:hAnsi="Arial" w:cs="Arial"/>
                <w:color w:val="000000"/>
                <w:sz w:val="16"/>
                <w:szCs w:val="16"/>
              </w:rPr>
            </w:pPr>
            <w:r>
              <w:rPr>
                <w:rFonts w:ascii="Arial" w:hAnsi="Arial" w:cs="Arial"/>
                <w:color w:val="000000"/>
                <w:sz w:val="16"/>
                <w:szCs w:val="16"/>
              </w:rPr>
              <w:t>Lack of water</w:t>
            </w:r>
          </w:p>
        </w:tc>
        <w:tc>
          <w:tcPr>
            <w:tcW w:w="901" w:type="dxa"/>
            <w:tcBorders>
              <w:top w:val="nil"/>
              <w:left w:val="nil"/>
              <w:bottom w:val="nil"/>
              <w:right w:val="single" w:sz="8" w:space="0" w:color="009900"/>
            </w:tcBorders>
            <w:shd w:val="clear" w:color="000000" w:fill="FFFFE1"/>
            <w:noWrap/>
            <w:vAlign w:val="center"/>
            <w:hideMark/>
          </w:tcPr>
          <w:p w:rsidR="00274486" w:rsidRDefault="00274486" w:rsidP="00274486">
            <w:pPr>
              <w:jc w:val="center"/>
              <w:rPr>
                <w:rFonts w:ascii="Arial" w:hAnsi="Arial" w:cs="Arial"/>
                <w:color w:val="000000"/>
                <w:sz w:val="16"/>
                <w:szCs w:val="16"/>
              </w:rPr>
            </w:pPr>
            <w:r>
              <w:rPr>
                <w:rFonts w:ascii="Arial" w:hAnsi="Arial" w:cs="Arial"/>
                <w:noProof/>
                <w:color w:val="000000"/>
                <w:sz w:val="16"/>
                <w:szCs w:val="16"/>
              </w:rPr>
              <w:t>62</w:t>
            </w:r>
          </w:p>
        </w:tc>
      </w:tr>
      <w:tr w:rsidR="00274486" w:rsidTr="00AC6C3B">
        <w:trPr>
          <w:trHeight w:val="240"/>
        </w:trPr>
        <w:tc>
          <w:tcPr>
            <w:tcW w:w="3643" w:type="dxa"/>
            <w:tcBorders>
              <w:top w:val="nil"/>
              <w:left w:val="single" w:sz="8" w:space="0" w:color="009900"/>
              <w:bottom w:val="nil"/>
              <w:right w:val="nil"/>
            </w:tcBorders>
            <w:shd w:val="clear" w:color="000000" w:fill="FFFFE1"/>
            <w:noWrap/>
            <w:vAlign w:val="center"/>
            <w:hideMark/>
          </w:tcPr>
          <w:p w:rsidR="00274486" w:rsidRDefault="00274486" w:rsidP="00274486">
            <w:pPr>
              <w:rPr>
                <w:rFonts w:ascii="Arial" w:hAnsi="Arial" w:cs="Arial"/>
                <w:color w:val="000000"/>
                <w:sz w:val="16"/>
                <w:szCs w:val="16"/>
              </w:rPr>
            </w:pPr>
            <w:r>
              <w:rPr>
                <w:rFonts w:ascii="Arial" w:hAnsi="Arial" w:cs="Arial"/>
                <w:color w:val="000000"/>
                <w:sz w:val="16"/>
                <w:szCs w:val="16"/>
              </w:rPr>
              <w:t>Permitting fees</w:t>
            </w:r>
          </w:p>
        </w:tc>
        <w:tc>
          <w:tcPr>
            <w:tcW w:w="901" w:type="dxa"/>
            <w:tcBorders>
              <w:top w:val="nil"/>
              <w:left w:val="nil"/>
              <w:bottom w:val="nil"/>
              <w:right w:val="single" w:sz="8" w:space="0" w:color="009900"/>
            </w:tcBorders>
            <w:shd w:val="clear" w:color="000000" w:fill="FFFFE1"/>
            <w:noWrap/>
            <w:vAlign w:val="center"/>
            <w:hideMark/>
          </w:tcPr>
          <w:p w:rsidR="00274486" w:rsidRDefault="00274486" w:rsidP="00274486">
            <w:pPr>
              <w:jc w:val="center"/>
              <w:rPr>
                <w:rFonts w:ascii="Arial" w:hAnsi="Arial" w:cs="Arial"/>
                <w:color w:val="000000"/>
                <w:sz w:val="16"/>
                <w:szCs w:val="16"/>
              </w:rPr>
            </w:pPr>
            <w:r>
              <w:rPr>
                <w:rFonts w:ascii="Arial" w:hAnsi="Arial" w:cs="Arial"/>
                <w:noProof/>
                <w:color w:val="000000"/>
                <w:sz w:val="16"/>
                <w:szCs w:val="16"/>
              </w:rPr>
              <w:t>54</w:t>
            </w:r>
          </w:p>
        </w:tc>
      </w:tr>
      <w:tr w:rsidR="00274486" w:rsidTr="00AC6C3B">
        <w:trPr>
          <w:trHeight w:val="240"/>
        </w:trPr>
        <w:tc>
          <w:tcPr>
            <w:tcW w:w="3643" w:type="dxa"/>
            <w:tcBorders>
              <w:top w:val="nil"/>
              <w:left w:val="single" w:sz="8" w:space="0" w:color="009900"/>
              <w:bottom w:val="nil"/>
              <w:right w:val="nil"/>
            </w:tcBorders>
            <w:shd w:val="clear" w:color="000000" w:fill="FFFFE1"/>
            <w:noWrap/>
            <w:vAlign w:val="center"/>
            <w:hideMark/>
          </w:tcPr>
          <w:p w:rsidR="00274486" w:rsidRDefault="00274486" w:rsidP="00274486">
            <w:pPr>
              <w:rPr>
                <w:rFonts w:ascii="Arial" w:hAnsi="Arial" w:cs="Arial"/>
                <w:color w:val="000000"/>
                <w:sz w:val="16"/>
                <w:szCs w:val="16"/>
              </w:rPr>
            </w:pPr>
            <w:r>
              <w:rPr>
                <w:rFonts w:ascii="Arial" w:hAnsi="Arial" w:cs="Arial"/>
                <w:color w:val="000000"/>
                <w:sz w:val="16"/>
                <w:szCs w:val="16"/>
              </w:rPr>
              <w:t>Impact fees</w:t>
            </w:r>
          </w:p>
        </w:tc>
        <w:tc>
          <w:tcPr>
            <w:tcW w:w="901" w:type="dxa"/>
            <w:tcBorders>
              <w:top w:val="nil"/>
              <w:left w:val="nil"/>
              <w:bottom w:val="nil"/>
              <w:right w:val="single" w:sz="8" w:space="0" w:color="009900"/>
            </w:tcBorders>
            <w:shd w:val="clear" w:color="000000" w:fill="FFFFE1"/>
            <w:noWrap/>
            <w:vAlign w:val="center"/>
            <w:hideMark/>
          </w:tcPr>
          <w:p w:rsidR="00274486" w:rsidRDefault="00274486" w:rsidP="00274486">
            <w:pPr>
              <w:jc w:val="center"/>
              <w:rPr>
                <w:rFonts w:ascii="Arial" w:hAnsi="Arial" w:cs="Arial"/>
                <w:color w:val="000000"/>
                <w:sz w:val="16"/>
                <w:szCs w:val="16"/>
              </w:rPr>
            </w:pPr>
            <w:r>
              <w:rPr>
                <w:rFonts w:ascii="Arial" w:hAnsi="Arial" w:cs="Arial"/>
                <w:noProof/>
                <w:color w:val="000000"/>
                <w:sz w:val="16"/>
                <w:szCs w:val="16"/>
              </w:rPr>
              <w:t>54</w:t>
            </w:r>
          </w:p>
        </w:tc>
      </w:tr>
      <w:tr w:rsidR="00274486" w:rsidTr="00AC6C3B">
        <w:trPr>
          <w:trHeight w:val="240"/>
        </w:trPr>
        <w:tc>
          <w:tcPr>
            <w:tcW w:w="3643" w:type="dxa"/>
            <w:tcBorders>
              <w:top w:val="nil"/>
              <w:left w:val="single" w:sz="8" w:space="0" w:color="009900"/>
              <w:bottom w:val="nil"/>
              <w:right w:val="nil"/>
            </w:tcBorders>
            <w:shd w:val="clear" w:color="000000" w:fill="FFFFE1"/>
            <w:noWrap/>
            <w:vAlign w:val="center"/>
            <w:hideMark/>
          </w:tcPr>
          <w:p w:rsidR="00274486" w:rsidRDefault="00274486" w:rsidP="00274486">
            <w:pPr>
              <w:rPr>
                <w:rFonts w:ascii="Arial" w:hAnsi="Arial" w:cs="Arial"/>
                <w:color w:val="000000"/>
                <w:sz w:val="16"/>
                <w:szCs w:val="16"/>
              </w:rPr>
            </w:pPr>
            <w:r>
              <w:rPr>
                <w:rFonts w:ascii="Arial" w:hAnsi="Arial" w:cs="Arial"/>
                <w:color w:val="000000"/>
                <w:sz w:val="16"/>
                <w:szCs w:val="16"/>
              </w:rPr>
              <w:t>Density or other zoning requirements</w:t>
            </w:r>
          </w:p>
        </w:tc>
        <w:tc>
          <w:tcPr>
            <w:tcW w:w="901" w:type="dxa"/>
            <w:tcBorders>
              <w:top w:val="nil"/>
              <w:left w:val="nil"/>
              <w:bottom w:val="nil"/>
              <w:right w:val="single" w:sz="8" w:space="0" w:color="009900"/>
            </w:tcBorders>
            <w:shd w:val="clear" w:color="000000" w:fill="FFFFE1"/>
            <w:noWrap/>
            <w:vAlign w:val="center"/>
            <w:hideMark/>
          </w:tcPr>
          <w:p w:rsidR="00274486" w:rsidRDefault="00274486" w:rsidP="00274486">
            <w:pPr>
              <w:jc w:val="center"/>
              <w:rPr>
                <w:rFonts w:ascii="Arial" w:hAnsi="Arial" w:cs="Arial"/>
                <w:color w:val="000000"/>
                <w:sz w:val="16"/>
                <w:szCs w:val="16"/>
              </w:rPr>
            </w:pPr>
            <w:r>
              <w:rPr>
                <w:rFonts w:ascii="Arial" w:hAnsi="Arial" w:cs="Arial"/>
                <w:noProof/>
                <w:color w:val="000000"/>
                <w:sz w:val="16"/>
                <w:szCs w:val="16"/>
              </w:rPr>
              <w:t>53</w:t>
            </w:r>
          </w:p>
        </w:tc>
      </w:tr>
      <w:tr w:rsidR="00274486" w:rsidTr="00AC6C3B">
        <w:trPr>
          <w:trHeight w:val="240"/>
        </w:trPr>
        <w:tc>
          <w:tcPr>
            <w:tcW w:w="3643" w:type="dxa"/>
            <w:tcBorders>
              <w:top w:val="nil"/>
              <w:left w:val="single" w:sz="8" w:space="0" w:color="009900"/>
              <w:bottom w:val="nil"/>
              <w:right w:val="nil"/>
            </w:tcBorders>
            <w:shd w:val="clear" w:color="000000" w:fill="FFFFE1"/>
            <w:noWrap/>
            <w:vAlign w:val="center"/>
            <w:hideMark/>
          </w:tcPr>
          <w:p w:rsidR="00274486" w:rsidRDefault="00274486" w:rsidP="00274486">
            <w:pPr>
              <w:rPr>
                <w:rFonts w:ascii="Arial" w:hAnsi="Arial" w:cs="Arial"/>
                <w:color w:val="000000"/>
                <w:sz w:val="16"/>
                <w:szCs w:val="16"/>
              </w:rPr>
            </w:pPr>
            <w:r>
              <w:rPr>
                <w:rFonts w:ascii="Arial" w:hAnsi="Arial" w:cs="Arial"/>
                <w:color w:val="000000"/>
                <w:sz w:val="16"/>
                <w:szCs w:val="16"/>
              </w:rPr>
              <w:t>Lack of qualified contractors or builders</w:t>
            </w:r>
          </w:p>
        </w:tc>
        <w:tc>
          <w:tcPr>
            <w:tcW w:w="901" w:type="dxa"/>
            <w:tcBorders>
              <w:top w:val="nil"/>
              <w:left w:val="nil"/>
              <w:bottom w:val="nil"/>
              <w:right w:val="single" w:sz="8" w:space="0" w:color="009900"/>
            </w:tcBorders>
            <w:shd w:val="clear" w:color="000000" w:fill="FFFFE1"/>
            <w:noWrap/>
            <w:vAlign w:val="center"/>
            <w:hideMark/>
          </w:tcPr>
          <w:p w:rsidR="00274486" w:rsidRDefault="00274486" w:rsidP="00274486">
            <w:pPr>
              <w:jc w:val="center"/>
              <w:rPr>
                <w:rFonts w:ascii="Arial" w:hAnsi="Arial" w:cs="Arial"/>
                <w:color w:val="000000"/>
                <w:sz w:val="16"/>
                <w:szCs w:val="16"/>
              </w:rPr>
            </w:pPr>
            <w:r>
              <w:rPr>
                <w:rFonts w:ascii="Arial" w:hAnsi="Arial" w:cs="Arial"/>
                <w:noProof/>
                <w:color w:val="000000"/>
                <w:sz w:val="16"/>
                <w:szCs w:val="16"/>
              </w:rPr>
              <w:t>52</w:t>
            </w:r>
          </w:p>
        </w:tc>
      </w:tr>
      <w:tr w:rsidR="00274486" w:rsidTr="00AC6C3B">
        <w:trPr>
          <w:trHeight w:val="240"/>
        </w:trPr>
        <w:tc>
          <w:tcPr>
            <w:tcW w:w="3643" w:type="dxa"/>
            <w:tcBorders>
              <w:top w:val="nil"/>
              <w:left w:val="single" w:sz="8" w:space="0" w:color="009900"/>
              <w:bottom w:val="nil"/>
              <w:right w:val="nil"/>
            </w:tcBorders>
            <w:shd w:val="clear" w:color="000000" w:fill="FFFFE1"/>
            <w:noWrap/>
            <w:vAlign w:val="center"/>
            <w:hideMark/>
          </w:tcPr>
          <w:p w:rsidR="00274486" w:rsidRDefault="00274486" w:rsidP="00274486">
            <w:pPr>
              <w:rPr>
                <w:rFonts w:ascii="Arial" w:hAnsi="Arial" w:cs="Arial"/>
                <w:color w:val="000000"/>
                <w:sz w:val="16"/>
                <w:szCs w:val="16"/>
              </w:rPr>
            </w:pPr>
            <w:r>
              <w:rPr>
                <w:rFonts w:ascii="Arial" w:hAnsi="Arial" w:cs="Arial"/>
                <w:color w:val="000000"/>
                <w:sz w:val="16"/>
                <w:szCs w:val="16"/>
              </w:rPr>
              <w:t>Lack of available land</w:t>
            </w:r>
          </w:p>
        </w:tc>
        <w:tc>
          <w:tcPr>
            <w:tcW w:w="901" w:type="dxa"/>
            <w:tcBorders>
              <w:top w:val="nil"/>
              <w:left w:val="nil"/>
              <w:bottom w:val="nil"/>
              <w:right w:val="single" w:sz="8" w:space="0" w:color="009900"/>
            </w:tcBorders>
            <w:shd w:val="clear" w:color="000000" w:fill="FFFFE1"/>
            <w:noWrap/>
            <w:vAlign w:val="center"/>
            <w:hideMark/>
          </w:tcPr>
          <w:p w:rsidR="00274486" w:rsidRDefault="00274486" w:rsidP="00274486">
            <w:pPr>
              <w:jc w:val="center"/>
              <w:rPr>
                <w:rFonts w:ascii="Arial" w:hAnsi="Arial" w:cs="Arial"/>
                <w:color w:val="000000"/>
                <w:sz w:val="16"/>
                <w:szCs w:val="16"/>
              </w:rPr>
            </w:pPr>
            <w:r>
              <w:rPr>
                <w:rFonts w:ascii="Arial" w:hAnsi="Arial" w:cs="Arial"/>
                <w:noProof/>
                <w:color w:val="000000"/>
                <w:sz w:val="16"/>
                <w:szCs w:val="16"/>
              </w:rPr>
              <w:t>52</w:t>
            </w:r>
          </w:p>
        </w:tc>
      </w:tr>
      <w:tr w:rsidR="00274486" w:rsidTr="00AC6C3B">
        <w:trPr>
          <w:trHeight w:val="240"/>
        </w:trPr>
        <w:tc>
          <w:tcPr>
            <w:tcW w:w="3643" w:type="dxa"/>
            <w:tcBorders>
              <w:top w:val="nil"/>
              <w:left w:val="single" w:sz="8" w:space="0" w:color="009900"/>
              <w:bottom w:val="nil"/>
              <w:right w:val="nil"/>
            </w:tcBorders>
            <w:shd w:val="clear" w:color="000000" w:fill="FFFFE1"/>
            <w:noWrap/>
            <w:vAlign w:val="center"/>
            <w:hideMark/>
          </w:tcPr>
          <w:p w:rsidR="00274486" w:rsidRDefault="00274486" w:rsidP="00274486">
            <w:pPr>
              <w:rPr>
                <w:rFonts w:ascii="Arial" w:hAnsi="Arial" w:cs="Arial"/>
                <w:color w:val="000000"/>
                <w:sz w:val="16"/>
                <w:szCs w:val="16"/>
              </w:rPr>
            </w:pPr>
            <w:r>
              <w:rPr>
                <w:rFonts w:ascii="Arial" w:hAnsi="Arial" w:cs="Arial"/>
                <w:color w:val="000000"/>
                <w:sz w:val="16"/>
                <w:szCs w:val="16"/>
              </w:rPr>
              <w:t>Building codes</w:t>
            </w:r>
          </w:p>
        </w:tc>
        <w:tc>
          <w:tcPr>
            <w:tcW w:w="901" w:type="dxa"/>
            <w:tcBorders>
              <w:top w:val="nil"/>
              <w:left w:val="nil"/>
              <w:bottom w:val="nil"/>
              <w:right w:val="single" w:sz="8" w:space="0" w:color="009900"/>
            </w:tcBorders>
            <w:shd w:val="clear" w:color="000000" w:fill="FFFFE1"/>
            <w:noWrap/>
            <w:vAlign w:val="center"/>
            <w:hideMark/>
          </w:tcPr>
          <w:p w:rsidR="00274486" w:rsidRDefault="00274486" w:rsidP="00274486">
            <w:pPr>
              <w:jc w:val="center"/>
              <w:rPr>
                <w:rFonts w:ascii="Arial" w:hAnsi="Arial" w:cs="Arial"/>
                <w:color w:val="000000"/>
                <w:sz w:val="16"/>
                <w:szCs w:val="16"/>
              </w:rPr>
            </w:pPr>
            <w:r>
              <w:rPr>
                <w:rFonts w:ascii="Arial" w:hAnsi="Arial" w:cs="Arial"/>
                <w:noProof/>
                <w:color w:val="000000"/>
                <w:sz w:val="16"/>
                <w:szCs w:val="16"/>
              </w:rPr>
              <w:t>41</w:t>
            </w:r>
          </w:p>
        </w:tc>
      </w:tr>
      <w:tr w:rsidR="00274486" w:rsidTr="00AC6C3B">
        <w:trPr>
          <w:trHeight w:val="240"/>
        </w:trPr>
        <w:tc>
          <w:tcPr>
            <w:tcW w:w="3643" w:type="dxa"/>
            <w:tcBorders>
              <w:top w:val="nil"/>
              <w:left w:val="single" w:sz="8" w:space="0" w:color="009900"/>
              <w:bottom w:val="nil"/>
              <w:right w:val="nil"/>
            </w:tcBorders>
            <w:shd w:val="clear" w:color="000000" w:fill="FFFFE1"/>
            <w:noWrap/>
            <w:vAlign w:val="center"/>
            <w:hideMark/>
          </w:tcPr>
          <w:p w:rsidR="00274486" w:rsidRDefault="00274486" w:rsidP="00274486">
            <w:pPr>
              <w:rPr>
                <w:rFonts w:ascii="Arial" w:hAnsi="Arial" w:cs="Arial"/>
                <w:color w:val="000000"/>
                <w:sz w:val="16"/>
                <w:szCs w:val="16"/>
              </w:rPr>
            </w:pPr>
            <w:r>
              <w:rPr>
                <w:rFonts w:ascii="Arial" w:hAnsi="Arial" w:cs="Arial"/>
                <w:color w:val="000000"/>
                <w:sz w:val="16"/>
                <w:szCs w:val="16"/>
              </w:rPr>
              <w:t>Lot size</w:t>
            </w:r>
          </w:p>
        </w:tc>
        <w:tc>
          <w:tcPr>
            <w:tcW w:w="901" w:type="dxa"/>
            <w:tcBorders>
              <w:top w:val="nil"/>
              <w:left w:val="nil"/>
              <w:bottom w:val="nil"/>
              <w:right w:val="single" w:sz="8" w:space="0" w:color="009900"/>
            </w:tcBorders>
            <w:shd w:val="clear" w:color="000000" w:fill="FFFFE1"/>
            <w:noWrap/>
            <w:vAlign w:val="center"/>
            <w:hideMark/>
          </w:tcPr>
          <w:p w:rsidR="00274486" w:rsidRDefault="00274486" w:rsidP="00274486">
            <w:pPr>
              <w:jc w:val="center"/>
              <w:rPr>
                <w:rFonts w:ascii="Arial" w:hAnsi="Arial" w:cs="Arial"/>
                <w:color w:val="000000"/>
                <w:sz w:val="16"/>
                <w:szCs w:val="16"/>
              </w:rPr>
            </w:pPr>
            <w:r>
              <w:rPr>
                <w:rFonts w:ascii="Arial" w:hAnsi="Arial" w:cs="Arial"/>
                <w:noProof/>
                <w:color w:val="000000"/>
                <w:sz w:val="16"/>
                <w:szCs w:val="16"/>
              </w:rPr>
              <w:t>29</w:t>
            </w:r>
          </w:p>
        </w:tc>
      </w:tr>
      <w:tr w:rsidR="00274486" w:rsidTr="00AC6C3B">
        <w:trPr>
          <w:trHeight w:val="240"/>
        </w:trPr>
        <w:tc>
          <w:tcPr>
            <w:tcW w:w="3643" w:type="dxa"/>
            <w:tcBorders>
              <w:top w:val="nil"/>
              <w:left w:val="single" w:sz="8" w:space="0" w:color="009900"/>
              <w:bottom w:val="nil"/>
              <w:right w:val="nil"/>
            </w:tcBorders>
            <w:shd w:val="clear" w:color="000000" w:fill="FFFFE1"/>
            <w:noWrap/>
            <w:vAlign w:val="center"/>
            <w:hideMark/>
          </w:tcPr>
          <w:p w:rsidR="00274486" w:rsidRDefault="00274486" w:rsidP="00274486">
            <w:pPr>
              <w:rPr>
                <w:rFonts w:ascii="Arial" w:hAnsi="Arial" w:cs="Arial"/>
                <w:color w:val="000000"/>
                <w:sz w:val="16"/>
                <w:szCs w:val="16"/>
              </w:rPr>
            </w:pPr>
            <w:r>
              <w:rPr>
                <w:rFonts w:ascii="Arial" w:hAnsi="Arial" w:cs="Arial"/>
                <w:color w:val="000000"/>
                <w:sz w:val="16"/>
                <w:szCs w:val="16"/>
              </w:rPr>
              <w:t>ADA codes</w:t>
            </w:r>
          </w:p>
        </w:tc>
        <w:tc>
          <w:tcPr>
            <w:tcW w:w="901" w:type="dxa"/>
            <w:tcBorders>
              <w:top w:val="nil"/>
              <w:left w:val="nil"/>
              <w:bottom w:val="nil"/>
              <w:right w:val="single" w:sz="8" w:space="0" w:color="009900"/>
            </w:tcBorders>
            <w:shd w:val="clear" w:color="000000" w:fill="FFFFE1"/>
            <w:noWrap/>
            <w:vAlign w:val="center"/>
            <w:hideMark/>
          </w:tcPr>
          <w:p w:rsidR="00274486" w:rsidRDefault="00274486" w:rsidP="00274486">
            <w:pPr>
              <w:jc w:val="center"/>
              <w:rPr>
                <w:rFonts w:ascii="Arial" w:hAnsi="Arial" w:cs="Arial"/>
                <w:color w:val="000000"/>
                <w:sz w:val="16"/>
                <w:szCs w:val="16"/>
              </w:rPr>
            </w:pPr>
            <w:r>
              <w:rPr>
                <w:rFonts w:ascii="Arial" w:hAnsi="Arial" w:cs="Arial"/>
                <w:noProof/>
                <w:color w:val="000000"/>
                <w:sz w:val="16"/>
                <w:szCs w:val="16"/>
              </w:rPr>
              <w:t>27</w:t>
            </w:r>
          </w:p>
        </w:tc>
      </w:tr>
      <w:tr w:rsidR="00274486" w:rsidTr="00AC6C3B">
        <w:trPr>
          <w:trHeight w:val="240"/>
        </w:trPr>
        <w:tc>
          <w:tcPr>
            <w:tcW w:w="3643" w:type="dxa"/>
            <w:tcBorders>
              <w:top w:val="nil"/>
              <w:left w:val="single" w:sz="8" w:space="0" w:color="009900"/>
              <w:bottom w:val="single" w:sz="8" w:space="0" w:color="009900"/>
              <w:right w:val="nil"/>
            </w:tcBorders>
            <w:shd w:val="clear" w:color="000000" w:fill="FFFFE1"/>
            <w:noWrap/>
            <w:vAlign w:val="center"/>
            <w:hideMark/>
          </w:tcPr>
          <w:p w:rsidR="00274486" w:rsidRDefault="00274486" w:rsidP="00274486">
            <w:pPr>
              <w:rPr>
                <w:rFonts w:ascii="Arial" w:hAnsi="Arial" w:cs="Arial"/>
                <w:color w:val="000000"/>
                <w:sz w:val="16"/>
                <w:szCs w:val="16"/>
              </w:rPr>
            </w:pPr>
            <w:r>
              <w:rPr>
                <w:rFonts w:ascii="Arial" w:hAnsi="Arial" w:cs="Arial"/>
                <w:color w:val="000000"/>
                <w:sz w:val="16"/>
                <w:szCs w:val="16"/>
              </w:rPr>
              <w:t>Other Barriers</w:t>
            </w:r>
          </w:p>
        </w:tc>
        <w:tc>
          <w:tcPr>
            <w:tcW w:w="901" w:type="dxa"/>
            <w:tcBorders>
              <w:top w:val="nil"/>
              <w:left w:val="nil"/>
              <w:bottom w:val="single" w:sz="8" w:space="0" w:color="009900"/>
              <w:right w:val="single" w:sz="8" w:space="0" w:color="009900"/>
            </w:tcBorders>
            <w:shd w:val="clear" w:color="000000" w:fill="FFFFE1"/>
            <w:noWrap/>
            <w:vAlign w:val="center"/>
            <w:hideMark/>
          </w:tcPr>
          <w:p w:rsidR="00274486" w:rsidRDefault="00274486" w:rsidP="00274486">
            <w:pPr>
              <w:jc w:val="center"/>
              <w:rPr>
                <w:rFonts w:ascii="Arial" w:hAnsi="Arial" w:cs="Arial"/>
                <w:color w:val="000000"/>
                <w:sz w:val="16"/>
                <w:szCs w:val="16"/>
              </w:rPr>
            </w:pPr>
            <w:r>
              <w:rPr>
                <w:rFonts w:ascii="Arial" w:hAnsi="Arial" w:cs="Arial"/>
                <w:noProof/>
                <w:color w:val="000000"/>
                <w:sz w:val="16"/>
                <w:szCs w:val="16"/>
              </w:rPr>
              <w:t>26</w:t>
            </w:r>
          </w:p>
        </w:tc>
      </w:tr>
    </w:tbl>
    <w:p w:rsidR="006B2A3D" w:rsidRPr="009C6A0D" w:rsidRDefault="009C6A0D" w:rsidP="0049477B">
      <w:pPr>
        <w:numPr>
          <w:ilvl w:val="0"/>
          <w:numId w:val="22"/>
        </w:numPr>
        <w:jc w:val="both"/>
        <w:rPr>
          <w:rFonts w:ascii="CG Omega" w:hAnsi="CG Omega"/>
          <w:spacing w:val="-2"/>
        </w:rPr>
      </w:pPr>
      <w:r w:rsidRPr="009C6A0D">
        <w:rPr>
          <w:rFonts w:ascii="CG Omega" w:hAnsi="CG Omega"/>
          <w:spacing w:val="-2"/>
        </w:rPr>
        <w:t>The cost of land, labor, and/or materials are incompatible with creating affordable housing options.</w:t>
      </w:r>
    </w:p>
    <w:p w:rsidR="006B2A3D" w:rsidRPr="007B040A" w:rsidRDefault="009C6A0D" w:rsidP="0049477B">
      <w:pPr>
        <w:numPr>
          <w:ilvl w:val="0"/>
          <w:numId w:val="22"/>
        </w:numPr>
        <w:jc w:val="both"/>
        <w:rPr>
          <w:rFonts w:ascii="CG Omega" w:hAnsi="CG Omega"/>
        </w:rPr>
      </w:pPr>
      <w:r w:rsidRPr="009C6A0D">
        <w:rPr>
          <w:rFonts w:ascii="CG Omega" w:hAnsi="CG Omega"/>
        </w:rPr>
        <w:t>Educating the public is essential to combat NIBMYism and promote the development of more affordable housing options.</w:t>
      </w:r>
    </w:p>
    <w:p w:rsidR="006B2A3D" w:rsidRPr="009C6A0D" w:rsidRDefault="005347C1" w:rsidP="0049477B">
      <w:pPr>
        <w:numPr>
          <w:ilvl w:val="0"/>
          <w:numId w:val="22"/>
        </w:numPr>
        <w:jc w:val="both"/>
        <w:rPr>
          <w:rFonts w:ascii="CG Omega" w:hAnsi="CG Omega"/>
        </w:rPr>
      </w:pPr>
      <w:r>
        <w:rPr>
          <w:rFonts w:ascii="CG Omega" w:hAnsi="CG Omega"/>
        </w:rPr>
        <w:t>Nonprofit</w:t>
      </w:r>
      <w:r w:rsidR="00F14998" w:rsidRPr="009C6A0D">
        <w:rPr>
          <w:rFonts w:ascii="CG Omega" w:hAnsi="CG Omega"/>
        </w:rPr>
        <w:t xml:space="preserve">s cannot afford to build low-income housing solutions because of the </w:t>
      </w:r>
      <w:r w:rsidR="009C6A0D" w:rsidRPr="009C6A0D">
        <w:rPr>
          <w:rFonts w:ascii="CG Omega" w:hAnsi="CG Omega"/>
        </w:rPr>
        <w:t>lack of funding or inability to fill funding gaps</w:t>
      </w:r>
      <w:r w:rsidR="009C6A0D">
        <w:rPr>
          <w:rFonts w:ascii="CG Omega" w:hAnsi="CG Omega"/>
        </w:rPr>
        <w:t>.</w:t>
      </w:r>
    </w:p>
    <w:p w:rsidR="009C6A0D" w:rsidRPr="009C6A0D" w:rsidRDefault="009C6A0D" w:rsidP="0049477B">
      <w:pPr>
        <w:numPr>
          <w:ilvl w:val="0"/>
          <w:numId w:val="22"/>
        </w:numPr>
        <w:jc w:val="both"/>
        <w:rPr>
          <w:rFonts w:ascii="CG Omega" w:hAnsi="CG Omega"/>
        </w:rPr>
      </w:pPr>
      <w:r w:rsidRPr="009C6A0D">
        <w:rPr>
          <w:rFonts w:ascii="CG Omega" w:hAnsi="CG Omega"/>
        </w:rPr>
        <w:t>There is a lack of sufficient infrastructure or water resources to meet growing needs</w:t>
      </w:r>
      <w:r>
        <w:rPr>
          <w:rFonts w:ascii="CG Omega" w:hAnsi="CG Omega"/>
        </w:rPr>
        <w:t>.</w:t>
      </w:r>
      <w:r w:rsidRPr="009C6A0D">
        <w:rPr>
          <w:rFonts w:ascii="CG Omega" w:hAnsi="CG Omega"/>
        </w:rPr>
        <w:t xml:space="preserve"> </w:t>
      </w:r>
    </w:p>
    <w:p w:rsidR="006B2A3D" w:rsidRPr="00AC6C3B" w:rsidRDefault="000D2C4F" w:rsidP="0049477B">
      <w:pPr>
        <w:numPr>
          <w:ilvl w:val="0"/>
          <w:numId w:val="22"/>
        </w:numPr>
        <w:jc w:val="both"/>
        <w:rPr>
          <w:rFonts w:ascii="CG Omega" w:hAnsi="CG Omega"/>
        </w:rPr>
      </w:pPr>
      <w:r w:rsidRPr="009C6A0D">
        <w:rPr>
          <w:rFonts w:ascii="CG Omega" w:hAnsi="CG Omega"/>
        </w:rPr>
        <w:t xml:space="preserve">Wages are too low in the state to give families access to housing that is </w:t>
      </w:r>
      <w:r w:rsidRPr="00AC6C3B">
        <w:rPr>
          <w:rFonts w:ascii="CG Omega" w:hAnsi="CG Omega"/>
        </w:rPr>
        <w:t>desirable.</w:t>
      </w:r>
    </w:p>
    <w:p w:rsidR="005D6F19" w:rsidRPr="00AC6C3B" w:rsidRDefault="005D6F19" w:rsidP="002644F4">
      <w:pPr>
        <w:pStyle w:val="BodyText"/>
        <w:tabs>
          <w:tab w:val="num" w:pos="360"/>
        </w:tabs>
        <w:rPr>
          <w:rFonts w:ascii="CG Omega" w:hAnsi="CG Omega"/>
          <w:szCs w:val="24"/>
          <w:highlight w:val="yellow"/>
        </w:rPr>
      </w:pPr>
    </w:p>
    <w:p w:rsidR="006E1B4D" w:rsidRPr="00AC6C3B" w:rsidRDefault="006E1B4D" w:rsidP="00394954">
      <w:pPr>
        <w:rPr>
          <w:rFonts w:ascii="CG Omega" w:hAnsi="CG Omega"/>
          <w:b/>
          <w:bCs/>
          <w:smallCaps/>
        </w:rPr>
      </w:pPr>
      <w:r w:rsidRPr="00AC6C3B">
        <w:rPr>
          <w:rFonts w:ascii="CG Omega" w:hAnsi="CG Omega"/>
          <w:b/>
          <w:bCs/>
          <w:smallCaps/>
        </w:rPr>
        <w:t>Housing Needs Noted at the Focus Groups</w:t>
      </w:r>
    </w:p>
    <w:p w:rsidR="006E1B4D" w:rsidRPr="00AC6C3B" w:rsidRDefault="006E1B4D" w:rsidP="00394954">
      <w:pPr>
        <w:rPr>
          <w:rFonts w:ascii="CG Omega" w:hAnsi="CG Omega"/>
          <w:b/>
          <w:bCs/>
          <w:smallCaps/>
          <w:highlight w:val="yellow"/>
        </w:rPr>
      </w:pPr>
    </w:p>
    <w:p w:rsidR="006E1B4D" w:rsidRPr="009C6A0D" w:rsidRDefault="005C628C" w:rsidP="000D2C4F">
      <w:pPr>
        <w:jc w:val="both"/>
        <w:rPr>
          <w:rFonts w:ascii="CG Omega" w:hAnsi="CG Omega"/>
          <w:bCs/>
        </w:rPr>
      </w:pPr>
      <w:r w:rsidRPr="009C6A0D">
        <w:rPr>
          <w:rFonts w:ascii="CG Omega" w:hAnsi="CG Omega"/>
          <w:bCs/>
        </w:rPr>
        <w:t>F</w:t>
      </w:r>
      <w:r w:rsidR="009C6A0D" w:rsidRPr="009C6A0D">
        <w:rPr>
          <w:rFonts w:ascii="CG Omega" w:hAnsi="CG Omega"/>
          <w:bCs/>
        </w:rPr>
        <w:t>ive</w:t>
      </w:r>
      <w:r w:rsidRPr="009C6A0D">
        <w:rPr>
          <w:rFonts w:ascii="CG Omega" w:hAnsi="CG Omega"/>
          <w:bCs/>
        </w:rPr>
        <w:t xml:space="preserve"> focus groups w</w:t>
      </w:r>
      <w:r w:rsidR="000D2C4F" w:rsidRPr="009C6A0D">
        <w:rPr>
          <w:rFonts w:ascii="CG Omega" w:hAnsi="CG Omega"/>
          <w:bCs/>
        </w:rPr>
        <w:t xml:space="preserve">ere held April </w:t>
      </w:r>
      <w:r w:rsidR="009C6A0D" w:rsidRPr="009C6A0D">
        <w:rPr>
          <w:rFonts w:ascii="CG Omega" w:hAnsi="CG Omega"/>
          <w:bCs/>
        </w:rPr>
        <w:t>9</w:t>
      </w:r>
      <w:r w:rsidR="000D2C4F" w:rsidRPr="009C6A0D">
        <w:rPr>
          <w:rFonts w:ascii="CG Omega" w:hAnsi="CG Omega"/>
          <w:bCs/>
        </w:rPr>
        <w:t xml:space="preserve"> through </w:t>
      </w:r>
      <w:r w:rsidR="009C6A0D" w:rsidRPr="009C6A0D">
        <w:rPr>
          <w:rFonts w:ascii="CG Omega" w:hAnsi="CG Omega"/>
          <w:bCs/>
        </w:rPr>
        <w:t>10, 2014</w:t>
      </w:r>
      <w:r w:rsidR="000D2C4F" w:rsidRPr="009C6A0D">
        <w:rPr>
          <w:rFonts w:ascii="CG Omega" w:hAnsi="CG Omega"/>
          <w:bCs/>
        </w:rPr>
        <w:t xml:space="preserve"> in Albuquerque. The purpose of the focus group meetings was to gain deeper insight from housing and community development stakeholders in New Mexico regarding f</w:t>
      </w:r>
      <w:r w:rsidR="009C6A0D">
        <w:rPr>
          <w:rFonts w:ascii="CG Omega" w:hAnsi="CG Omega"/>
          <w:bCs/>
        </w:rPr>
        <w:t>ive</w:t>
      </w:r>
      <w:r w:rsidR="000D2C4F" w:rsidRPr="009C6A0D">
        <w:rPr>
          <w:rFonts w:ascii="CG Omega" w:hAnsi="CG Omega"/>
          <w:bCs/>
        </w:rPr>
        <w:t xml:space="preserve"> topic areas: </w:t>
      </w:r>
      <w:r w:rsidR="009C6A0D">
        <w:rPr>
          <w:rFonts w:ascii="CG Omega" w:hAnsi="CG Omega"/>
          <w:bCs/>
        </w:rPr>
        <w:t>affordable housing</w:t>
      </w:r>
      <w:r w:rsidR="000D2C4F" w:rsidRPr="009C6A0D">
        <w:rPr>
          <w:rFonts w:ascii="CG Omega" w:hAnsi="CG Omega"/>
          <w:bCs/>
        </w:rPr>
        <w:t xml:space="preserve">, </w:t>
      </w:r>
      <w:r w:rsidR="009C6A0D">
        <w:rPr>
          <w:rFonts w:ascii="CG Omega" w:hAnsi="CG Omega"/>
          <w:bCs/>
        </w:rPr>
        <w:t>economic development</w:t>
      </w:r>
      <w:r w:rsidR="000D2C4F" w:rsidRPr="009C6A0D">
        <w:rPr>
          <w:rFonts w:ascii="CG Omega" w:hAnsi="CG Omega"/>
          <w:bCs/>
        </w:rPr>
        <w:t>, infrastructure</w:t>
      </w:r>
      <w:r w:rsidR="009C6A0D">
        <w:rPr>
          <w:rFonts w:ascii="CG Omega" w:hAnsi="CG Omega"/>
          <w:bCs/>
        </w:rPr>
        <w:t>,</w:t>
      </w:r>
      <w:r w:rsidR="000D2C4F" w:rsidRPr="009C6A0D">
        <w:rPr>
          <w:rFonts w:ascii="CG Omega" w:hAnsi="CG Omega"/>
          <w:bCs/>
        </w:rPr>
        <w:t xml:space="preserve"> homelessness</w:t>
      </w:r>
      <w:r w:rsidR="009C6A0D">
        <w:rPr>
          <w:rFonts w:ascii="CG Omega" w:hAnsi="CG Omega"/>
          <w:bCs/>
        </w:rPr>
        <w:t>, and public facilities</w:t>
      </w:r>
      <w:r w:rsidR="000D2C4F" w:rsidRPr="009C6A0D">
        <w:rPr>
          <w:rFonts w:ascii="CG Omega" w:hAnsi="CG Omega"/>
          <w:bCs/>
        </w:rPr>
        <w:t>.  Comments gathered from the focus groups are summarized as follows:</w:t>
      </w:r>
    </w:p>
    <w:p w:rsidR="009A2AB8" w:rsidRPr="00AC6C3B" w:rsidRDefault="009A2AB8" w:rsidP="000D2C4F">
      <w:pPr>
        <w:jc w:val="both"/>
        <w:rPr>
          <w:rFonts w:ascii="CG Omega" w:hAnsi="CG Omega"/>
          <w:bCs/>
          <w:highlight w:val="yellow"/>
        </w:rPr>
      </w:pPr>
    </w:p>
    <w:p w:rsidR="000D2C4F" w:rsidRDefault="009C6A0D" w:rsidP="0049477B">
      <w:pPr>
        <w:numPr>
          <w:ilvl w:val="0"/>
          <w:numId w:val="35"/>
        </w:numPr>
        <w:jc w:val="both"/>
        <w:rPr>
          <w:rFonts w:ascii="CG Omega" w:hAnsi="CG Omega"/>
          <w:bCs/>
        </w:rPr>
      </w:pPr>
      <w:r w:rsidRPr="009C6A0D">
        <w:rPr>
          <w:rFonts w:ascii="CG Omega" w:hAnsi="CG Omega"/>
          <w:bCs/>
        </w:rPr>
        <w:t>Affordable housing locations are subject to NIMBYism.</w:t>
      </w:r>
    </w:p>
    <w:p w:rsidR="009C6A0D" w:rsidRDefault="0065415A" w:rsidP="0049477B">
      <w:pPr>
        <w:numPr>
          <w:ilvl w:val="0"/>
          <w:numId w:val="35"/>
        </w:numPr>
        <w:jc w:val="both"/>
        <w:rPr>
          <w:rFonts w:ascii="CG Omega" w:hAnsi="CG Omega"/>
          <w:bCs/>
        </w:rPr>
      </w:pPr>
      <w:r>
        <w:rPr>
          <w:rFonts w:ascii="CG Omega" w:hAnsi="CG Omega"/>
          <w:bCs/>
        </w:rPr>
        <w:t>The cost of building/renovation continues to rise while incomes remain stagnant, increasing the need for affordable housing.</w:t>
      </w:r>
    </w:p>
    <w:p w:rsidR="0065415A" w:rsidRDefault="0065415A" w:rsidP="0049477B">
      <w:pPr>
        <w:numPr>
          <w:ilvl w:val="0"/>
          <w:numId w:val="35"/>
        </w:numPr>
        <w:jc w:val="both"/>
        <w:rPr>
          <w:rFonts w:ascii="CG Omega" w:hAnsi="CG Omega"/>
          <w:bCs/>
        </w:rPr>
      </w:pPr>
      <w:r>
        <w:rPr>
          <w:rFonts w:ascii="CG Omega" w:hAnsi="CG Omega"/>
          <w:bCs/>
        </w:rPr>
        <w:t>Developers that can utilize funding efficiently and effectively should be prioritized.</w:t>
      </w:r>
    </w:p>
    <w:p w:rsidR="0065415A" w:rsidRDefault="0065415A" w:rsidP="0049477B">
      <w:pPr>
        <w:numPr>
          <w:ilvl w:val="0"/>
          <w:numId w:val="35"/>
        </w:numPr>
        <w:jc w:val="both"/>
        <w:rPr>
          <w:rFonts w:ascii="CG Omega" w:hAnsi="CG Omega"/>
          <w:bCs/>
        </w:rPr>
      </w:pPr>
      <w:r>
        <w:rPr>
          <w:rFonts w:ascii="CG Omega" w:hAnsi="CG Omega"/>
          <w:bCs/>
        </w:rPr>
        <w:t>Rural areas need access to a distribution system due to a lack of skills in certain areas.</w:t>
      </w:r>
    </w:p>
    <w:p w:rsidR="0065415A" w:rsidRDefault="0065415A" w:rsidP="0049477B">
      <w:pPr>
        <w:numPr>
          <w:ilvl w:val="0"/>
          <w:numId w:val="35"/>
        </w:numPr>
        <w:jc w:val="both"/>
        <w:rPr>
          <w:rFonts w:ascii="CG Omega" w:hAnsi="CG Omega"/>
          <w:bCs/>
        </w:rPr>
      </w:pPr>
      <w:r>
        <w:rPr>
          <w:rFonts w:ascii="CG Omega" w:hAnsi="CG Omega"/>
          <w:bCs/>
        </w:rPr>
        <w:t xml:space="preserve">There is not enough affordable or desirable housing to attract or accommodate growth. </w:t>
      </w:r>
    </w:p>
    <w:p w:rsidR="0065415A" w:rsidRPr="009C6A0D" w:rsidRDefault="0065415A" w:rsidP="0049477B">
      <w:pPr>
        <w:numPr>
          <w:ilvl w:val="0"/>
          <w:numId w:val="35"/>
        </w:numPr>
        <w:jc w:val="both"/>
        <w:rPr>
          <w:rFonts w:ascii="CG Omega" w:hAnsi="CG Omega"/>
          <w:bCs/>
        </w:rPr>
      </w:pPr>
      <w:r>
        <w:rPr>
          <w:rFonts w:ascii="CG Omega" w:hAnsi="CG Omega"/>
          <w:bCs/>
        </w:rPr>
        <w:t>The lack of water resources and sufficient infrastructure cannot accommodate increased housing.</w:t>
      </w:r>
    </w:p>
    <w:p w:rsidR="006E1B4D" w:rsidRPr="007F6B6C" w:rsidRDefault="006E1B4D" w:rsidP="00394954">
      <w:pPr>
        <w:rPr>
          <w:rFonts w:ascii="CG Omega" w:hAnsi="CG Omega"/>
          <w:b/>
          <w:bCs/>
          <w:smallCaps/>
          <w:sz w:val="16"/>
          <w:szCs w:val="16"/>
          <w:highlight w:val="yellow"/>
        </w:rPr>
      </w:pPr>
    </w:p>
    <w:p w:rsidR="00AC6C3B" w:rsidRDefault="00AC6C3B">
      <w:pPr>
        <w:rPr>
          <w:rFonts w:ascii="CG Omega" w:hAnsi="CG Omega"/>
          <w:b/>
          <w:bCs/>
          <w:smallCaps/>
        </w:rPr>
      </w:pPr>
      <w:r>
        <w:rPr>
          <w:rFonts w:ascii="CG Omega" w:hAnsi="CG Omega"/>
          <w:b/>
          <w:bCs/>
          <w:smallCaps/>
        </w:rPr>
        <w:br w:type="page"/>
      </w:r>
    </w:p>
    <w:p w:rsidR="00394954" w:rsidRPr="009B32C4" w:rsidRDefault="00456F81" w:rsidP="00394954">
      <w:pPr>
        <w:rPr>
          <w:rFonts w:ascii="CG Omega" w:hAnsi="CG Omega"/>
          <w:b/>
          <w:bCs/>
          <w:smallCaps/>
        </w:rPr>
      </w:pPr>
      <w:r w:rsidRPr="009B32C4">
        <w:rPr>
          <w:rFonts w:ascii="CG Omega" w:hAnsi="CG Omega"/>
          <w:b/>
          <w:bCs/>
          <w:smallCaps/>
        </w:rPr>
        <w:t xml:space="preserve">Housing </w:t>
      </w:r>
      <w:r w:rsidR="00394954" w:rsidRPr="009B32C4">
        <w:rPr>
          <w:rFonts w:ascii="CG Omega" w:hAnsi="CG Omega"/>
          <w:b/>
          <w:bCs/>
          <w:smallCaps/>
        </w:rPr>
        <w:t>Needs Noted at the Public Input Meeting</w:t>
      </w:r>
    </w:p>
    <w:p w:rsidR="00714E75" w:rsidRPr="007F6B6C" w:rsidRDefault="00714E75" w:rsidP="002644F4">
      <w:pPr>
        <w:pStyle w:val="BodyText"/>
        <w:tabs>
          <w:tab w:val="num" w:pos="360"/>
        </w:tabs>
        <w:rPr>
          <w:rFonts w:ascii="CG Omega" w:hAnsi="CG Omega"/>
          <w:sz w:val="16"/>
          <w:szCs w:val="16"/>
          <w:highlight w:val="yellow"/>
        </w:rPr>
      </w:pPr>
    </w:p>
    <w:p w:rsidR="00F72353" w:rsidRPr="00955C8C" w:rsidRDefault="005865E7" w:rsidP="009A2AB8">
      <w:pPr>
        <w:pStyle w:val="BodyText"/>
        <w:tabs>
          <w:tab w:val="clear" w:pos="720"/>
        </w:tabs>
        <w:rPr>
          <w:rFonts w:ascii="CG Omega" w:hAnsi="CG Omega"/>
          <w:highlight w:val="yellow"/>
        </w:rPr>
      </w:pPr>
      <w:r w:rsidRPr="001A4E59">
        <w:rPr>
          <w:rFonts w:ascii="CG Omega" w:hAnsi="CG Omega"/>
        </w:rPr>
        <w:t>Two</w:t>
      </w:r>
      <w:r w:rsidR="008553DE" w:rsidRPr="001A4E59">
        <w:rPr>
          <w:rFonts w:ascii="CG Omega" w:hAnsi="CG Omega"/>
        </w:rPr>
        <w:t xml:space="preserve"> publ</w:t>
      </w:r>
      <w:r w:rsidRPr="001A4E59">
        <w:rPr>
          <w:rFonts w:ascii="CG Omega" w:hAnsi="CG Omega"/>
        </w:rPr>
        <w:t>ic input</w:t>
      </w:r>
      <w:r w:rsidRPr="005865E7">
        <w:rPr>
          <w:rFonts w:ascii="CG Omega" w:hAnsi="CG Omega"/>
        </w:rPr>
        <w:t xml:space="preserve"> meeting</w:t>
      </w:r>
      <w:r>
        <w:rPr>
          <w:rFonts w:ascii="CG Omega" w:hAnsi="CG Omega"/>
        </w:rPr>
        <w:t>s</w:t>
      </w:r>
      <w:r w:rsidRPr="005865E7">
        <w:rPr>
          <w:rFonts w:ascii="CG Omega" w:hAnsi="CG Omega"/>
        </w:rPr>
        <w:t xml:space="preserve"> w</w:t>
      </w:r>
      <w:r>
        <w:rPr>
          <w:rFonts w:ascii="CG Omega" w:hAnsi="CG Omega"/>
        </w:rPr>
        <w:t>ere</w:t>
      </w:r>
      <w:r w:rsidRPr="005865E7">
        <w:rPr>
          <w:rFonts w:ascii="CG Omega" w:hAnsi="CG Omega"/>
        </w:rPr>
        <w:t xml:space="preserve"> held May 20</w:t>
      </w:r>
      <w:r w:rsidR="001A4E59">
        <w:rPr>
          <w:rFonts w:ascii="CG Omega" w:hAnsi="CG Omega"/>
        </w:rPr>
        <w:t>, 201</w:t>
      </w:r>
      <w:r w:rsidRPr="005865E7">
        <w:rPr>
          <w:rFonts w:ascii="CG Omega" w:hAnsi="CG Omega"/>
        </w:rPr>
        <w:t>4</w:t>
      </w:r>
      <w:r w:rsidR="008553DE" w:rsidRPr="005865E7">
        <w:rPr>
          <w:rFonts w:ascii="CG Omega" w:hAnsi="CG Omega"/>
        </w:rPr>
        <w:t>,</w:t>
      </w:r>
      <w:r w:rsidR="00456F81" w:rsidRPr="005865E7">
        <w:rPr>
          <w:rFonts w:ascii="CG Omega" w:hAnsi="CG Omega"/>
        </w:rPr>
        <w:t xml:space="preserve"> </w:t>
      </w:r>
      <w:r w:rsidR="008553DE" w:rsidRPr="00B14AC8">
        <w:rPr>
          <w:rFonts w:ascii="CG Omega" w:hAnsi="CG Omega"/>
        </w:rPr>
        <w:t xml:space="preserve">in Albuquerque </w:t>
      </w:r>
      <w:r w:rsidR="009A2AB8" w:rsidRPr="00B14AC8">
        <w:rPr>
          <w:rFonts w:ascii="CG Omega" w:hAnsi="CG Omega"/>
        </w:rPr>
        <w:t xml:space="preserve">and </w:t>
      </w:r>
      <w:r w:rsidR="001A4E59">
        <w:rPr>
          <w:rFonts w:ascii="CG Omega" w:hAnsi="CG Omega"/>
        </w:rPr>
        <w:t xml:space="preserve">one </w:t>
      </w:r>
      <w:r w:rsidR="009A2AB8" w:rsidRPr="00B14AC8">
        <w:rPr>
          <w:rFonts w:ascii="CG Omega" w:hAnsi="CG Omega"/>
        </w:rPr>
        <w:t xml:space="preserve">was broadcast via </w:t>
      </w:r>
      <w:r w:rsidR="00B14AC8" w:rsidRPr="00B14AC8">
        <w:rPr>
          <w:rFonts w:ascii="CG Omega" w:hAnsi="CG Omega"/>
        </w:rPr>
        <w:t>interactive meeting format</w:t>
      </w:r>
      <w:r w:rsidR="009A2AB8" w:rsidRPr="00B14AC8">
        <w:rPr>
          <w:rFonts w:ascii="CG Omega" w:hAnsi="CG Omega"/>
        </w:rPr>
        <w:t xml:space="preserve">.  </w:t>
      </w:r>
      <w:r w:rsidR="009A2AB8" w:rsidRPr="005865E7">
        <w:rPr>
          <w:rFonts w:ascii="CG Omega" w:hAnsi="CG Omega"/>
        </w:rPr>
        <w:t>The purpose of the meeting was</w:t>
      </w:r>
      <w:r w:rsidR="008553DE" w:rsidRPr="005865E7">
        <w:rPr>
          <w:rFonts w:ascii="CG Omega" w:hAnsi="CG Omega"/>
        </w:rPr>
        <w:t xml:space="preserve"> to gain feedback on the preliminary findings of the Consolidated Plan.  Attendees were invited to review a presentation of early survey results and offer suggestions and feedback regarding the Consolidated Plan.</w:t>
      </w:r>
      <w:r w:rsidR="00F72353" w:rsidRPr="005865E7">
        <w:rPr>
          <w:rFonts w:ascii="CG Omega" w:hAnsi="CG Omega"/>
        </w:rPr>
        <w:t xml:space="preserve">  Comments related to the following:</w:t>
      </w:r>
    </w:p>
    <w:p w:rsidR="00F72353" w:rsidRPr="00AC6C3B" w:rsidRDefault="00F72353" w:rsidP="009A2AB8">
      <w:pPr>
        <w:pStyle w:val="BodyText"/>
        <w:tabs>
          <w:tab w:val="clear" w:pos="720"/>
        </w:tabs>
        <w:rPr>
          <w:rFonts w:ascii="CG Omega" w:hAnsi="CG Omega"/>
          <w:szCs w:val="24"/>
          <w:highlight w:val="yellow"/>
        </w:rPr>
      </w:pPr>
    </w:p>
    <w:p w:rsidR="00456F81" w:rsidRDefault="00F72353" w:rsidP="0049477B">
      <w:pPr>
        <w:pStyle w:val="BodyText"/>
        <w:numPr>
          <w:ilvl w:val="0"/>
          <w:numId w:val="37"/>
        </w:numPr>
        <w:tabs>
          <w:tab w:val="clear" w:pos="720"/>
        </w:tabs>
        <w:rPr>
          <w:rFonts w:ascii="CG Omega" w:hAnsi="CG Omega"/>
        </w:rPr>
      </w:pPr>
      <w:r w:rsidRPr="009B32C4">
        <w:rPr>
          <w:rFonts w:ascii="CG Omega" w:hAnsi="CG Omega"/>
        </w:rPr>
        <w:t>The</w:t>
      </w:r>
      <w:r w:rsidR="009B32C4" w:rsidRPr="009B32C4">
        <w:rPr>
          <w:rFonts w:ascii="CG Omega" w:hAnsi="CG Omega"/>
        </w:rPr>
        <w:t>re is greater demand for rentals now than there has been in the past.</w:t>
      </w:r>
    </w:p>
    <w:p w:rsidR="009B32C4" w:rsidRDefault="006C45A2" w:rsidP="0049477B">
      <w:pPr>
        <w:pStyle w:val="BodyText"/>
        <w:numPr>
          <w:ilvl w:val="0"/>
          <w:numId w:val="37"/>
        </w:numPr>
        <w:tabs>
          <w:tab w:val="clear" w:pos="720"/>
        </w:tabs>
        <w:rPr>
          <w:rFonts w:ascii="CG Omega" w:hAnsi="CG Omega"/>
        </w:rPr>
      </w:pPr>
      <w:r>
        <w:rPr>
          <w:rFonts w:ascii="CG Omega" w:hAnsi="CG Omega"/>
        </w:rPr>
        <w:t>Rapid rehousing is a good first step to assisting the homeless population, but additional services must be offered as well.</w:t>
      </w:r>
    </w:p>
    <w:p w:rsidR="006C45A2" w:rsidRPr="009B32C4" w:rsidRDefault="006C45A2" w:rsidP="0049477B">
      <w:pPr>
        <w:pStyle w:val="BodyText"/>
        <w:numPr>
          <w:ilvl w:val="0"/>
          <w:numId w:val="37"/>
        </w:numPr>
        <w:tabs>
          <w:tab w:val="clear" w:pos="720"/>
        </w:tabs>
        <w:rPr>
          <w:rFonts w:ascii="CG Omega" w:hAnsi="CG Omega"/>
        </w:rPr>
      </w:pPr>
      <w:r>
        <w:rPr>
          <w:rFonts w:ascii="CG Omega" w:hAnsi="CG Omega"/>
        </w:rPr>
        <w:t>Energy efficient retrofits would benefit many residents with high utility costs.</w:t>
      </w:r>
    </w:p>
    <w:p w:rsidR="00394954" w:rsidRPr="00AC6C3B" w:rsidRDefault="00394954" w:rsidP="002644F4">
      <w:pPr>
        <w:pStyle w:val="BodyText"/>
        <w:tabs>
          <w:tab w:val="num" w:pos="360"/>
        </w:tabs>
        <w:rPr>
          <w:rFonts w:ascii="CG Omega" w:hAnsi="CG Omega"/>
          <w:szCs w:val="24"/>
          <w:highlight w:val="yellow"/>
        </w:rPr>
      </w:pPr>
    </w:p>
    <w:p w:rsidR="00047D06" w:rsidRPr="00AC6C3B" w:rsidRDefault="00991B9B" w:rsidP="00BB666B">
      <w:pPr>
        <w:pStyle w:val="FirstHead"/>
      </w:pPr>
      <w:bookmarkStart w:id="105" w:name="_Toc399834581"/>
      <w:r w:rsidRPr="00AC6C3B">
        <w:t>C</w:t>
      </w:r>
      <w:r w:rsidR="00047D06" w:rsidRPr="00AC6C3B">
        <w:t>. Priority Housing Needs Rankings</w:t>
      </w:r>
      <w:bookmarkEnd w:id="105"/>
    </w:p>
    <w:p w:rsidR="00047D06" w:rsidRPr="00AC6C3B" w:rsidRDefault="00047D06" w:rsidP="00047D06">
      <w:pPr>
        <w:jc w:val="both"/>
        <w:rPr>
          <w:rFonts w:ascii="CG Omega" w:hAnsi="CG Omega" w:cs="Arial"/>
        </w:rPr>
      </w:pPr>
    </w:p>
    <w:p w:rsidR="00D673B9" w:rsidRPr="008E3DFE" w:rsidRDefault="00D673B9" w:rsidP="00D673B9">
      <w:pPr>
        <w:pStyle w:val="Subtitle"/>
        <w:jc w:val="both"/>
        <w:rPr>
          <w:rFonts w:ascii="CG Omega" w:hAnsi="CG Omega"/>
          <w:b w:val="0"/>
          <w:sz w:val="24"/>
        </w:rPr>
      </w:pPr>
      <w:r>
        <w:rPr>
          <w:rFonts w:ascii="CG Omega" w:hAnsi="CG Omega"/>
          <w:b w:val="0"/>
          <w:sz w:val="24"/>
        </w:rPr>
        <w:t>Since the Consolidated Plan guidelines were first requested by HUD in the mid 19</w:t>
      </w:r>
      <w:r w:rsidR="00547B73">
        <w:rPr>
          <w:rFonts w:ascii="CG Omega" w:hAnsi="CG Omega"/>
          <w:b w:val="0"/>
          <w:sz w:val="24"/>
        </w:rPr>
        <w:t>9</w:t>
      </w:r>
      <w:r>
        <w:rPr>
          <w:rFonts w:ascii="CG Omega" w:hAnsi="CG Omega"/>
          <w:b w:val="0"/>
          <w:sz w:val="24"/>
        </w:rPr>
        <w:t xml:space="preserve">0’s, </w:t>
      </w:r>
      <w:r w:rsidR="00775E78">
        <w:rPr>
          <w:rFonts w:ascii="CG Omega" w:hAnsi="CG Omega"/>
          <w:b w:val="0"/>
          <w:sz w:val="24"/>
        </w:rPr>
        <w:t>New Mexico</w:t>
      </w:r>
      <w:r>
        <w:rPr>
          <w:rFonts w:ascii="CG Omega" w:hAnsi="CG Omega"/>
          <w:b w:val="0"/>
          <w:sz w:val="24"/>
        </w:rPr>
        <w:t xml:space="preserve"> has ranked and prioritized its housing needs, set goals for meeting these needs, and estimated unmet housing needs.  This has been expressed by the Consolidated Plan </w:t>
      </w:r>
      <w:r w:rsidRPr="00AC6C3B">
        <w:rPr>
          <w:rFonts w:ascii="CG Omega" w:hAnsi="CG Omega"/>
          <w:sz w:val="24"/>
        </w:rPr>
        <w:t>Table 2A</w:t>
      </w:r>
      <w:r>
        <w:rPr>
          <w:rFonts w:ascii="CG Omega" w:hAnsi="CG Omega"/>
          <w:b w:val="0"/>
          <w:sz w:val="24"/>
        </w:rPr>
        <w:t>.</w:t>
      </w:r>
      <w:r w:rsidRPr="008E3DFE">
        <w:rPr>
          <w:rFonts w:ascii="CG Omega" w:hAnsi="CG Omega"/>
          <w:b w:val="0"/>
          <w:sz w:val="24"/>
        </w:rPr>
        <w:t xml:space="preserve"> In establishing its five-year priorities and assigning priority need levels, the state considered both of the following: </w:t>
      </w:r>
    </w:p>
    <w:p w:rsidR="00CA7E7A" w:rsidRPr="00AC6C3B" w:rsidRDefault="00CA7E7A" w:rsidP="00047D06">
      <w:pPr>
        <w:pStyle w:val="Subtitle"/>
        <w:jc w:val="both"/>
        <w:rPr>
          <w:rFonts w:ascii="CG Omega" w:hAnsi="CG Omega"/>
          <w:b w:val="0"/>
          <w:sz w:val="24"/>
        </w:rPr>
      </w:pPr>
    </w:p>
    <w:p w:rsidR="00047D06" w:rsidRPr="00AC6C3B" w:rsidRDefault="00CA7E7A" w:rsidP="0049477B">
      <w:pPr>
        <w:pStyle w:val="ListBullet"/>
        <w:numPr>
          <w:ilvl w:val="0"/>
          <w:numId w:val="10"/>
        </w:numPr>
        <w:tabs>
          <w:tab w:val="clear" w:pos="360"/>
          <w:tab w:val="num" w:pos="720"/>
        </w:tabs>
        <w:ind w:left="720"/>
        <w:rPr>
          <w:szCs w:val="24"/>
        </w:rPr>
      </w:pPr>
      <w:r w:rsidRPr="00AC6C3B">
        <w:rPr>
          <w:szCs w:val="24"/>
        </w:rPr>
        <w:t>C</w:t>
      </w:r>
      <w:r w:rsidR="00047D06" w:rsidRPr="00AC6C3B">
        <w:rPr>
          <w:szCs w:val="24"/>
        </w:rPr>
        <w:t>ategories of lower- and moderate-income households most in need of housing</w:t>
      </w:r>
      <w:r w:rsidR="003C43F4" w:rsidRPr="00AC6C3B">
        <w:rPr>
          <w:szCs w:val="24"/>
        </w:rPr>
        <w:t>,</w:t>
      </w:r>
    </w:p>
    <w:p w:rsidR="00047D06" w:rsidRPr="00AC6C3B" w:rsidRDefault="00047D06" w:rsidP="0049477B">
      <w:pPr>
        <w:pStyle w:val="ListBullet"/>
        <w:numPr>
          <w:ilvl w:val="0"/>
          <w:numId w:val="10"/>
        </w:numPr>
        <w:tabs>
          <w:tab w:val="clear" w:pos="360"/>
          <w:tab w:val="num" w:pos="720"/>
        </w:tabs>
        <w:ind w:left="720"/>
        <w:rPr>
          <w:szCs w:val="24"/>
        </w:rPr>
      </w:pPr>
      <w:r w:rsidRPr="00AC6C3B">
        <w:rPr>
          <w:szCs w:val="24"/>
        </w:rPr>
        <w:t xml:space="preserve">Activities and sources of funds that can best meet the needs of those identified households.   </w:t>
      </w:r>
    </w:p>
    <w:p w:rsidR="00047D06" w:rsidRPr="00AC6C3B" w:rsidRDefault="00047D06" w:rsidP="00047D06">
      <w:pPr>
        <w:pStyle w:val="Subtitle"/>
        <w:jc w:val="both"/>
        <w:rPr>
          <w:rFonts w:ascii="CG Omega" w:hAnsi="CG Omega"/>
          <w:sz w:val="24"/>
        </w:rPr>
      </w:pPr>
    </w:p>
    <w:p w:rsidR="00047D06" w:rsidRPr="00AC6C3B" w:rsidRDefault="00047D06" w:rsidP="00047D06">
      <w:pPr>
        <w:pStyle w:val="Subtitle"/>
        <w:jc w:val="both"/>
        <w:rPr>
          <w:rFonts w:ascii="CG Omega" w:hAnsi="CG Omega"/>
          <w:b w:val="0"/>
          <w:sz w:val="24"/>
        </w:rPr>
      </w:pPr>
      <w:r w:rsidRPr="00AC6C3B">
        <w:rPr>
          <w:rFonts w:ascii="CG Omega" w:hAnsi="CG Omega"/>
          <w:b w:val="0"/>
          <w:sz w:val="24"/>
        </w:rPr>
        <w:t>Priority need rankings were assigned to households to be assisted according to the following HUD categories:</w:t>
      </w:r>
    </w:p>
    <w:p w:rsidR="00047D06" w:rsidRPr="00AC6C3B" w:rsidRDefault="00047D06" w:rsidP="00047D06">
      <w:pPr>
        <w:pStyle w:val="Subtitle"/>
        <w:jc w:val="both"/>
        <w:rPr>
          <w:rFonts w:ascii="CG Omega" w:hAnsi="CG Omega"/>
          <w:sz w:val="24"/>
        </w:rPr>
      </w:pPr>
    </w:p>
    <w:p w:rsidR="00047D06" w:rsidRPr="009B4972" w:rsidRDefault="00047D06" w:rsidP="00047D06">
      <w:pPr>
        <w:tabs>
          <w:tab w:val="left" w:pos="0"/>
          <w:tab w:val="left" w:pos="481"/>
          <w:tab w:val="left" w:pos="962"/>
          <w:tab w:val="left" w:pos="1443"/>
          <w:tab w:val="left" w:pos="1924"/>
          <w:tab w:val="left" w:pos="2405"/>
          <w:tab w:val="left" w:pos="2886"/>
          <w:tab w:val="left" w:pos="3367"/>
          <w:tab w:val="left" w:pos="3848"/>
          <w:tab w:val="left" w:pos="4329"/>
          <w:tab w:val="left" w:pos="4810"/>
          <w:tab w:val="left" w:pos="5291"/>
          <w:tab w:val="left" w:pos="5772"/>
          <w:tab w:val="left" w:pos="6253"/>
          <w:tab w:val="left" w:pos="6734"/>
          <w:tab w:val="left" w:pos="7215"/>
          <w:tab w:val="left" w:pos="7696"/>
          <w:tab w:val="left" w:pos="8177"/>
          <w:tab w:val="left" w:pos="8658"/>
          <w:tab w:val="left" w:pos="9139"/>
        </w:tabs>
        <w:ind w:left="1925" w:hanging="1925"/>
        <w:jc w:val="both"/>
        <w:rPr>
          <w:rFonts w:ascii="CG Omega" w:hAnsi="CG Omega"/>
        </w:rPr>
      </w:pPr>
      <w:r w:rsidRPr="00AC6C3B">
        <w:rPr>
          <w:rFonts w:ascii="CG Omega" w:hAnsi="CG Omega"/>
          <w:b/>
        </w:rPr>
        <w:t>High</w:t>
      </w:r>
      <w:r w:rsidRPr="009B4972">
        <w:rPr>
          <w:rFonts w:ascii="CG Omega" w:hAnsi="CG Omega"/>
          <w:b/>
        </w:rPr>
        <w:t xml:space="preserve"> Priority:</w:t>
      </w:r>
      <w:r w:rsidRPr="009B4972">
        <w:rPr>
          <w:rFonts w:ascii="CG Omega" w:hAnsi="CG Omega"/>
        </w:rPr>
        <w:tab/>
        <w:t xml:space="preserve"> </w:t>
      </w:r>
      <w:r w:rsidRPr="009B4972">
        <w:rPr>
          <w:rFonts w:ascii="CG Omega" w:hAnsi="CG Omega"/>
        </w:rPr>
        <w:tab/>
        <w:t xml:space="preserve">Activities to address this need will be funded by </w:t>
      </w:r>
      <w:r w:rsidR="00CC3344">
        <w:rPr>
          <w:rFonts w:ascii="CG Omega" w:hAnsi="CG Omega"/>
        </w:rPr>
        <w:t>MFA</w:t>
      </w:r>
      <w:r w:rsidRPr="009B4972">
        <w:rPr>
          <w:rFonts w:ascii="CG Omega" w:hAnsi="CG Omega"/>
        </w:rPr>
        <w:t xml:space="preserve"> during the five-year perio</w:t>
      </w:r>
      <w:r w:rsidR="009106C4" w:rsidRPr="009B4972">
        <w:rPr>
          <w:rFonts w:ascii="CG Omega" w:hAnsi="CG Omega"/>
        </w:rPr>
        <w:t>d.  Identified by use of an ‘H.’</w:t>
      </w:r>
    </w:p>
    <w:p w:rsidR="00047D06" w:rsidRPr="009B4972" w:rsidRDefault="00047D06" w:rsidP="00047D06">
      <w:pPr>
        <w:tabs>
          <w:tab w:val="left" w:pos="0"/>
          <w:tab w:val="left" w:pos="481"/>
          <w:tab w:val="left" w:pos="962"/>
          <w:tab w:val="left" w:pos="1443"/>
          <w:tab w:val="left" w:pos="1924"/>
          <w:tab w:val="left" w:pos="2405"/>
          <w:tab w:val="left" w:pos="2886"/>
          <w:tab w:val="left" w:pos="3367"/>
          <w:tab w:val="left" w:pos="3848"/>
          <w:tab w:val="left" w:pos="4329"/>
          <w:tab w:val="left" w:pos="4810"/>
          <w:tab w:val="left" w:pos="5291"/>
          <w:tab w:val="left" w:pos="5772"/>
          <w:tab w:val="left" w:pos="6253"/>
          <w:tab w:val="left" w:pos="6734"/>
          <w:tab w:val="left" w:pos="7215"/>
          <w:tab w:val="left" w:pos="7696"/>
          <w:tab w:val="left" w:pos="8177"/>
          <w:tab w:val="left" w:pos="8658"/>
          <w:tab w:val="left" w:pos="9139"/>
        </w:tabs>
        <w:ind w:left="1925" w:hanging="1925"/>
        <w:jc w:val="both"/>
        <w:rPr>
          <w:rFonts w:ascii="CG Omega" w:hAnsi="CG Omega"/>
        </w:rPr>
      </w:pPr>
      <w:r w:rsidRPr="009B4972">
        <w:rPr>
          <w:rFonts w:ascii="CG Omega" w:hAnsi="CG Omega"/>
          <w:b/>
        </w:rPr>
        <w:t>Medium Priority:</w:t>
      </w:r>
      <w:r w:rsidRPr="009B4972">
        <w:rPr>
          <w:rFonts w:ascii="CG Omega" w:hAnsi="CG Omega"/>
        </w:rPr>
        <w:tab/>
        <w:t xml:space="preserve">If funds are available, activities to address this need may be funded by </w:t>
      </w:r>
      <w:r w:rsidR="00CC3344">
        <w:rPr>
          <w:rFonts w:ascii="CG Omega" w:hAnsi="CG Omega"/>
        </w:rPr>
        <w:t>MFA</w:t>
      </w:r>
      <w:r w:rsidR="003C43F4" w:rsidRPr="009B4972">
        <w:rPr>
          <w:rFonts w:ascii="CG Omega" w:hAnsi="CG Omega"/>
        </w:rPr>
        <w:t xml:space="preserve"> during the five</w:t>
      </w:r>
      <w:r w:rsidRPr="009B4972">
        <w:rPr>
          <w:rFonts w:ascii="CG Omega" w:hAnsi="CG Omega"/>
        </w:rPr>
        <w:t xml:space="preserve">-year period.  Also, </w:t>
      </w:r>
      <w:r w:rsidR="00CC3344">
        <w:rPr>
          <w:rFonts w:ascii="CG Omega" w:hAnsi="CG Omega"/>
        </w:rPr>
        <w:t>MFA</w:t>
      </w:r>
      <w:r w:rsidRPr="009B4972">
        <w:rPr>
          <w:rFonts w:ascii="CG Omega" w:hAnsi="CG Omega"/>
        </w:rPr>
        <w:t xml:space="preserve"> may take other actions to help other entities locate other sources of fund</w:t>
      </w:r>
      <w:r w:rsidR="009106C4" w:rsidRPr="009B4972">
        <w:rPr>
          <w:rFonts w:ascii="CG Omega" w:hAnsi="CG Omega"/>
        </w:rPr>
        <w:t>s.  Identified by use of an ‘M.’</w:t>
      </w:r>
    </w:p>
    <w:p w:rsidR="00047D06" w:rsidRPr="009B4972" w:rsidRDefault="00047D06" w:rsidP="00047D06">
      <w:pPr>
        <w:tabs>
          <w:tab w:val="left" w:pos="0"/>
          <w:tab w:val="left" w:pos="481"/>
          <w:tab w:val="left" w:pos="962"/>
          <w:tab w:val="left" w:pos="1443"/>
          <w:tab w:val="left" w:pos="1924"/>
          <w:tab w:val="left" w:pos="2405"/>
          <w:tab w:val="left" w:pos="2886"/>
          <w:tab w:val="left" w:pos="3367"/>
          <w:tab w:val="left" w:pos="3848"/>
          <w:tab w:val="left" w:pos="4329"/>
          <w:tab w:val="left" w:pos="4810"/>
          <w:tab w:val="left" w:pos="5291"/>
          <w:tab w:val="left" w:pos="5772"/>
          <w:tab w:val="left" w:pos="6253"/>
          <w:tab w:val="left" w:pos="6734"/>
          <w:tab w:val="left" w:pos="7215"/>
          <w:tab w:val="left" w:pos="7696"/>
          <w:tab w:val="left" w:pos="8177"/>
          <w:tab w:val="left" w:pos="8658"/>
          <w:tab w:val="left" w:pos="9139"/>
        </w:tabs>
        <w:ind w:left="1925" w:hanging="1925"/>
        <w:jc w:val="both"/>
        <w:rPr>
          <w:rFonts w:ascii="CG Omega" w:hAnsi="CG Omega"/>
        </w:rPr>
      </w:pPr>
      <w:r w:rsidRPr="009B4972">
        <w:rPr>
          <w:rFonts w:ascii="CG Omega" w:hAnsi="CG Omega"/>
          <w:b/>
        </w:rPr>
        <w:t>Low Priority:</w:t>
      </w:r>
      <w:r w:rsidRPr="009B4972">
        <w:rPr>
          <w:rFonts w:ascii="CG Omega" w:hAnsi="CG Omega"/>
        </w:rPr>
        <w:tab/>
      </w:r>
      <w:r w:rsidRPr="009B4972">
        <w:rPr>
          <w:rFonts w:ascii="CG Omega" w:hAnsi="CG Omega"/>
        </w:rPr>
        <w:tab/>
      </w:r>
      <w:r w:rsidR="00CC3344">
        <w:rPr>
          <w:rFonts w:ascii="CG Omega" w:hAnsi="CG Omega"/>
        </w:rPr>
        <w:t>MFA</w:t>
      </w:r>
      <w:r w:rsidR="00F16F12" w:rsidRPr="009B4972">
        <w:rPr>
          <w:rFonts w:ascii="CG Omega" w:hAnsi="CG Omega"/>
        </w:rPr>
        <w:t xml:space="preserve"> </w:t>
      </w:r>
      <w:r w:rsidRPr="009B4972">
        <w:rPr>
          <w:rFonts w:ascii="CG Omega" w:hAnsi="CG Omega"/>
        </w:rPr>
        <w:t xml:space="preserve">will not directly fund activities to address this need during the five-year period, but other entities’ applications for federal assistance might be supported and found to be consistent with this Plan.  In order to commit CDBG, HOME or ESG Program monies to a Low Priority activity, </w:t>
      </w:r>
      <w:r w:rsidR="00CC3344">
        <w:rPr>
          <w:rFonts w:ascii="CG Omega" w:hAnsi="CG Omega"/>
        </w:rPr>
        <w:t>MFA</w:t>
      </w:r>
      <w:r w:rsidRPr="009B4972">
        <w:rPr>
          <w:rFonts w:ascii="CG Omega" w:hAnsi="CG Omega"/>
        </w:rPr>
        <w:t xml:space="preserve"> would have to amend this Consolidated Plan through the formal process required by the Consolidated Plan regulations at 24 CFR Part 91.  Identified b</w:t>
      </w:r>
      <w:r w:rsidR="009106C4" w:rsidRPr="009B4972">
        <w:rPr>
          <w:rFonts w:ascii="CG Omega" w:hAnsi="CG Omega"/>
        </w:rPr>
        <w:t>y use of an ‘L.’</w:t>
      </w:r>
    </w:p>
    <w:p w:rsidR="00047D06" w:rsidRPr="009B4972" w:rsidRDefault="00047D06" w:rsidP="00047D06">
      <w:pPr>
        <w:tabs>
          <w:tab w:val="left" w:pos="0"/>
          <w:tab w:val="left" w:pos="481"/>
          <w:tab w:val="left" w:pos="962"/>
          <w:tab w:val="left" w:pos="1443"/>
          <w:tab w:val="left" w:pos="1924"/>
          <w:tab w:val="left" w:pos="2405"/>
          <w:tab w:val="left" w:pos="2886"/>
          <w:tab w:val="left" w:pos="3367"/>
          <w:tab w:val="left" w:pos="3848"/>
          <w:tab w:val="left" w:pos="4329"/>
          <w:tab w:val="left" w:pos="4810"/>
          <w:tab w:val="left" w:pos="5291"/>
          <w:tab w:val="left" w:pos="5772"/>
          <w:tab w:val="left" w:pos="6253"/>
          <w:tab w:val="left" w:pos="6734"/>
          <w:tab w:val="left" w:pos="7215"/>
          <w:tab w:val="left" w:pos="7696"/>
          <w:tab w:val="left" w:pos="8177"/>
          <w:tab w:val="left" w:pos="8658"/>
          <w:tab w:val="left" w:pos="9139"/>
        </w:tabs>
        <w:ind w:left="1925" w:hanging="1925"/>
        <w:jc w:val="both"/>
        <w:rPr>
          <w:rFonts w:ascii="CG Omega" w:hAnsi="CG Omega"/>
        </w:rPr>
      </w:pPr>
      <w:r w:rsidRPr="009B4972">
        <w:rPr>
          <w:rFonts w:ascii="CG Omega" w:hAnsi="CG Omega"/>
          <w:b/>
        </w:rPr>
        <w:t>No Such Need:</w:t>
      </w:r>
      <w:r w:rsidRPr="009B4972">
        <w:rPr>
          <w:rFonts w:ascii="CG Omega" w:hAnsi="CG Omega"/>
        </w:rPr>
        <w:tab/>
      </w:r>
      <w:r w:rsidR="00CC3344">
        <w:rPr>
          <w:rFonts w:ascii="CG Omega" w:hAnsi="CG Omega"/>
          <w:spacing w:val="-2"/>
        </w:rPr>
        <w:t>MFA</w:t>
      </w:r>
      <w:r w:rsidRPr="009B4972">
        <w:rPr>
          <w:rFonts w:ascii="CG Omega" w:hAnsi="CG Omega"/>
          <w:spacing w:val="-2"/>
        </w:rPr>
        <w:t xml:space="preserve"> finds there is no need or that this need is already substantially addressed.  </w:t>
      </w:r>
      <w:r w:rsidR="00CC3344">
        <w:rPr>
          <w:rFonts w:ascii="CG Omega" w:hAnsi="CG Omega"/>
          <w:spacing w:val="-2"/>
        </w:rPr>
        <w:t>MFA</w:t>
      </w:r>
      <w:r w:rsidR="00F16F12" w:rsidRPr="009B4972">
        <w:rPr>
          <w:rFonts w:ascii="CG Omega" w:hAnsi="CG Omega"/>
          <w:spacing w:val="-2"/>
        </w:rPr>
        <w:t xml:space="preserve"> </w:t>
      </w:r>
      <w:r w:rsidRPr="009B4972">
        <w:rPr>
          <w:rFonts w:ascii="CG Omega" w:hAnsi="CG Omega"/>
          <w:spacing w:val="-2"/>
        </w:rPr>
        <w:t xml:space="preserve">will not support applications for federal assistance for activities where no </w:t>
      </w:r>
      <w:r w:rsidR="008F20B2" w:rsidRPr="009B4972">
        <w:rPr>
          <w:rFonts w:ascii="CG Omega" w:hAnsi="CG Omega"/>
          <w:spacing w:val="-2"/>
        </w:rPr>
        <w:t>need has been identified.</w:t>
      </w:r>
      <w:r w:rsidRPr="009B4972">
        <w:rPr>
          <w:rFonts w:ascii="CG Omega" w:hAnsi="CG Omega"/>
          <w:spacing w:val="-2"/>
        </w:rPr>
        <w:t xml:space="preserve"> </w:t>
      </w:r>
      <w:r w:rsidR="008F20B2" w:rsidRPr="009B4972">
        <w:rPr>
          <w:rFonts w:ascii="CG Omega" w:hAnsi="CG Omega"/>
          <w:spacing w:val="-2"/>
        </w:rPr>
        <w:t>Shown</w:t>
      </w:r>
      <w:r w:rsidRPr="009B4972">
        <w:rPr>
          <w:rFonts w:ascii="CG Omega" w:hAnsi="CG Omega"/>
          <w:spacing w:val="-2"/>
        </w:rPr>
        <w:t xml:space="preserve"> by use of a</w:t>
      </w:r>
      <w:r w:rsidR="009106C4" w:rsidRPr="009B4972">
        <w:rPr>
          <w:rFonts w:ascii="CG Omega" w:hAnsi="CG Omega"/>
          <w:spacing w:val="-2"/>
        </w:rPr>
        <w:t>n ‘N.’</w:t>
      </w:r>
    </w:p>
    <w:p w:rsidR="00EF398C" w:rsidRPr="007F6B6C" w:rsidRDefault="00EF398C" w:rsidP="00047D06">
      <w:pPr>
        <w:pStyle w:val="BodyText"/>
        <w:tabs>
          <w:tab w:val="num" w:pos="360"/>
        </w:tabs>
        <w:rPr>
          <w:rFonts w:ascii="CG Omega" w:hAnsi="CG Omega"/>
          <w:sz w:val="16"/>
          <w:szCs w:val="16"/>
          <w:highlight w:val="yellow"/>
        </w:rPr>
      </w:pPr>
    </w:p>
    <w:p w:rsidR="00AC6C3B" w:rsidRDefault="00AC6C3B" w:rsidP="00B32A7D">
      <w:pPr>
        <w:rPr>
          <w:rFonts w:ascii="CG Omega" w:hAnsi="CG Omega"/>
          <w:b/>
          <w:smallCaps/>
        </w:rPr>
      </w:pPr>
    </w:p>
    <w:p w:rsidR="00B32A7D" w:rsidRPr="006C45A2" w:rsidRDefault="00B32A7D" w:rsidP="00B32A7D">
      <w:pPr>
        <w:rPr>
          <w:rFonts w:ascii="CG Omega" w:hAnsi="CG Omega"/>
          <w:b/>
          <w:smallCaps/>
        </w:rPr>
      </w:pPr>
      <w:r w:rsidRPr="006C45A2">
        <w:rPr>
          <w:rFonts w:ascii="CG Omega" w:hAnsi="CG Omega"/>
          <w:b/>
          <w:smallCaps/>
        </w:rPr>
        <w:t>Priority Needs Analysis and Strategies</w:t>
      </w:r>
    </w:p>
    <w:p w:rsidR="00B32A7D" w:rsidRPr="00AC6C3B" w:rsidRDefault="00B32A7D" w:rsidP="00B32A7D">
      <w:pPr>
        <w:rPr>
          <w:rFonts w:ascii="CG Omega" w:hAnsi="CG Omega"/>
          <w:sz w:val="18"/>
          <w:szCs w:val="18"/>
        </w:rPr>
      </w:pPr>
    </w:p>
    <w:p w:rsidR="00BC79FB" w:rsidRPr="00AC6C3B" w:rsidRDefault="00CC3344" w:rsidP="00BC79FB">
      <w:pPr>
        <w:jc w:val="both"/>
        <w:rPr>
          <w:rFonts w:ascii="CG Omega" w:hAnsi="CG Omega"/>
        </w:rPr>
      </w:pPr>
      <w:r w:rsidRPr="00AC6C3B">
        <w:rPr>
          <w:rFonts w:ascii="CG Omega" w:hAnsi="CG Omega"/>
        </w:rPr>
        <w:t>MFA</w:t>
      </w:r>
      <w:r w:rsidR="00BC79FB" w:rsidRPr="00AC6C3B">
        <w:rPr>
          <w:rFonts w:ascii="CG Omega" w:hAnsi="CG Omega"/>
        </w:rPr>
        <w:t xml:space="preserve"> determines areas of statistically demonstrated need (ASDN) or those that receive scoring preference on applications for funds.  These areas were identified though the housing condition and market indicators analyzed throughout this report as well as through the specific criteria used each year and presented in the Annual Action Plan.  The prioritization is based on several characteristics: poverty level, homeownership, cost burden, construction trends, and population change.</w:t>
      </w:r>
    </w:p>
    <w:p w:rsidR="00BC79FB" w:rsidRPr="00AC6C3B" w:rsidRDefault="00BC79FB" w:rsidP="00BC79FB">
      <w:pPr>
        <w:jc w:val="both"/>
        <w:rPr>
          <w:rFonts w:ascii="CG Omega" w:hAnsi="CG Omega"/>
          <w:sz w:val="18"/>
          <w:szCs w:val="18"/>
        </w:rPr>
      </w:pPr>
    </w:p>
    <w:p w:rsidR="00BC79FB" w:rsidRPr="00AC6C3B" w:rsidRDefault="00BC79FB" w:rsidP="00BC79FB">
      <w:pPr>
        <w:pStyle w:val="BodyText"/>
        <w:tabs>
          <w:tab w:val="num" w:pos="360"/>
        </w:tabs>
        <w:rPr>
          <w:rFonts w:ascii="CG Omega" w:hAnsi="CG Omega"/>
          <w:szCs w:val="24"/>
        </w:rPr>
      </w:pPr>
      <w:r w:rsidRPr="00AC6C3B">
        <w:rPr>
          <w:rFonts w:ascii="CG Omega" w:hAnsi="CG Omega"/>
          <w:szCs w:val="24"/>
        </w:rPr>
        <w:t xml:space="preserve">Rankings have been assigned to each of the required categories for HUD Housing Priority Needs </w:t>
      </w:r>
      <w:r w:rsidRPr="00AC6C3B">
        <w:rPr>
          <w:rFonts w:ascii="CG Omega" w:hAnsi="CG Omega"/>
          <w:b/>
          <w:szCs w:val="24"/>
        </w:rPr>
        <w:t>Table 2A</w:t>
      </w:r>
      <w:r w:rsidRPr="00AC6C3B">
        <w:rPr>
          <w:rFonts w:ascii="CG Omega" w:hAnsi="CG Omega"/>
          <w:szCs w:val="24"/>
        </w:rPr>
        <w:t>.  The size of each group having unmet needs, coupled with input received at the public input meetings as well as the degree o</w:t>
      </w:r>
      <w:r w:rsidR="009B4972" w:rsidRPr="00AC6C3B">
        <w:rPr>
          <w:rFonts w:ascii="CG Omega" w:hAnsi="CG Omega"/>
          <w:szCs w:val="24"/>
        </w:rPr>
        <w:t xml:space="preserve">f need expressed during the </w:t>
      </w:r>
      <w:r w:rsidR="009B4972" w:rsidRPr="00AC6C3B">
        <w:rPr>
          <w:rFonts w:ascii="CG Omega" w:hAnsi="CG Omega"/>
          <w:i/>
          <w:szCs w:val="24"/>
        </w:rPr>
        <w:t>2014</w:t>
      </w:r>
      <w:r w:rsidRPr="00AC6C3B">
        <w:rPr>
          <w:rFonts w:ascii="CG Omega" w:hAnsi="CG Omega"/>
          <w:i/>
          <w:szCs w:val="24"/>
        </w:rPr>
        <w:t xml:space="preserve"> Housing and Community Development Survey</w:t>
      </w:r>
      <w:r w:rsidR="00AF5EB1" w:rsidRPr="00AC6C3B">
        <w:rPr>
          <w:rFonts w:ascii="CG Omega" w:hAnsi="CG Omega"/>
          <w:szCs w:val="24"/>
        </w:rPr>
        <w:t>.</w:t>
      </w:r>
    </w:p>
    <w:p w:rsidR="00AF5EB1" w:rsidRPr="00AC6C3B" w:rsidRDefault="00AF5EB1" w:rsidP="00BC79FB">
      <w:pPr>
        <w:pStyle w:val="BodyText"/>
        <w:tabs>
          <w:tab w:val="num" w:pos="360"/>
        </w:tabs>
        <w:rPr>
          <w:rFonts w:ascii="CG Omega" w:hAnsi="CG Omega"/>
          <w:sz w:val="18"/>
          <w:szCs w:val="18"/>
        </w:rPr>
      </w:pPr>
    </w:p>
    <w:p w:rsidR="008A293E" w:rsidRPr="009513C7" w:rsidRDefault="008A293E" w:rsidP="008A293E">
      <w:pPr>
        <w:pStyle w:val="Header"/>
        <w:jc w:val="center"/>
        <w:rPr>
          <w:rFonts w:ascii="Arial" w:hAnsi="Arial" w:cs="Arial"/>
          <w:b/>
          <w:sz w:val="23"/>
          <w:szCs w:val="23"/>
        </w:rPr>
      </w:pPr>
      <w:bookmarkStart w:id="106" w:name="_Toc233426587"/>
      <w:bookmarkStart w:id="107" w:name="_Toc233426772"/>
      <w:r w:rsidRPr="009513C7">
        <w:rPr>
          <w:rFonts w:ascii="Arial" w:hAnsi="Arial" w:cs="Arial"/>
          <w:b/>
          <w:sz w:val="23"/>
          <w:szCs w:val="23"/>
        </w:rPr>
        <w:t>Table 2A</w:t>
      </w:r>
    </w:p>
    <w:p w:rsidR="008A293E" w:rsidRPr="009513C7" w:rsidRDefault="008A293E" w:rsidP="008A293E">
      <w:pPr>
        <w:pStyle w:val="Header"/>
        <w:jc w:val="center"/>
        <w:rPr>
          <w:rFonts w:ascii="Arial" w:hAnsi="Arial" w:cs="Arial"/>
          <w:b/>
          <w:sz w:val="20"/>
          <w:szCs w:val="20"/>
        </w:rPr>
      </w:pPr>
      <w:r w:rsidRPr="009513C7">
        <w:rPr>
          <w:rFonts w:ascii="Arial" w:hAnsi="Arial" w:cs="Arial"/>
          <w:b/>
          <w:sz w:val="20"/>
          <w:szCs w:val="20"/>
        </w:rPr>
        <w:t>State of New Mexico</w:t>
      </w:r>
    </w:p>
    <w:p w:rsidR="008A293E" w:rsidRPr="009513C7" w:rsidRDefault="008A293E" w:rsidP="008A293E">
      <w:pPr>
        <w:jc w:val="center"/>
        <w:rPr>
          <w:rFonts w:ascii="Arial" w:hAnsi="Arial" w:cs="Arial"/>
          <w:b/>
          <w:sz w:val="20"/>
          <w:szCs w:val="20"/>
        </w:rPr>
      </w:pPr>
      <w:r w:rsidRPr="009513C7">
        <w:rPr>
          <w:rFonts w:ascii="Arial" w:hAnsi="Arial" w:cs="Arial"/>
          <w:b/>
          <w:sz w:val="20"/>
          <w:szCs w:val="20"/>
        </w:rPr>
        <w:t>Prior</w:t>
      </w:r>
      <w:r w:rsidR="0021384B">
        <w:rPr>
          <w:rFonts w:ascii="Arial" w:hAnsi="Arial" w:cs="Arial"/>
          <w:b/>
          <w:sz w:val="20"/>
          <w:szCs w:val="20"/>
        </w:rPr>
        <w:t xml:space="preserve">ity Housing Needs Table for </w:t>
      </w:r>
      <w:r w:rsidR="00E40EF9">
        <w:rPr>
          <w:rFonts w:ascii="Arial" w:hAnsi="Arial" w:cs="Arial"/>
          <w:b/>
          <w:sz w:val="20"/>
          <w:szCs w:val="20"/>
        </w:rPr>
        <w:t>2015-2020</w:t>
      </w:r>
      <w:r w:rsidRPr="009513C7">
        <w:rPr>
          <w:rFonts w:ascii="Arial" w:hAnsi="Arial" w:cs="Arial"/>
          <w:b/>
          <w:sz w:val="20"/>
          <w:szCs w:val="20"/>
        </w:rPr>
        <w:t xml:space="preserve"> Consolidated Plan</w:t>
      </w:r>
    </w:p>
    <w:tbl>
      <w:tblPr>
        <w:tblW w:w="0" w:type="auto"/>
        <w:jc w:val="center"/>
        <w:tblBorders>
          <w:top w:val="single" w:sz="6" w:space="0" w:color="000000"/>
          <w:left w:val="single" w:sz="6" w:space="0" w:color="000000"/>
          <w:bottom w:val="single" w:sz="6" w:space="0" w:color="000000"/>
          <w:right w:val="single" w:sz="6" w:space="0" w:color="000000"/>
          <w:insideV w:val="single" w:sz="6" w:space="0" w:color="000000"/>
        </w:tblBorders>
        <w:tblLayout w:type="fixed"/>
        <w:tblLook w:val="0000" w:firstRow="0" w:lastRow="0" w:firstColumn="0" w:lastColumn="0" w:noHBand="0" w:noVBand="0"/>
      </w:tblPr>
      <w:tblGrid>
        <w:gridCol w:w="1710"/>
        <w:gridCol w:w="2790"/>
        <w:gridCol w:w="1008"/>
        <w:gridCol w:w="1062"/>
        <w:gridCol w:w="18"/>
        <w:gridCol w:w="2772"/>
      </w:tblGrid>
      <w:tr w:rsidR="008A293E" w:rsidRPr="00955C8C" w:rsidTr="00371842">
        <w:trPr>
          <w:cantSplit/>
          <w:jc w:val="center"/>
        </w:trPr>
        <w:tc>
          <w:tcPr>
            <w:tcW w:w="4500" w:type="dxa"/>
            <w:gridSpan w:val="2"/>
            <w:tcBorders>
              <w:top w:val="single" w:sz="6" w:space="0" w:color="000000"/>
              <w:left w:val="nil"/>
              <w:bottom w:val="single" w:sz="6" w:space="0" w:color="000000"/>
              <w:right w:val="single" w:sz="6" w:space="0" w:color="000000"/>
            </w:tcBorders>
            <w:shd w:val="pct20" w:color="auto" w:fill="auto"/>
            <w:vAlign w:val="center"/>
          </w:tcPr>
          <w:p w:rsidR="008A293E" w:rsidRPr="009513C7" w:rsidRDefault="008A293E" w:rsidP="00371842">
            <w:pPr>
              <w:rPr>
                <w:rFonts w:ascii="Arial" w:hAnsi="Arial" w:cs="Arial"/>
                <w:b/>
                <w:sz w:val="16"/>
                <w:szCs w:val="16"/>
              </w:rPr>
            </w:pPr>
            <w:r w:rsidRPr="009513C7">
              <w:rPr>
                <w:rFonts w:ascii="Arial" w:hAnsi="Arial" w:cs="Arial"/>
                <w:b/>
                <w:sz w:val="16"/>
                <w:szCs w:val="16"/>
              </w:rPr>
              <w:t xml:space="preserve">PRIORITY HOUSING NEEDS </w:t>
            </w:r>
          </w:p>
          <w:p w:rsidR="008A293E" w:rsidRPr="009513C7" w:rsidRDefault="008A293E" w:rsidP="00371842">
            <w:pPr>
              <w:rPr>
                <w:rFonts w:ascii="Arial" w:hAnsi="Arial" w:cs="Arial"/>
                <w:b/>
                <w:sz w:val="16"/>
                <w:szCs w:val="16"/>
              </w:rPr>
            </w:pPr>
            <w:r w:rsidRPr="009513C7">
              <w:rPr>
                <w:rFonts w:ascii="Arial" w:hAnsi="Arial" w:cs="Arial"/>
                <w:b/>
                <w:sz w:val="16"/>
                <w:szCs w:val="16"/>
              </w:rPr>
              <w:t>(Households)</w:t>
            </w:r>
          </w:p>
        </w:tc>
        <w:tc>
          <w:tcPr>
            <w:tcW w:w="2070" w:type="dxa"/>
            <w:gridSpan w:val="2"/>
            <w:tcBorders>
              <w:top w:val="single" w:sz="6" w:space="0" w:color="000000"/>
              <w:left w:val="single" w:sz="6" w:space="0" w:color="000000"/>
              <w:bottom w:val="single" w:sz="6" w:space="0" w:color="000000"/>
              <w:right w:val="single" w:sz="6" w:space="0" w:color="000000"/>
            </w:tcBorders>
            <w:shd w:val="pct20" w:color="auto" w:fill="auto"/>
            <w:vAlign w:val="center"/>
          </w:tcPr>
          <w:p w:rsidR="008A293E" w:rsidRPr="009513C7" w:rsidRDefault="008A293E" w:rsidP="00371842">
            <w:pPr>
              <w:jc w:val="center"/>
              <w:rPr>
                <w:rFonts w:ascii="Arial" w:hAnsi="Arial" w:cs="Arial"/>
                <w:b/>
                <w:sz w:val="16"/>
                <w:szCs w:val="16"/>
              </w:rPr>
            </w:pPr>
            <w:r w:rsidRPr="009513C7">
              <w:rPr>
                <w:rFonts w:ascii="Arial" w:hAnsi="Arial" w:cs="Arial"/>
                <w:b/>
                <w:sz w:val="16"/>
                <w:szCs w:val="16"/>
              </w:rPr>
              <w:t xml:space="preserve">Priority </w:t>
            </w:r>
          </w:p>
        </w:tc>
        <w:tc>
          <w:tcPr>
            <w:tcW w:w="2790" w:type="dxa"/>
            <w:gridSpan w:val="2"/>
            <w:tcBorders>
              <w:top w:val="single" w:sz="6" w:space="0" w:color="000000"/>
              <w:left w:val="single" w:sz="6" w:space="0" w:color="000000"/>
              <w:bottom w:val="single" w:sz="6" w:space="0" w:color="000000"/>
              <w:right w:val="nil"/>
            </w:tcBorders>
            <w:shd w:val="pct20" w:color="auto" w:fill="auto"/>
            <w:vAlign w:val="center"/>
          </w:tcPr>
          <w:p w:rsidR="008A293E" w:rsidRPr="009513C7" w:rsidRDefault="008A293E" w:rsidP="00371842">
            <w:pPr>
              <w:tabs>
                <w:tab w:val="left" w:pos="972"/>
              </w:tabs>
              <w:jc w:val="center"/>
              <w:rPr>
                <w:rFonts w:ascii="Arial" w:hAnsi="Arial" w:cs="Arial"/>
                <w:b/>
                <w:sz w:val="16"/>
                <w:szCs w:val="16"/>
              </w:rPr>
            </w:pPr>
            <w:r w:rsidRPr="009513C7">
              <w:rPr>
                <w:rFonts w:ascii="Arial" w:hAnsi="Arial" w:cs="Arial"/>
                <w:b/>
                <w:bCs/>
                <w:sz w:val="16"/>
                <w:szCs w:val="16"/>
              </w:rPr>
              <w:t>Unmet</w:t>
            </w:r>
            <w:r w:rsidRPr="009513C7">
              <w:rPr>
                <w:rFonts w:ascii="Arial" w:hAnsi="Arial" w:cs="Arial"/>
                <w:sz w:val="16"/>
                <w:szCs w:val="16"/>
              </w:rPr>
              <w:t xml:space="preserve"> </w:t>
            </w:r>
            <w:r w:rsidRPr="009513C7">
              <w:rPr>
                <w:rFonts w:ascii="Arial" w:hAnsi="Arial" w:cs="Arial"/>
                <w:b/>
                <w:sz w:val="16"/>
                <w:szCs w:val="16"/>
              </w:rPr>
              <w:t>Need</w:t>
            </w:r>
          </w:p>
        </w:tc>
      </w:tr>
      <w:tr w:rsidR="008A293E" w:rsidRPr="00955C8C" w:rsidTr="00371842">
        <w:tblPrEx>
          <w:tblBorders>
            <w:top w:val="none" w:sz="0" w:space="0" w:color="auto"/>
            <w:left w:val="none" w:sz="0" w:space="0" w:color="auto"/>
            <w:bottom w:val="none" w:sz="0" w:space="0" w:color="auto"/>
            <w:right w:val="none" w:sz="0" w:space="0" w:color="auto"/>
            <w:insideV w:val="none" w:sz="0" w:space="0" w:color="auto"/>
          </w:tblBorders>
        </w:tblPrEx>
        <w:trPr>
          <w:cantSplit/>
          <w:trHeight w:hRule="exact" w:val="288"/>
          <w:jc w:val="center"/>
        </w:trPr>
        <w:tc>
          <w:tcPr>
            <w:tcW w:w="1710" w:type="dxa"/>
            <w:tcBorders>
              <w:top w:val="single" w:sz="12" w:space="0" w:color="auto"/>
              <w:bottom w:val="nil"/>
              <w:right w:val="nil"/>
            </w:tcBorders>
            <w:vAlign w:val="center"/>
          </w:tcPr>
          <w:p w:rsidR="008A293E" w:rsidRPr="00955C8C" w:rsidRDefault="008A293E" w:rsidP="00371842">
            <w:pPr>
              <w:pStyle w:val="Header"/>
              <w:tabs>
                <w:tab w:val="clear" w:pos="4320"/>
                <w:tab w:val="clear" w:pos="8640"/>
              </w:tabs>
              <w:spacing w:line="480" w:lineRule="auto"/>
              <w:rPr>
                <w:rFonts w:ascii="Arial" w:hAnsi="Arial" w:cs="Arial"/>
                <w:sz w:val="16"/>
                <w:szCs w:val="16"/>
                <w:highlight w:val="yellow"/>
              </w:rPr>
            </w:pPr>
          </w:p>
          <w:p w:rsidR="008A293E" w:rsidRPr="00955C8C" w:rsidRDefault="008A293E" w:rsidP="00371842">
            <w:pPr>
              <w:pStyle w:val="Header"/>
              <w:tabs>
                <w:tab w:val="clear" w:pos="4320"/>
                <w:tab w:val="clear" w:pos="8640"/>
              </w:tabs>
              <w:spacing w:line="480" w:lineRule="auto"/>
              <w:rPr>
                <w:rFonts w:ascii="Arial" w:hAnsi="Arial" w:cs="Arial"/>
                <w:sz w:val="16"/>
                <w:szCs w:val="16"/>
                <w:highlight w:val="yellow"/>
              </w:rPr>
            </w:pPr>
          </w:p>
        </w:tc>
        <w:tc>
          <w:tcPr>
            <w:tcW w:w="2790" w:type="dxa"/>
            <w:tcBorders>
              <w:top w:val="single" w:sz="12" w:space="0" w:color="auto"/>
              <w:left w:val="single" w:sz="6" w:space="0" w:color="auto"/>
              <w:bottom w:val="nil"/>
              <w:right w:val="nil"/>
            </w:tcBorders>
            <w:vAlign w:val="center"/>
          </w:tcPr>
          <w:p w:rsidR="008A293E" w:rsidRPr="009513C7" w:rsidRDefault="008A293E" w:rsidP="00371842">
            <w:pPr>
              <w:spacing w:line="480" w:lineRule="auto"/>
              <w:rPr>
                <w:rFonts w:ascii="Arial" w:hAnsi="Arial" w:cs="Arial"/>
                <w:sz w:val="16"/>
                <w:szCs w:val="16"/>
              </w:rPr>
            </w:pPr>
          </w:p>
        </w:tc>
        <w:tc>
          <w:tcPr>
            <w:tcW w:w="1008" w:type="dxa"/>
            <w:tcBorders>
              <w:top w:val="single" w:sz="12" w:space="0" w:color="auto"/>
              <w:left w:val="single" w:sz="6" w:space="0" w:color="auto"/>
              <w:bottom w:val="single" w:sz="6" w:space="0" w:color="auto"/>
              <w:right w:val="nil"/>
            </w:tcBorders>
            <w:vAlign w:val="center"/>
          </w:tcPr>
          <w:p w:rsidR="008A293E" w:rsidRPr="009513C7" w:rsidRDefault="008A293E" w:rsidP="00371842">
            <w:pPr>
              <w:jc w:val="center"/>
              <w:rPr>
                <w:rFonts w:ascii="Arial" w:hAnsi="Arial" w:cs="Arial"/>
                <w:sz w:val="16"/>
                <w:szCs w:val="16"/>
              </w:rPr>
            </w:pPr>
            <w:r w:rsidRPr="009513C7">
              <w:rPr>
                <w:rFonts w:ascii="Arial" w:hAnsi="Arial" w:cs="Arial"/>
                <w:sz w:val="16"/>
                <w:szCs w:val="16"/>
              </w:rPr>
              <w:t>0-30%</w:t>
            </w:r>
          </w:p>
        </w:tc>
        <w:tc>
          <w:tcPr>
            <w:tcW w:w="1080" w:type="dxa"/>
            <w:gridSpan w:val="2"/>
            <w:tcBorders>
              <w:top w:val="single" w:sz="12" w:space="0" w:color="auto"/>
              <w:left w:val="single" w:sz="6" w:space="0" w:color="auto"/>
              <w:bottom w:val="single" w:sz="6" w:space="0" w:color="auto"/>
              <w:right w:val="nil"/>
            </w:tcBorders>
            <w:tcMar>
              <w:top w:w="29" w:type="dxa"/>
            </w:tcMar>
            <w:vAlign w:val="bottom"/>
          </w:tcPr>
          <w:p w:rsidR="008A293E" w:rsidRPr="00854DBF" w:rsidRDefault="008A293E" w:rsidP="00371842">
            <w:pPr>
              <w:spacing w:line="480" w:lineRule="auto"/>
              <w:jc w:val="center"/>
              <w:rPr>
                <w:rFonts w:ascii="Arial" w:hAnsi="Arial" w:cs="Arial"/>
                <w:sz w:val="16"/>
                <w:szCs w:val="16"/>
              </w:rPr>
            </w:pPr>
            <w:r w:rsidRPr="00854DBF">
              <w:rPr>
                <w:rFonts w:ascii="Arial" w:hAnsi="Arial" w:cs="Arial"/>
                <w:sz w:val="16"/>
                <w:szCs w:val="16"/>
              </w:rPr>
              <w:t>H</w:t>
            </w:r>
          </w:p>
        </w:tc>
        <w:tc>
          <w:tcPr>
            <w:tcW w:w="2772" w:type="dxa"/>
            <w:tcBorders>
              <w:top w:val="single" w:sz="12" w:space="0" w:color="auto"/>
              <w:left w:val="single" w:sz="6" w:space="0" w:color="auto"/>
              <w:bottom w:val="single" w:sz="6" w:space="0" w:color="auto"/>
            </w:tcBorders>
            <w:vAlign w:val="center"/>
          </w:tcPr>
          <w:p w:rsidR="008A293E" w:rsidRPr="006A4537" w:rsidRDefault="008A293E" w:rsidP="00371842">
            <w:pPr>
              <w:jc w:val="center"/>
              <w:rPr>
                <w:rFonts w:ascii="Arial" w:hAnsi="Arial" w:cs="Arial"/>
                <w:sz w:val="16"/>
                <w:szCs w:val="16"/>
              </w:rPr>
            </w:pPr>
            <w:r w:rsidRPr="006A4537">
              <w:rPr>
                <w:rFonts w:ascii="Arial" w:hAnsi="Arial" w:cs="Arial"/>
                <w:sz w:val="16"/>
                <w:szCs w:val="16"/>
              </w:rPr>
              <w:t>14,975</w:t>
            </w:r>
          </w:p>
        </w:tc>
      </w:tr>
      <w:tr w:rsidR="008A293E" w:rsidRPr="00955C8C" w:rsidTr="00371842">
        <w:tblPrEx>
          <w:tblBorders>
            <w:top w:val="none" w:sz="0" w:space="0" w:color="auto"/>
            <w:left w:val="none" w:sz="0" w:space="0" w:color="auto"/>
            <w:bottom w:val="none" w:sz="0" w:space="0" w:color="auto"/>
            <w:right w:val="none" w:sz="0" w:space="0" w:color="auto"/>
            <w:insideV w:val="none" w:sz="0" w:space="0" w:color="auto"/>
          </w:tblBorders>
        </w:tblPrEx>
        <w:trPr>
          <w:cantSplit/>
          <w:trHeight w:hRule="exact" w:val="288"/>
          <w:jc w:val="center"/>
        </w:trPr>
        <w:tc>
          <w:tcPr>
            <w:tcW w:w="1710" w:type="dxa"/>
            <w:tcBorders>
              <w:top w:val="nil"/>
              <w:bottom w:val="nil"/>
              <w:right w:val="nil"/>
            </w:tcBorders>
            <w:vAlign w:val="center"/>
          </w:tcPr>
          <w:p w:rsidR="008A293E" w:rsidRPr="00955C8C" w:rsidRDefault="008A293E" w:rsidP="00371842">
            <w:pPr>
              <w:spacing w:line="480" w:lineRule="auto"/>
              <w:rPr>
                <w:rFonts w:ascii="Arial" w:hAnsi="Arial" w:cs="Arial"/>
                <w:sz w:val="16"/>
                <w:szCs w:val="16"/>
                <w:highlight w:val="yellow"/>
              </w:rPr>
            </w:pPr>
          </w:p>
        </w:tc>
        <w:tc>
          <w:tcPr>
            <w:tcW w:w="2790" w:type="dxa"/>
            <w:tcBorders>
              <w:top w:val="nil"/>
              <w:left w:val="single" w:sz="6" w:space="0" w:color="auto"/>
              <w:bottom w:val="nil"/>
              <w:right w:val="nil"/>
            </w:tcBorders>
            <w:vAlign w:val="center"/>
          </w:tcPr>
          <w:p w:rsidR="008A293E" w:rsidRPr="009513C7" w:rsidRDefault="008A293E" w:rsidP="00371842">
            <w:pPr>
              <w:pStyle w:val="Header"/>
              <w:tabs>
                <w:tab w:val="clear" w:pos="4320"/>
                <w:tab w:val="clear" w:pos="8640"/>
              </w:tabs>
              <w:spacing w:line="480" w:lineRule="auto"/>
              <w:rPr>
                <w:rFonts w:ascii="Arial" w:hAnsi="Arial" w:cs="Arial"/>
                <w:bCs/>
                <w:sz w:val="16"/>
                <w:szCs w:val="16"/>
              </w:rPr>
            </w:pPr>
            <w:r w:rsidRPr="009513C7">
              <w:rPr>
                <w:rFonts w:ascii="Arial" w:hAnsi="Arial" w:cs="Arial"/>
                <w:bCs/>
                <w:sz w:val="16"/>
                <w:szCs w:val="16"/>
              </w:rPr>
              <w:t>Small Related</w:t>
            </w:r>
          </w:p>
        </w:tc>
        <w:tc>
          <w:tcPr>
            <w:tcW w:w="1008" w:type="dxa"/>
            <w:tcBorders>
              <w:top w:val="nil"/>
              <w:left w:val="single" w:sz="6" w:space="0" w:color="auto"/>
              <w:bottom w:val="single" w:sz="6" w:space="0" w:color="auto"/>
              <w:right w:val="nil"/>
            </w:tcBorders>
            <w:vAlign w:val="center"/>
          </w:tcPr>
          <w:p w:rsidR="008A293E" w:rsidRPr="009513C7" w:rsidRDefault="008A293E" w:rsidP="00371842">
            <w:pPr>
              <w:jc w:val="center"/>
              <w:rPr>
                <w:rFonts w:ascii="Arial" w:hAnsi="Arial" w:cs="Arial"/>
                <w:sz w:val="16"/>
                <w:szCs w:val="16"/>
              </w:rPr>
            </w:pPr>
            <w:r w:rsidRPr="009513C7">
              <w:rPr>
                <w:rFonts w:ascii="Arial" w:hAnsi="Arial" w:cs="Arial"/>
                <w:sz w:val="16"/>
                <w:szCs w:val="16"/>
              </w:rPr>
              <w:t>31-50%</w:t>
            </w:r>
          </w:p>
        </w:tc>
        <w:tc>
          <w:tcPr>
            <w:tcW w:w="1080" w:type="dxa"/>
            <w:gridSpan w:val="2"/>
            <w:tcBorders>
              <w:top w:val="nil"/>
              <w:left w:val="single" w:sz="6" w:space="0" w:color="auto"/>
              <w:bottom w:val="single" w:sz="6" w:space="0" w:color="auto"/>
              <w:right w:val="nil"/>
            </w:tcBorders>
            <w:tcMar>
              <w:top w:w="29" w:type="dxa"/>
            </w:tcMar>
            <w:vAlign w:val="bottom"/>
          </w:tcPr>
          <w:p w:rsidR="008A293E" w:rsidRPr="00854DBF" w:rsidRDefault="008A293E" w:rsidP="00371842">
            <w:pPr>
              <w:spacing w:line="480" w:lineRule="auto"/>
              <w:jc w:val="center"/>
              <w:rPr>
                <w:rFonts w:ascii="Arial" w:hAnsi="Arial" w:cs="Arial"/>
                <w:sz w:val="16"/>
                <w:szCs w:val="16"/>
              </w:rPr>
            </w:pPr>
            <w:r w:rsidRPr="00854DBF">
              <w:rPr>
                <w:rFonts w:ascii="Arial" w:hAnsi="Arial" w:cs="Arial"/>
                <w:sz w:val="16"/>
                <w:szCs w:val="16"/>
              </w:rPr>
              <w:t>H</w:t>
            </w:r>
          </w:p>
        </w:tc>
        <w:tc>
          <w:tcPr>
            <w:tcW w:w="2772" w:type="dxa"/>
            <w:tcBorders>
              <w:top w:val="nil"/>
              <w:left w:val="single" w:sz="6" w:space="0" w:color="auto"/>
              <w:bottom w:val="single" w:sz="6" w:space="0" w:color="auto"/>
            </w:tcBorders>
            <w:vAlign w:val="center"/>
          </w:tcPr>
          <w:p w:rsidR="008A293E" w:rsidRPr="006A4537" w:rsidRDefault="008A293E" w:rsidP="00371842">
            <w:pPr>
              <w:jc w:val="center"/>
              <w:rPr>
                <w:rFonts w:ascii="Arial" w:hAnsi="Arial" w:cs="Arial"/>
                <w:sz w:val="16"/>
                <w:szCs w:val="16"/>
              </w:rPr>
            </w:pPr>
            <w:r w:rsidRPr="006A4537">
              <w:rPr>
                <w:rFonts w:ascii="Arial" w:hAnsi="Arial" w:cs="Arial"/>
                <w:sz w:val="16"/>
                <w:szCs w:val="16"/>
              </w:rPr>
              <w:t>12,275</w:t>
            </w:r>
          </w:p>
        </w:tc>
      </w:tr>
      <w:tr w:rsidR="008A293E" w:rsidRPr="00955C8C" w:rsidTr="00371842">
        <w:tblPrEx>
          <w:tblBorders>
            <w:top w:val="none" w:sz="0" w:space="0" w:color="auto"/>
            <w:left w:val="none" w:sz="0" w:space="0" w:color="auto"/>
            <w:bottom w:val="none" w:sz="0" w:space="0" w:color="auto"/>
            <w:right w:val="none" w:sz="0" w:space="0" w:color="auto"/>
            <w:insideV w:val="none" w:sz="0" w:space="0" w:color="auto"/>
          </w:tblBorders>
        </w:tblPrEx>
        <w:trPr>
          <w:cantSplit/>
          <w:trHeight w:hRule="exact" w:val="288"/>
          <w:jc w:val="center"/>
        </w:trPr>
        <w:tc>
          <w:tcPr>
            <w:tcW w:w="1710" w:type="dxa"/>
            <w:tcBorders>
              <w:top w:val="nil"/>
              <w:bottom w:val="nil"/>
              <w:right w:val="nil"/>
            </w:tcBorders>
            <w:vAlign w:val="center"/>
          </w:tcPr>
          <w:p w:rsidR="008A293E" w:rsidRPr="00955C8C" w:rsidRDefault="008A293E" w:rsidP="00371842">
            <w:pPr>
              <w:spacing w:line="480" w:lineRule="auto"/>
              <w:rPr>
                <w:rFonts w:ascii="Arial" w:hAnsi="Arial" w:cs="Arial"/>
                <w:sz w:val="16"/>
                <w:szCs w:val="16"/>
                <w:highlight w:val="yellow"/>
              </w:rPr>
            </w:pPr>
          </w:p>
        </w:tc>
        <w:tc>
          <w:tcPr>
            <w:tcW w:w="2790" w:type="dxa"/>
            <w:tcBorders>
              <w:top w:val="nil"/>
              <w:left w:val="single" w:sz="6" w:space="0" w:color="auto"/>
              <w:bottom w:val="single" w:sz="6" w:space="0" w:color="auto"/>
              <w:right w:val="nil"/>
            </w:tcBorders>
            <w:vAlign w:val="center"/>
          </w:tcPr>
          <w:p w:rsidR="008A293E" w:rsidRPr="009513C7" w:rsidRDefault="008A293E" w:rsidP="00371842">
            <w:pPr>
              <w:spacing w:line="480" w:lineRule="auto"/>
              <w:rPr>
                <w:rFonts w:ascii="Arial" w:hAnsi="Arial" w:cs="Arial"/>
                <w:bCs/>
                <w:sz w:val="16"/>
                <w:szCs w:val="16"/>
              </w:rPr>
            </w:pPr>
          </w:p>
        </w:tc>
        <w:tc>
          <w:tcPr>
            <w:tcW w:w="1008" w:type="dxa"/>
            <w:tcBorders>
              <w:top w:val="nil"/>
              <w:left w:val="single" w:sz="6" w:space="0" w:color="auto"/>
              <w:bottom w:val="single" w:sz="6" w:space="0" w:color="auto"/>
              <w:right w:val="nil"/>
            </w:tcBorders>
            <w:vAlign w:val="center"/>
          </w:tcPr>
          <w:p w:rsidR="008A293E" w:rsidRPr="009513C7" w:rsidRDefault="008A293E" w:rsidP="00371842">
            <w:pPr>
              <w:jc w:val="center"/>
              <w:rPr>
                <w:rFonts w:ascii="Arial" w:hAnsi="Arial" w:cs="Arial"/>
                <w:sz w:val="16"/>
                <w:szCs w:val="16"/>
              </w:rPr>
            </w:pPr>
            <w:r w:rsidRPr="009513C7">
              <w:rPr>
                <w:rFonts w:ascii="Arial" w:hAnsi="Arial" w:cs="Arial"/>
                <w:sz w:val="16"/>
                <w:szCs w:val="16"/>
              </w:rPr>
              <w:t>51-80%</w:t>
            </w:r>
          </w:p>
        </w:tc>
        <w:tc>
          <w:tcPr>
            <w:tcW w:w="1080" w:type="dxa"/>
            <w:gridSpan w:val="2"/>
            <w:tcBorders>
              <w:top w:val="nil"/>
              <w:left w:val="single" w:sz="6" w:space="0" w:color="auto"/>
              <w:bottom w:val="single" w:sz="6" w:space="0" w:color="auto"/>
              <w:right w:val="nil"/>
            </w:tcBorders>
            <w:tcMar>
              <w:top w:w="29" w:type="dxa"/>
            </w:tcMar>
            <w:vAlign w:val="bottom"/>
          </w:tcPr>
          <w:p w:rsidR="008A293E" w:rsidRPr="00854DBF" w:rsidRDefault="008A293E" w:rsidP="00371842">
            <w:pPr>
              <w:spacing w:line="480" w:lineRule="auto"/>
              <w:jc w:val="center"/>
              <w:rPr>
                <w:rFonts w:ascii="Arial" w:hAnsi="Arial" w:cs="Arial"/>
                <w:sz w:val="16"/>
                <w:szCs w:val="16"/>
              </w:rPr>
            </w:pPr>
            <w:r w:rsidRPr="00854DBF">
              <w:rPr>
                <w:rFonts w:ascii="Arial" w:hAnsi="Arial" w:cs="Arial"/>
                <w:sz w:val="16"/>
                <w:szCs w:val="16"/>
              </w:rPr>
              <w:t>M</w:t>
            </w:r>
          </w:p>
        </w:tc>
        <w:tc>
          <w:tcPr>
            <w:tcW w:w="2772" w:type="dxa"/>
            <w:tcBorders>
              <w:top w:val="nil"/>
              <w:left w:val="single" w:sz="6" w:space="0" w:color="auto"/>
              <w:bottom w:val="single" w:sz="6" w:space="0" w:color="auto"/>
            </w:tcBorders>
            <w:vAlign w:val="center"/>
          </w:tcPr>
          <w:p w:rsidR="008A293E" w:rsidRPr="006A4537" w:rsidRDefault="008A293E" w:rsidP="00371842">
            <w:pPr>
              <w:jc w:val="center"/>
              <w:rPr>
                <w:rFonts w:ascii="Arial" w:hAnsi="Arial" w:cs="Arial"/>
                <w:sz w:val="16"/>
                <w:szCs w:val="16"/>
              </w:rPr>
            </w:pPr>
            <w:r w:rsidRPr="006A4537">
              <w:rPr>
                <w:rFonts w:ascii="Arial" w:hAnsi="Arial" w:cs="Arial"/>
                <w:sz w:val="16"/>
                <w:szCs w:val="16"/>
              </w:rPr>
              <w:t>8,525</w:t>
            </w:r>
          </w:p>
        </w:tc>
      </w:tr>
      <w:tr w:rsidR="008A293E" w:rsidRPr="00955C8C" w:rsidTr="00371842">
        <w:tblPrEx>
          <w:tblBorders>
            <w:top w:val="none" w:sz="0" w:space="0" w:color="auto"/>
            <w:left w:val="none" w:sz="0" w:space="0" w:color="auto"/>
            <w:bottom w:val="none" w:sz="0" w:space="0" w:color="auto"/>
            <w:right w:val="none" w:sz="0" w:space="0" w:color="auto"/>
            <w:insideV w:val="none" w:sz="0" w:space="0" w:color="auto"/>
          </w:tblBorders>
        </w:tblPrEx>
        <w:trPr>
          <w:cantSplit/>
          <w:trHeight w:hRule="exact" w:val="288"/>
          <w:jc w:val="center"/>
        </w:trPr>
        <w:tc>
          <w:tcPr>
            <w:tcW w:w="1710" w:type="dxa"/>
            <w:tcBorders>
              <w:top w:val="nil"/>
              <w:bottom w:val="nil"/>
              <w:right w:val="nil"/>
            </w:tcBorders>
            <w:vAlign w:val="center"/>
          </w:tcPr>
          <w:p w:rsidR="008A293E" w:rsidRPr="00955C8C" w:rsidRDefault="008A293E" w:rsidP="00371842">
            <w:pPr>
              <w:spacing w:line="480" w:lineRule="auto"/>
              <w:rPr>
                <w:rFonts w:ascii="Arial" w:hAnsi="Arial" w:cs="Arial"/>
                <w:sz w:val="16"/>
                <w:szCs w:val="16"/>
                <w:highlight w:val="yellow"/>
              </w:rPr>
            </w:pPr>
          </w:p>
        </w:tc>
        <w:tc>
          <w:tcPr>
            <w:tcW w:w="2790" w:type="dxa"/>
            <w:tcBorders>
              <w:top w:val="nil"/>
              <w:left w:val="single" w:sz="6" w:space="0" w:color="auto"/>
              <w:bottom w:val="nil"/>
              <w:right w:val="nil"/>
            </w:tcBorders>
            <w:vAlign w:val="center"/>
          </w:tcPr>
          <w:p w:rsidR="008A293E" w:rsidRPr="009513C7" w:rsidRDefault="008A293E" w:rsidP="00371842">
            <w:pPr>
              <w:spacing w:line="480" w:lineRule="auto"/>
              <w:rPr>
                <w:rFonts w:ascii="Arial" w:hAnsi="Arial" w:cs="Arial"/>
                <w:bCs/>
                <w:sz w:val="16"/>
                <w:szCs w:val="16"/>
              </w:rPr>
            </w:pPr>
          </w:p>
        </w:tc>
        <w:tc>
          <w:tcPr>
            <w:tcW w:w="1008" w:type="dxa"/>
            <w:tcBorders>
              <w:top w:val="nil"/>
              <w:left w:val="single" w:sz="6" w:space="0" w:color="auto"/>
              <w:bottom w:val="nil"/>
              <w:right w:val="nil"/>
            </w:tcBorders>
            <w:vAlign w:val="center"/>
          </w:tcPr>
          <w:p w:rsidR="008A293E" w:rsidRPr="009513C7" w:rsidRDefault="008A293E" w:rsidP="00371842">
            <w:pPr>
              <w:jc w:val="center"/>
              <w:rPr>
                <w:rFonts w:ascii="Arial" w:hAnsi="Arial" w:cs="Arial"/>
                <w:sz w:val="16"/>
                <w:szCs w:val="16"/>
              </w:rPr>
            </w:pPr>
            <w:r w:rsidRPr="009513C7">
              <w:rPr>
                <w:rFonts w:ascii="Arial" w:hAnsi="Arial" w:cs="Arial"/>
                <w:sz w:val="16"/>
                <w:szCs w:val="16"/>
              </w:rPr>
              <w:t>0-30%</w:t>
            </w:r>
          </w:p>
        </w:tc>
        <w:tc>
          <w:tcPr>
            <w:tcW w:w="1080" w:type="dxa"/>
            <w:gridSpan w:val="2"/>
            <w:tcBorders>
              <w:top w:val="nil"/>
              <w:left w:val="single" w:sz="6" w:space="0" w:color="auto"/>
              <w:bottom w:val="nil"/>
              <w:right w:val="nil"/>
            </w:tcBorders>
            <w:tcMar>
              <w:top w:w="29" w:type="dxa"/>
            </w:tcMar>
            <w:vAlign w:val="bottom"/>
          </w:tcPr>
          <w:p w:rsidR="008A293E" w:rsidRPr="00854DBF" w:rsidRDefault="008A293E" w:rsidP="00371842">
            <w:pPr>
              <w:spacing w:line="480" w:lineRule="auto"/>
              <w:jc w:val="center"/>
              <w:rPr>
                <w:rFonts w:ascii="Arial" w:hAnsi="Arial" w:cs="Arial"/>
                <w:sz w:val="16"/>
                <w:szCs w:val="16"/>
              </w:rPr>
            </w:pPr>
            <w:r w:rsidRPr="00854DBF">
              <w:rPr>
                <w:rFonts w:ascii="Arial" w:hAnsi="Arial" w:cs="Arial"/>
                <w:sz w:val="16"/>
                <w:szCs w:val="16"/>
              </w:rPr>
              <w:t>H</w:t>
            </w:r>
          </w:p>
        </w:tc>
        <w:tc>
          <w:tcPr>
            <w:tcW w:w="2772" w:type="dxa"/>
            <w:tcBorders>
              <w:top w:val="nil"/>
              <w:left w:val="single" w:sz="6" w:space="0" w:color="auto"/>
              <w:bottom w:val="nil"/>
            </w:tcBorders>
            <w:vAlign w:val="center"/>
          </w:tcPr>
          <w:p w:rsidR="008A293E" w:rsidRPr="006A4537" w:rsidRDefault="008A293E" w:rsidP="00371842">
            <w:pPr>
              <w:jc w:val="center"/>
              <w:rPr>
                <w:rFonts w:ascii="Arial" w:hAnsi="Arial" w:cs="Arial"/>
                <w:sz w:val="16"/>
                <w:szCs w:val="16"/>
              </w:rPr>
            </w:pPr>
            <w:r w:rsidRPr="006A4537">
              <w:rPr>
                <w:rFonts w:ascii="Arial" w:hAnsi="Arial" w:cs="Arial"/>
                <w:sz w:val="16"/>
                <w:szCs w:val="16"/>
              </w:rPr>
              <w:t>3,835</w:t>
            </w:r>
          </w:p>
        </w:tc>
      </w:tr>
      <w:tr w:rsidR="008A293E" w:rsidRPr="00955C8C" w:rsidTr="00371842">
        <w:tblPrEx>
          <w:tblBorders>
            <w:top w:val="none" w:sz="0" w:space="0" w:color="auto"/>
            <w:left w:val="none" w:sz="0" w:space="0" w:color="auto"/>
            <w:bottom w:val="none" w:sz="0" w:space="0" w:color="auto"/>
            <w:right w:val="none" w:sz="0" w:space="0" w:color="auto"/>
            <w:insideV w:val="none" w:sz="0" w:space="0" w:color="auto"/>
          </w:tblBorders>
        </w:tblPrEx>
        <w:trPr>
          <w:cantSplit/>
          <w:trHeight w:hRule="exact" w:val="288"/>
          <w:jc w:val="center"/>
        </w:trPr>
        <w:tc>
          <w:tcPr>
            <w:tcW w:w="1710" w:type="dxa"/>
            <w:tcBorders>
              <w:top w:val="nil"/>
              <w:bottom w:val="nil"/>
              <w:right w:val="nil"/>
            </w:tcBorders>
            <w:vAlign w:val="center"/>
          </w:tcPr>
          <w:p w:rsidR="008A293E" w:rsidRPr="00955C8C" w:rsidRDefault="008A293E" w:rsidP="00371842">
            <w:pPr>
              <w:spacing w:line="480" w:lineRule="auto"/>
              <w:rPr>
                <w:rFonts w:ascii="Arial" w:hAnsi="Arial" w:cs="Arial"/>
                <w:sz w:val="16"/>
                <w:szCs w:val="16"/>
                <w:highlight w:val="yellow"/>
              </w:rPr>
            </w:pPr>
          </w:p>
        </w:tc>
        <w:tc>
          <w:tcPr>
            <w:tcW w:w="2790" w:type="dxa"/>
            <w:tcBorders>
              <w:top w:val="nil"/>
              <w:left w:val="single" w:sz="6" w:space="0" w:color="auto"/>
              <w:bottom w:val="nil"/>
              <w:right w:val="nil"/>
            </w:tcBorders>
            <w:vAlign w:val="center"/>
          </w:tcPr>
          <w:p w:rsidR="008A293E" w:rsidRPr="009513C7" w:rsidRDefault="008A293E" w:rsidP="00371842">
            <w:pPr>
              <w:spacing w:line="480" w:lineRule="auto"/>
              <w:rPr>
                <w:rFonts w:ascii="Arial" w:hAnsi="Arial" w:cs="Arial"/>
                <w:bCs/>
                <w:sz w:val="16"/>
                <w:szCs w:val="16"/>
              </w:rPr>
            </w:pPr>
            <w:r w:rsidRPr="009513C7">
              <w:rPr>
                <w:rFonts w:ascii="Arial" w:hAnsi="Arial" w:cs="Arial"/>
                <w:bCs/>
                <w:sz w:val="16"/>
                <w:szCs w:val="16"/>
              </w:rPr>
              <w:t>Large Related</w:t>
            </w:r>
          </w:p>
        </w:tc>
        <w:tc>
          <w:tcPr>
            <w:tcW w:w="1008" w:type="dxa"/>
            <w:tcBorders>
              <w:top w:val="single" w:sz="6" w:space="0" w:color="auto"/>
              <w:left w:val="single" w:sz="6" w:space="0" w:color="auto"/>
              <w:bottom w:val="single" w:sz="6" w:space="0" w:color="auto"/>
              <w:right w:val="nil"/>
            </w:tcBorders>
            <w:vAlign w:val="center"/>
          </w:tcPr>
          <w:p w:rsidR="008A293E" w:rsidRPr="009513C7" w:rsidRDefault="008A293E" w:rsidP="00371842">
            <w:pPr>
              <w:jc w:val="center"/>
              <w:rPr>
                <w:rFonts w:ascii="Arial" w:hAnsi="Arial" w:cs="Arial"/>
                <w:sz w:val="16"/>
                <w:szCs w:val="16"/>
              </w:rPr>
            </w:pPr>
            <w:r w:rsidRPr="009513C7">
              <w:rPr>
                <w:rFonts w:ascii="Arial" w:hAnsi="Arial" w:cs="Arial"/>
                <w:sz w:val="16"/>
                <w:szCs w:val="16"/>
              </w:rPr>
              <w:t>31-50%</w:t>
            </w:r>
          </w:p>
        </w:tc>
        <w:tc>
          <w:tcPr>
            <w:tcW w:w="1080" w:type="dxa"/>
            <w:gridSpan w:val="2"/>
            <w:tcBorders>
              <w:top w:val="single" w:sz="6" w:space="0" w:color="auto"/>
              <w:left w:val="single" w:sz="6" w:space="0" w:color="auto"/>
              <w:bottom w:val="single" w:sz="6" w:space="0" w:color="auto"/>
              <w:right w:val="nil"/>
            </w:tcBorders>
            <w:tcMar>
              <w:top w:w="29" w:type="dxa"/>
            </w:tcMar>
            <w:vAlign w:val="bottom"/>
          </w:tcPr>
          <w:p w:rsidR="008A293E" w:rsidRPr="00854DBF" w:rsidRDefault="008A293E" w:rsidP="00371842">
            <w:pPr>
              <w:spacing w:line="480" w:lineRule="auto"/>
              <w:jc w:val="center"/>
              <w:rPr>
                <w:rFonts w:ascii="Arial" w:hAnsi="Arial" w:cs="Arial"/>
                <w:sz w:val="16"/>
                <w:szCs w:val="16"/>
              </w:rPr>
            </w:pPr>
            <w:r w:rsidRPr="00854DBF">
              <w:rPr>
                <w:rFonts w:ascii="Arial" w:hAnsi="Arial" w:cs="Arial"/>
                <w:sz w:val="16"/>
                <w:szCs w:val="16"/>
              </w:rPr>
              <w:t>H</w:t>
            </w:r>
          </w:p>
        </w:tc>
        <w:tc>
          <w:tcPr>
            <w:tcW w:w="2772" w:type="dxa"/>
            <w:tcBorders>
              <w:top w:val="single" w:sz="6" w:space="0" w:color="auto"/>
              <w:left w:val="single" w:sz="6" w:space="0" w:color="auto"/>
              <w:bottom w:val="single" w:sz="6" w:space="0" w:color="auto"/>
            </w:tcBorders>
            <w:vAlign w:val="center"/>
          </w:tcPr>
          <w:p w:rsidR="008A293E" w:rsidRPr="006A4537" w:rsidRDefault="008A293E" w:rsidP="00371842">
            <w:pPr>
              <w:jc w:val="center"/>
              <w:rPr>
                <w:rFonts w:ascii="Arial" w:hAnsi="Arial" w:cs="Arial"/>
                <w:sz w:val="16"/>
                <w:szCs w:val="16"/>
              </w:rPr>
            </w:pPr>
            <w:r w:rsidRPr="006A4537">
              <w:rPr>
                <w:rFonts w:ascii="Arial" w:hAnsi="Arial" w:cs="Arial"/>
                <w:sz w:val="16"/>
                <w:szCs w:val="16"/>
              </w:rPr>
              <w:t>2,605</w:t>
            </w:r>
          </w:p>
        </w:tc>
      </w:tr>
      <w:tr w:rsidR="008A293E" w:rsidRPr="00955C8C" w:rsidTr="00371842">
        <w:tblPrEx>
          <w:tblBorders>
            <w:top w:val="none" w:sz="0" w:space="0" w:color="auto"/>
            <w:left w:val="none" w:sz="0" w:space="0" w:color="auto"/>
            <w:bottom w:val="none" w:sz="0" w:space="0" w:color="auto"/>
            <w:right w:val="none" w:sz="0" w:space="0" w:color="auto"/>
            <w:insideV w:val="none" w:sz="0" w:space="0" w:color="auto"/>
          </w:tblBorders>
        </w:tblPrEx>
        <w:trPr>
          <w:cantSplit/>
          <w:trHeight w:hRule="exact" w:val="288"/>
          <w:jc w:val="center"/>
        </w:trPr>
        <w:tc>
          <w:tcPr>
            <w:tcW w:w="1710" w:type="dxa"/>
            <w:tcBorders>
              <w:top w:val="nil"/>
              <w:bottom w:val="nil"/>
              <w:right w:val="nil"/>
            </w:tcBorders>
            <w:vAlign w:val="center"/>
          </w:tcPr>
          <w:p w:rsidR="008A293E" w:rsidRPr="00955C8C" w:rsidRDefault="008A293E" w:rsidP="00371842">
            <w:pPr>
              <w:spacing w:line="480" w:lineRule="auto"/>
              <w:rPr>
                <w:rFonts w:ascii="Arial" w:hAnsi="Arial" w:cs="Arial"/>
                <w:sz w:val="16"/>
                <w:szCs w:val="16"/>
                <w:highlight w:val="yellow"/>
              </w:rPr>
            </w:pPr>
          </w:p>
        </w:tc>
        <w:tc>
          <w:tcPr>
            <w:tcW w:w="2790" w:type="dxa"/>
            <w:tcBorders>
              <w:top w:val="nil"/>
              <w:left w:val="single" w:sz="6" w:space="0" w:color="auto"/>
              <w:bottom w:val="single" w:sz="6" w:space="0" w:color="auto"/>
              <w:right w:val="nil"/>
            </w:tcBorders>
            <w:vAlign w:val="center"/>
          </w:tcPr>
          <w:p w:rsidR="008A293E" w:rsidRPr="009513C7" w:rsidRDefault="008A293E" w:rsidP="00371842">
            <w:pPr>
              <w:spacing w:line="480" w:lineRule="auto"/>
              <w:rPr>
                <w:rFonts w:ascii="Arial" w:hAnsi="Arial" w:cs="Arial"/>
                <w:bCs/>
                <w:sz w:val="16"/>
                <w:szCs w:val="16"/>
              </w:rPr>
            </w:pPr>
          </w:p>
        </w:tc>
        <w:tc>
          <w:tcPr>
            <w:tcW w:w="1008" w:type="dxa"/>
            <w:tcBorders>
              <w:top w:val="nil"/>
              <w:left w:val="single" w:sz="6" w:space="0" w:color="auto"/>
              <w:bottom w:val="single" w:sz="6" w:space="0" w:color="auto"/>
              <w:right w:val="nil"/>
            </w:tcBorders>
            <w:vAlign w:val="center"/>
          </w:tcPr>
          <w:p w:rsidR="008A293E" w:rsidRPr="009513C7" w:rsidRDefault="008A293E" w:rsidP="00371842">
            <w:pPr>
              <w:jc w:val="center"/>
              <w:rPr>
                <w:rFonts w:ascii="Arial" w:hAnsi="Arial" w:cs="Arial"/>
                <w:sz w:val="16"/>
                <w:szCs w:val="16"/>
              </w:rPr>
            </w:pPr>
            <w:r w:rsidRPr="009513C7">
              <w:rPr>
                <w:rFonts w:ascii="Arial" w:hAnsi="Arial" w:cs="Arial"/>
                <w:sz w:val="16"/>
                <w:szCs w:val="16"/>
              </w:rPr>
              <w:t>51-80%</w:t>
            </w:r>
          </w:p>
        </w:tc>
        <w:tc>
          <w:tcPr>
            <w:tcW w:w="1080" w:type="dxa"/>
            <w:gridSpan w:val="2"/>
            <w:tcBorders>
              <w:top w:val="nil"/>
              <w:left w:val="single" w:sz="6" w:space="0" w:color="auto"/>
              <w:bottom w:val="single" w:sz="6" w:space="0" w:color="auto"/>
              <w:right w:val="nil"/>
            </w:tcBorders>
            <w:tcMar>
              <w:top w:w="29" w:type="dxa"/>
            </w:tcMar>
            <w:vAlign w:val="bottom"/>
          </w:tcPr>
          <w:p w:rsidR="008A293E" w:rsidRPr="00854DBF" w:rsidRDefault="008A293E" w:rsidP="00371842">
            <w:pPr>
              <w:spacing w:line="480" w:lineRule="auto"/>
              <w:jc w:val="center"/>
              <w:rPr>
                <w:rFonts w:ascii="Arial" w:hAnsi="Arial" w:cs="Arial"/>
                <w:sz w:val="16"/>
                <w:szCs w:val="16"/>
              </w:rPr>
            </w:pPr>
            <w:r w:rsidRPr="00854DBF">
              <w:rPr>
                <w:rFonts w:ascii="Arial" w:hAnsi="Arial" w:cs="Arial"/>
                <w:sz w:val="16"/>
                <w:szCs w:val="16"/>
              </w:rPr>
              <w:t>M</w:t>
            </w:r>
          </w:p>
        </w:tc>
        <w:tc>
          <w:tcPr>
            <w:tcW w:w="2772" w:type="dxa"/>
            <w:tcBorders>
              <w:top w:val="nil"/>
              <w:left w:val="single" w:sz="6" w:space="0" w:color="auto"/>
              <w:bottom w:val="single" w:sz="6" w:space="0" w:color="auto"/>
            </w:tcBorders>
            <w:vAlign w:val="center"/>
          </w:tcPr>
          <w:p w:rsidR="008A293E" w:rsidRPr="006A4537" w:rsidRDefault="008A293E" w:rsidP="00371842">
            <w:pPr>
              <w:jc w:val="center"/>
              <w:rPr>
                <w:rFonts w:ascii="Arial" w:hAnsi="Arial" w:cs="Arial"/>
                <w:sz w:val="16"/>
                <w:szCs w:val="16"/>
              </w:rPr>
            </w:pPr>
            <w:r w:rsidRPr="006A4537">
              <w:rPr>
                <w:rFonts w:ascii="Arial" w:hAnsi="Arial" w:cs="Arial"/>
                <w:sz w:val="16"/>
                <w:szCs w:val="16"/>
              </w:rPr>
              <w:t>2,480</w:t>
            </w:r>
          </w:p>
        </w:tc>
      </w:tr>
      <w:tr w:rsidR="008A293E" w:rsidRPr="00955C8C" w:rsidTr="00371842">
        <w:tblPrEx>
          <w:tblBorders>
            <w:top w:val="none" w:sz="0" w:space="0" w:color="auto"/>
            <w:left w:val="none" w:sz="0" w:space="0" w:color="auto"/>
            <w:bottom w:val="none" w:sz="0" w:space="0" w:color="auto"/>
            <w:right w:val="none" w:sz="0" w:space="0" w:color="auto"/>
            <w:insideV w:val="none" w:sz="0" w:space="0" w:color="auto"/>
          </w:tblBorders>
        </w:tblPrEx>
        <w:trPr>
          <w:cantSplit/>
          <w:trHeight w:hRule="exact" w:val="288"/>
          <w:jc w:val="center"/>
        </w:trPr>
        <w:tc>
          <w:tcPr>
            <w:tcW w:w="1710" w:type="dxa"/>
            <w:tcBorders>
              <w:top w:val="nil"/>
              <w:bottom w:val="nil"/>
              <w:right w:val="nil"/>
            </w:tcBorders>
            <w:vAlign w:val="center"/>
          </w:tcPr>
          <w:p w:rsidR="008A293E" w:rsidRPr="00955C8C" w:rsidRDefault="008A293E" w:rsidP="00371842">
            <w:pPr>
              <w:spacing w:line="480" w:lineRule="auto"/>
              <w:rPr>
                <w:rFonts w:ascii="Arial" w:hAnsi="Arial" w:cs="Arial"/>
                <w:sz w:val="16"/>
                <w:szCs w:val="16"/>
                <w:highlight w:val="yellow"/>
              </w:rPr>
            </w:pPr>
            <w:r w:rsidRPr="009513C7">
              <w:rPr>
                <w:rFonts w:ascii="Arial" w:hAnsi="Arial" w:cs="Arial"/>
                <w:b/>
                <w:sz w:val="16"/>
                <w:szCs w:val="16"/>
              </w:rPr>
              <w:t>Renter</w:t>
            </w:r>
          </w:p>
        </w:tc>
        <w:tc>
          <w:tcPr>
            <w:tcW w:w="2790" w:type="dxa"/>
            <w:tcBorders>
              <w:top w:val="nil"/>
              <w:left w:val="single" w:sz="6" w:space="0" w:color="auto"/>
              <w:bottom w:val="nil"/>
              <w:right w:val="nil"/>
            </w:tcBorders>
            <w:vAlign w:val="center"/>
          </w:tcPr>
          <w:p w:rsidR="008A293E" w:rsidRPr="009513C7" w:rsidRDefault="008A293E" w:rsidP="00371842">
            <w:pPr>
              <w:spacing w:line="480" w:lineRule="auto"/>
              <w:rPr>
                <w:rFonts w:ascii="Arial" w:hAnsi="Arial" w:cs="Arial"/>
                <w:bCs/>
                <w:sz w:val="16"/>
                <w:szCs w:val="16"/>
              </w:rPr>
            </w:pPr>
          </w:p>
        </w:tc>
        <w:tc>
          <w:tcPr>
            <w:tcW w:w="1008" w:type="dxa"/>
            <w:tcBorders>
              <w:top w:val="nil"/>
              <w:left w:val="single" w:sz="6" w:space="0" w:color="auto"/>
              <w:bottom w:val="nil"/>
              <w:right w:val="nil"/>
            </w:tcBorders>
            <w:vAlign w:val="center"/>
          </w:tcPr>
          <w:p w:rsidR="008A293E" w:rsidRPr="009513C7" w:rsidRDefault="008A293E" w:rsidP="00371842">
            <w:pPr>
              <w:jc w:val="center"/>
              <w:rPr>
                <w:rFonts w:ascii="Arial" w:hAnsi="Arial" w:cs="Arial"/>
                <w:sz w:val="16"/>
                <w:szCs w:val="16"/>
              </w:rPr>
            </w:pPr>
            <w:r w:rsidRPr="009513C7">
              <w:rPr>
                <w:rFonts w:ascii="Arial" w:hAnsi="Arial" w:cs="Arial"/>
                <w:sz w:val="16"/>
                <w:szCs w:val="16"/>
              </w:rPr>
              <w:t>0-30%</w:t>
            </w:r>
          </w:p>
        </w:tc>
        <w:tc>
          <w:tcPr>
            <w:tcW w:w="1080" w:type="dxa"/>
            <w:gridSpan w:val="2"/>
            <w:tcBorders>
              <w:top w:val="nil"/>
              <w:left w:val="single" w:sz="6" w:space="0" w:color="auto"/>
              <w:bottom w:val="nil"/>
              <w:right w:val="nil"/>
            </w:tcBorders>
            <w:tcMar>
              <w:top w:w="29" w:type="dxa"/>
            </w:tcMar>
            <w:vAlign w:val="bottom"/>
          </w:tcPr>
          <w:p w:rsidR="008A293E" w:rsidRPr="00854DBF" w:rsidRDefault="008A293E" w:rsidP="00371842">
            <w:pPr>
              <w:spacing w:line="480" w:lineRule="auto"/>
              <w:jc w:val="center"/>
              <w:rPr>
                <w:rFonts w:ascii="Arial" w:hAnsi="Arial" w:cs="Arial"/>
                <w:sz w:val="16"/>
                <w:szCs w:val="16"/>
              </w:rPr>
            </w:pPr>
            <w:r w:rsidRPr="00854DBF">
              <w:rPr>
                <w:rFonts w:ascii="Arial" w:hAnsi="Arial" w:cs="Arial"/>
                <w:sz w:val="16"/>
                <w:szCs w:val="16"/>
              </w:rPr>
              <w:t>H</w:t>
            </w:r>
          </w:p>
        </w:tc>
        <w:tc>
          <w:tcPr>
            <w:tcW w:w="2772" w:type="dxa"/>
            <w:tcBorders>
              <w:top w:val="nil"/>
              <w:left w:val="single" w:sz="6" w:space="0" w:color="auto"/>
              <w:bottom w:val="nil"/>
            </w:tcBorders>
            <w:vAlign w:val="center"/>
          </w:tcPr>
          <w:p w:rsidR="008A293E" w:rsidRPr="009513C7" w:rsidRDefault="008A293E" w:rsidP="00371842">
            <w:pPr>
              <w:jc w:val="center"/>
              <w:rPr>
                <w:rFonts w:ascii="Arial" w:hAnsi="Arial" w:cs="Arial"/>
                <w:sz w:val="16"/>
                <w:szCs w:val="16"/>
              </w:rPr>
            </w:pPr>
            <w:r w:rsidRPr="009513C7">
              <w:rPr>
                <w:rFonts w:ascii="Arial" w:hAnsi="Arial" w:cs="Arial"/>
                <w:sz w:val="16"/>
                <w:szCs w:val="16"/>
              </w:rPr>
              <w:t>5,625</w:t>
            </w:r>
          </w:p>
        </w:tc>
      </w:tr>
      <w:tr w:rsidR="008A293E" w:rsidRPr="00955C8C" w:rsidTr="00371842">
        <w:tblPrEx>
          <w:tblBorders>
            <w:top w:val="none" w:sz="0" w:space="0" w:color="auto"/>
            <w:left w:val="none" w:sz="0" w:space="0" w:color="auto"/>
            <w:bottom w:val="none" w:sz="0" w:space="0" w:color="auto"/>
            <w:right w:val="none" w:sz="0" w:space="0" w:color="auto"/>
            <w:insideV w:val="none" w:sz="0" w:space="0" w:color="auto"/>
          </w:tblBorders>
        </w:tblPrEx>
        <w:trPr>
          <w:cantSplit/>
          <w:trHeight w:hRule="exact" w:val="288"/>
          <w:jc w:val="center"/>
        </w:trPr>
        <w:tc>
          <w:tcPr>
            <w:tcW w:w="1710" w:type="dxa"/>
            <w:tcBorders>
              <w:top w:val="nil"/>
              <w:bottom w:val="nil"/>
              <w:right w:val="nil"/>
            </w:tcBorders>
            <w:vAlign w:val="center"/>
          </w:tcPr>
          <w:p w:rsidR="008A293E" w:rsidRPr="00955C8C" w:rsidRDefault="008A293E" w:rsidP="00371842">
            <w:pPr>
              <w:spacing w:line="480" w:lineRule="auto"/>
              <w:rPr>
                <w:rFonts w:ascii="Arial" w:hAnsi="Arial" w:cs="Arial"/>
                <w:sz w:val="16"/>
                <w:szCs w:val="16"/>
                <w:highlight w:val="yellow"/>
              </w:rPr>
            </w:pPr>
          </w:p>
        </w:tc>
        <w:tc>
          <w:tcPr>
            <w:tcW w:w="2790" w:type="dxa"/>
            <w:tcBorders>
              <w:top w:val="nil"/>
              <w:left w:val="single" w:sz="6" w:space="0" w:color="auto"/>
              <w:bottom w:val="nil"/>
              <w:right w:val="nil"/>
            </w:tcBorders>
            <w:vAlign w:val="center"/>
          </w:tcPr>
          <w:p w:rsidR="008A293E" w:rsidRPr="009513C7" w:rsidRDefault="008A293E" w:rsidP="00371842">
            <w:pPr>
              <w:spacing w:line="480" w:lineRule="auto"/>
              <w:rPr>
                <w:rFonts w:ascii="Arial" w:hAnsi="Arial" w:cs="Arial"/>
                <w:bCs/>
                <w:sz w:val="16"/>
                <w:szCs w:val="16"/>
              </w:rPr>
            </w:pPr>
            <w:r w:rsidRPr="009513C7">
              <w:rPr>
                <w:rFonts w:ascii="Arial" w:hAnsi="Arial" w:cs="Arial"/>
                <w:bCs/>
                <w:sz w:val="16"/>
                <w:szCs w:val="16"/>
              </w:rPr>
              <w:t>Elderly</w:t>
            </w:r>
          </w:p>
        </w:tc>
        <w:tc>
          <w:tcPr>
            <w:tcW w:w="1008" w:type="dxa"/>
            <w:tcBorders>
              <w:top w:val="single" w:sz="6" w:space="0" w:color="auto"/>
              <w:left w:val="single" w:sz="6" w:space="0" w:color="auto"/>
              <w:bottom w:val="single" w:sz="6" w:space="0" w:color="auto"/>
              <w:right w:val="nil"/>
            </w:tcBorders>
            <w:vAlign w:val="center"/>
          </w:tcPr>
          <w:p w:rsidR="008A293E" w:rsidRPr="009513C7" w:rsidRDefault="008A293E" w:rsidP="00371842">
            <w:pPr>
              <w:jc w:val="center"/>
              <w:rPr>
                <w:rFonts w:ascii="Arial" w:hAnsi="Arial" w:cs="Arial"/>
                <w:sz w:val="16"/>
                <w:szCs w:val="16"/>
              </w:rPr>
            </w:pPr>
            <w:r w:rsidRPr="009513C7">
              <w:rPr>
                <w:rFonts w:ascii="Arial" w:hAnsi="Arial" w:cs="Arial"/>
                <w:sz w:val="16"/>
                <w:szCs w:val="16"/>
              </w:rPr>
              <w:t>31-50%</w:t>
            </w:r>
          </w:p>
        </w:tc>
        <w:tc>
          <w:tcPr>
            <w:tcW w:w="1080" w:type="dxa"/>
            <w:gridSpan w:val="2"/>
            <w:tcBorders>
              <w:top w:val="single" w:sz="6" w:space="0" w:color="auto"/>
              <w:left w:val="single" w:sz="6" w:space="0" w:color="auto"/>
              <w:bottom w:val="single" w:sz="6" w:space="0" w:color="auto"/>
              <w:right w:val="nil"/>
            </w:tcBorders>
            <w:tcMar>
              <w:top w:w="29" w:type="dxa"/>
            </w:tcMar>
            <w:vAlign w:val="bottom"/>
          </w:tcPr>
          <w:p w:rsidR="008A293E" w:rsidRPr="00854DBF" w:rsidRDefault="008A293E" w:rsidP="00371842">
            <w:pPr>
              <w:spacing w:line="480" w:lineRule="auto"/>
              <w:jc w:val="center"/>
              <w:rPr>
                <w:rFonts w:ascii="Arial" w:hAnsi="Arial" w:cs="Arial"/>
                <w:sz w:val="16"/>
                <w:szCs w:val="16"/>
              </w:rPr>
            </w:pPr>
            <w:r w:rsidRPr="00854DBF">
              <w:rPr>
                <w:rFonts w:ascii="Arial" w:hAnsi="Arial" w:cs="Arial"/>
                <w:sz w:val="16"/>
                <w:szCs w:val="16"/>
              </w:rPr>
              <w:t>H</w:t>
            </w:r>
          </w:p>
        </w:tc>
        <w:tc>
          <w:tcPr>
            <w:tcW w:w="2772" w:type="dxa"/>
            <w:tcBorders>
              <w:top w:val="single" w:sz="6" w:space="0" w:color="auto"/>
              <w:left w:val="single" w:sz="6" w:space="0" w:color="auto"/>
              <w:bottom w:val="single" w:sz="6" w:space="0" w:color="auto"/>
            </w:tcBorders>
            <w:vAlign w:val="center"/>
          </w:tcPr>
          <w:p w:rsidR="008A293E" w:rsidRPr="009513C7" w:rsidRDefault="008A293E" w:rsidP="00371842">
            <w:pPr>
              <w:jc w:val="center"/>
              <w:rPr>
                <w:rFonts w:ascii="Arial" w:hAnsi="Arial" w:cs="Arial"/>
                <w:sz w:val="16"/>
                <w:szCs w:val="16"/>
              </w:rPr>
            </w:pPr>
            <w:r w:rsidRPr="009513C7">
              <w:rPr>
                <w:rFonts w:ascii="Arial" w:hAnsi="Arial" w:cs="Arial"/>
                <w:sz w:val="16"/>
                <w:szCs w:val="16"/>
              </w:rPr>
              <w:t>3,960</w:t>
            </w:r>
          </w:p>
        </w:tc>
      </w:tr>
      <w:tr w:rsidR="008A293E" w:rsidRPr="00955C8C" w:rsidTr="00371842">
        <w:tblPrEx>
          <w:tblBorders>
            <w:top w:val="none" w:sz="0" w:space="0" w:color="auto"/>
            <w:left w:val="none" w:sz="0" w:space="0" w:color="auto"/>
            <w:bottom w:val="none" w:sz="0" w:space="0" w:color="auto"/>
            <w:right w:val="none" w:sz="0" w:space="0" w:color="auto"/>
            <w:insideV w:val="none" w:sz="0" w:space="0" w:color="auto"/>
          </w:tblBorders>
        </w:tblPrEx>
        <w:trPr>
          <w:cantSplit/>
          <w:trHeight w:hRule="exact" w:val="288"/>
          <w:jc w:val="center"/>
        </w:trPr>
        <w:tc>
          <w:tcPr>
            <w:tcW w:w="1710" w:type="dxa"/>
            <w:tcBorders>
              <w:top w:val="nil"/>
              <w:bottom w:val="nil"/>
              <w:right w:val="nil"/>
            </w:tcBorders>
            <w:vAlign w:val="center"/>
          </w:tcPr>
          <w:p w:rsidR="008A293E" w:rsidRPr="00955C8C" w:rsidRDefault="008A293E" w:rsidP="00371842">
            <w:pPr>
              <w:spacing w:line="480" w:lineRule="auto"/>
              <w:rPr>
                <w:rFonts w:ascii="Arial" w:hAnsi="Arial" w:cs="Arial"/>
                <w:sz w:val="16"/>
                <w:szCs w:val="16"/>
                <w:highlight w:val="yellow"/>
              </w:rPr>
            </w:pPr>
          </w:p>
        </w:tc>
        <w:tc>
          <w:tcPr>
            <w:tcW w:w="2790" w:type="dxa"/>
            <w:tcBorders>
              <w:top w:val="nil"/>
              <w:left w:val="single" w:sz="6" w:space="0" w:color="auto"/>
              <w:bottom w:val="single" w:sz="6" w:space="0" w:color="auto"/>
              <w:right w:val="nil"/>
            </w:tcBorders>
            <w:vAlign w:val="center"/>
          </w:tcPr>
          <w:p w:rsidR="008A293E" w:rsidRPr="009513C7" w:rsidRDefault="008A293E" w:rsidP="00371842">
            <w:pPr>
              <w:spacing w:line="480" w:lineRule="auto"/>
              <w:rPr>
                <w:rFonts w:ascii="Arial" w:hAnsi="Arial" w:cs="Arial"/>
                <w:bCs/>
                <w:sz w:val="16"/>
                <w:szCs w:val="16"/>
              </w:rPr>
            </w:pPr>
          </w:p>
        </w:tc>
        <w:tc>
          <w:tcPr>
            <w:tcW w:w="1008" w:type="dxa"/>
            <w:tcBorders>
              <w:top w:val="nil"/>
              <w:left w:val="single" w:sz="6" w:space="0" w:color="auto"/>
              <w:bottom w:val="single" w:sz="6" w:space="0" w:color="auto"/>
              <w:right w:val="nil"/>
            </w:tcBorders>
            <w:vAlign w:val="center"/>
          </w:tcPr>
          <w:p w:rsidR="008A293E" w:rsidRPr="009513C7" w:rsidRDefault="008A293E" w:rsidP="00371842">
            <w:pPr>
              <w:jc w:val="center"/>
              <w:rPr>
                <w:rFonts w:ascii="Arial" w:hAnsi="Arial" w:cs="Arial"/>
                <w:sz w:val="16"/>
                <w:szCs w:val="16"/>
              </w:rPr>
            </w:pPr>
            <w:r w:rsidRPr="009513C7">
              <w:rPr>
                <w:rFonts w:ascii="Arial" w:hAnsi="Arial" w:cs="Arial"/>
                <w:sz w:val="16"/>
                <w:szCs w:val="16"/>
              </w:rPr>
              <w:t>51-80%</w:t>
            </w:r>
          </w:p>
        </w:tc>
        <w:tc>
          <w:tcPr>
            <w:tcW w:w="1080" w:type="dxa"/>
            <w:gridSpan w:val="2"/>
            <w:tcBorders>
              <w:top w:val="nil"/>
              <w:left w:val="single" w:sz="6" w:space="0" w:color="auto"/>
              <w:bottom w:val="single" w:sz="6" w:space="0" w:color="auto"/>
              <w:right w:val="nil"/>
            </w:tcBorders>
            <w:tcMar>
              <w:top w:w="29" w:type="dxa"/>
            </w:tcMar>
            <w:vAlign w:val="bottom"/>
          </w:tcPr>
          <w:p w:rsidR="008A293E" w:rsidRPr="00854DBF" w:rsidRDefault="008A293E" w:rsidP="00371842">
            <w:pPr>
              <w:spacing w:line="480" w:lineRule="auto"/>
              <w:jc w:val="center"/>
              <w:rPr>
                <w:rFonts w:ascii="Arial" w:hAnsi="Arial" w:cs="Arial"/>
                <w:sz w:val="16"/>
                <w:szCs w:val="16"/>
              </w:rPr>
            </w:pPr>
            <w:r w:rsidRPr="00854DBF">
              <w:rPr>
                <w:rFonts w:ascii="Arial" w:hAnsi="Arial" w:cs="Arial"/>
                <w:sz w:val="16"/>
                <w:szCs w:val="16"/>
              </w:rPr>
              <w:t>H</w:t>
            </w:r>
          </w:p>
        </w:tc>
        <w:tc>
          <w:tcPr>
            <w:tcW w:w="2772" w:type="dxa"/>
            <w:tcBorders>
              <w:top w:val="nil"/>
              <w:left w:val="single" w:sz="6" w:space="0" w:color="auto"/>
              <w:bottom w:val="single" w:sz="6" w:space="0" w:color="auto"/>
            </w:tcBorders>
            <w:vAlign w:val="center"/>
          </w:tcPr>
          <w:p w:rsidR="008A293E" w:rsidRPr="009513C7" w:rsidRDefault="008A293E" w:rsidP="00371842">
            <w:pPr>
              <w:jc w:val="center"/>
              <w:rPr>
                <w:rFonts w:ascii="Arial" w:hAnsi="Arial" w:cs="Arial"/>
                <w:sz w:val="16"/>
                <w:szCs w:val="16"/>
              </w:rPr>
            </w:pPr>
            <w:r w:rsidRPr="009513C7">
              <w:rPr>
                <w:rFonts w:ascii="Arial" w:hAnsi="Arial" w:cs="Arial"/>
                <w:sz w:val="16"/>
                <w:szCs w:val="16"/>
              </w:rPr>
              <w:t>9,085</w:t>
            </w:r>
          </w:p>
        </w:tc>
      </w:tr>
      <w:tr w:rsidR="008A293E" w:rsidRPr="00955C8C" w:rsidTr="00371842">
        <w:tblPrEx>
          <w:tblBorders>
            <w:top w:val="none" w:sz="0" w:space="0" w:color="auto"/>
            <w:left w:val="none" w:sz="0" w:space="0" w:color="auto"/>
            <w:bottom w:val="none" w:sz="0" w:space="0" w:color="auto"/>
            <w:right w:val="none" w:sz="0" w:space="0" w:color="auto"/>
            <w:insideV w:val="none" w:sz="0" w:space="0" w:color="auto"/>
          </w:tblBorders>
        </w:tblPrEx>
        <w:trPr>
          <w:cantSplit/>
          <w:trHeight w:hRule="exact" w:val="288"/>
          <w:jc w:val="center"/>
        </w:trPr>
        <w:tc>
          <w:tcPr>
            <w:tcW w:w="1710" w:type="dxa"/>
            <w:tcBorders>
              <w:top w:val="nil"/>
              <w:bottom w:val="nil"/>
              <w:right w:val="nil"/>
            </w:tcBorders>
            <w:vAlign w:val="center"/>
          </w:tcPr>
          <w:p w:rsidR="008A293E" w:rsidRPr="00955C8C" w:rsidRDefault="008A293E" w:rsidP="00371842">
            <w:pPr>
              <w:spacing w:line="480" w:lineRule="auto"/>
              <w:rPr>
                <w:rFonts w:ascii="Arial" w:hAnsi="Arial" w:cs="Arial"/>
                <w:sz w:val="16"/>
                <w:szCs w:val="16"/>
                <w:highlight w:val="yellow"/>
              </w:rPr>
            </w:pPr>
          </w:p>
        </w:tc>
        <w:tc>
          <w:tcPr>
            <w:tcW w:w="2790" w:type="dxa"/>
            <w:tcBorders>
              <w:top w:val="nil"/>
              <w:left w:val="single" w:sz="6" w:space="0" w:color="auto"/>
              <w:bottom w:val="nil"/>
              <w:right w:val="nil"/>
            </w:tcBorders>
            <w:vAlign w:val="center"/>
          </w:tcPr>
          <w:p w:rsidR="008A293E" w:rsidRPr="009513C7" w:rsidRDefault="008A293E" w:rsidP="00371842">
            <w:pPr>
              <w:spacing w:line="480" w:lineRule="auto"/>
              <w:rPr>
                <w:rFonts w:ascii="Arial" w:hAnsi="Arial" w:cs="Arial"/>
                <w:bCs/>
                <w:sz w:val="16"/>
                <w:szCs w:val="16"/>
              </w:rPr>
            </w:pPr>
          </w:p>
        </w:tc>
        <w:tc>
          <w:tcPr>
            <w:tcW w:w="1008" w:type="dxa"/>
            <w:tcBorders>
              <w:top w:val="nil"/>
              <w:left w:val="single" w:sz="6" w:space="0" w:color="auto"/>
              <w:bottom w:val="nil"/>
              <w:right w:val="nil"/>
            </w:tcBorders>
            <w:vAlign w:val="center"/>
          </w:tcPr>
          <w:p w:rsidR="008A293E" w:rsidRPr="009513C7" w:rsidRDefault="008A293E" w:rsidP="00371842">
            <w:pPr>
              <w:jc w:val="center"/>
              <w:rPr>
                <w:rFonts w:ascii="Arial" w:hAnsi="Arial" w:cs="Arial"/>
                <w:sz w:val="16"/>
                <w:szCs w:val="16"/>
              </w:rPr>
            </w:pPr>
            <w:r w:rsidRPr="009513C7">
              <w:rPr>
                <w:rFonts w:ascii="Arial" w:hAnsi="Arial" w:cs="Arial"/>
                <w:sz w:val="16"/>
                <w:szCs w:val="16"/>
              </w:rPr>
              <w:t>0-30%</w:t>
            </w:r>
          </w:p>
        </w:tc>
        <w:tc>
          <w:tcPr>
            <w:tcW w:w="1080" w:type="dxa"/>
            <w:gridSpan w:val="2"/>
            <w:tcBorders>
              <w:top w:val="nil"/>
              <w:left w:val="single" w:sz="6" w:space="0" w:color="auto"/>
              <w:bottom w:val="nil"/>
              <w:right w:val="nil"/>
            </w:tcBorders>
            <w:tcMar>
              <w:top w:w="29" w:type="dxa"/>
            </w:tcMar>
            <w:vAlign w:val="bottom"/>
          </w:tcPr>
          <w:p w:rsidR="008A293E" w:rsidRPr="00854DBF" w:rsidRDefault="008A293E" w:rsidP="00371842">
            <w:pPr>
              <w:spacing w:line="480" w:lineRule="auto"/>
              <w:jc w:val="center"/>
              <w:rPr>
                <w:rFonts w:ascii="Arial" w:hAnsi="Arial" w:cs="Arial"/>
                <w:sz w:val="16"/>
                <w:szCs w:val="16"/>
              </w:rPr>
            </w:pPr>
            <w:r w:rsidRPr="00854DBF">
              <w:rPr>
                <w:rFonts w:ascii="Arial" w:hAnsi="Arial" w:cs="Arial"/>
                <w:sz w:val="16"/>
                <w:szCs w:val="16"/>
              </w:rPr>
              <w:t>H</w:t>
            </w:r>
          </w:p>
        </w:tc>
        <w:tc>
          <w:tcPr>
            <w:tcW w:w="2772" w:type="dxa"/>
            <w:tcBorders>
              <w:top w:val="nil"/>
              <w:left w:val="single" w:sz="6" w:space="0" w:color="auto"/>
              <w:bottom w:val="nil"/>
            </w:tcBorders>
            <w:vAlign w:val="center"/>
          </w:tcPr>
          <w:p w:rsidR="008A293E" w:rsidRPr="009513C7" w:rsidRDefault="008A293E" w:rsidP="00371842">
            <w:pPr>
              <w:jc w:val="center"/>
              <w:rPr>
                <w:rFonts w:ascii="Arial" w:hAnsi="Arial" w:cs="Arial"/>
                <w:sz w:val="16"/>
                <w:szCs w:val="16"/>
              </w:rPr>
            </w:pPr>
            <w:r w:rsidRPr="009513C7">
              <w:rPr>
                <w:rFonts w:ascii="Arial" w:hAnsi="Arial" w:cs="Arial"/>
                <w:sz w:val="16"/>
                <w:szCs w:val="16"/>
              </w:rPr>
              <w:t>15,435</w:t>
            </w:r>
          </w:p>
        </w:tc>
      </w:tr>
      <w:tr w:rsidR="008A293E" w:rsidRPr="00955C8C" w:rsidTr="00371842">
        <w:tblPrEx>
          <w:tblBorders>
            <w:top w:val="none" w:sz="0" w:space="0" w:color="auto"/>
            <w:left w:val="none" w:sz="0" w:space="0" w:color="auto"/>
            <w:bottom w:val="none" w:sz="0" w:space="0" w:color="auto"/>
            <w:right w:val="none" w:sz="0" w:space="0" w:color="auto"/>
            <w:insideV w:val="none" w:sz="0" w:space="0" w:color="auto"/>
          </w:tblBorders>
        </w:tblPrEx>
        <w:trPr>
          <w:cantSplit/>
          <w:trHeight w:hRule="exact" w:val="288"/>
          <w:jc w:val="center"/>
        </w:trPr>
        <w:tc>
          <w:tcPr>
            <w:tcW w:w="1710" w:type="dxa"/>
            <w:tcBorders>
              <w:top w:val="nil"/>
              <w:bottom w:val="nil"/>
              <w:right w:val="nil"/>
            </w:tcBorders>
            <w:vAlign w:val="center"/>
          </w:tcPr>
          <w:p w:rsidR="008A293E" w:rsidRPr="00955C8C" w:rsidRDefault="008A293E" w:rsidP="00371842">
            <w:pPr>
              <w:spacing w:line="480" w:lineRule="auto"/>
              <w:rPr>
                <w:rFonts w:ascii="Arial" w:hAnsi="Arial" w:cs="Arial"/>
                <w:sz w:val="16"/>
                <w:szCs w:val="16"/>
                <w:highlight w:val="yellow"/>
              </w:rPr>
            </w:pPr>
          </w:p>
        </w:tc>
        <w:tc>
          <w:tcPr>
            <w:tcW w:w="2790" w:type="dxa"/>
            <w:tcBorders>
              <w:top w:val="nil"/>
              <w:left w:val="single" w:sz="6" w:space="0" w:color="auto"/>
              <w:bottom w:val="nil"/>
              <w:right w:val="nil"/>
            </w:tcBorders>
            <w:vAlign w:val="center"/>
          </w:tcPr>
          <w:p w:rsidR="008A293E" w:rsidRPr="009513C7" w:rsidRDefault="008A293E" w:rsidP="00371842">
            <w:pPr>
              <w:spacing w:line="480" w:lineRule="auto"/>
              <w:rPr>
                <w:rFonts w:ascii="Arial" w:hAnsi="Arial" w:cs="Arial"/>
                <w:bCs/>
                <w:sz w:val="16"/>
                <w:szCs w:val="16"/>
              </w:rPr>
            </w:pPr>
            <w:r w:rsidRPr="009513C7">
              <w:rPr>
                <w:rFonts w:ascii="Arial" w:hAnsi="Arial" w:cs="Arial"/>
                <w:bCs/>
                <w:sz w:val="16"/>
                <w:szCs w:val="16"/>
              </w:rPr>
              <w:t>All Other</w:t>
            </w:r>
          </w:p>
        </w:tc>
        <w:tc>
          <w:tcPr>
            <w:tcW w:w="1008" w:type="dxa"/>
            <w:tcBorders>
              <w:top w:val="single" w:sz="6" w:space="0" w:color="auto"/>
              <w:left w:val="single" w:sz="6" w:space="0" w:color="auto"/>
              <w:bottom w:val="single" w:sz="6" w:space="0" w:color="auto"/>
              <w:right w:val="nil"/>
            </w:tcBorders>
            <w:vAlign w:val="center"/>
          </w:tcPr>
          <w:p w:rsidR="008A293E" w:rsidRPr="009513C7" w:rsidRDefault="008A293E" w:rsidP="00371842">
            <w:pPr>
              <w:jc w:val="center"/>
              <w:rPr>
                <w:rFonts w:ascii="Arial" w:hAnsi="Arial" w:cs="Arial"/>
                <w:sz w:val="16"/>
                <w:szCs w:val="16"/>
              </w:rPr>
            </w:pPr>
            <w:r w:rsidRPr="009513C7">
              <w:rPr>
                <w:rFonts w:ascii="Arial" w:hAnsi="Arial" w:cs="Arial"/>
                <w:sz w:val="16"/>
                <w:szCs w:val="16"/>
              </w:rPr>
              <w:t>31-50%</w:t>
            </w:r>
          </w:p>
        </w:tc>
        <w:tc>
          <w:tcPr>
            <w:tcW w:w="1080" w:type="dxa"/>
            <w:gridSpan w:val="2"/>
            <w:tcBorders>
              <w:top w:val="single" w:sz="6" w:space="0" w:color="auto"/>
              <w:left w:val="single" w:sz="6" w:space="0" w:color="auto"/>
              <w:bottom w:val="single" w:sz="6" w:space="0" w:color="auto"/>
              <w:right w:val="nil"/>
            </w:tcBorders>
            <w:tcMar>
              <w:top w:w="29" w:type="dxa"/>
            </w:tcMar>
            <w:vAlign w:val="bottom"/>
          </w:tcPr>
          <w:p w:rsidR="008A293E" w:rsidRPr="00854DBF" w:rsidRDefault="008A293E" w:rsidP="00371842">
            <w:pPr>
              <w:spacing w:line="480" w:lineRule="auto"/>
              <w:jc w:val="center"/>
              <w:rPr>
                <w:rFonts w:ascii="Arial" w:hAnsi="Arial" w:cs="Arial"/>
                <w:sz w:val="16"/>
                <w:szCs w:val="16"/>
              </w:rPr>
            </w:pPr>
            <w:r w:rsidRPr="00854DBF">
              <w:rPr>
                <w:rFonts w:ascii="Arial" w:hAnsi="Arial" w:cs="Arial"/>
                <w:sz w:val="16"/>
                <w:szCs w:val="16"/>
              </w:rPr>
              <w:t>H</w:t>
            </w:r>
          </w:p>
        </w:tc>
        <w:tc>
          <w:tcPr>
            <w:tcW w:w="2772" w:type="dxa"/>
            <w:tcBorders>
              <w:top w:val="single" w:sz="6" w:space="0" w:color="auto"/>
              <w:left w:val="single" w:sz="6" w:space="0" w:color="auto"/>
              <w:bottom w:val="single" w:sz="6" w:space="0" w:color="auto"/>
            </w:tcBorders>
            <w:vAlign w:val="center"/>
          </w:tcPr>
          <w:p w:rsidR="008A293E" w:rsidRPr="009513C7" w:rsidRDefault="008A293E" w:rsidP="00371842">
            <w:pPr>
              <w:jc w:val="center"/>
              <w:rPr>
                <w:rFonts w:ascii="Arial" w:hAnsi="Arial" w:cs="Arial"/>
                <w:sz w:val="16"/>
                <w:szCs w:val="16"/>
              </w:rPr>
            </w:pPr>
            <w:r w:rsidRPr="009513C7">
              <w:rPr>
                <w:rFonts w:ascii="Arial" w:hAnsi="Arial" w:cs="Arial"/>
                <w:sz w:val="16"/>
                <w:szCs w:val="16"/>
              </w:rPr>
              <w:t>11,090</w:t>
            </w:r>
          </w:p>
        </w:tc>
      </w:tr>
      <w:tr w:rsidR="008A293E" w:rsidRPr="00955C8C" w:rsidTr="00371842">
        <w:tblPrEx>
          <w:tblBorders>
            <w:top w:val="none" w:sz="0" w:space="0" w:color="auto"/>
            <w:left w:val="none" w:sz="0" w:space="0" w:color="auto"/>
            <w:bottom w:val="none" w:sz="0" w:space="0" w:color="auto"/>
            <w:right w:val="none" w:sz="0" w:space="0" w:color="auto"/>
            <w:insideV w:val="none" w:sz="0" w:space="0" w:color="auto"/>
          </w:tblBorders>
        </w:tblPrEx>
        <w:trPr>
          <w:cantSplit/>
          <w:trHeight w:hRule="exact" w:val="288"/>
          <w:jc w:val="center"/>
        </w:trPr>
        <w:tc>
          <w:tcPr>
            <w:tcW w:w="1710" w:type="dxa"/>
            <w:tcBorders>
              <w:top w:val="nil"/>
              <w:bottom w:val="single" w:sz="6" w:space="0" w:color="auto"/>
              <w:right w:val="nil"/>
            </w:tcBorders>
            <w:vAlign w:val="center"/>
          </w:tcPr>
          <w:p w:rsidR="008A293E" w:rsidRPr="00955C8C" w:rsidRDefault="008A293E" w:rsidP="00371842">
            <w:pPr>
              <w:spacing w:line="480" w:lineRule="auto"/>
              <w:rPr>
                <w:rFonts w:ascii="Arial" w:hAnsi="Arial" w:cs="Arial"/>
                <w:sz w:val="16"/>
                <w:szCs w:val="16"/>
                <w:highlight w:val="yellow"/>
              </w:rPr>
            </w:pPr>
          </w:p>
        </w:tc>
        <w:tc>
          <w:tcPr>
            <w:tcW w:w="2790" w:type="dxa"/>
            <w:tcBorders>
              <w:top w:val="nil"/>
              <w:left w:val="single" w:sz="6" w:space="0" w:color="auto"/>
              <w:bottom w:val="single" w:sz="6" w:space="0" w:color="auto"/>
              <w:right w:val="nil"/>
            </w:tcBorders>
            <w:vAlign w:val="center"/>
          </w:tcPr>
          <w:p w:rsidR="008A293E" w:rsidRPr="009513C7" w:rsidRDefault="008A293E" w:rsidP="00371842">
            <w:pPr>
              <w:spacing w:line="480" w:lineRule="auto"/>
              <w:rPr>
                <w:rFonts w:ascii="Arial" w:hAnsi="Arial" w:cs="Arial"/>
                <w:sz w:val="16"/>
                <w:szCs w:val="16"/>
              </w:rPr>
            </w:pPr>
          </w:p>
        </w:tc>
        <w:tc>
          <w:tcPr>
            <w:tcW w:w="1008" w:type="dxa"/>
            <w:tcBorders>
              <w:top w:val="nil"/>
              <w:left w:val="single" w:sz="6" w:space="0" w:color="auto"/>
              <w:bottom w:val="single" w:sz="6" w:space="0" w:color="auto"/>
              <w:right w:val="nil"/>
            </w:tcBorders>
            <w:vAlign w:val="center"/>
          </w:tcPr>
          <w:p w:rsidR="008A293E" w:rsidRPr="009513C7" w:rsidRDefault="008A293E" w:rsidP="00371842">
            <w:pPr>
              <w:jc w:val="center"/>
              <w:rPr>
                <w:rFonts w:ascii="Arial" w:hAnsi="Arial" w:cs="Arial"/>
                <w:sz w:val="16"/>
                <w:szCs w:val="16"/>
              </w:rPr>
            </w:pPr>
            <w:r w:rsidRPr="009513C7">
              <w:rPr>
                <w:rFonts w:ascii="Arial" w:hAnsi="Arial" w:cs="Arial"/>
                <w:sz w:val="16"/>
                <w:szCs w:val="16"/>
              </w:rPr>
              <w:t>51-80%</w:t>
            </w:r>
          </w:p>
        </w:tc>
        <w:tc>
          <w:tcPr>
            <w:tcW w:w="1080" w:type="dxa"/>
            <w:gridSpan w:val="2"/>
            <w:tcBorders>
              <w:top w:val="nil"/>
              <w:left w:val="single" w:sz="6" w:space="0" w:color="auto"/>
              <w:bottom w:val="single" w:sz="6" w:space="0" w:color="auto"/>
              <w:right w:val="nil"/>
            </w:tcBorders>
            <w:tcMar>
              <w:top w:w="29" w:type="dxa"/>
            </w:tcMar>
            <w:vAlign w:val="bottom"/>
          </w:tcPr>
          <w:p w:rsidR="008A293E" w:rsidRPr="00854DBF" w:rsidRDefault="008A293E" w:rsidP="00371842">
            <w:pPr>
              <w:spacing w:line="480" w:lineRule="auto"/>
              <w:jc w:val="center"/>
              <w:rPr>
                <w:rFonts w:ascii="Arial" w:hAnsi="Arial" w:cs="Arial"/>
                <w:sz w:val="16"/>
                <w:szCs w:val="16"/>
              </w:rPr>
            </w:pPr>
            <w:r w:rsidRPr="00854DBF">
              <w:rPr>
                <w:rFonts w:ascii="Arial" w:hAnsi="Arial" w:cs="Arial"/>
                <w:sz w:val="16"/>
                <w:szCs w:val="16"/>
              </w:rPr>
              <w:t>M</w:t>
            </w:r>
          </w:p>
        </w:tc>
        <w:tc>
          <w:tcPr>
            <w:tcW w:w="2772" w:type="dxa"/>
            <w:tcBorders>
              <w:top w:val="nil"/>
              <w:left w:val="single" w:sz="6" w:space="0" w:color="auto"/>
              <w:bottom w:val="single" w:sz="6" w:space="0" w:color="auto"/>
            </w:tcBorders>
            <w:vAlign w:val="center"/>
          </w:tcPr>
          <w:p w:rsidR="008A293E" w:rsidRPr="009513C7" w:rsidRDefault="008A293E" w:rsidP="00371842">
            <w:pPr>
              <w:jc w:val="center"/>
              <w:rPr>
                <w:rFonts w:ascii="Arial" w:hAnsi="Arial" w:cs="Arial"/>
                <w:sz w:val="16"/>
                <w:szCs w:val="16"/>
              </w:rPr>
            </w:pPr>
            <w:r w:rsidRPr="009513C7">
              <w:rPr>
                <w:rFonts w:ascii="Arial" w:hAnsi="Arial" w:cs="Arial"/>
                <w:sz w:val="16"/>
                <w:szCs w:val="16"/>
              </w:rPr>
              <w:t>8,130</w:t>
            </w:r>
          </w:p>
        </w:tc>
      </w:tr>
      <w:tr w:rsidR="008A293E" w:rsidRPr="00955C8C" w:rsidTr="00371842">
        <w:tblPrEx>
          <w:tblBorders>
            <w:top w:val="none" w:sz="0" w:space="0" w:color="auto"/>
            <w:left w:val="none" w:sz="0" w:space="0" w:color="auto"/>
            <w:bottom w:val="none" w:sz="0" w:space="0" w:color="auto"/>
            <w:right w:val="none" w:sz="0" w:space="0" w:color="auto"/>
            <w:insideV w:val="none" w:sz="0" w:space="0" w:color="auto"/>
          </w:tblBorders>
        </w:tblPrEx>
        <w:trPr>
          <w:cantSplit/>
          <w:trHeight w:hRule="exact" w:val="288"/>
          <w:jc w:val="center"/>
        </w:trPr>
        <w:tc>
          <w:tcPr>
            <w:tcW w:w="1710" w:type="dxa"/>
            <w:tcBorders>
              <w:top w:val="single" w:sz="6" w:space="0" w:color="auto"/>
              <w:bottom w:val="nil"/>
              <w:right w:val="single" w:sz="4" w:space="0" w:color="auto"/>
            </w:tcBorders>
            <w:vAlign w:val="center"/>
          </w:tcPr>
          <w:p w:rsidR="008A293E" w:rsidRPr="009513C7" w:rsidRDefault="008A293E" w:rsidP="00371842">
            <w:pPr>
              <w:spacing w:line="480" w:lineRule="auto"/>
              <w:rPr>
                <w:rFonts w:ascii="Arial" w:hAnsi="Arial" w:cs="Arial"/>
                <w:sz w:val="16"/>
                <w:szCs w:val="16"/>
              </w:rPr>
            </w:pPr>
          </w:p>
        </w:tc>
        <w:tc>
          <w:tcPr>
            <w:tcW w:w="2790" w:type="dxa"/>
            <w:tcBorders>
              <w:top w:val="single" w:sz="6" w:space="0" w:color="auto"/>
              <w:left w:val="single" w:sz="4" w:space="0" w:color="auto"/>
              <w:bottom w:val="nil"/>
              <w:right w:val="nil"/>
            </w:tcBorders>
            <w:vAlign w:val="center"/>
          </w:tcPr>
          <w:p w:rsidR="008A293E" w:rsidRPr="009513C7" w:rsidRDefault="008A293E" w:rsidP="00371842">
            <w:pPr>
              <w:spacing w:line="480" w:lineRule="auto"/>
              <w:rPr>
                <w:rFonts w:ascii="Arial" w:hAnsi="Arial" w:cs="Arial"/>
                <w:sz w:val="16"/>
                <w:szCs w:val="16"/>
              </w:rPr>
            </w:pPr>
          </w:p>
        </w:tc>
        <w:tc>
          <w:tcPr>
            <w:tcW w:w="1008" w:type="dxa"/>
            <w:tcBorders>
              <w:top w:val="single" w:sz="6" w:space="0" w:color="auto"/>
              <w:left w:val="single" w:sz="6" w:space="0" w:color="auto"/>
              <w:bottom w:val="nil"/>
              <w:right w:val="nil"/>
            </w:tcBorders>
            <w:vAlign w:val="center"/>
          </w:tcPr>
          <w:p w:rsidR="008A293E" w:rsidRPr="009513C7" w:rsidRDefault="008A293E" w:rsidP="00371842">
            <w:pPr>
              <w:jc w:val="center"/>
              <w:rPr>
                <w:rFonts w:ascii="Arial" w:hAnsi="Arial" w:cs="Arial"/>
                <w:sz w:val="16"/>
                <w:szCs w:val="16"/>
              </w:rPr>
            </w:pPr>
            <w:r w:rsidRPr="009513C7">
              <w:rPr>
                <w:rFonts w:ascii="Arial" w:hAnsi="Arial" w:cs="Arial"/>
                <w:sz w:val="16"/>
                <w:szCs w:val="16"/>
              </w:rPr>
              <w:t>0-30%</w:t>
            </w:r>
          </w:p>
        </w:tc>
        <w:tc>
          <w:tcPr>
            <w:tcW w:w="1080" w:type="dxa"/>
            <w:gridSpan w:val="2"/>
            <w:tcBorders>
              <w:top w:val="single" w:sz="6" w:space="0" w:color="auto"/>
              <w:left w:val="single" w:sz="6" w:space="0" w:color="auto"/>
              <w:bottom w:val="nil"/>
              <w:right w:val="nil"/>
            </w:tcBorders>
            <w:tcMar>
              <w:top w:w="29" w:type="dxa"/>
            </w:tcMar>
            <w:vAlign w:val="bottom"/>
          </w:tcPr>
          <w:p w:rsidR="008A293E" w:rsidRPr="00854DBF" w:rsidRDefault="008A293E" w:rsidP="00371842">
            <w:pPr>
              <w:spacing w:line="480" w:lineRule="auto"/>
              <w:jc w:val="center"/>
              <w:rPr>
                <w:rFonts w:ascii="Arial" w:hAnsi="Arial" w:cs="Arial"/>
                <w:sz w:val="16"/>
                <w:szCs w:val="16"/>
              </w:rPr>
            </w:pPr>
            <w:r w:rsidRPr="00854DBF">
              <w:rPr>
                <w:rFonts w:ascii="Arial" w:hAnsi="Arial" w:cs="Arial"/>
                <w:sz w:val="16"/>
                <w:szCs w:val="16"/>
              </w:rPr>
              <w:t>L</w:t>
            </w:r>
          </w:p>
        </w:tc>
        <w:tc>
          <w:tcPr>
            <w:tcW w:w="2772" w:type="dxa"/>
            <w:tcBorders>
              <w:top w:val="single" w:sz="6" w:space="0" w:color="auto"/>
              <w:left w:val="single" w:sz="6" w:space="0" w:color="auto"/>
              <w:bottom w:val="nil"/>
            </w:tcBorders>
            <w:vAlign w:val="center"/>
          </w:tcPr>
          <w:p w:rsidR="008A293E" w:rsidRPr="009513C7" w:rsidRDefault="008A293E" w:rsidP="00371842">
            <w:pPr>
              <w:jc w:val="center"/>
              <w:rPr>
                <w:rFonts w:ascii="Arial" w:hAnsi="Arial" w:cs="Arial"/>
                <w:sz w:val="16"/>
                <w:szCs w:val="16"/>
              </w:rPr>
            </w:pPr>
            <w:r w:rsidRPr="009513C7">
              <w:rPr>
                <w:rFonts w:ascii="Arial" w:hAnsi="Arial" w:cs="Arial"/>
                <w:sz w:val="16"/>
                <w:szCs w:val="16"/>
              </w:rPr>
              <w:t>8,275</w:t>
            </w:r>
          </w:p>
        </w:tc>
      </w:tr>
      <w:tr w:rsidR="008A293E" w:rsidRPr="00955C8C" w:rsidTr="00371842">
        <w:tblPrEx>
          <w:tblBorders>
            <w:top w:val="none" w:sz="0" w:space="0" w:color="auto"/>
            <w:left w:val="none" w:sz="0" w:space="0" w:color="auto"/>
            <w:bottom w:val="none" w:sz="0" w:space="0" w:color="auto"/>
            <w:right w:val="none" w:sz="0" w:space="0" w:color="auto"/>
            <w:insideV w:val="none" w:sz="0" w:space="0" w:color="auto"/>
          </w:tblBorders>
        </w:tblPrEx>
        <w:trPr>
          <w:cantSplit/>
          <w:trHeight w:hRule="exact" w:val="288"/>
          <w:jc w:val="center"/>
        </w:trPr>
        <w:tc>
          <w:tcPr>
            <w:tcW w:w="1710" w:type="dxa"/>
            <w:tcBorders>
              <w:top w:val="nil"/>
              <w:bottom w:val="nil"/>
              <w:right w:val="single" w:sz="4" w:space="0" w:color="auto"/>
            </w:tcBorders>
            <w:vAlign w:val="center"/>
          </w:tcPr>
          <w:p w:rsidR="008A293E" w:rsidRPr="009513C7" w:rsidRDefault="008A293E" w:rsidP="00371842">
            <w:pPr>
              <w:spacing w:line="480" w:lineRule="auto"/>
              <w:rPr>
                <w:rFonts w:ascii="Arial" w:hAnsi="Arial" w:cs="Arial"/>
                <w:sz w:val="16"/>
                <w:szCs w:val="16"/>
              </w:rPr>
            </w:pPr>
          </w:p>
        </w:tc>
        <w:tc>
          <w:tcPr>
            <w:tcW w:w="2790" w:type="dxa"/>
            <w:tcBorders>
              <w:top w:val="nil"/>
              <w:left w:val="single" w:sz="4" w:space="0" w:color="auto"/>
              <w:bottom w:val="nil"/>
              <w:right w:val="nil"/>
            </w:tcBorders>
            <w:vAlign w:val="center"/>
          </w:tcPr>
          <w:p w:rsidR="008A293E" w:rsidRPr="009513C7" w:rsidRDefault="008A293E" w:rsidP="00371842">
            <w:pPr>
              <w:spacing w:line="480" w:lineRule="auto"/>
              <w:rPr>
                <w:rFonts w:ascii="Arial" w:hAnsi="Arial" w:cs="Arial"/>
                <w:sz w:val="16"/>
                <w:szCs w:val="16"/>
              </w:rPr>
            </w:pPr>
            <w:r w:rsidRPr="009513C7">
              <w:rPr>
                <w:rFonts w:ascii="Arial" w:hAnsi="Arial" w:cs="Arial"/>
                <w:sz w:val="16"/>
                <w:szCs w:val="16"/>
              </w:rPr>
              <w:t>Small Related</w:t>
            </w:r>
          </w:p>
        </w:tc>
        <w:tc>
          <w:tcPr>
            <w:tcW w:w="1008" w:type="dxa"/>
            <w:tcBorders>
              <w:top w:val="single" w:sz="6" w:space="0" w:color="auto"/>
              <w:left w:val="single" w:sz="6" w:space="0" w:color="auto"/>
              <w:bottom w:val="single" w:sz="6" w:space="0" w:color="auto"/>
              <w:right w:val="nil"/>
            </w:tcBorders>
            <w:vAlign w:val="center"/>
          </w:tcPr>
          <w:p w:rsidR="008A293E" w:rsidRPr="009513C7" w:rsidRDefault="008A293E" w:rsidP="00371842">
            <w:pPr>
              <w:jc w:val="center"/>
              <w:rPr>
                <w:rFonts w:ascii="Arial" w:hAnsi="Arial" w:cs="Arial"/>
                <w:sz w:val="16"/>
                <w:szCs w:val="16"/>
              </w:rPr>
            </w:pPr>
            <w:r w:rsidRPr="009513C7">
              <w:rPr>
                <w:rFonts w:ascii="Arial" w:hAnsi="Arial" w:cs="Arial"/>
                <w:sz w:val="16"/>
                <w:szCs w:val="16"/>
              </w:rPr>
              <w:t>31-50%</w:t>
            </w:r>
          </w:p>
        </w:tc>
        <w:tc>
          <w:tcPr>
            <w:tcW w:w="1080" w:type="dxa"/>
            <w:gridSpan w:val="2"/>
            <w:tcBorders>
              <w:top w:val="single" w:sz="6" w:space="0" w:color="auto"/>
              <w:left w:val="single" w:sz="6" w:space="0" w:color="auto"/>
              <w:bottom w:val="single" w:sz="6" w:space="0" w:color="auto"/>
              <w:right w:val="nil"/>
            </w:tcBorders>
            <w:tcMar>
              <w:top w:w="29" w:type="dxa"/>
            </w:tcMar>
            <w:vAlign w:val="bottom"/>
          </w:tcPr>
          <w:p w:rsidR="008A293E" w:rsidRPr="00854DBF" w:rsidRDefault="008A293E" w:rsidP="00371842">
            <w:pPr>
              <w:spacing w:line="480" w:lineRule="auto"/>
              <w:jc w:val="center"/>
              <w:rPr>
                <w:rFonts w:ascii="Arial" w:hAnsi="Arial" w:cs="Arial"/>
                <w:sz w:val="16"/>
                <w:szCs w:val="16"/>
              </w:rPr>
            </w:pPr>
            <w:r w:rsidRPr="00854DBF">
              <w:rPr>
                <w:rFonts w:ascii="Arial" w:hAnsi="Arial" w:cs="Arial"/>
                <w:sz w:val="16"/>
                <w:szCs w:val="16"/>
              </w:rPr>
              <w:t>L</w:t>
            </w:r>
          </w:p>
        </w:tc>
        <w:tc>
          <w:tcPr>
            <w:tcW w:w="2772" w:type="dxa"/>
            <w:tcBorders>
              <w:top w:val="single" w:sz="6" w:space="0" w:color="auto"/>
              <w:left w:val="single" w:sz="6" w:space="0" w:color="auto"/>
              <w:bottom w:val="single" w:sz="6" w:space="0" w:color="auto"/>
            </w:tcBorders>
            <w:vAlign w:val="center"/>
          </w:tcPr>
          <w:p w:rsidR="008A293E" w:rsidRPr="009513C7" w:rsidRDefault="008A293E" w:rsidP="00371842">
            <w:pPr>
              <w:jc w:val="center"/>
              <w:rPr>
                <w:rFonts w:ascii="Arial" w:hAnsi="Arial" w:cs="Arial"/>
                <w:sz w:val="16"/>
                <w:szCs w:val="16"/>
              </w:rPr>
            </w:pPr>
            <w:r w:rsidRPr="009513C7">
              <w:rPr>
                <w:rFonts w:ascii="Arial" w:hAnsi="Arial" w:cs="Arial"/>
                <w:sz w:val="16"/>
                <w:szCs w:val="16"/>
              </w:rPr>
              <w:t>9,535</w:t>
            </w:r>
          </w:p>
        </w:tc>
      </w:tr>
      <w:tr w:rsidR="008A293E" w:rsidRPr="00955C8C" w:rsidTr="00371842">
        <w:tblPrEx>
          <w:tblBorders>
            <w:top w:val="none" w:sz="0" w:space="0" w:color="auto"/>
            <w:left w:val="none" w:sz="0" w:space="0" w:color="auto"/>
            <w:bottom w:val="none" w:sz="0" w:space="0" w:color="auto"/>
            <w:right w:val="none" w:sz="0" w:space="0" w:color="auto"/>
            <w:insideV w:val="none" w:sz="0" w:space="0" w:color="auto"/>
          </w:tblBorders>
        </w:tblPrEx>
        <w:trPr>
          <w:cantSplit/>
          <w:trHeight w:hRule="exact" w:val="288"/>
          <w:jc w:val="center"/>
        </w:trPr>
        <w:tc>
          <w:tcPr>
            <w:tcW w:w="1710" w:type="dxa"/>
            <w:tcBorders>
              <w:top w:val="nil"/>
              <w:right w:val="single" w:sz="4" w:space="0" w:color="auto"/>
            </w:tcBorders>
            <w:vAlign w:val="center"/>
          </w:tcPr>
          <w:p w:rsidR="008A293E" w:rsidRPr="009513C7" w:rsidRDefault="008A293E" w:rsidP="00371842">
            <w:pPr>
              <w:spacing w:line="480" w:lineRule="auto"/>
              <w:rPr>
                <w:rFonts w:ascii="Arial" w:hAnsi="Arial" w:cs="Arial"/>
                <w:b/>
                <w:sz w:val="16"/>
                <w:szCs w:val="16"/>
              </w:rPr>
            </w:pPr>
          </w:p>
          <w:p w:rsidR="008A293E" w:rsidRPr="009513C7" w:rsidRDefault="008A293E" w:rsidP="00371842">
            <w:pPr>
              <w:spacing w:line="480" w:lineRule="auto"/>
              <w:rPr>
                <w:rFonts w:ascii="Arial" w:hAnsi="Arial" w:cs="Arial"/>
                <w:b/>
                <w:sz w:val="16"/>
                <w:szCs w:val="16"/>
              </w:rPr>
            </w:pPr>
          </w:p>
          <w:p w:rsidR="008A293E" w:rsidRPr="009513C7" w:rsidRDefault="008A293E" w:rsidP="00371842">
            <w:pPr>
              <w:spacing w:line="480" w:lineRule="auto"/>
              <w:rPr>
                <w:rFonts w:ascii="Arial" w:hAnsi="Arial" w:cs="Arial"/>
                <w:b/>
                <w:sz w:val="16"/>
                <w:szCs w:val="16"/>
              </w:rPr>
            </w:pPr>
            <w:r w:rsidRPr="009513C7">
              <w:rPr>
                <w:rFonts w:ascii="Arial" w:hAnsi="Arial" w:cs="Arial"/>
                <w:b/>
                <w:sz w:val="16"/>
                <w:szCs w:val="16"/>
              </w:rPr>
              <w:t>Owner</w:t>
            </w:r>
          </w:p>
          <w:p w:rsidR="008A293E" w:rsidRPr="009513C7" w:rsidRDefault="008A293E" w:rsidP="00371842">
            <w:pPr>
              <w:spacing w:line="480" w:lineRule="auto"/>
              <w:rPr>
                <w:rFonts w:ascii="Arial" w:hAnsi="Arial" w:cs="Arial"/>
                <w:sz w:val="16"/>
                <w:szCs w:val="16"/>
              </w:rPr>
            </w:pPr>
          </w:p>
        </w:tc>
        <w:tc>
          <w:tcPr>
            <w:tcW w:w="2790" w:type="dxa"/>
            <w:tcBorders>
              <w:top w:val="nil"/>
              <w:left w:val="single" w:sz="4" w:space="0" w:color="auto"/>
              <w:bottom w:val="single" w:sz="6" w:space="0" w:color="auto"/>
              <w:right w:val="nil"/>
            </w:tcBorders>
            <w:vAlign w:val="center"/>
          </w:tcPr>
          <w:p w:rsidR="008A293E" w:rsidRPr="009513C7" w:rsidRDefault="008A293E" w:rsidP="00371842">
            <w:pPr>
              <w:pStyle w:val="Header"/>
              <w:tabs>
                <w:tab w:val="clear" w:pos="4320"/>
                <w:tab w:val="clear" w:pos="8640"/>
              </w:tabs>
              <w:spacing w:line="480" w:lineRule="auto"/>
              <w:rPr>
                <w:rFonts w:ascii="Arial" w:hAnsi="Arial" w:cs="Arial"/>
                <w:bCs/>
                <w:sz w:val="16"/>
                <w:szCs w:val="16"/>
              </w:rPr>
            </w:pPr>
          </w:p>
        </w:tc>
        <w:tc>
          <w:tcPr>
            <w:tcW w:w="1008" w:type="dxa"/>
            <w:tcBorders>
              <w:top w:val="nil"/>
              <w:left w:val="single" w:sz="6" w:space="0" w:color="auto"/>
              <w:bottom w:val="single" w:sz="6" w:space="0" w:color="auto"/>
              <w:right w:val="nil"/>
            </w:tcBorders>
            <w:vAlign w:val="center"/>
          </w:tcPr>
          <w:p w:rsidR="008A293E" w:rsidRPr="009513C7" w:rsidRDefault="008A293E" w:rsidP="00371842">
            <w:pPr>
              <w:jc w:val="center"/>
              <w:rPr>
                <w:rFonts w:ascii="Arial" w:hAnsi="Arial" w:cs="Arial"/>
                <w:sz w:val="16"/>
                <w:szCs w:val="16"/>
              </w:rPr>
            </w:pPr>
            <w:r w:rsidRPr="009513C7">
              <w:rPr>
                <w:rFonts w:ascii="Arial" w:hAnsi="Arial" w:cs="Arial"/>
                <w:sz w:val="16"/>
                <w:szCs w:val="16"/>
              </w:rPr>
              <w:t>51-80%</w:t>
            </w:r>
          </w:p>
        </w:tc>
        <w:tc>
          <w:tcPr>
            <w:tcW w:w="1080" w:type="dxa"/>
            <w:gridSpan w:val="2"/>
            <w:tcBorders>
              <w:top w:val="nil"/>
              <w:left w:val="single" w:sz="6" w:space="0" w:color="auto"/>
              <w:bottom w:val="single" w:sz="6" w:space="0" w:color="auto"/>
              <w:right w:val="nil"/>
            </w:tcBorders>
            <w:tcMar>
              <w:top w:w="29" w:type="dxa"/>
            </w:tcMar>
            <w:vAlign w:val="bottom"/>
          </w:tcPr>
          <w:p w:rsidR="008A293E" w:rsidRPr="00854DBF" w:rsidRDefault="008A293E" w:rsidP="00371842">
            <w:pPr>
              <w:spacing w:line="480" w:lineRule="auto"/>
              <w:jc w:val="center"/>
              <w:rPr>
                <w:rFonts w:ascii="Arial" w:hAnsi="Arial" w:cs="Arial"/>
                <w:sz w:val="16"/>
                <w:szCs w:val="16"/>
              </w:rPr>
            </w:pPr>
            <w:r w:rsidRPr="00854DBF">
              <w:rPr>
                <w:rFonts w:ascii="Arial" w:hAnsi="Arial" w:cs="Arial"/>
                <w:sz w:val="16"/>
                <w:szCs w:val="16"/>
              </w:rPr>
              <w:t>M</w:t>
            </w:r>
          </w:p>
        </w:tc>
        <w:tc>
          <w:tcPr>
            <w:tcW w:w="2772" w:type="dxa"/>
            <w:tcBorders>
              <w:top w:val="nil"/>
              <w:left w:val="single" w:sz="6" w:space="0" w:color="auto"/>
              <w:bottom w:val="single" w:sz="6" w:space="0" w:color="auto"/>
            </w:tcBorders>
            <w:vAlign w:val="center"/>
          </w:tcPr>
          <w:p w:rsidR="008A293E" w:rsidRPr="009513C7" w:rsidRDefault="008A293E" w:rsidP="00371842">
            <w:pPr>
              <w:jc w:val="center"/>
              <w:rPr>
                <w:rFonts w:ascii="Arial" w:hAnsi="Arial" w:cs="Arial"/>
                <w:sz w:val="16"/>
                <w:szCs w:val="16"/>
              </w:rPr>
            </w:pPr>
            <w:r w:rsidRPr="009513C7">
              <w:rPr>
                <w:rFonts w:ascii="Arial" w:hAnsi="Arial" w:cs="Arial"/>
                <w:sz w:val="16"/>
                <w:szCs w:val="16"/>
              </w:rPr>
              <w:t>13,875</w:t>
            </w:r>
          </w:p>
        </w:tc>
      </w:tr>
      <w:tr w:rsidR="008A293E" w:rsidRPr="00955C8C" w:rsidTr="00371842">
        <w:tblPrEx>
          <w:tblBorders>
            <w:top w:val="none" w:sz="0" w:space="0" w:color="auto"/>
            <w:left w:val="none" w:sz="0" w:space="0" w:color="auto"/>
            <w:bottom w:val="none" w:sz="0" w:space="0" w:color="auto"/>
            <w:right w:val="none" w:sz="0" w:space="0" w:color="auto"/>
            <w:insideV w:val="none" w:sz="0" w:space="0" w:color="auto"/>
          </w:tblBorders>
        </w:tblPrEx>
        <w:trPr>
          <w:cantSplit/>
          <w:trHeight w:hRule="exact" w:val="288"/>
          <w:jc w:val="center"/>
        </w:trPr>
        <w:tc>
          <w:tcPr>
            <w:tcW w:w="1710" w:type="dxa"/>
            <w:tcBorders>
              <w:top w:val="nil"/>
              <w:right w:val="single" w:sz="6" w:space="0" w:color="auto"/>
            </w:tcBorders>
            <w:vAlign w:val="center"/>
          </w:tcPr>
          <w:p w:rsidR="008A293E" w:rsidRPr="009513C7" w:rsidRDefault="008A293E" w:rsidP="00371842">
            <w:pPr>
              <w:spacing w:line="480" w:lineRule="auto"/>
              <w:rPr>
                <w:rFonts w:ascii="Arial" w:hAnsi="Arial" w:cs="Arial"/>
                <w:b/>
                <w:sz w:val="16"/>
                <w:szCs w:val="16"/>
              </w:rPr>
            </w:pPr>
          </w:p>
        </w:tc>
        <w:tc>
          <w:tcPr>
            <w:tcW w:w="2790" w:type="dxa"/>
            <w:tcBorders>
              <w:top w:val="single" w:sz="6" w:space="0" w:color="auto"/>
              <w:left w:val="single" w:sz="6" w:space="0" w:color="auto"/>
              <w:right w:val="single" w:sz="6" w:space="0" w:color="auto"/>
            </w:tcBorders>
            <w:vAlign w:val="center"/>
          </w:tcPr>
          <w:p w:rsidR="008A293E" w:rsidRPr="009513C7" w:rsidRDefault="008A293E" w:rsidP="00371842">
            <w:pPr>
              <w:pStyle w:val="Header"/>
              <w:tabs>
                <w:tab w:val="clear" w:pos="4320"/>
                <w:tab w:val="clear" w:pos="8640"/>
              </w:tabs>
              <w:spacing w:line="480" w:lineRule="auto"/>
              <w:rPr>
                <w:rFonts w:ascii="Arial" w:hAnsi="Arial" w:cs="Arial"/>
                <w:bCs/>
                <w:sz w:val="16"/>
                <w:szCs w:val="16"/>
              </w:rPr>
            </w:pPr>
          </w:p>
        </w:tc>
        <w:tc>
          <w:tcPr>
            <w:tcW w:w="1008" w:type="dxa"/>
            <w:tcBorders>
              <w:top w:val="single" w:sz="6" w:space="0" w:color="auto"/>
              <w:left w:val="single" w:sz="6" w:space="0" w:color="auto"/>
              <w:bottom w:val="single" w:sz="6" w:space="0" w:color="auto"/>
              <w:right w:val="single" w:sz="6" w:space="0" w:color="auto"/>
            </w:tcBorders>
            <w:vAlign w:val="center"/>
          </w:tcPr>
          <w:p w:rsidR="008A293E" w:rsidRPr="009513C7" w:rsidRDefault="008A293E" w:rsidP="00371842">
            <w:pPr>
              <w:jc w:val="center"/>
              <w:rPr>
                <w:rFonts w:ascii="Arial" w:hAnsi="Arial" w:cs="Arial"/>
                <w:sz w:val="16"/>
                <w:szCs w:val="16"/>
              </w:rPr>
            </w:pPr>
            <w:r w:rsidRPr="009513C7">
              <w:rPr>
                <w:rFonts w:ascii="Arial" w:hAnsi="Arial" w:cs="Arial"/>
                <w:sz w:val="16"/>
                <w:szCs w:val="16"/>
              </w:rPr>
              <w:t>0-30%</w:t>
            </w:r>
          </w:p>
        </w:tc>
        <w:tc>
          <w:tcPr>
            <w:tcW w:w="1080" w:type="dxa"/>
            <w:gridSpan w:val="2"/>
            <w:tcBorders>
              <w:top w:val="single" w:sz="6" w:space="0" w:color="auto"/>
              <w:left w:val="single" w:sz="6" w:space="0" w:color="auto"/>
              <w:bottom w:val="single" w:sz="6" w:space="0" w:color="auto"/>
              <w:right w:val="single" w:sz="6" w:space="0" w:color="auto"/>
            </w:tcBorders>
            <w:tcMar>
              <w:top w:w="29" w:type="dxa"/>
            </w:tcMar>
            <w:vAlign w:val="bottom"/>
          </w:tcPr>
          <w:p w:rsidR="008A293E" w:rsidRPr="00854DBF" w:rsidRDefault="008A293E" w:rsidP="00371842">
            <w:pPr>
              <w:spacing w:line="480" w:lineRule="auto"/>
              <w:jc w:val="center"/>
              <w:rPr>
                <w:rFonts w:ascii="Arial" w:hAnsi="Arial" w:cs="Arial"/>
                <w:sz w:val="16"/>
                <w:szCs w:val="16"/>
              </w:rPr>
            </w:pPr>
            <w:r w:rsidRPr="00854DBF">
              <w:rPr>
                <w:rFonts w:ascii="Arial" w:hAnsi="Arial" w:cs="Arial"/>
                <w:sz w:val="16"/>
                <w:szCs w:val="16"/>
              </w:rPr>
              <w:t>L</w:t>
            </w:r>
          </w:p>
        </w:tc>
        <w:tc>
          <w:tcPr>
            <w:tcW w:w="2772" w:type="dxa"/>
            <w:tcBorders>
              <w:top w:val="single" w:sz="6" w:space="0" w:color="auto"/>
              <w:left w:val="single" w:sz="6" w:space="0" w:color="auto"/>
              <w:bottom w:val="single" w:sz="6" w:space="0" w:color="auto"/>
            </w:tcBorders>
            <w:vAlign w:val="center"/>
          </w:tcPr>
          <w:p w:rsidR="008A293E" w:rsidRPr="009513C7" w:rsidRDefault="008A293E" w:rsidP="00371842">
            <w:pPr>
              <w:jc w:val="center"/>
              <w:rPr>
                <w:rFonts w:ascii="Arial" w:hAnsi="Arial" w:cs="Arial"/>
                <w:sz w:val="16"/>
                <w:szCs w:val="16"/>
              </w:rPr>
            </w:pPr>
            <w:r w:rsidRPr="009513C7">
              <w:rPr>
                <w:rFonts w:ascii="Arial" w:hAnsi="Arial" w:cs="Arial"/>
                <w:sz w:val="16"/>
                <w:szCs w:val="16"/>
              </w:rPr>
              <w:t>2,085</w:t>
            </w:r>
          </w:p>
        </w:tc>
      </w:tr>
      <w:tr w:rsidR="008A293E" w:rsidRPr="00955C8C" w:rsidTr="00371842">
        <w:tblPrEx>
          <w:tblBorders>
            <w:top w:val="none" w:sz="0" w:space="0" w:color="auto"/>
            <w:left w:val="none" w:sz="0" w:space="0" w:color="auto"/>
            <w:bottom w:val="none" w:sz="0" w:space="0" w:color="auto"/>
            <w:right w:val="none" w:sz="0" w:space="0" w:color="auto"/>
            <w:insideV w:val="none" w:sz="0" w:space="0" w:color="auto"/>
          </w:tblBorders>
        </w:tblPrEx>
        <w:trPr>
          <w:cantSplit/>
          <w:trHeight w:hRule="exact" w:val="288"/>
          <w:jc w:val="center"/>
        </w:trPr>
        <w:tc>
          <w:tcPr>
            <w:tcW w:w="1710" w:type="dxa"/>
            <w:tcBorders>
              <w:top w:val="nil"/>
              <w:right w:val="single" w:sz="6" w:space="0" w:color="auto"/>
            </w:tcBorders>
            <w:vAlign w:val="center"/>
          </w:tcPr>
          <w:p w:rsidR="008A293E" w:rsidRPr="009513C7" w:rsidRDefault="008A293E" w:rsidP="00371842">
            <w:pPr>
              <w:spacing w:line="480" w:lineRule="auto"/>
              <w:rPr>
                <w:rFonts w:ascii="Arial" w:hAnsi="Arial" w:cs="Arial"/>
                <w:b/>
                <w:sz w:val="16"/>
                <w:szCs w:val="16"/>
              </w:rPr>
            </w:pPr>
          </w:p>
        </w:tc>
        <w:tc>
          <w:tcPr>
            <w:tcW w:w="2790" w:type="dxa"/>
            <w:tcBorders>
              <w:top w:val="nil"/>
              <w:left w:val="single" w:sz="6" w:space="0" w:color="auto"/>
              <w:right w:val="single" w:sz="6" w:space="0" w:color="auto"/>
            </w:tcBorders>
            <w:vAlign w:val="center"/>
          </w:tcPr>
          <w:p w:rsidR="008A293E" w:rsidRPr="009513C7" w:rsidRDefault="008A293E" w:rsidP="00371842">
            <w:pPr>
              <w:pStyle w:val="Header"/>
              <w:tabs>
                <w:tab w:val="clear" w:pos="4320"/>
                <w:tab w:val="clear" w:pos="8640"/>
              </w:tabs>
              <w:spacing w:line="480" w:lineRule="auto"/>
              <w:rPr>
                <w:rFonts w:ascii="Arial" w:hAnsi="Arial" w:cs="Arial"/>
                <w:bCs/>
                <w:sz w:val="16"/>
                <w:szCs w:val="16"/>
              </w:rPr>
            </w:pPr>
            <w:r w:rsidRPr="009513C7">
              <w:rPr>
                <w:rFonts w:ascii="Arial" w:hAnsi="Arial" w:cs="Arial"/>
                <w:sz w:val="16"/>
                <w:szCs w:val="16"/>
              </w:rPr>
              <w:t>Large Related</w:t>
            </w:r>
          </w:p>
        </w:tc>
        <w:tc>
          <w:tcPr>
            <w:tcW w:w="1008" w:type="dxa"/>
            <w:tcBorders>
              <w:top w:val="single" w:sz="6" w:space="0" w:color="auto"/>
              <w:left w:val="single" w:sz="6" w:space="0" w:color="auto"/>
              <w:bottom w:val="single" w:sz="6" w:space="0" w:color="auto"/>
              <w:right w:val="single" w:sz="6" w:space="0" w:color="auto"/>
            </w:tcBorders>
            <w:vAlign w:val="center"/>
          </w:tcPr>
          <w:p w:rsidR="008A293E" w:rsidRPr="009513C7" w:rsidRDefault="008A293E" w:rsidP="00371842">
            <w:pPr>
              <w:jc w:val="center"/>
              <w:rPr>
                <w:rFonts w:ascii="Arial" w:hAnsi="Arial" w:cs="Arial"/>
                <w:sz w:val="16"/>
                <w:szCs w:val="16"/>
              </w:rPr>
            </w:pPr>
            <w:r w:rsidRPr="009513C7">
              <w:rPr>
                <w:rFonts w:ascii="Arial" w:hAnsi="Arial" w:cs="Arial"/>
                <w:sz w:val="16"/>
                <w:szCs w:val="16"/>
              </w:rPr>
              <w:t>31-50%</w:t>
            </w:r>
          </w:p>
        </w:tc>
        <w:tc>
          <w:tcPr>
            <w:tcW w:w="1080" w:type="dxa"/>
            <w:gridSpan w:val="2"/>
            <w:tcBorders>
              <w:top w:val="single" w:sz="6" w:space="0" w:color="auto"/>
              <w:left w:val="single" w:sz="6" w:space="0" w:color="auto"/>
              <w:bottom w:val="single" w:sz="6" w:space="0" w:color="auto"/>
              <w:right w:val="single" w:sz="6" w:space="0" w:color="auto"/>
            </w:tcBorders>
            <w:tcMar>
              <w:top w:w="29" w:type="dxa"/>
            </w:tcMar>
            <w:vAlign w:val="bottom"/>
          </w:tcPr>
          <w:p w:rsidR="008A293E" w:rsidRPr="00854DBF" w:rsidRDefault="008A293E" w:rsidP="00371842">
            <w:pPr>
              <w:spacing w:line="480" w:lineRule="auto"/>
              <w:jc w:val="center"/>
              <w:rPr>
                <w:rFonts w:ascii="Arial" w:hAnsi="Arial" w:cs="Arial"/>
                <w:sz w:val="16"/>
                <w:szCs w:val="16"/>
              </w:rPr>
            </w:pPr>
            <w:r w:rsidRPr="00854DBF">
              <w:rPr>
                <w:rFonts w:ascii="Arial" w:hAnsi="Arial" w:cs="Arial"/>
                <w:sz w:val="16"/>
                <w:szCs w:val="16"/>
              </w:rPr>
              <w:t>L</w:t>
            </w:r>
          </w:p>
        </w:tc>
        <w:tc>
          <w:tcPr>
            <w:tcW w:w="2772" w:type="dxa"/>
            <w:tcBorders>
              <w:top w:val="single" w:sz="6" w:space="0" w:color="auto"/>
              <w:left w:val="single" w:sz="6" w:space="0" w:color="auto"/>
              <w:bottom w:val="single" w:sz="6" w:space="0" w:color="auto"/>
            </w:tcBorders>
            <w:vAlign w:val="center"/>
          </w:tcPr>
          <w:p w:rsidR="008A293E" w:rsidRPr="009513C7" w:rsidRDefault="008A293E" w:rsidP="00371842">
            <w:pPr>
              <w:jc w:val="center"/>
              <w:rPr>
                <w:rFonts w:ascii="Arial" w:hAnsi="Arial" w:cs="Arial"/>
                <w:sz w:val="16"/>
                <w:szCs w:val="16"/>
              </w:rPr>
            </w:pPr>
            <w:r w:rsidRPr="009513C7">
              <w:rPr>
                <w:rFonts w:ascii="Arial" w:hAnsi="Arial" w:cs="Arial"/>
                <w:sz w:val="16"/>
                <w:szCs w:val="16"/>
              </w:rPr>
              <w:t>3,320</w:t>
            </w:r>
          </w:p>
        </w:tc>
      </w:tr>
      <w:tr w:rsidR="008A293E" w:rsidRPr="00955C8C" w:rsidTr="00371842">
        <w:tblPrEx>
          <w:tblBorders>
            <w:top w:val="none" w:sz="0" w:space="0" w:color="auto"/>
            <w:left w:val="none" w:sz="0" w:space="0" w:color="auto"/>
            <w:bottom w:val="none" w:sz="0" w:space="0" w:color="auto"/>
            <w:right w:val="none" w:sz="0" w:space="0" w:color="auto"/>
            <w:insideV w:val="none" w:sz="0" w:space="0" w:color="auto"/>
          </w:tblBorders>
        </w:tblPrEx>
        <w:trPr>
          <w:cantSplit/>
          <w:trHeight w:hRule="exact" w:val="288"/>
          <w:jc w:val="center"/>
        </w:trPr>
        <w:tc>
          <w:tcPr>
            <w:tcW w:w="1710" w:type="dxa"/>
            <w:vMerge w:val="restart"/>
            <w:tcBorders>
              <w:top w:val="nil"/>
              <w:right w:val="single" w:sz="6" w:space="0" w:color="auto"/>
            </w:tcBorders>
            <w:vAlign w:val="center"/>
          </w:tcPr>
          <w:p w:rsidR="008A293E" w:rsidRPr="009513C7" w:rsidRDefault="008A293E" w:rsidP="00371842">
            <w:pPr>
              <w:spacing w:line="480" w:lineRule="auto"/>
              <w:rPr>
                <w:rFonts w:ascii="Arial" w:hAnsi="Arial" w:cs="Arial"/>
                <w:b/>
                <w:sz w:val="16"/>
                <w:szCs w:val="16"/>
              </w:rPr>
            </w:pPr>
            <w:r w:rsidRPr="009513C7">
              <w:rPr>
                <w:rFonts w:ascii="Arial" w:hAnsi="Arial" w:cs="Arial"/>
                <w:b/>
                <w:sz w:val="16"/>
                <w:szCs w:val="16"/>
              </w:rPr>
              <w:t>Owner</w:t>
            </w:r>
          </w:p>
        </w:tc>
        <w:tc>
          <w:tcPr>
            <w:tcW w:w="2790" w:type="dxa"/>
            <w:tcBorders>
              <w:top w:val="nil"/>
              <w:left w:val="single" w:sz="6" w:space="0" w:color="auto"/>
              <w:bottom w:val="single" w:sz="6" w:space="0" w:color="auto"/>
              <w:right w:val="single" w:sz="6" w:space="0" w:color="auto"/>
            </w:tcBorders>
            <w:vAlign w:val="center"/>
          </w:tcPr>
          <w:p w:rsidR="008A293E" w:rsidRPr="009513C7" w:rsidRDefault="008A293E" w:rsidP="00371842">
            <w:pPr>
              <w:pStyle w:val="Header"/>
              <w:tabs>
                <w:tab w:val="clear" w:pos="4320"/>
                <w:tab w:val="clear" w:pos="8640"/>
              </w:tabs>
              <w:spacing w:line="480" w:lineRule="auto"/>
              <w:rPr>
                <w:rFonts w:ascii="Arial" w:hAnsi="Arial" w:cs="Arial"/>
                <w:bCs/>
                <w:sz w:val="16"/>
                <w:szCs w:val="16"/>
              </w:rPr>
            </w:pPr>
          </w:p>
        </w:tc>
        <w:tc>
          <w:tcPr>
            <w:tcW w:w="1008" w:type="dxa"/>
            <w:tcBorders>
              <w:top w:val="single" w:sz="6" w:space="0" w:color="auto"/>
              <w:left w:val="single" w:sz="6" w:space="0" w:color="auto"/>
              <w:bottom w:val="single" w:sz="6" w:space="0" w:color="auto"/>
              <w:right w:val="single" w:sz="6" w:space="0" w:color="auto"/>
            </w:tcBorders>
            <w:vAlign w:val="center"/>
          </w:tcPr>
          <w:p w:rsidR="008A293E" w:rsidRPr="009513C7" w:rsidRDefault="008A293E" w:rsidP="00371842">
            <w:pPr>
              <w:jc w:val="center"/>
              <w:rPr>
                <w:rFonts w:ascii="Arial" w:hAnsi="Arial" w:cs="Arial"/>
                <w:sz w:val="16"/>
                <w:szCs w:val="16"/>
              </w:rPr>
            </w:pPr>
            <w:r w:rsidRPr="009513C7">
              <w:rPr>
                <w:rFonts w:ascii="Arial" w:hAnsi="Arial" w:cs="Arial"/>
                <w:sz w:val="16"/>
                <w:szCs w:val="16"/>
              </w:rPr>
              <w:t>51-80%</w:t>
            </w:r>
          </w:p>
        </w:tc>
        <w:tc>
          <w:tcPr>
            <w:tcW w:w="1080" w:type="dxa"/>
            <w:gridSpan w:val="2"/>
            <w:tcBorders>
              <w:top w:val="single" w:sz="6" w:space="0" w:color="auto"/>
              <w:left w:val="single" w:sz="6" w:space="0" w:color="auto"/>
              <w:bottom w:val="single" w:sz="6" w:space="0" w:color="auto"/>
              <w:right w:val="single" w:sz="6" w:space="0" w:color="auto"/>
            </w:tcBorders>
            <w:tcMar>
              <w:top w:w="29" w:type="dxa"/>
            </w:tcMar>
            <w:vAlign w:val="bottom"/>
          </w:tcPr>
          <w:p w:rsidR="008A293E" w:rsidRPr="00854DBF" w:rsidRDefault="008A293E" w:rsidP="00371842">
            <w:pPr>
              <w:spacing w:line="480" w:lineRule="auto"/>
              <w:jc w:val="center"/>
              <w:rPr>
                <w:rFonts w:ascii="Arial" w:hAnsi="Arial" w:cs="Arial"/>
                <w:sz w:val="16"/>
                <w:szCs w:val="16"/>
              </w:rPr>
            </w:pPr>
            <w:r w:rsidRPr="00854DBF">
              <w:rPr>
                <w:rFonts w:ascii="Arial" w:hAnsi="Arial" w:cs="Arial"/>
                <w:sz w:val="16"/>
                <w:szCs w:val="16"/>
              </w:rPr>
              <w:t>M</w:t>
            </w:r>
          </w:p>
        </w:tc>
        <w:tc>
          <w:tcPr>
            <w:tcW w:w="2772" w:type="dxa"/>
            <w:tcBorders>
              <w:top w:val="single" w:sz="6" w:space="0" w:color="auto"/>
              <w:left w:val="single" w:sz="6" w:space="0" w:color="auto"/>
              <w:bottom w:val="single" w:sz="6" w:space="0" w:color="auto"/>
            </w:tcBorders>
            <w:vAlign w:val="center"/>
          </w:tcPr>
          <w:p w:rsidR="008A293E" w:rsidRPr="009513C7" w:rsidRDefault="008A293E" w:rsidP="00371842">
            <w:pPr>
              <w:jc w:val="center"/>
              <w:rPr>
                <w:rFonts w:ascii="Arial" w:hAnsi="Arial" w:cs="Arial"/>
                <w:sz w:val="16"/>
                <w:szCs w:val="16"/>
              </w:rPr>
            </w:pPr>
            <w:r w:rsidRPr="009513C7">
              <w:rPr>
                <w:rFonts w:ascii="Arial" w:hAnsi="Arial" w:cs="Arial"/>
                <w:sz w:val="16"/>
                <w:szCs w:val="16"/>
              </w:rPr>
              <w:t>5,145</w:t>
            </w:r>
          </w:p>
        </w:tc>
      </w:tr>
      <w:tr w:rsidR="008A293E" w:rsidRPr="00955C8C" w:rsidTr="00371842">
        <w:tblPrEx>
          <w:tblBorders>
            <w:top w:val="none" w:sz="0" w:space="0" w:color="auto"/>
            <w:left w:val="none" w:sz="0" w:space="0" w:color="auto"/>
            <w:bottom w:val="none" w:sz="0" w:space="0" w:color="auto"/>
            <w:right w:val="none" w:sz="0" w:space="0" w:color="auto"/>
            <w:insideV w:val="none" w:sz="0" w:space="0" w:color="auto"/>
          </w:tblBorders>
        </w:tblPrEx>
        <w:trPr>
          <w:cantSplit/>
          <w:trHeight w:hRule="exact" w:val="288"/>
          <w:jc w:val="center"/>
        </w:trPr>
        <w:tc>
          <w:tcPr>
            <w:tcW w:w="1710" w:type="dxa"/>
            <w:vMerge/>
            <w:tcBorders>
              <w:right w:val="single" w:sz="6" w:space="0" w:color="auto"/>
            </w:tcBorders>
            <w:vAlign w:val="center"/>
          </w:tcPr>
          <w:p w:rsidR="008A293E" w:rsidRPr="009513C7" w:rsidRDefault="008A293E" w:rsidP="00371842">
            <w:pPr>
              <w:spacing w:line="480" w:lineRule="auto"/>
              <w:rPr>
                <w:rFonts w:ascii="Arial" w:hAnsi="Arial" w:cs="Arial"/>
                <w:b/>
                <w:sz w:val="16"/>
                <w:szCs w:val="16"/>
              </w:rPr>
            </w:pPr>
          </w:p>
        </w:tc>
        <w:tc>
          <w:tcPr>
            <w:tcW w:w="2790" w:type="dxa"/>
            <w:tcBorders>
              <w:top w:val="single" w:sz="6" w:space="0" w:color="auto"/>
              <w:left w:val="single" w:sz="6" w:space="0" w:color="auto"/>
              <w:right w:val="single" w:sz="6" w:space="0" w:color="auto"/>
            </w:tcBorders>
            <w:vAlign w:val="center"/>
          </w:tcPr>
          <w:p w:rsidR="008A293E" w:rsidRPr="009513C7" w:rsidRDefault="008A293E" w:rsidP="00371842">
            <w:pPr>
              <w:pStyle w:val="Header"/>
              <w:tabs>
                <w:tab w:val="clear" w:pos="4320"/>
                <w:tab w:val="clear" w:pos="8640"/>
              </w:tabs>
              <w:spacing w:line="480" w:lineRule="auto"/>
              <w:rPr>
                <w:rFonts w:ascii="Arial" w:hAnsi="Arial" w:cs="Arial"/>
                <w:bCs/>
                <w:sz w:val="16"/>
                <w:szCs w:val="16"/>
              </w:rPr>
            </w:pPr>
          </w:p>
        </w:tc>
        <w:tc>
          <w:tcPr>
            <w:tcW w:w="1008" w:type="dxa"/>
            <w:tcBorders>
              <w:top w:val="single" w:sz="6" w:space="0" w:color="auto"/>
              <w:left w:val="single" w:sz="6" w:space="0" w:color="auto"/>
              <w:bottom w:val="single" w:sz="6" w:space="0" w:color="auto"/>
              <w:right w:val="single" w:sz="6" w:space="0" w:color="auto"/>
            </w:tcBorders>
            <w:vAlign w:val="center"/>
          </w:tcPr>
          <w:p w:rsidR="008A293E" w:rsidRPr="009513C7" w:rsidRDefault="008A293E" w:rsidP="00371842">
            <w:pPr>
              <w:jc w:val="center"/>
              <w:rPr>
                <w:rFonts w:ascii="Arial" w:hAnsi="Arial" w:cs="Arial"/>
                <w:sz w:val="16"/>
                <w:szCs w:val="16"/>
              </w:rPr>
            </w:pPr>
            <w:r w:rsidRPr="009513C7">
              <w:rPr>
                <w:rFonts w:ascii="Arial" w:hAnsi="Arial" w:cs="Arial"/>
                <w:sz w:val="16"/>
                <w:szCs w:val="16"/>
              </w:rPr>
              <w:t>0-30%</w:t>
            </w:r>
          </w:p>
        </w:tc>
        <w:tc>
          <w:tcPr>
            <w:tcW w:w="1080" w:type="dxa"/>
            <w:gridSpan w:val="2"/>
            <w:tcBorders>
              <w:top w:val="single" w:sz="6" w:space="0" w:color="auto"/>
              <w:left w:val="single" w:sz="6" w:space="0" w:color="auto"/>
              <w:bottom w:val="single" w:sz="6" w:space="0" w:color="auto"/>
              <w:right w:val="single" w:sz="6" w:space="0" w:color="auto"/>
            </w:tcBorders>
            <w:tcMar>
              <w:top w:w="29" w:type="dxa"/>
            </w:tcMar>
            <w:vAlign w:val="bottom"/>
          </w:tcPr>
          <w:p w:rsidR="008A293E" w:rsidRPr="00854DBF" w:rsidRDefault="008A293E" w:rsidP="00371842">
            <w:pPr>
              <w:spacing w:line="480" w:lineRule="auto"/>
              <w:jc w:val="center"/>
              <w:rPr>
                <w:rFonts w:ascii="Arial" w:hAnsi="Arial" w:cs="Arial"/>
                <w:sz w:val="16"/>
                <w:szCs w:val="16"/>
              </w:rPr>
            </w:pPr>
            <w:r w:rsidRPr="00854DBF">
              <w:rPr>
                <w:rFonts w:ascii="Arial" w:hAnsi="Arial" w:cs="Arial"/>
                <w:sz w:val="16"/>
                <w:szCs w:val="16"/>
              </w:rPr>
              <w:t>L</w:t>
            </w:r>
          </w:p>
        </w:tc>
        <w:tc>
          <w:tcPr>
            <w:tcW w:w="2772" w:type="dxa"/>
            <w:tcBorders>
              <w:top w:val="single" w:sz="6" w:space="0" w:color="auto"/>
              <w:left w:val="single" w:sz="6" w:space="0" w:color="auto"/>
              <w:bottom w:val="single" w:sz="6" w:space="0" w:color="auto"/>
            </w:tcBorders>
            <w:vAlign w:val="center"/>
          </w:tcPr>
          <w:p w:rsidR="008A293E" w:rsidRPr="009513C7" w:rsidRDefault="008A293E" w:rsidP="00371842">
            <w:pPr>
              <w:jc w:val="center"/>
              <w:rPr>
                <w:rFonts w:ascii="Arial" w:hAnsi="Arial" w:cs="Arial"/>
                <w:sz w:val="16"/>
                <w:szCs w:val="16"/>
              </w:rPr>
            </w:pPr>
            <w:r w:rsidRPr="009513C7">
              <w:rPr>
                <w:rFonts w:ascii="Arial" w:hAnsi="Arial" w:cs="Arial"/>
                <w:sz w:val="16"/>
                <w:szCs w:val="16"/>
              </w:rPr>
              <w:t>10,465</w:t>
            </w:r>
          </w:p>
        </w:tc>
      </w:tr>
      <w:tr w:rsidR="008A293E" w:rsidRPr="00955C8C" w:rsidTr="00371842">
        <w:tblPrEx>
          <w:tblBorders>
            <w:top w:val="none" w:sz="0" w:space="0" w:color="auto"/>
            <w:left w:val="none" w:sz="0" w:space="0" w:color="auto"/>
            <w:bottom w:val="none" w:sz="0" w:space="0" w:color="auto"/>
            <w:right w:val="none" w:sz="0" w:space="0" w:color="auto"/>
            <w:insideV w:val="none" w:sz="0" w:space="0" w:color="auto"/>
          </w:tblBorders>
        </w:tblPrEx>
        <w:trPr>
          <w:cantSplit/>
          <w:trHeight w:hRule="exact" w:val="288"/>
          <w:jc w:val="center"/>
        </w:trPr>
        <w:tc>
          <w:tcPr>
            <w:tcW w:w="1710" w:type="dxa"/>
            <w:tcBorders>
              <w:top w:val="nil"/>
              <w:right w:val="single" w:sz="6" w:space="0" w:color="auto"/>
            </w:tcBorders>
            <w:vAlign w:val="center"/>
          </w:tcPr>
          <w:p w:rsidR="008A293E" w:rsidRPr="009513C7" w:rsidRDefault="008A293E" w:rsidP="00371842">
            <w:pPr>
              <w:spacing w:line="480" w:lineRule="auto"/>
              <w:rPr>
                <w:rFonts w:ascii="Arial" w:hAnsi="Arial" w:cs="Arial"/>
                <w:b/>
                <w:sz w:val="16"/>
                <w:szCs w:val="16"/>
              </w:rPr>
            </w:pPr>
          </w:p>
        </w:tc>
        <w:tc>
          <w:tcPr>
            <w:tcW w:w="2790" w:type="dxa"/>
            <w:tcBorders>
              <w:top w:val="nil"/>
              <w:left w:val="single" w:sz="6" w:space="0" w:color="auto"/>
              <w:right w:val="single" w:sz="6" w:space="0" w:color="auto"/>
            </w:tcBorders>
            <w:vAlign w:val="center"/>
          </w:tcPr>
          <w:p w:rsidR="008A293E" w:rsidRPr="009513C7" w:rsidRDefault="008A293E" w:rsidP="00371842">
            <w:pPr>
              <w:pStyle w:val="Header"/>
              <w:tabs>
                <w:tab w:val="clear" w:pos="4320"/>
                <w:tab w:val="clear" w:pos="8640"/>
              </w:tabs>
              <w:spacing w:line="480" w:lineRule="auto"/>
              <w:rPr>
                <w:rFonts w:ascii="Arial" w:hAnsi="Arial" w:cs="Arial"/>
                <w:bCs/>
                <w:sz w:val="16"/>
                <w:szCs w:val="16"/>
              </w:rPr>
            </w:pPr>
            <w:r w:rsidRPr="009513C7">
              <w:rPr>
                <w:rFonts w:ascii="Arial" w:hAnsi="Arial" w:cs="Arial"/>
                <w:sz w:val="16"/>
                <w:szCs w:val="16"/>
              </w:rPr>
              <w:t>Elderly</w:t>
            </w:r>
          </w:p>
        </w:tc>
        <w:tc>
          <w:tcPr>
            <w:tcW w:w="1008" w:type="dxa"/>
            <w:tcBorders>
              <w:top w:val="single" w:sz="6" w:space="0" w:color="auto"/>
              <w:left w:val="single" w:sz="6" w:space="0" w:color="auto"/>
              <w:bottom w:val="single" w:sz="6" w:space="0" w:color="auto"/>
              <w:right w:val="single" w:sz="6" w:space="0" w:color="auto"/>
            </w:tcBorders>
            <w:vAlign w:val="center"/>
          </w:tcPr>
          <w:p w:rsidR="008A293E" w:rsidRPr="009513C7" w:rsidRDefault="008A293E" w:rsidP="00371842">
            <w:pPr>
              <w:jc w:val="center"/>
              <w:rPr>
                <w:rFonts w:ascii="Arial" w:hAnsi="Arial" w:cs="Arial"/>
                <w:sz w:val="16"/>
                <w:szCs w:val="16"/>
              </w:rPr>
            </w:pPr>
            <w:r w:rsidRPr="009513C7">
              <w:rPr>
                <w:rFonts w:ascii="Arial" w:hAnsi="Arial" w:cs="Arial"/>
                <w:sz w:val="16"/>
                <w:szCs w:val="16"/>
              </w:rPr>
              <w:t>31-50%</w:t>
            </w:r>
          </w:p>
        </w:tc>
        <w:tc>
          <w:tcPr>
            <w:tcW w:w="1080" w:type="dxa"/>
            <w:gridSpan w:val="2"/>
            <w:tcBorders>
              <w:top w:val="single" w:sz="6" w:space="0" w:color="auto"/>
              <w:left w:val="single" w:sz="6" w:space="0" w:color="auto"/>
              <w:bottom w:val="single" w:sz="6" w:space="0" w:color="auto"/>
              <w:right w:val="single" w:sz="6" w:space="0" w:color="auto"/>
            </w:tcBorders>
            <w:tcMar>
              <w:top w:w="29" w:type="dxa"/>
            </w:tcMar>
            <w:vAlign w:val="bottom"/>
          </w:tcPr>
          <w:p w:rsidR="008A293E" w:rsidRPr="00854DBF" w:rsidRDefault="008A293E" w:rsidP="00371842">
            <w:pPr>
              <w:spacing w:line="480" w:lineRule="auto"/>
              <w:jc w:val="center"/>
              <w:rPr>
                <w:rFonts w:ascii="Arial" w:hAnsi="Arial" w:cs="Arial"/>
                <w:sz w:val="16"/>
                <w:szCs w:val="16"/>
              </w:rPr>
            </w:pPr>
            <w:r w:rsidRPr="00854DBF">
              <w:rPr>
                <w:rFonts w:ascii="Arial" w:hAnsi="Arial" w:cs="Arial"/>
                <w:sz w:val="16"/>
                <w:szCs w:val="16"/>
              </w:rPr>
              <w:t>L</w:t>
            </w:r>
          </w:p>
        </w:tc>
        <w:tc>
          <w:tcPr>
            <w:tcW w:w="2772" w:type="dxa"/>
            <w:tcBorders>
              <w:top w:val="single" w:sz="6" w:space="0" w:color="auto"/>
              <w:left w:val="single" w:sz="6" w:space="0" w:color="auto"/>
              <w:bottom w:val="single" w:sz="6" w:space="0" w:color="auto"/>
            </w:tcBorders>
            <w:vAlign w:val="center"/>
          </w:tcPr>
          <w:p w:rsidR="008A293E" w:rsidRPr="009513C7" w:rsidRDefault="008A293E" w:rsidP="00371842">
            <w:pPr>
              <w:jc w:val="center"/>
              <w:rPr>
                <w:rFonts w:ascii="Arial" w:hAnsi="Arial" w:cs="Arial"/>
                <w:sz w:val="16"/>
                <w:szCs w:val="16"/>
              </w:rPr>
            </w:pPr>
            <w:r w:rsidRPr="009513C7">
              <w:rPr>
                <w:rFonts w:ascii="Arial" w:hAnsi="Arial" w:cs="Arial"/>
                <w:sz w:val="16"/>
                <w:szCs w:val="16"/>
              </w:rPr>
              <w:t>9,440</w:t>
            </w:r>
          </w:p>
        </w:tc>
      </w:tr>
      <w:tr w:rsidR="008A293E" w:rsidRPr="00955C8C" w:rsidTr="00371842">
        <w:tblPrEx>
          <w:tblBorders>
            <w:top w:val="none" w:sz="0" w:space="0" w:color="auto"/>
            <w:left w:val="none" w:sz="0" w:space="0" w:color="auto"/>
            <w:bottom w:val="none" w:sz="0" w:space="0" w:color="auto"/>
            <w:right w:val="none" w:sz="0" w:space="0" w:color="auto"/>
            <w:insideV w:val="none" w:sz="0" w:space="0" w:color="auto"/>
          </w:tblBorders>
        </w:tblPrEx>
        <w:trPr>
          <w:cantSplit/>
          <w:trHeight w:hRule="exact" w:val="288"/>
          <w:jc w:val="center"/>
        </w:trPr>
        <w:tc>
          <w:tcPr>
            <w:tcW w:w="1710" w:type="dxa"/>
            <w:tcBorders>
              <w:top w:val="nil"/>
              <w:right w:val="single" w:sz="4" w:space="0" w:color="auto"/>
            </w:tcBorders>
            <w:vAlign w:val="center"/>
          </w:tcPr>
          <w:p w:rsidR="008A293E" w:rsidRPr="009513C7" w:rsidRDefault="008A293E" w:rsidP="00371842">
            <w:pPr>
              <w:spacing w:line="480" w:lineRule="auto"/>
              <w:rPr>
                <w:rFonts w:ascii="Arial" w:hAnsi="Arial" w:cs="Arial"/>
                <w:b/>
                <w:sz w:val="16"/>
                <w:szCs w:val="16"/>
              </w:rPr>
            </w:pPr>
          </w:p>
        </w:tc>
        <w:tc>
          <w:tcPr>
            <w:tcW w:w="2790" w:type="dxa"/>
            <w:tcBorders>
              <w:top w:val="nil"/>
              <w:left w:val="single" w:sz="4" w:space="0" w:color="auto"/>
              <w:bottom w:val="single" w:sz="4" w:space="0" w:color="auto"/>
              <w:right w:val="single" w:sz="4" w:space="0" w:color="auto"/>
            </w:tcBorders>
            <w:vAlign w:val="center"/>
          </w:tcPr>
          <w:p w:rsidR="008A293E" w:rsidRPr="009513C7" w:rsidRDefault="008A293E" w:rsidP="00371842">
            <w:pPr>
              <w:pStyle w:val="Header"/>
              <w:tabs>
                <w:tab w:val="clear" w:pos="4320"/>
                <w:tab w:val="clear" w:pos="8640"/>
              </w:tabs>
              <w:spacing w:line="480" w:lineRule="auto"/>
              <w:rPr>
                <w:rFonts w:ascii="Arial" w:hAnsi="Arial" w:cs="Arial"/>
                <w:sz w:val="16"/>
                <w:szCs w:val="16"/>
              </w:rPr>
            </w:pPr>
          </w:p>
        </w:tc>
        <w:tc>
          <w:tcPr>
            <w:tcW w:w="1008" w:type="dxa"/>
            <w:tcBorders>
              <w:top w:val="single" w:sz="4" w:space="0" w:color="auto"/>
              <w:left w:val="single" w:sz="4" w:space="0" w:color="auto"/>
              <w:bottom w:val="single" w:sz="4" w:space="0" w:color="auto"/>
              <w:right w:val="single" w:sz="4" w:space="0" w:color="auto"/>
            </w:tcBorders>
            <w:vAlign w:val="center"/>
          </w:tcPr>
          <w:p w:rsidR="008A293E" w:rsidRPr="009513C7" w:rsidRDefault="008A293E" w:rsidP="00371842">
            <w:pPr>
              <w:jc w:val="center"/>
              <w:rPr>
                <w:rFonts w:ascii="Arial" w:hAnsi="Arial" w:cs="Arial"/>
                <w:sz w:val="16"/>
                <w:szCs w:val="16"/>
              </w:rPr>
            </w:pPr>
            <w:r w:rsidRPr="009513C7">
              <w:rPr>
                <w:rFonts w:ascii="Arial" w:hAnsi="Arial" w:cs="Arial"/>
                <w:sz w:val="16"/>
                <w:szCs w:val="16"/>
              </w:rPr>
              <w:t>51-80%</w:t>
            </w:r>
          </w:p>
        </w:tc>
        <w:tc>
          <w:tcPr>
            <w:tcW w:w="1080" w:type="dxa"/>
            <w:gridSpan w:val="2"/>
            <w:tcBorders>
              <w:top w:val="single" w:sz="4" w:space="0" w:color="auto"/>
              <w:left w:val="single" w:sz="4" w:space="0" w:color="auto"/>
              <w:bottom w:val="single" w:sz="4" w:space="0" w:color="auto"/>
              <w:right w:val="single" w:sz="4" w:space="0" w:color="auto"/>
            </w:tcBorders>
            <w:tcMar>
              <w:top w:w="29" w:type="dxa"/>
            </w:tcMar>
            <w:vAlign w:val="bottom"/>
          </w:tcPr>
          <w:p w:rsidR="008A293E" w:rsidRPr="00854DBF" w:rsidRDefault="008A293E" w:rsidP="00371842">
            <w:pPr>
              <w:spacing w:line="480" w:lineRule="auto"/>
              <w:jc w:val="center"/>
              <w:rPr>
                <w:rFonts w:ascii="Arial" w:hAnsi="Arial" w:cs="Arial"/>
                <w:sz w:val="16"/>
                <w:szCs w:val="16"/>
              </w:rPr>
            </w:pPr>
            <w:r w:rsidRPr="00854DBF">
              <w:rPr>
                <w:rFonts w:ascii="Arial" w:hAnsi="Arial" w:cs="Arial"/>
                <w:sz w:val="16"/>
                <w:szCs w:val="16"/>
              </w:rPr>
              <w:t>M</w:t>
            </w:r>
          </w:p>
        </w:tc>
        <w:tc>
          <w:tcPr>
            <w:tcW w:w="2772" w:type="dxa"/>
            <w:tcBorders>
              <w:top w:val="single" w:sz="4" w:space="0" w:color="auto"/>
              <w:left w:val="single" w:sz="4" w:space="0" w:color="auto"/>
              <w:bottom w:val="single" w:sz="4" w:space="0" w:color="auto"/>
            </w:tcBorders>
            <w:vAlign w:val="center"/>
          </w:tcPr>
          <w:p w:rsidR="008A293E" w:rsidRPr="009513C7" w:rsidRDefault="008A293E" w:rsidP="00371842">
            <w:pPr>
              <w:jc w:val="center"/>
              <w:rPr>
                <w:rFonts w:ascii="Arial" w:hAnsi="Arial" w:cs="Arial"/>
                <w:sz w:val="16"/>
                <w:szCs w:val="16"/>
              </w:rPr>
            </w:pPr>
            <w:r w:rsidRPr="009513C7">
              <w:rPr>
                <w:rFonts w:ascii="Arial" w:hAnsi="Arial" w:cs="Arial"/>
                <w:sz w:val="16"/>
                <w:szCs w:val="16"/>
              </w:rPr>
              <w:t>8,395</w:t>
            </w:r>
          </w:p>
        </w:tc>
      </w:tr>
      <w:tr w:rsidR="008A293E" w:rsidRPr="00955C8C" w:rsidTr="00371842">
        <w:tblPrEx>
          <w:tblBorders>
            <w:top w:val="none" w:sz="0" w:space="0" w:color="auto"/>
            <w:left w:val="none" w:sz="0" w:space="0" w:color="auto"/>
            <w:bottom w:val="none" w:sz="0" w:space="0" w:color="auto"/>
            <w:right w:val="none" w:sz="0" w:space="0" w:color="auto"/>
            <w:insideV w:val="none" w:sz="0" w:space="0" w:color="auto"/>
          </w:tblBorders>
        </w:tblPrEx>
        <w:trPr>
          <w:cantSplit/>
          <w:trHeight w:hRule="exact" w:val="288"/>
          <w:jc w:val="center"/>
        </w:trPr>
        <w:tc>
          <w:tcPr>
            <w:tcW w:w="1710" w:type="dxa"/>
            <w:tcBorders>
              <w:top w:val="nil"/>
              <w:right w:val="single" w:sz="4" w:space="0" w:color="auto"/>
            </w:tcBorders>
            <w:vAlign w:val="center"/>
          </w:tcPr>
          <w:p w:rsidR="008A293E" w:rsidRPr="009513C7" w:rsidRDefault="008A293E" w:rsidP="00371842">
            <w:pPr>
              <w:spacing w:line="480" w:lineRule="auto"/>
              <w:rPr>
                <w:rFonts w:ascii="Arial" w:hAnsi="Arial" w:cs="Arial"/>
                <w:b/>
                <w:sz w:val="16"/>
                <w:szCs w:val="16"/>
              </w:rPr>
            </w:pPr>
          </w:p>
        </w:tc>
        <w:tc>
          <w:tcPr>
            <w:tcW w:w="2790" w:type="dxa"/>
            <w:tcBorders>
              <w:top w:val="single" w:sz="4" w:space="0" w:color="auto"/>
              <w:left w:val="single" w:sz="4" w:space="0" w:color="auto"/>
              <w:right w:val="single" w:sz="4" w:space="0" w:color="auto"/>
            </w:tcBorders>
            <w:vAlign w:val="center"/>
          </w:tcPr>
          <w:p w:rsidR="008A293E" w:rsidRPr="009513C7" w:rsidRDefault="008A293E" w:rsidP="00371842">
            <w:pPr>
              <w:pStyle w:val="Header"/>
              <w:tabs>
                <w:tab w:val="clear" w:pos="4320"/>
                <w:tab w:val="clear" w:pos="8640"/>
              </w:tabs>
              <w:spacing w:line="480" w:lineRule="auto"/>
              <w:rPr>
                <w:rFonts w:ascii="Arial" w:hAnsi="Arial" w:cs="Arial"/>
                <w:sz w:val="16"/>
                <w:szCs w:val="16"/>
              </w:rPr>
            </w:pPr>
          </w:p>
        </w:tc>
        <w:tc>
          <w:tcPr>
            <w:tcW w:w="1008" w:type="dxa"/>
            <w:tcBorders>
              <w:top w:val="single" w:sz="4" w:space="0" w:color="auto"/>
              <w:left w:val="single" w:sz="4" w:space="0" w:color="auto"/>
              <w:bottom w:val="single" w:sz="4" w:space="0" w:color="auto"/>
              <w:right w:val="single" w:sz="4" w:space="0" w:color="auto"/>
            </w:tcBorders>
            <w:vAlign w:val="center"/>
          </w:tcPr>
          <w:p w:rsidR="008A293E" w:rsidRPr="009513C7" w:rsidRDefault="008A293E" w:rsidP="00371842">
            <w:pPr>
              <w:jc w:val="center"/>
              <w:rPr>
                <w:rFonts w:ascii="Arial" w:hAnsi="Arial" w:cs="Arial"/>
                <w:sz w:val="16"/>
                <w:szCs w:val="16"/>
              </w:rPr>
            </w:pPr>
            <w:r w:rsidRPr="009513C7">
              <w:rPr>
                <w:rFonts w:ascii="Arial" w:hAnsi="Arial" w:cs="Arial"/>
                <w:sz w:val="16"/>
                <w:szCs w:val="16"/>
              </w:rPr>
              <w:t>0-30%</w:t>
            </w:r>
          </w:p>
        </w:tc>
        <w:tc>
          <w:tcPr>
            <w:tcW w:w="1080" w:type="dxa"/>
            <w:gridSpan w:val="2"/>
            <w:tcBorders>
              <w:top w:val="single" w:sz="4" w:space="0" w:color="auto"/>
              <w:left w:val="single" w:sz="4" w:space="0" w:color="auto"/>
              <w:bottom w:val="single" w:sz="4" w:space="0" w:color="auto"/>
              <w:right w:val="single" w:sz="4" w:space="0" w:color="auto"/>
            </w:tcBorders>
            <w:tcMar>
              <w:top w:w="29" w:type="dxa"/>
            </w:tcMar>
            <w:vAlign w:val="bottom"/>
          </w:tcPr>
          <w:p w:rsidR="008A293E" w:rsidRPr="00854DBF" w:rsidRDefault="008A293E" w:rsidP="00371842">
            <w:pPr>
              <w:spacing w:line="480" w:lineRule="auto"/>
              <w:jc w:val="center"/>
              <w:rPr>
                <w:rFonts w:ascii="Arial" w:hAnsi="Arial" w:cs="Arial"/>
                <w:sz w:val="16"/>
                <w:szCs w:val="16"/>
              </w:rPr>
            </w:pPr>
            <w:r w:rsidRPr="00854DBF">
              <w:rPr>
                <w:rFonts w:ascii="Arial" w:hAnsi="Arial" w:cs="Arial"/>
                <w:sz w:val="16"/>
                <w:szCs w:val="16"/>
              </w:rPr>
              <w:t>L</w:t>
            </w:r>
          </w:p>
        </w:tc>
        <w:tc>
          <w:tcPr>
            <w:tcW w:w="2772" w:type="dxa"/>
            <w:tcBorders>
              <w:top w:val="single" w:sz="4" w:space="0" w:color="auto"/>
              <w:left w:val="single" w:sz="4" w:space="0" w:color="auto"/>
              <w:bottom w:val="single" w:sz="4" w:space="0" w:color="auto"/>
            </w:tcBorders>
            <w:vAlign w:val="center"/>
          </w:tcPr>
          <w:p w:rsidR="008A293E" w:rsidRPr="009513C7" w:rsidRDefault="008A293E" w:rsidP="00371842">
            <w:pPr>
              <w:jc w:val="center"/>
              <w:rPr>
                <w:rFonts w:ascii="Arial" w:hAnsi="Arial" w:cs="Arial"/>
                <w:sz w:val="16"/>
                <w:szCs w:val="16"/>
              </w:rPr>
            </w:pPr>
            <w:r w:rsidRPr="009513C7">
              <w:rPr>
                <w:rFonts w:ascii="Arial" w:hAnsi="Arial" w:cs="Arial"/>
                <w:sz w:val="16"/>
                <w:szCs w:val="16"/>
              </w:rPr>
              <w:t>7,585</w:t>
            </w:r>
          </w:p>
        </w:tc>
      </w:tr>
      <w:tr w:rsidR="008A293E" w:rsidRPr="00955C8C" w:rsidTr="00371842">
        <w:tblPrEx>
          <w:tblBorders>
            <w:top w:val="none" w:sz="0" w:space="0" w:color="auto"/>
            <w:left w:val="none" w:sz="0" w:space="0" w:color="auto"/>
            <w:bottom w:val="none" w:sz="0" w:space="0" w:color="auto"/>
            <w:right w:val="none" w:sz="0" w:space="0" w:color="auto"/>
            <w:insideV w:val="none" w:sz="0" w:space="0" w:color="auto"/>
          </w:tblBorders>
        </w:tblPrEx>
        <w:trPr>
          <w:cantSplit/>
          <w:trHeight w:hRule="exact" w:val="288"/>
          <w:jc w:val="center"/>
        </w:trPr>
        <w:tc>
          <w:tcPr>
            <w:tcW w:w="1710" w:type="dxa"/>
            <w:tcBorders>
              <w:top w:val="nil"/>
              <w:right w:val="single" w:sz="4" w:space="0" w:color="auto"/>
            </w:tcBorders>
            <w:vAlign w:val="center"/>
          </w:tcPr>
          <w:p w:rsidR="008A293E" w:rsidRPr="009513C7" w:rsidRDefault="008A293E" w:rsidP="00371842">
            <w:pPr>
              <w:spacing w:line="480" w:lineRule="auto"/>
              <w:rPr>
                <w:rFonts w:ascii="Arial" w:hAnsi="Arial" w:cs="Arial"/>
                <w:b/>
                <w:sz w:val="16"/>
                <w:szCs w:val="16"/>
              </w:rPr>
            </w:pPr>
          </w:p>
        </w:tc>
        <w:tc>
          <w:tcPr>
            <w:tcW w:w="2790" w:type="dxa"/>
            <w:tcBorders>
              <w:top w:val="nil"/>
              <w:left w:val="single" w:sz="4" w:space="0" w:color="auto"/>
              <w:right w:val="single" w:sz="4" w:space="0" w:color="auto"/>
            </w:tcBorders>
            <w:vAlign w:val="center"/>
          </w:tcPr>
          <w:p w:rsidR="008A293E" w:rsidRPr="009513C7" w:rsidRDefault="008A293E" w:rsidP="00371842">
            <w:pPr>
              <w:pStyle w:val="Header"/>
              <w:tabs>
                <w:tab w:val="clear" w:pos="4320"/>
                <w:tab w:val="clear" w:pos="8640"/>
              </w:tabs>
              <w:spacing w:line="480" w:lineRule="auto"/>
              <w:rPr>
                <w:rFonts w:ascii="Arial" w:hAnsi="Arial" w:cs="Arial"/>
                <w:bCs/>
                <w:sz w:val="16"/>
                <w:szCs w:val="16"/>
              </w:rPr>
            </w:pPr>
            <w:r w:rsidRPr="009513C7">
              <w:rPr>
                <w:rFonts w:ascii="Arial" w:hAnsi="Arial" w:cs="Arial"/>
                <w:sz w:val="16"/>
                <w:szCs w:val="16"/>
              </w:rPr>
              <w:t>All Other</w:t>
            </w:r>
          </w:p>
        </w:tc>
        <w:tc>
          <w:tcPr>
            <w:tcW w:w="1008" w:type="dxa"/>
            <w:tcBorders>
              <w:top w:val="single" w:sz="4" w:space="0" w:color="auto"/>
              <w:left w:val="single" w:sz="4" w:space="0" w:color="auto"/>
              <w:bottom w:val="single" w:sz="4" w:space="0" w:color="auto"/>
              <w:right w:val="single" w:sz="4" w:space="0" w:color="auto"/>
            </w:tcBorders>
            <w:vAlign w:val="center"/>
          </w:tcPr>
          <w:p w:rsidR="008A293E" w:rsidRPr="009513C7" w:rsidRDefault="008A293E" w:rsidP="00371842">
            <w:pPr>
              <w:jc w:val="center"/>
              <w:rPr>
                <w:rFonts w:ascii="Arial" w:hAnsi="Arial" w:cs="Arial"/>
                <w:sz w:val="16"/>
                <w:szCs w:val="16"/>
              </w:rPr>
            </w:pPr>
            <w:r w:rsidRPr="009513C7">
              <w:rPr>
                <w:rFonts w:ascii="Arial" w:hAnsi="Arial" w:cs="Arial"/>
                <w:sz w:val="16"/>
                <w:szCs w:val="16"/>
              </w:rPr>
              <w:t>31-50%</w:t>
            </w:r>
          </w:p>
        </w:tc>
        <w:tc>
          <w:tcPr>
            <w:tcW w:w="1080" w:type="dxa"/>
            <w:gridSpan w:val="2"/>
            <w:tcBorders>
              <w:top w:val="single" w:sz="4" w:space="0" w:color="auto"/>
              <w:left w:val="single" w:sz="4" w:space="0" w:color="auto"/>
              <w:bottom w:val="single" w:sz="4" w:space="0" w:color="auto"/>
              <w:right w:val="single" w:sz="4" w:space="0" w:color="auto"/>
            </w:tcBorders>
            <w:tcMar>
              <w:top w:w="29" w:type="dxa"/>
            </w:tcMar>
            <w:vAlign w:val="bottom"/>
          </w:tcPr>
          <w:p w:rsidR="008A293E" w:rsidRPr="00854DBF" w:rsidRDefault="008A293E" w:rsidP="00371842">
            <w:pPr>
              <w:spacing w:line="480" w:lineRule="auto"/>
              <w:jc w:val="center"/>
              <w:rPr>
                <w:rFonts w:ascii="Arial" w:hAnsi="Arial" w:cs="Arial"/>
                <w:sz w:val="16"/>
                <w:szCs w:val="16"/>
              </w:rPr>
            </w:pPr>
            <w:r w:rsidRPr="00854DBF">
              <w:rPr>
                <w:rFonts w:ascii="Arial" w:hAnsi="Arial" w:cs="Arial"/>
                <w:sz w:val="16"/>
                <w:szCs w:val="16"/>
              </w:rPr>
              <w:t>L</w:t>
            </w:r>
          </w:p>
        </w:tc>
        <w:tc>
          <w:tcPr>
            <w:tcW w:w="2772" w:type="dxa"/>
            <w:tcBorders>
              <w:top w:val="single" w:sz="4" w:space="0" w:color="auto"/>
              <w:left w:val="single" w:sz="4" w:space="0" w:color="auto"/>
              <w:bottom w:val="single" w:sz="4" w:space="0" w:color="auto"/>
            </w:tcBorders>
            <w:vAlign w:val="center"/>
          </w:tcPr>
          <w:p w:rsidR="008A293E" w:rsidRPr="009513C7" w:rsidRDefault="008A293E" w:rsidP="00371842">
            <w:pPr>
              <w:jc w:val="center"/>
              <w:rPr>
                <w:rFonts w:ascii="Arial" w:hAnsi="Arial" w:cs="Arial"/>
                <w:sz w:val="16"/>
                <w:szCs w:val="16"/>
              </w:rPr>
            </w:pPr>
            <w:r w:rsidRPr="009513C7">
              <w:rPr>
                <w:rFonts w:ascii="Arial" w:hAnsi="Arial" w:cs="Arial"/>
                <w:sz w:val="16"/>
                <w:szCs w:val="16"/>
              </w:rPr>
              <w:t>5,045</w:t>
            </w:r>
          </w:p>
        </w:tc>
      </w:tr>
      <w:tr w:rsidR="008A293E" w:rsidRPr="00955C8C" w:rsidTr="00371842">
        <w:tblPrEx>
          <w:tblBorders>
            <w:top w:val="none" w:sz="0" w:space="0" w:color="auto"/>
            <w:left w:val="none" w:sz="0" w:space="0" w:color="auto"/>
            <w:bottom w:val="none" w:sz="0" w:space="0" w:color="auto"/>
            <w:right w:val="none" w:sz="0" w:space="0" w:color="auto"/>
            <w:insideV w:val="none" w:sz="0" w:space="0" w:color="auto"/>
          </w:tblBorders>
        </w:tblPrEx>
        <w:trPr>
          <w:cantSplit/>
          <w:trHeight w:hRule="exact" w:val="288"/>
          <w:jc w:val="center"/>
        </w:trPr>
        <w:tc>
          <w:tcPr>
            <w:tcW w:w="1710" w:type="dxa"/>
            <w:tcBorders>
              <w:top w:val="nil"/>
              <w:bottom w:val="single" w:sz="4" w:space="0" w:color="auto"/>
              <w:right w:val="single" w:sz="4" w:space="0" w:color="auto"/>
            </w:tcBorders>
            <w:vAlign w:val="center"/>
          </w:tcPr>
          <w:p w:rsidR="008A293E" w:rsidRPr="009513C7" w:rsidRDefault="008A293E" w:rsidP="00371842">
            <w:pPr>
              <w:spacing w:line="480" w:lineRule="auto"/>
              <w:rPr>
                <w:rFonts w:ascii="Arial" w:hAnsi="Arial" w:cs="Arial"/>
                <w:b/>
                <w:sz w:val="16"/>
                <w:szCs w:val="16"/>
              </w:rPr>
            </w:pPr>
          </w:p>
        </w:tc>
        <w:tc>
          <w:tcPr>
            <w:tcW w:w="2790" w:type="dxa"/>
            <w:tcBorders>
              <w:top w:val="nil"/>
              <w:left w:val="single" w:sz="4" w:space="0" w:color="auto"/>
              <w:bottom w:val="single" w:sz="4" w:space="0" w:color="auto"/>
              <w:right w:val="single" w:sz="4" w:space="0" w:color="auto"/>
            </w:tcBorders>
            <w:vAlign w:val="center"/>
          </w:tcPr>
          <w:p w:rsidR="008A293E" w:rsidRPr="009513C7" w:rsidRDefault="008A293E" w:rsidP="00371842">
            <w:pPr>
              <w:pStyle w:val="Header"/>
              <w:tabs>
                <w:tab w:val="clear" w:pos="4320"/>
                <w:tab w:val="clear" w:pos="8640"/>
              </w:tabs>
              <w:spacing w:line="480" w:lineRule="auto"/>
              <w:rPr>
                <w:rFonts w:ascii="Arial" w:hAnsi="Arial" w:cs="Arial"/>
                <w:bCs/>
                <w:sz w:val="16"/>
                <w:szCs w:val="16"/>
              </w:rPr>
            </w:pPr>
          </w:p>
        </w:tc>
        <w:tc>
          <w:tcPr>
            <w:tcW w:w="1008" w:type="dxa"/>
            <w:tcBorders>
              <w:top w:val="single" w:sz="4" w:space="0" w:color="auto"/>
              <w:left w:val="single" w:sz="4" w:space="0" w:color="auto"/>
              <w:bottom w:val="single" w:sz="4" w:space="0" w:color="auto"/>
              <w:right w:val="single" w:sz="4" w:space="0" w:color="auto"/>
            </w:tcBorders>
            <w:vAlign w:val="center"/>
          </w:tcPr>
          <w:p w:rsidR="008A293E" w:rsidRPr="009513C7" w:rsidRDefault="008A293E" w:rsidP="00371842">
            <w:pPr>
              <w:jc w:val="center"/>
              <w:rPr>
                <w:rFonts w:ascii="Arial" w:hAnsi="Arial" w:cs="Arial"/>
                <w:sz w:val="16"/>
                <w:szCs w:val="16"/>
              </w:rPr>
            </w:pPr>
            <w:r w:rsidRPr="009513C7">
              <w:rPr>
                <w:rFonts w:ascii="Arial" w:hAnsi="Arial" w:cs="Arial"/>
                <w:sz w:val="16"/>
                <w:szCs w:val="16"/>
              </w:rPr>
              <w:t>51-80%</w:t>
            </w:r>
          </w:p>
        </w:tc>
        <w:tc>
          <w:tcPr>
            <w:tcW w:w="1080" w:type="dxa"/>
            <w:gridSpan w:val="2"/>
            <w:tcBorders>
              <w:top w:val="single" w:sz="4" w:space="0" w:color="auto"/>
              <w:left w:val="single" w:sz="4" w:space="0" w:color="auto"/>
              <w:bottom w:val="single" w:sz="4" w:space="0" w:color="auto"/>
              <w:right w:val="single" w:sz="4" w:space="0" w:color="auto"/>
            </w:tcBorders>
            <w:tcMar>
              <w:top w:w="29" w:type="dxa"/>
              <w:left w:w="115" w:type="dxa"/>
              <w:right w:w="115" w:type="dxa"/>
            </w:tcMar>
            <w:vAlign w:val="bottom"/>
          </w:tcPr>
          <w:p w:rsidR="008A293E" w:rsidRPr="00854DBF" w:rsidRDefault="008A293E" w:rsidP="00371842">
            <w:pPr>
              <w:spacing w:line="480" w:lineRule="auto"/>
              <w:jc w:val="center"/>
              <w:rPr>
                <w:rFonts w:ascii="Arial" w:hAnsi="Arial" w:cs="Arial"/>
                <w:sz w:val="16"/>
                <w:szCs w:val="16"/>
              </w:rPr>
            </w:pPr>
            <w:r w:rsidRPr="00854DBF">
              <w:rPr>
                <w:rFonts w:ascii="Arial" w:hAnsi="Arial" w:cs="Arial"/>
                <w:sz w:val="16"/>
                <w:szCs w:val="16"/>
              </w:rPr>
              <w:t>L</w:t>
            </w:r>
          </w:p>
        </w:tc>
        <w:tc>
          <w:tcPr>
            <w:tcW w:w="2772" w:type="dxa"/>
            <w:tcBorders>
              <w:top w:val="single" w:sz="4" w:space="0" w:color="auto"/>
              <w:left w:val="single" w:sz="4" w:space="0" w:color="auto"/>
              <w:bottom w:val="single" w:sz="4" w:space="0" w:color="auto"/>
            </w:tcBorders>
            <w:vAlign w:val="center"/>
          </w:tcPr>
          <w:p w:rsidR="008A293E" w:rsidRPr="009513C7" w:rsidRDefault="008A293E" w:rsidP="00371842">
            <w:pPr>
              <w:jc w:val="center"/>
              <w:rPr>
                <w:rFonts w:ascii="Arial" w:hAnsi="Arial" w:cs="Arial"/>
                <w:sz w:val="16"/>
                <w:szCs w:val="16"/>
              </w:rPr>
            </w:pPr>
            <w:r w:rsidRPr="009513C7">
              <w:rPr>
                <w:rFonts w:ascii="Arial" w:hAnsi="Arial" w:cs="Arial"/>
                <w:sz w:val="16"/>
                <w:szCs w:val="16"/>
              </w:rPr>
              <w:t>7,235</w:t>
            </w:r>
          </w:p>
        </w:tc>
      </w:tr>
    </w:tbl>
    <w:p w:rsidR="00AC6C3B" w:rsidRDefault="00AC6C3B">
      <w:r>
        <w:br w:type="page"/>
      </w:r>
    </w:p>
    <w:tbl>
      <w:tblPr>
        <w:tblW w:w="0" w:type="auto"/>
        <w:jc w:val="center"/>
        <w:tblBorders>
          <w:top w:val="single" w:sz="6" w:space="0" w:color="000000"/>
          <w:left w:val="single" w:sz="6" w:space="0" w:color="000000"/>
          <w:bottom w:val="single" w:sz="6" w:space="0" w:color="000000"/>
          <w:right w:val="single" w:sz="6" w:space="0" w:color="000000"/>
          <w:insideV w:val="single" w:sz="6" w:space="0" w:color="000000"/>
        </w:tblBorders>
        <w:tblLayout w:type="fixed"/>
        <w:tblLook w:val="0000" w:firstRow="0" w:lastRow="0" w:firstColumn="0" w:lastColumn="0" w:noHBand="0" w:noVBand="0"/>
      </w:tblPr>
      <w:tblGrid>
        <w:gridCol w:w="1710"/>
        <w:gridCol w:w="2790"/>
        <w:gridCol w:w="1008"/>
        <w:gridCol w:w="1062"/>
        <w:gridCol w:w="18"/>
        <w:gridCol w:w="2772"/>
      </w:tblGrid>
      <w:tr w:rsidR="00AC6C3B" w:rsidRPr="00955C8C" w:rsidTr="00AC6C3B">
        <w:trPr>
          <w:cantSplit/>
          <w:jc w:val="center"/>
        </w:trPr>
        <w:tc>
          <w:tcPr>
            <w:tcW w:w="4500" w:type="dxa"/>
            <w:gridSpan w:val="2"/>
            <w:tcBorders>
              <w:top w:val="single" w:sz="6" w:space="0" w:color="000000"/>
              <w:left w:val="nil"/>
              <w:bottom w:val="single" w:sz="6" w:space="0" w:color="000000"/>
              <w:right w:val="single" w:sz="6" w:space="0" w:color="000000"/>
            </w:tcBorders>
            <w:shd w:val="pct20" w:color="auto" w:fill="auto"/>
            <w:vAlign w:val="center"/>
          </w:tcPr>
          <w:p w:rsidR="00AC6C3B" w:rsidRPr="009513C7" w:rsidRDefault="00AC6C3B" w:rsidP="00AC6C3B">
            <w:pPr>
              <w:rPr>
                <w:rFonts w:ascii="Arial" w:hAnsi="Arial" w:cs="Arial"/>
                <w:b/>
                <w:sz w:val="16"/>
                <w:szCs w:val="16"/>
              </w:rPr>
            </w:pPr>
            <w:r w:rsidRPr="009513C7">
              <w:rPr>
                <w:rFonts w:ascii="Arial" w:hAnsi="Arial" w:cs="Arial"/>
                <w:b/>
                <w:sz w:val="16"/>
                <w:szCs w:val="16"/>
              </w:rPr>
              <w:t xml:space="preserve">PRIORITY HOUSING NEEDS </w:t>
            </w:r>
          </w:p>
          <w:p w:rsidR="00AC6C3B" w:rsidRPr="009513C7" w:rsidRDefault="00AC6C3B" w:rsidP="00AC6C3B">
            <w:pPr>
              <w:rPr>
                <w:rFonts w:ascii="Arial" w:hAnsi="Arial" w:cs="Arial"/>
                <w:b/>
                <w:sz w:val="16"/>
                <w:szCs w:val="16"/>
              </w:rPr>
            </w:pPr>
            <w:r w:rsidRPr="009513C7">
              <w:rPr>
                <w:rFonts w:ascii="Arial" w:hAnsi="Arial" w:cs="Arial"/>
                <w:b/>
                <w:sz w:val="16"/>
                <w:szCs w:val="16"/>
              </w:rPr>
              <w:t>(Households)</w:t>
            </w:r>
          </w:p>
        </w:tc>
        <w:tc>
          <w:tcPr>
            <w:tcW w:w="2070" w:type="dxa"/>
            <w:gridSpan w:val="2"/>
            <w:tcBorders>
              <w:top w:val="single" w:sz="6" w:space="0" w:color="000000"/>
              <w:left w:val="single" w:sz="6" w:space="0" w:color="000000"/>
              <w:bottom w:val="single" w:sz="6" w:space="0" w:color="000000"/>
              <w:right w:val="single" w:sz="6" w:space="0" w:color="000000"/>
            </w:tcBorders>
            <w:shd w:val="pct20" w:color="auto" w:fill="auto"/>
            <w:vAlign w:val="center"/>
          </w:tcPr>
          <w:p w:rsidR="00AC6C3B" w:rsidRPr="009513C7" w:rsidRDefault="00AC6C3B" w:rsidP="00AC6C3B">
            <w:pPr>
              <w:jc w:val="center"/>
              <w:rPr>
                <w:rFonts w:ascii="Arial" w:hAnsi="Arial" w:cs="Arial"/>
                <w:b/>
                <w:sz w:val="16"/>
                <w:szCs w:val="16"/>
              </w:rPr>
            </w:pPr>
            <w:r w:rsidRPr="009513C7">
              <w:rPr>
                <w:rFonts w:ascii="Arial" w:hAnsi="Arial" w:cs="Arial"/>
                <w:b/>
                <w:sz w:val="16"/>
                <w:szCs w:val="16"/>
              </w:rPr>
              <w:t xml:space="preserve">Priority </w:t>
            </w:r>
          </w:p>
        </w:tc>
        <w:tc>
          <w:tcPr>
            <w:tcW w:w="2790" w:type="dxa"/>
            <w:gridSpan w:val="2"/>
            <w:tcBorders>
              <w:top w:val="single" w:sz="6" w:space="0" w:color="000000"/>
              <w:left w:val="single" w:sz="6" w:space="0" w:color="000000"/>
              <w:bottom w:val="single" w:sz="6" w:space="0" w:color="000000"/>
              <w:right w:val="nil"/>
            </w:tcBorders>
            <w:shd w:val="pct20" w:color="auto" w:fill="auto"/>
            <w:vAlign w:val="center"/>
          </w:tcPr>
          <w:p w:rsidR="00AC6C3B" w:rsidRPr="009513C7" w:rsidRDefault="00AC6C3B" w:rsidP="00AC6C3B">
            <w:pPr>
              <w:tabs>
                <w:tab w:val="left" w:pos="972"/>
              </w:tabs>
              <w:jc w:val="center"/>
              <w:rPr>
                <w:rFonts w:ascii="Arial" w:hAnsi="Arial" w:cs="Arial"/>
                <w:b/>
                <w:sz w:val="16"/>
                <w:szCs w:val="16"/>
              </w:rPr>
            </w:pPr>
            <w:r w:rsidRPr="009513C7">
              <w:rPr>
                <w:rFonts w:ascii="Arial" w:hAnsi="Arial" w:cs="Arial"/>
                <w:b/>
                <w:bCs/>
                <w:sz w:val="16"/>
                <w:szCs w:val="16"/>
              </w:rPr>
              <w:t>Unmet</w:t>
            </w:r>
            <w:r w:rsidRPr="009513C7">
              <w:rPr>
                <w:rFonts w:ascii="Arial" w:hAnsi="Arial" w:cs="Arial"/>
                <w:sz w:val="16"/>
                <w:szCs w:val="16"/>
              </w:rPr>
              <w:t xml:space="preserve"> </w:t>
            </w:r>
            <w:r w:rsidRPr="009513C7">
              <w:rPr>
                <w:rFonts w:ascii="Arial" w:hAnsi="Arial" w:cs="Arial"/>
                <w:b/>
                <w:sz w:val="16"/>
                <w:szCs w:val="16"/>
              </w:rPr>
              <w:t>Need</w:t>
            </w:r>
          </w:p>
        </w:tc>
      </w:tr>
      <w:tr w:rsidR="008A293E" w:rsidRPr="00955C8C" w:rsidTr="00371842">
        <w:tblPrEx>
          <w:tblBorders>
            <w:top w:val="none" w:sz="0" w:space="0" w:color="auto"/>
            <w:left w:val="none" w:sz="0" w:space="0" w:color="auto"/>
            <w:bottom w:val="none" w:sz="0" w:space="0" w:color="auto"/>
            <w:right w:val="none" w:sz="0" w:space="0" w:color="auto"/>
            <w:insideV w:val="none" w:sz="0" w:space="0" w:color="auto"/>
          </w:tblBorders>
        </w:tblPrEx>
        <w:trPr>
          <w:cantSplit/>
          <w:trHeight w:hRule="exact" w:val="288"/>
          <w:jc w:val="center"/>
        </w:trPr>
        <w:tc>
          <w:tcPr>
            <w:tcW w:w="1710" w:type="dxa"/>
            <w:vMerge w:val="restart"/>
            <w:tcBorders>
              <w:top w:val="single" w:sz="4" w:space="0" w:color="auto"/>
              <w:bottom w:val="single" w:sz="4" w:space="0" w:color="auto"/>
              <w:right w:val="single" w:sz="4" w:space="0" w:color="auto"/>
            </w:tcBorders>
            <w:vAlign w:val="center"/>
          </w:tcPr>
          <w:p w:rsidR="008A293E" w:rsidRPr="00E65913" w:rsidRDefault="008A293E" w:rsidP="00371842">
            <w:pPr>
              <w:rPr>
                <w:rFonts w:ascii="Arial" w:hAnsi="Arial" w:cs="Arial"/>
                <w:b/>
                <w:bCs/>
                <w:sz w:val="16"/>
                <w:szCs w:val="16"/>
              </w:rPr>
            </w:pPr>
            <w:r w:rsidRPr="00E65913">
              <w:rPr>
                <w:rFonts w:ascii="Arial" w:hAnsi="Arial" w:cs="Arial"/>
                <w:b/>
                <w:bCs/>
                <w:sz w:val="16"/>
                <w:szCs w:val="16"/>
              </w:rPr>
              <w:t>Non-Homeless</w:t>
            </w:r>
          </w:p>
          <w:p w:rsidR="008A293E" w:rsidRPr="00955C8C" w:rsidRDefault="008A293E" w:rsidP="00371842">
            <w:pPr>
              <w:rPr>
                <w:rFonts w:ascii="Arial" w:hAnsi="Arial" w:cs="Arial"/>
                <w:sz w:val="16"/>
                <w:szCs w:val="16"/>
                <w:highlight w:val="yellow"/>
              </w:rPr>
            </w:pPr>
            <w:r w:rsidRPr="00E65913">
              <w:rPr>
                <w:rFonts w:ascii="Arial" w:hAnsi="Arial" w:cs="Arial"/>
                <w:b/>
                <w:sz w:val="16"/>
                <w:szCs w:val="16"/>
              </w:rPr>
              <w:t>Special Needs</w:t>
            </w:r>
          </w:p>
        </w:tc>
        <w:tc>
          <w:tcPr>
            <w:tcW w:w="2790" w:type="dxa"/>
            <w:tcBorders>
              <w:top w:val="single" w:sz="4" w:space="0" w:color="auto"/>
              <w:left w:val="single" w:sz="4" w:space="0" w:color="auto"/>
              <w:bottom w:val="single" w:sz="4" w:space="0" w:color="auto"/>
              <w:right w:val="nil"/>
            </w:tcBorders>
            <w:vAlign w:val="center"/>
          </w:tcPr>
          <w:p w:rsidR="008A293E" w:rsidRPr="00E65913" w:rsidRDefault="008A293E" w:rsidP="00371842">
            <w:pPr>
              <w:pStyle w:val="Header"/>
              <w:tabs>
                <w:tab w:val="clear" w:pos="4320"/>
                <w:tab w:val="clear" w:pos="8640"/>
              </w:tabs>
              <w:spacing w:line="480" w:lineRule="auto"/>
              <w:rPr>
                <w:rFonts w:ascii="Arial" w:hAnsi="Arial" w:cs="Arial"/>
                <w:sz w:val="16"/>
                <w:szCs w:val="16"/>
              </w:rPr>
            </w:pPr>
            <w:r w:rsidRPr="00E65913">
              <w:rPr>
                <w:rFonts w:ascii="Arial" w:hAnsi="Arial" w:cs="Arial"/>
                <w:sz w:val="16"/>
                <w:szCs w:val="16"/>
              </w:rPr>
              <w:t>Elderly</w:t>
            </w:r>
          </w:p>
        </w:tc>
        <w:tc>
          <w:tcPr>
            <w:tcW w:w="1008" w:type="dxa"/>
            <w:tcBorders>
              <w:top w:val="single" w:sz="4" w:space="0" w:color="auto"/>
              <w:left w:val="single" w:sz="6" w:space="0" w:color="auto"/>
              <w:bottom w:val="single" w:sz="4" w:space="0" w:color="auto"/>
              <w:right w:val="nil"/>
            </w:tcBorders>
            <w:vAlign w:val="center"/>
          </w:tcPr>
          <w:p w:rsidR="008A293E" w:rsidRPr="00E65913" w:rsidRDefault="008A293E" w:rsidP="00371842">
            <w:pPr>
              <w:jc w:val="center"/>
              <w:rPr>
                <w:rFonts w:ascii="Arial" w:hAnsi="Arial" w:cs="Arial"/>
                <w:sz w:val="16"/>
                <w:szCs w:val="16"/>
              </w:rPr>
            </w:pPr>
            <w:r w:rsidRPr="00E65913">
              <w:rPr>
                <w:rFonts w:ascii="Arial" w:hAnsi="Arial" w:cs="Arial"/>
                <w:sz w:val="16"/>
                <w:szCs w:val="16"/>
              </w:rPr>
              <w:t>0-80%</w:t>
            </w:r>
          </w:p>
        </w:tc>
        <w:tc>
          <w:tcPr>
            <w:tcW w:w="1080" w:type="dxa"/>
            <w:gridSpan w:val="2"/>
            <w:tcBorders>
              <w:top w:val="single" w:sz="4" w:space="0" w:color="auto"/>
              <w:left w:val="single" w:sz="6" w:space="0" w:color="auto"/>
              <w:bottom w:val="single" w:sz="4" w:space="0" w:color="auto"/>
              <w:right w:val="single" w:sz="4" w:space="0" w:color="auto"/>
            </w:tcBorders>
            <w:tcMar>
              <w:top w:w="29" w:type="dxa"/>
            </w:tcMar>
            <w:vAlign w:val="center"/>
          </w:tcPr>
          <w:p w:rsidR="008A293E" w:rsidRPr="00E65913" w:rsidRDefault="008A293E" w:rsidP="00371842">
            <w:pPr>
              <w:spacing w:line="480" w:lineRule="auto"/>
              <w:jc w:val="center"/>
              <w:rPr>
                <w:rFonts w:ascii="Arial" w:hAnsi="Arial" w:cs="Arial"/>
                <w:sz w:val="16"/>
                <w:szCs w:val="16"/>
              </w:rPr>
            </w:pPr>
            <w:r w:rsidRPr="00E65913">
              <w:rPr>
                <w:rFonts w:ascii="Arial" w:hAnsi="Arial" w:cs="Arial"/>
                <w:sz w:val="16"/>
                <w:szCs w:val="16"/>
              </w:rPr>
              <w:t>H</w:t>
            </w:r>
          </w:p>
        </w:tc>
        <w:tc>
          <w:tcPr>
            <w:tcW w:w="2772" w:type="dxa"/>
            <w:tcBorders>
              <w:top w:val="single" w:sz="4" w:space="0" w:color="auto"/>
              <w:left w:val="single" w:sz="4" w:space="0" w:color="auto"/>
              <w:bottom w:val="single" w:sz="4" w:space="0" w:color="auto"/>
            </w:tcBorders>
            <w:vAlign w:val="center"/>
          </w:tcPr>
          <w:p w:rsidR="008A293E" w:rsidRPr="00955C8C" w:rsidRDefault="008A293E" w:rsidP="00371842">
            <w:pPr>
              <w:spacing w:line="480" w:lineRule="auto"/>
              <w:jc w:val="center"/>
              <w:rPr>
                <w:rFonts w:ascii="Arial" w:hAnsi="Arial" w:cs="Arial"/>
                <w:sz w:val="16"/>
                <w:szCs w:val="16"/>
                <w:highlight w:val="yellow"/>
              </w:rPr>
            </w:pPr>
            <w:r w:rsidRPr="008162D6">
              <w:rPr>
                <w:rFonts w:ascii="Arial" w:hAnsi="Arial" w:cs="Arial"/>
                <w:sz w:val="16"/>
                <w:szCs w:val="16"/>
              </w:rPr>
              <w:t>29,000</w:t>
            </w:r>
            <w:r>
              <w:rPr>
                <w:rStyle w:val="FootnoteReference"/>
                <w:rFonts w:ascii="Arial" w:hAnsi="Arial" w:cs="Arial"/>
                <w:sz w:val="16"/>
                <w:szCs w:val="16"/>
              </w:rPr>
              <w:footnoteReference w:id="31"/>
            </w:r>
          </w:p>
        </w:tc>
      </w:tr>
      <w:tr w:rsidR="008A293E" w:rsidRPr="00955C8C" w:rsidTr="00371842">
        <w:tblPrEx>
          <w:tblBorders>
            <w:top w:val="none" w:sz="0" w:space="0" w:color="auto"/>
            <w:left w:val="none" w:sz="0" w:space="0" w:color="auto"/>
            <w:bottom w:val="none" w:sz="0" w:space="0" w:color="auto"/>
            <w:right w:val="none" w:sz="0" w:space="0" w:color="auto"/>
            <w:insideV w:val="none" w:sz="0" w:space="0" w:color="auto"/>
          </w:tblBorders>
        </w:tblPrEx>
        <w:trPr>
          <w:cantSplit/>
          <w:trHeight w:hRule="exact" w:val="288"/>
          <w:jc w:val="center"/>
        </w:trPr>
        <w:tc>
          <w:tcPr>
            <w:tcW w:w="1710" w:type="dxa"/>
            <w:vMerge/>
            <w:tcBorders>
              <w:top w:val="single" w:sz="4" w:space="0" w:color="auto"/>
              <w:bottom w:val="single" w:sz="4" w:space="0" w:color="auto"/>
              <w:right w:val="single" w:sz="4" w:space="0" w:color="auto"/>
            </w:tcBorders>
            <w:vAlign w:val="center"/>
          </w:tcPr>
          <w:p w:rsidR="008A293E" w:rsidRPr="00955C8C" w:rsidRDefault="008A293E" w:rsidP="00371842">
            <w:pPr>
              <w:spacing w:line="480" w:lineRule="auto"/>
              <w:rPr>
                <w:rFonts w:ascii="Arial" w:hAnsi="Arial" w:cs="Arial"/>
                <w:b/>
                <w:sz w:val="16"/>
                <w:szCs w:val="16"/>
                <w:highlight w:val="yellow"/>
              </w:rPr>
            </w:pPr>
          </w:p>
        </w:tc>
        <w:tc>
          <w:tcPr>
            <w:tcW w:w="2790" w:type="dxa"/>
            <w:tcBorders>
              <w:top w:val="single" w:sz="4" w:space="0" w:color="auto"/>
              <w:left w:val="single" w:sz="4" w:space="0" w:color="auto"/>
              <w:bottom w:val="single" w:sz="4" w:space="0" w:color="auto"/>
              <w:right w:val="nil"/>
            </w:tcBorders>
            <w:vAlign w:val="center"/>
          </w:tcPr>
          <w:p w:rsidR="008A293E" w:rsidRPr="00E65913" w:rsidRDefault="008A293E" w:rsidP="00371842">
            <w:pPr>
              <w:pStyle w:val="Header"/>
              <w:tabs>
                <w:tab w:val="clear" w:pos="4320"/>
                <w:tab w:val="clear" w:pos="8640"/>
              </w:tabs>
              <w:spacing w:line="480" w:lineRule="auto"/>
              <w:rPr>
                <w:rFonts w:ascii="Arial" w:hAnsi="Arial" w:cs="Arial"/>
                <w:sz w:val="16"/>
                <w:szCs w:val="16"/>
              </w:rPr>
            </w:pPr>
            <w:r w:rsidRPr="00E65913">
              <w:rPr>
                <w:rFonts w:ascii="Arial" w:hAnsi="Arial" w:cs="Arial"/>
                <w:sz w:val="16"/>
                <w:szCs w:val="16"/>
              </w:rPr>
              <w:t>Frail Elderly</w:t>
            </w:r>
          </w:p>
        </w:tc>
        <w:tc>
          <w:tcPr>
            <w:tcW w:w="1008" w:type="dxa"/>
            <w:tcBorders>
              <w:top w:val="single" w:sz="4" w:space="0" w:color="auto"/>
              <w:left w:val="single" w:sz="6" w:space="0" w:color="auto"/>
              <w:bottom w:val="single" w:sz="4" w:space="0" w:color="auto"/>
              <w:right w:val="nil"/>
            </w:tcBorders>
            <w:vAlign w:val="center"/>
          </w:tcPr>
          <w:p w:rsidR="008A293E" w:rsidRPr="00E65913" w:rsidRDefault="008A293E" w:rsidP="00371842">
            <w:pPr>
              <w:jc w:val="center"/>
              <w:rPr>
                <w:rFonts w:ascii="Arial" w:hAnsi="Arial" w:cs="Arial"/>
                <w:sz w:val="16"/>
                <w:szCs w:val="16"/>
              </w:rPr>
            </w:pPr>
            <w:r w:rsidRPr="00E65913">
              <w:rPr>
                <w:rFonts w:ascii="Arial" w:hAnsi="Arial" w:cs="Arial"/>
                <w:sz w:val="16"/>
                <w:szCs w:val="16"/>
              </w:rPr>
              <w:t>0-80%</w:t>
            </w:r>
          </w:p>
        </w:tc>
        <w:tc>
          <w:tcPr>
            <w:tcW w:w="1080" w:type="dxa"/>
            <w:gridSpan w:val="2"/>
            <w:tcBorders>
              <w:top w:val="single" w:sz="4" w:space="0" w:color="auto"/>
              <w:left w:val="single" w:sz="6" w:space="0" w:color="auto"/>
              <w:bottom w:val="single" w:sz="4" w:space="0" w:color="auto"/>
              <w:right w:val="nil"/>
            </w:tcBorders>
            <w:tcMar>
              <w:top w:w="29" w:type="dxa"/>
            </w:tcMar>
            <w:vAlign w:val="center"/>
          </w:tcPr>
          <w:p w:rsidR="008A293E" w:rsidRPr="00E65913" w:rsidRDefault="008A293E" w:rsidP="00371842">
            <w:pPr>
              <w:spacing w:line="480" w:lineRule="auto"/>
              <w:jc w:val="center"/>
              <w:rPr>
                <w:rFonts w:ascii="Arial" w:hAnsi="Arial" w:cs="Arial"/>
                <w:sz w:val="16"/>
                <w:szCs w:val="16"/>
              </w:rPr>
            </w:pPr>
            <w:r w:rsidRPr="00E65913">
              <w:rPr>
                <w:rFonts w:ascii="Arial" w:hAnsi="Arial" w:cs="Arial"/>
                <w:sz w:val="16"/>
                <w:szCs w:val="16"/>
              </w:rPr>
              <w:t>H</w:t>
            </w:r>
          </w:p>
        </w:tc>
        <w:tc>
          <w:tcPr>
            <w:tcW w:w="2772" w:type="dxa"/>
            <w:tcBorders>
              <w:top w:val="single" w:sz="4" w:space="0" w:color="auto"/>
              <w:left w:val="single" w:sz="6" w:space="0" w:color="auto"/>
              <w:bottom w:val="single" w:sz="4" w:space="0" w:color="auto"/>
            </w:tcBorders>
            <w:vAlign w:val="center"/>
          </w:tcPr>
          <w:p w:rsidR="008A293E" w:rsidRPr="00955C8C" w:rsidRDefault="008A293E" w:rsidP="00371842">
            <w:pPr>
              <w:spacing w:line="480" w:lineRule="auto"/>
              <w:jc w:val="center"/>
              <w:rPr>
                <w:rFonts w:ascii="Arial" w:hAnsi="Arial" w:cs="Arial"/>
                <w:sz w:val="16"/>
                <w:szCs w:val="16"/>
                <w:highlight w:val="yellow"/>
              </w:rPr>
            </w:pPr>
            <w:r w:rsidRPr="008162D6">
              <w:rPr>
                <w:rFonts w:ascii="Arial" w:hAnsi="Arial" w:cs="Arial"/>
                <w:sz w:val="16"/>
                <w:szCs w:val="16"/>
              </w:rPr>
              <w:t>17,595</w:t>
            </w:r>
            <w:r>
              <w:rPr>
                <w:rStyle w:val="FootnoteReference"/>
                <w:rFonts w:ascii="Arial" w:hAnsi="Arial" w:cs="Arial"/>
                <w:sz w:val="16"/>
                <w:szCs w:val="16"/>
              </w:rPr>
              <w:footnoteReference w:id="32"/>
            </w:r>
          </w:p>
        </w:tc>
      </w:tr>
      <w:tr w:rsidR="008A293E" w:rsidRPr="00955C8C" w:rsidTr="00371842">
        <w:tblPrEx>
          <w:tblBorders>
            <w:top w:val="none" w:sz="0" w:space="0" w:color="auto"/>
            <w:left w:val="none" w:sz="0" w:space="0" w:color="auto"/>
            <w:bottom w:val="none" w:sz="0" w:space="0" w:color="auto"/>
            <w:right w:val="none" w:sz="0" w:space="0" w:color="auto"/>
            <w:insideV w:val="none" w:sz="0" w:space="0" w:color="auto"/>
          </w:tblBorders>
        </w:tblPrEx>
        <w:trPr>
          <w:cantSplit/>
          <w:trHeight w:hRule="exact" w:val="288"/>
          <w:jc w:val="center"/>
        </w:trPr>
        <w:tc>
          <w:tcPr>
            <w:tcW w:w="1710" w:type="dxa"/>
            <w:vMerge/>
            <w:tcBorders>
              <w:top w:val="single" w:sz="4" w:space="0" w:color="auto"/>
              <w:bottom w:val="single" w:sz="4" w:space="0" w:color="auto"/>
              <w:right w:val="single" w:sz="4" w:space="0" w:color="auto"/>
            </w:tcBorders>
            <w:vAlign w:val="center"/>
          </w:tcPr>
          <w:p w:rsidR="008A293E" w:rsidRPr="00955C8C" w:rsidRDefault="008A293E" w:rsidP="00371842">
            <w:pPr>
              <w:spacing w:line="480" w:lineRule="auto"/>
              <w:rPr>
                <w:rFonts w:ascii="Arial" w:hAnsi="Arial" w:cs="Arial"/>
                <w:b/>
                <w:sz w:val="16"/>
                <w:szCs w:val="16"/>
                <w:highlight w:val="yellow"/>
              </w:rPr>
            </w:pPr>
          </w:p>
        </w:tc>
        <w:tc>
          <w:tcPr>
            <w:tcW w:w="2790" w:type="dxa"/>
            <w:tcBorders>
              <w:top w:val="single" w:sz="4" w:space="0" w:color="auto"/>
              <w:left w:val="single" w:sz="4" w:space="0" w:color="auto"/>
              <w:bottom w:val="single" w:sz="4" w:space="0" w:color="auto"/>
              <w:right w:val="nil"/>
            </w:tcBorders>
            <w:vAlign w:val="center"/>
          </w:tcPr>
          <w:p w:rsidR="008A293E" w:rsidRPr="00E65913" w:rsidRDefault="008A293E" w:rsidP="00371842">
            <w:pPr>
              <w:pStyle w:val="Header"/>
              <w:tabs>
                <w:tab w:val="clear" w:pos="4320"/>
                <w:tab w:val="clear" w:pos="8640"/>
              </w:tabs>
              <w:spacing w:line="480" w:lineRule="auto"/>
              <w:rPr>
                <w:rFonts w:ascii="Arial" w:hAnsi="Arial" w:cs="Arial"/>
                <w:sz w:val="16"/>
                <w:szCs w:val="16"/>
              </w:rPr>
            </w:pPr>
            <w:r w:rsidRPr="00E65913">
              <w:rPr>
                <w:rFonts w:ascii="Arial" w:hAnsi="Arial" w:cs="Arial"/>
                <w:sz w:val="16"/>
                <w:szCs w:val="16"/>
              </w:rPr>
              <w:t>Severe Mental Illness</w:t>
            </w:r>
          </w:p>
        </w:tc>
        <w:tc>
          <w:tcPr>
            <w:tcW w:w="1008" w:type="dxa"/>
            <w:tcBorders>
              <w:top w:val="single" w:sz="4" w:space="0" w:color="auto"/>
              <w:left w:val="single" w:sz="6" w:space="0" w:color="auto"/>
              <w:bottom w:val="single" w:sz="4" w:space="0" w:color="auto"/>
              <w:right w:val="nil"/>
            </w:tcBorders>
            <w:vAlign w:val="center"/>
          </w:tcPr>
          <w:p w:rsidR="008A293E" w:rsidRPr="00E65913" w:rsidRDefault="008A293E" w:rsidP="00371842">
            <w:pPr>
              <w:jc w:val="center"/>
              <w:rPr>
                <w:rFonts w:ascii="Arial" w:hAnsi="Arial" w:cs="Arial"/>
                <w:sz w:val="16"/>
                <w:szCs w:val="16"/>
              </w:rPr>
            </w:pPr>
            <w:r w:rsidRPr="00E65913">
              <w:rPr>
                <w:rFonts w:ascii="Arial" w:hAnsi="Arial" w:cs="Arial"/>
                <w:sz w:val="16"/>
                <w:szCs w:val="16"/>
              </w:rPr>
              <w:t>0-80%</w:t>
            </w:r>
          </w:p>
        </w:tc>
        <w:tc>
          <w:tcPr>
            <w:tcW w:w="1080" w:type="dxa"/>
            <w:gridSpan w:val="2"/>
            <w:tcBorders>
              <w:top w:val="single" w:sz="4" w:space="0" w:color="auto"/>
              <w:left w:val="single" w:sz="6" w:space="0" w:color="auto"/>
              <w:bottom w:val="single" w:sz="4" w:space="0" w:color="auto"/>
              <w:right w:val="nil"/>
            </w:tcBorders>
            <w:tcMar>
              <w:top w:w="29" w:type="dxa"/>
            </w:tcMar>
            <w:vAlign w:val="center"/>
          </w:tcPr>
          <w:p w:rsidR="008A293E" w:rsidRPr="00E65913" w:rsidRDefault="008A293E" w:rsidP="00371842">
            <w:pPr>
              <w:spacing w:line="480" w:lineRule="auto"/>
              <w:jc w:val="center"/>
              <w:rPr>
                <w:rFonts w:ascii="Arial" w:hAnsi="Arial" w:cs="Arial"/>
                <w:sz w:val="16"/>
                <w:szCs w:val="16"/>
              </w:rPr>
            </w:pPr>
            <w:r w:rsidRPr="00E65913">
              <w:rPr>
                <w:rFonts w:ascii="Arial" w:hAnsi="Arial" w:cs="Arial"/>
                <w:sz w:val="16"/>
                <w:szCs w:val="16"/>
              </w:rPr>
              <w:t>H</w:t>
            </w:r>
          </w:p>
        </w:tc>
        <w:tc>
          <w:tcPr>
            <w:tcW w:w="2772" w:type="dxa"/>
            <w:tcBorders>
              <w:top w:val="single" w:sz="4" w:space="0" w:color="auto"/>
              <w:left w:val="single" w:sz="6" w:space="0" w:color="auto"/>
              <w:bottom w:val="single" w:sz="4" w:space="0" w:color="auto"/>
            </w:tcBorders>
            <w:vAlign w:val="center"/>
          </w:tcPr>
          <w:p w:rsidR="008A293E" w:rsidRPr="00E65913" w:rsidRDefault="008A293E" w:rsidP="00371842">
            <w:pPr>
              <w:spacing w:line="480" w:lineRule="auto"/>
              <w:jc w:val="center"/>
              <w:rPr>
                <w:rFonts w:ascii="Arial" w:hAnsi="Arial" w:cs="Arial"/>
                <w:sz w:val="16"/>
                <w:szCs w:val="16"/>
              </w:rPr>
            </w:pPr>
            <w:r w:rsidRPr="00E65913">
              <w:rPr>
                <w:rFonts w:ascii="Arial" w:hAnsi="Arial" w:cs="Arial"/>
                <w:sz w:val="16"/>
                <w:szCs w:val="16"/>
              </w:rPr>
              <w:t>353</w:t>
            </w:r>
            <w:r>
              <w:rPr>
                <w:rStyle w:val="FootnoteReference"/>
                <w:rFonts w:ascii="Arial" w:hAnsi="Arial" w:cs="Arial"/>
                <w:sz w:val="16"/>
                <w:szCs w:val="16"/>
              </w:rPr>
              <w:footnoteReference w:id="33"/>
            </w:r>
          </w:p>
        </w:tc>
      </w:tr>
      <w:tr w:rsidR="008A293E" w:rsidRPr="00955C8C" w:rsidTr="00371842">
        <w:tblPrEx>
          <w:tblBorders>
            <w:top w:val="none" w:sz="0" w:space="0" w:color="auto"/>
            <w:left w:val="none" w:sz="0" w:space="0" w:color="auto"/>
            <w:bottom w:val="none" w:sz="0" w:space="0" w:color="auto"/>
            <w:right w:val="none" w:sz="0" w:space="0" w:color="auto"/>
            <w:insideV w:val="none" w:sz="0" w:space="0" w:color="auto"/>
          </w:tblBorders>
        </w:tblPrEx>
        <w:trPr>
          <w:cantSplit/>
          <w:trHeight w:hRule="exact" w:val="288"/>
          <w:jc w:val="center"/>
        </w:trPr>
        <w:tc>
          <w:tcPr>
            <w:tcW w:w="1710" w:type="dxa"/>
            <w:vMerge/>
            <w:tcBorders>
              <w:top w:val="single" w:sz="4" w:space="0" w:color="auto"/>
              <w:bottom w:val="single" w:sz="4" w:space="0" w:color="auto"/>
              <w:right w:val="single" w:sz="4" w:space="0" w:color="auto"/>
            </w:tcBorders>
            <w:vAlign w:val="center"/>
          </w:tcPr>
          <w:p w:rsidR="008A293E" w:rsidRPr="00955C8C" w:rsidRDefault="008A293E" w:rsidP="00371842">
            <w:pPr>
              <w:rPr>
                <w:rFonts w:ascii="Arial" w:hAnsi="Arial" w:cs="Arial"/>
                <w:sz w:val="16"/>
                <w:szCs w:val="16"/>
                <w:highlight w:val="yellow"/>
              </w:rPr>
            </w:pPr>
          </w:p>
        </w:tc>
        <w:tc>
          <w:tcPr>
            <w:tcW w:w="2790" w:type="dxa"/>
            <w:tcBorders>
              <w:top w:val="single" w:sz="4" w:space="0" w:color="auto"/>
              <w:left w:val="single" w:sz="4" w:space="0" w:color="auto"/>
              <w:bottom w:val="single" w:sz="4" w:space="0" w:color="auto"/>
              <w:right w:val="nil"/>
            </w:tcBorders>
            <w:vAlign w:val="center"/>
          </w:tcPr>
          <w:p w:rsidR="008A293E" w:rsidRPr="00E65913" w:rsidRDefault="008A293E" w:rsidP="00371842">
            <w:pPr>
              <w:spacing w:line="480" w:lineRule="auto"/>
              <w:rPr>
                <w:rFonts w:ascii="Arial" w:hAnsi="Arial" w:cs="Arial"/>
                <w:sz w:val="16"/>
                <w:szCs w:val="16"/>
              </w:rPr>
            </w:pPr>
            <w:r w:rsidRPr="00E65913">
              <w:rPr>
                <w:rFonts w:ascii="Arial" w:hAnsi="Arial" w:cs="Arial"/>
                <w:sz w:val="16"/>
                <w:szCs w:val="16"/>
              </w:rPr>
              <w:t>Disability</w:t>
            </w:r>
          </w:p>
        </w:tc>
        <w:tc>
          <w:tcPr>
            <w:tcW w:w="1008" w:type="dxa"/>
            <w:tcBorders>
              <w:top w:val="single" w:sz="4" w:space="0" w:color="auto"/>
              <w:left w:val="single" w:sz="6" w:space="0" w:color="auto"/>
              <w:bottom w:val="single" w:sz="4" w:space="0" w:color="auto"/>
              <w:right w:val="nil"/>
            </w:tcBorders>
            <w:vAlign w:val="center"/>
          </w:tcPr>
          <w:p w:rsidR="008A293E" w:rsidRPr="00E65913" w:rsidRDefault="008A293E" w:rsidP="00371842">
            <w:pPr>
              <w:jc w:val="center"/>
              <w:rPr>
                <w:rFonts w:ascii="Arial" w:hAnsi="Arial" w:cs="Arial"/>
                <w:sz w:val="16"/>
                <w:szCs w:val="16"/>
              </w:rPr>
            </w:pPr>
            <w:r w:rsidRPr="00E65913">
              <w:rPr>
                <w:rFonts w:ascii="Arial" w:hAnsi="Arial" w:cs="Arial"/>
                <w:sz w:val="16"/>
                <w:szCs w:val="16"/>
              </w:rPr>
              <w:t>0-80%</w:t>
            </w:r>
          </w:p>
        </w:tc>
        <w:tc>
          <w:tcPr>
            <w:tcW w:w="1080" w:type="dxa"/>
            <w:gridSpan w:val="2"/>
            <w:tcBorders>
              <w:top w:val="single" w:sz="4" w:space="0" w:color="auto"/>
              <w:left w:val="single" w:sz="6" w:space="0" w:color="auto"/>
              <w:bottom w:val="single" w:sz="4" w:space="0" w:color="auto"/>
              <w:right w:val="nil"/>
            </w:tcBorders>
            <w:tcMar>
              <w:top w:w="29" w:type="dxa"/>
            </w:tcMar>
            <w:vAlign w:val="center"/>
          </w:tcPr>
          <w:p w:rsidR="008A293E" w:rsidRPr="00955C8C" w:rsidRDefault="008A293E" w:rsidP="00371842">
            <w:pPr>
              <w:spacing w:line="480" w:lineRule="auto"/>
              <w:jc w:val="center"/>
              <w:rPr>
                <w:rFonts w:ascii="Arial" w:hAnsi="Arial" w:cs="Arial"/>
                <w:sz w:val="16"/>
                <w:szCs w:val="16"/>
                <w:highlight w:val="yellow"/>
              </w:rPr>
            </w:pPr>
            <w:r w:rsidRPr="00E65913">
              <w:rPr>
                <w:rFonts w:ascii="Arial" w:hAnsi="Arial" w:cs="Arial"/>
                <w:sz w:val="16"/>
                <w:szCs w:val="16"/>
              </w:rPr>
              <w:t>H</w:t>
            </w:r>
          </w:p>
        </w:tc>
        <w:tc>
          <w:tcPr>
            <w:tcW w:w="2772" w:type="dxa"/>
            <w:tcBorders>
              <w:top w:val="single" w:sz="4" w:space="0" w:color="auto"/>
              <w:left w:val="single" w:sz="6" w:space="0" w:color="auto"/>
              <w:bottom w:val="single" w:sz="4" w:space="0" w:color="auto"/>
            </w:tcBorders>
            <w:vAlign w:val="center"/>
          </w:tcPr>
          <w:p w:rsidR="008A293E" w:rsidRPr="00955C8C" w:rsidRDefault="004C32D7" w:rsidP="00371842">
            <w:pPr>
              <w:spacing w:line="480" w:lineRule="auto"/>
              <w:jc w:val="center"/>
              <w:rPr>
                <w:rFonts w:ascii="Arial" w:hAnsi="Arial" w:cs="Arial"/>
                <w:sz w:val="16"/>
                <w:szCs w:val="16"/>
                <w:highlight w:val="yellow"/>
              </w:rPr>
            </w:pPr>
            <w:r>
              <w:rPr>
                <w:rFonts w:ascii="Arial" w:hAnsi="Arial" w:cs="Arial"/>
                <w:sz w:val="16"/>
                <w:szCs w:val="16"/>
              </w:rPr>
              <w:t>55,883</w:t>
            </w:r>
            <w:r w:rsidR="009B1655">
              <w:rPr>
                <w:rFonts w:ascii="Arial" w:hAnsi="Arial" w:cs="Arial"/>
                <w:sz w:val="16"/>
                <w:szCs w:val="16"/>
              </w:rPr>
              <w:t xml:space="preserve">  </w:t>
            </w:r>
            <w:r w:rsidR="008A293E">
              <w:rPr>
                <w:rStyle w:val="FootnoteReference"/>
                <w:rFonts w:ascii="Arial" w:hAnsi="Arial" w:cs="Arial"/>
                <w:sz w:val="16"/>
                <w:szCs w:val="16"/>
              </w:rPr>
              <w:footnoteReference w:id="34"/>
            </w:r>
          </w:p>
        </w:tc>
      </w:tr>
      <w:tr w:rsidR="008A293E" w:rsidRPr="00955C8C" w:rsidTr="00371842">
        <w:tblPrEx>
          <w:tblBorders>
            <w:top w:val="none" w:sz="0" w:space="0" w:color="auto"/>
            <w:left w:val="none" w:sz="0" w:space="0" w:color="auto"/>
            <w:bottom w:val="none" w:sz="0" w:space="0" w:color="auto"/>
            <w:right w:val="none" w:sz="0" w:space="0" w:color="auto"/>
            <w:insideV w:val="none" w:sz="0" w:space="0" w:color="auto"/>
          </w:tblBorders>
        </w:tblPrEx>
        <w:trPr>
          <w:cantSplit/>
          <w:trHeight w:hRule="exact" w:val="288"/>
          <w:jc w:val="center"/>
        </w:trPr>
        <w:tc>
          <w:tcPr>
            <w:tcW w:w="1710" w:type="dxa"/>
            <w:vMerge/>
            <w:tcBorders>
              <w:top w:val="single" w:sz="4" w:space="0" w:color="auto"/>
              <w:bottom w:val="single" w:sz="4" w:space="0" w:color="auto"/>
              <w:right w:val="single" w:sz="4" w:space="0" w:color="auto"/>
            </w:tcBorders>
            <w:vAlign w:val="center"/>
          </w:tcPr>
          <w:p w:rsidR="008A293E" w:rsidRPr="00955C8C" w:rsidRDefault="008A293E" w:rsidP="00371842">
            <w:pPr>
              <w:rPr>
                <w:rFonts w:ascii="Arial" w:hAnsi="Arial" w:cs="Arial"/>
                <w:sz w:val="16"/>
                <w:szCs w:val="16"/>
                <w:highlight w:val="yellow"/>
              </w:rPr>
            </w:pPr>
          </w:p>
        </w:tc>
        <w:tc>
          <w:tcPr>
            <w:tcW w:w="2790" w:type="dxa"/>
            <w:tcBorders>
              <w:top w:val="single" w:sz="4" w:space="0" w:color="auto"/>
              <w:left w:val="single" w:sz="4" w:space="0" w:color="auto"/>
              <w:bottom w:val="single" w:sz="4" w:space="0" w:color="auto"/>
              <w:right w:val="nil"/>
            </w:tcBorders>
            <w:vAlign w:val="center"/>
          </w:tcPr>
          <w:p w:rsidR="008A293E" w:rsidRPr="00E65913" w:rsidRDefault="008A293E" w:rsidP="00371842">
            <w:pPr>
              <w:spacing w:line="480" w:lineRule="auto"/>
              <w:rPr>
                <w:rFonts w:ascii="Arial" w:hAnsi="Arial" w:cs="Arial"/>
                <w:sz w:val="16"/>
                <w:szCs w:val="16"/>
              </w:rPr>
            </w:pPr>
            <w:r w:rsidRPr="00E65913">
              <w:rPr>
                <w:rFonts w:ascii="Arial" w:hAnsi="Arial" w:cs="Arial"/>
                <w:sz w:val="16"/>
                <w:szCs w:val="16"/>
              </w:rPr>
              <w:t>Alcohol/Drug Abuse</w:t>
            </w:r>
          </w:p>
        </w:tc>
        <w:tc>
          <w:tcPr>
            <w:tcW w:w="1008" w:type="dxa"/>
            <w:tcBorders>
              <w:top w:val="single" w:sz="4" w:space="0" w:color="auto"/>
              <w:left w:val="single" w:sz="6" w:space="0" w:color="auto"/>
              <w:bottom w:val="single" w:sz="4" w:space="0" w:color="auto"/>
              <w:right w:val="nil"/>
            </w:tcBorders>
            <w:vAlign w:val="center"/>
          </w:tcPr>
          <w:p w:rsidR="008A293E" w:rsidRPr="00E65913" w:rsidRDefault="008A293E" w:rsidP="00371842">
            <w:pPr>
              <w:jc w:val="center"/>
              <w:rPr>
                <w:rFonts w:ascii="Arial" w:hAnsi="Arial" w:cs="Arial"/>
                <w:sz w:val="16"/>
                <w:szCs w:val="16"/>
              </w:rPr>
            </w:pPr>
            <w:r w:rsidRPr="00E65913">
              <w:rPr>
                <w:rFonts w:ascii="Arial" w:hAnsi="Arial" w:cs="Arial"/>
                <w:sz w:val="16"/>
                <w:szCs w:val="16"/>
              </w:rPr>
              <w:t>0-80%</w:t>
            </w:r>
          </w:p>
        </w:tc>
        <w:tc>
          <w:tcPr>
            <w:tcW w:w="1080" w:type="dxa"/>
            <w:gridSpan w:val="2"/>
            <w:tcBorders>
              <w:top w:val="single" w:sz="4" w:space="0" w:color="auto"/>
              <w:left w:val="single" w:sz="6" w:space="0" w:color="auto"/>
              <w:bottom w:val="single" w:sz="4" w:space="0" w:color="auto"/>
              <w:right w:val="nil"/>
            </w:tcBorders>
            <w:tcMar>
              <w:top w:w="29" w:type="dxa"/>
            </w:tcMar>
            <w:vAlign w:val="center"/>
          </w:tcPr>
          <w:p w:rsidR="008A293E" w:rsidRPr="00E65913" w:rsidRDefault="008A293E" w:rsidP="00371842">
            <w:pPr>
              <w:spacing w:line="480" w:lineRule="auto"/>
              <w:jc w:val="center"/>
              <w:rPr>
                <w:rFonts w:ascii="Arial" w:hAnsi="Arial" w:cs="Arial"/>
                <w:sz w:val="16"/>
                <w:szCs w:val="16"/>
              </w:rPr>
            </w:pPr>
            <w:r w:rsidRPr="00E65913">
              <w:rPr>
                <w:rFonts w:ascii="Arial" w:hAnsi="Arial" w:cs="Arial"/>
                <w:sz w:val="16"/>
                <w:szCs w:val="16"/>
              </w:rPr>
              <w:t>H</w:t>
            </w:r>
          </w:p>
        </w:tc>
        <w:tc>
          <w:tcPr>
            <w:tcW w:w="2772" w:type="dxa"/>
            <w:tcBorders>
              <w:top w:val="single" w:sz="4" w:space="0" w:color="auto"/>
              <w:left w:val="single" w:sz="6" w:space="0" w:color="auto"/>
              <w:bottom w:val="single" w:sz="4" w:space="0" w:color="auto"/>
            </w:tcBorders>
            <w:vAlign w:val="center"/>
          </w:tcPr>
          <w:p w:rsidR="008A293E" w:rsidRPr="00E65913" w:rsidRDefault="008A293E" w:rsidP="00371842">
            <w:pPr>
              <w:spacing w:line="480" w:lineRule="auto"/>
              <w:jc w:val="center"/>
              <w:rPr>
                <w:rFonts w:ascii="Arial" w:hAnsi="Arial" w:cs="Arial"/>
                <w:sz w:val="16"/>
                <w:szCs w:val="16"/>
              </w:rPr>
            </w:pPr>
            <w:r>
              <w:rPr>
                <w:rFonts w:ascii="Arial" w:hAnsi="Arial" w:cs="Arial"/>
                <w:sz w:val="16"/>
                <w:szCs w:val="16"/>
              </w:rPr>
              <w:t>529</w:t>
            </w:r>
            <w:r>
              <w:rPr>
                <w:rStyle w:val="FootnoteReference"/>
                <w:rFonts w:ascii="Arial" w:hAnsi="Arial" w:cs="Arial"/>
                <w:sz w:val="16"/>
                <w:szCs w:val="16"/>
              </w:rPr>
              <w:footnoteReference w:id="35"/>
            </w:r>
          </w:p>
        </w:tc>
      </w:tr>
      <w:tr w:rsidR="008A293E" w:rsidRPr="00955C8C" w:rsidTr="00371842">
        <w:tblPrEx>
          <w:tblBorders>
            <w:top w:val="none" w:sz="0" w:space="0" w:color="auto"/>
            <w:left w:val="none" w:sz="0" w:space="0" w:color="auto"/>
            <w:bottom w:val="none" w:sz="0" w:space="0" w:color="auto"/>
            <w:right w:val="none" w:sz="0" w:space="0" w:color="auto"/>
            <w:insideV w:val="none" w:sz="0" w:space="0" w:color="auto"/>
          </w:tblBorders>
        </w:tblPrEx>
        <w:trPr>
          <w:cantSplit/>
          <w:trHeight w:hRule="exact" w:val="288"/>
          <w:jc w:val="center"/>
        </w:trPr>
        <w:tc>
          <w:tcPr>
            <w:tcW w:w="1710" w:type="dxa"/>
            <w:vMerge/>
            <w:tcBorders>
              <w:top w:val="single" w:sz="4" w:space="0" w:color="auto"/>
              <w:bottom w:val="single" w:sz="4" w:space="0" w:color="auto"/>
              <w:right w:val="single" w:sz="4" w:space="0" w:color="auto"/>
            </w:tcBorders>
            <w:vAlign w:val="center"/>
          </w:tcPr>
          <w:p w:rsidR="008A293E" w:rsidRPr="00955C8C" w:rsidRDefault="008A293E" w:rsidP="00371842">
            <w:pPr>
              <w:rPr>
                <w:rFonts w:ascii="Arial" w:hAnsi="Arial" w:cs="Arial"/>
                <w:sz w:val="16"/>
                <w:szCs w:val="16"/>
                <w:highlight w:val="yellow"/>
              </w:rPr>
            </w:pPr>
          </w:p>
        </w:tc>
        <w:tc>
          <w:tcPr>
            <w:tcW w:w="2790" w:type="dxa"/>
            <w:tcBorders>
              <w:top w:val="single" w:sz="4" w:space="0" w:color="auto"/>
              <w:left w:val="single" w:sz="4" w:space="0" w:color="auto"/>
              <w:bottom w:val="single" w:sz="4" w:space="0" w:color="auto"/>
              <w:right w:val="nil"/>
            </w:tcBorders>
            <w:vAlign w:val="center"/>
          </w:tcPr>
          <w:p w:rsidR="008A293E" w:rsidRPr="00E65913" w:rsidRDefault="008A293E" w:rsidP="00371842">
            <w:pPr>
              <w:spacing w:line="480" w:lineRule="auto"/>
              <w:rPr>
                <w:rFonts w:ascii="Arial" w:hAnsi="Arial" w:cs="Arial"/>
                <w:sz w:val="16"/>
                <w:szCs w:val="16"/>
              </w:rPr>
            </w:pPr>
            <w:r w:rsidRPr="00E65913">
              <w:rPr>
                <w:rFonts w:ascii="Arial" w:hAnsi="Arial" w:cs="Arial"/>
                <w:sz w:val="16"/>
                <w:szCs w:val="16"/>
              </w:rPr>
              <w:t>HIV/AIDS</w:t>
            </w:r>
          </w:p>
        </w:tc>
        <w:tc>
          <w:tcPr>
            <w:tcW w:w="1008" w:type="dxa"/>
            <w:tcBorders>
              <w:top w:val="single" w:sz="4" w:space="0" w:color="auto"/>
              <w:left w:val="single" w:sz="6" w:space="0" w:color="auto"/>
              <w:bottom w:val="single" w:sz="4" w:space="0" w:color="auto"/>
              <w:right w:val="nil"/>
            </w:tcBorders>
            <w:vAlign w:val="center"/>
          </w:tcPr>
          <w:p w:rsidR="008A293E" w:rsidRPr="00E65913" w:rsidRDefault="008A293E" w:rsidP="00371842">
            <w:pPr>
              <w:jc w:val="center"/>
              <w:rPr>
                <w:rFonts w:ascii="Arial" w:hAnsi="Arial" w:cs="Arial"/>
                <w:sz w:val="16"/>
                <w:szCs w:val="16"/>
              </w:rPr>
            </w:pPr>
            <w:r w:rsidRPr="00E65913">
              <w:rPr>
                <w:rFonts w:ascii="Arial" w:hAnsi="Arial" w:cs="Arial"/>
                <w:sz w:val="16"/>
                <w:szCs w:val="16"/>
              </w:rPr>
              <w:t>0-80%</w:t>
            </w:r>
          </w:p>
        </w:tc>
        <w:tc>
          <w:tcPr>
            <w:tcW w:w="1080" w:type="dxa"/>
            <w:gridSpan w:val="2"/>
            <w:tcBorders>
              <w:top w:val="single" w:sz="4" w:space="0" w:color="auto"/>
              <w:left w:val="single" w:sz="6" w:space="0" w:color="auto"/>
              <w:bottom w:val="single" w:sz="4" w:space="0" w:color="auto"/>
              <w:right w:val="nil"/>
            </w:tcBorders>
            <w:tcMar>
              <w:top w:w="29" w:type="dxa"/>
            </w:tcMar>
            <w:vAlign w:val="center"/>
          </w:tcPr>
          <w:p w:rsidR="008A293E" w:rsidRPr="00E65913" w:rsidRDefault="008A293E" w:rsidP="00371842">
            <w:pPr>
              <w:spacing w:line="480" w:lineRule="auto"/>
              <w:jc w:val="center"/>
              <w:rPr>
                <w:rFonts w:ascii="Arial" w:hAnsi="Arial" w:cs="Arial"/>
                <w:sz w:val="16"/>
                <w:szCs w:val="16"/>
              </w:rPr>
            </w:pPr>
            <w:r w:rsidRPr="00E65913">
              <w:rPr>
                <w:rFonts w:ascii="Arial" w:hAnsi="Arial" w:cs="Arial"/>
                <w:sz w:val="16"/>
                <w:szCs w:val="16"/>
              </w:rPr>
              <w:t>H</w:t>
            </w:r>
          </w:p>
        </w:tc>
        <w:tc>
          <w:tcPr>
            <w:tcW w:w="2772" w:type="dxa"/>
            <w:tcBorders>
              <w:top w:val="single" w:sz="4" w:space="0" w:color="auto"/>
              <w:left w:val="single" w:sz="6" w:space="0" w:color="auto"/>
              <w:bottom w:val="single" w:sz="4" w:space="0" w:color="auto"/>
            </w:tcBorders>
            <w:vAlign w:val="center"/>
          </w:tcPr>
          <w:p w:rsidR="008A293E" w:rsidRPr="00E65913" w:rsidRDefault="008A293E" w:rsidP="00371842">
            <w:pPr>
              <w:spacing w:line="480" w:lineRule="auto"/>
              <w:jc w:val="center"/>
              <w:rPr>
                <w:rFonts w:ascii="Arial" w:hAnsi="Arial" w:cs="Arial"/>
                <w:sz w:val="16"/>
                <w:szCs w:val="16"/>
              </w:rPr>
            </w:pPr>
            <w:r w:rsidRPr="00E65913">
              <w:rPr>
                <w:rFonts w:ascii="Arial" w:hAnsi="Arial" w:cs="Arial"/>
                <w:sz w:val="16"/>
                <w:szCs w:val="16"/>
              </w:rPr>
              <w:t>1,339</w:t>
            </w:r>
            <w:r>
              <w:rPr>
                <w:rStyle w:val="FootnoteReference"/>
                <w:rFonts w:ascii="Arial" w:hAnsi="Arial" w:cs="Arial"/>
                <w:sz w:val="16"/>
                <w:szCs w:val="16"/>
              </w:rPr>
              <w:footnoteReference w:id="36"/>
            </w:r>
          </w:p>
        </w:tc>
      </w:tr>
      <w:tr w:rsidR="008A293E" w:rsidRPr="00955C8C" w:rsidTr="00371842">
        <w:tblPrEx>
          <w:tblBorders>
            <w:top w:val="none" w:sz="0" w:space="0" w:color="auto"/>
            <w:left w:val="none" w:sz="0" w:space="0" w:color="auto"/>
            <w:bottom w:val="none" w:sz="0" w:space="0" w:color="auto"/>
            <w:right w:val="none" w:sz="0" w:space="0" w:color="auto"/>
            <w:insideV w:val="none" w:sz="0" w:space="0" w:color="auto"/>
          </w:tblBorders>
        </w:tblPrEx>
        <w:trPr>
          <w:cantSplit/>
          <w:trHeight w:hRule="exact" w:val="288"/>
          <w:jc w:val="center"/>
        </w:trPr>
        <w:tc>
          <w:tcPr>
            <w:tcW w:w="1710" w:type="dxa"/>
            <w:vMerge/>
            <w:tcBorders>
              <w:top w:val="single" w:sz="4" w:space="0" w:color="auto"/>
              <w:bottom w:val="single" w:sz="12" w:space="0" w:color="auto"/>
              <w:right w:val="single" w:sz="4" w:space="0" w:color="auto"/>
            </w:tcBorders>
            <w:vAlign w:val="center"/>
          </w:tcPr>
          <w:p w:rsidR="008A293E" w:rsidRPr="00955C8C" w:rsidRDefault="008A293E" w:rsidP="00371842">
            <w:pPr>
              <w:rPr>
                <w:rFonts w:ascii="Arial" w:hAnsi="Arial" w:cs="Arial"/>
                <w:sz w:val="16"/>
                <w:szCs w:val="16"/>
                <w:highlight w:val="yellow"/>
              </w:rPr>
            </w:pPr>
          </w:p>
        </w:tc>
        <w:tc>
          <w:tcPr>
            <w:tcW w:w="2790" w:type="dxa"/>
            <w:tcBorders>
              <w:top w:val="single" w:sz="4" w:space="0" w:color="auto"/>
              <w:left w:val="single" w:sz="4" w:space="0" w:color="auto"/>
              <w:bottom w:val="single" w:sz="12" w:space="0" w:color="auto"/>
              <w:right w:val="nil"/>
            </w:tcBorders>
            <w:vAlign w:val="center"/>
          </w:tcPr>
          <w:p w:rsidR="008A293E" w:rsidRPr="00E65913" w:rsidRDefault="008A293E" w:rsidP="00371842">
            <w:pPr>
              <w:spacing w:line="480" w:lineRule="auto"/>
              <w:rPr>
                <w:rFonts w:ascii="Arial" w:hAnsi="Arial" w:cs="Arial"/>
                <w:sz w:val="16"/>
                <w:szCs w:val="16"/>
              </w:rPr>
            </w:pPr>
            <w:r w:rsidRPr="00E65913">
              <w:rPr>
                <w:rFonts w:ascii="Arial" w:hAnsi="Arial" w:cs="Arial"/>
                <w:sz w:val="16"/>
                <w:szCs w:val="16"/>
              </w:rPr>
              <w:t>Victims of Domestic Violence</w:t>
            </w:r>
          </w:p>
        </w:tc>
        <w:tc>
          <w:tcPr>
            <w:tcW w:w="1008" w:type="dxa"/>
            <w:tcBorders>
              <w:top w:val="single" w:sz="4" w:space="0" w:color="auto"/>
              <w:left w:val="single" w:sz="6" w:space="0" w:color="auto"/>
              <w:bottom w:val="single" w:sz="12" w:space="0" w:color="auto"/>
              <w:right w:val="nil"/>
            </w:tcBorders>
            <w:vAlign w:val="center"/>
          </w:tcPr>
          <w:p w:rsidR="008A293E" w:rsidRPr="00E65913" w:rsidRDefault="008A293E" w:rsidP="00371842">
            <w:pPr>
              <w:jc w:val="center"/>
              <w:rPr>
                <w:rFonts w:ascii="Arial" w:hAnsi="Arial" w:cs="Arial"/>
                <w:sz w:val="16"/>
                <w:szCs w:val="16"/>
              </w:rPr>
            </w:pPr>
            <w:r w:rsidRPr="00E65913">
              <w:rPr>
                <w:rFonts w:ascii="Arial" w:hAnsi="Arial" w:cs="Arial"/>
                <w:sz w:val="16"/>
                <w:szCs w:val="16"/>
              </w:rPr>
              <w:t>0-80%</w:t>
            </w:r>
          </w:p>
        </w:tc>
        <w:tc>
          <w:tcPr>
            <w:tcW w:w="1080" w:type="dxa"/>
            <w:gridSpan w:val="2"/>
            <w:tcBorders>
              <w:top w:val="single" w:sz="4" w:space="0" w:color="auto"/>
              <w:left w:val="single" w:sz="6" w:space="0" w:color="auto"/>
              <w:bottom w:val="single" w:sz="12" w:space="0" w:color="auto"/>
              <w:right w:val="nil"/>
            </w:tcBorders>
            <w:tcMar>
              <w:top w:w="29" w:type="dxa"/>
            </w:tcMar>
            <w:vAlign w:val="center"/>
          </w:tcPr>
          <w:p w:rsidR="008A293E" w:rsidRPr="00E65913" w:rsidRDefault="008A293E" w:rsidP="00371842">
            <w:pPr>
              <w:spacing w:line="480" w:lineRule="auto"/>
              <w:jc w:val="center"/>
              <w:rPr>
                <w:rFonts w:ascii="Arial" w:hAnsi="Arial" w:cs="Arial"/>
                <w:sz w:val="16"/>
                <w:szCs w:val="16"/>
              </w:rPr>
            </w:pPr>
            <w:r w:rsidRPr="00E65913">
              <w:rPr>
                <w:rFonts w:ascii="Arial" w:hAnsi="Arial" w:cs="Arial"/>
                <w:sz w:val="16"/>
                <w:szCs w:val="16"/>
              </w:rPr>
              <w:t>H</w:t>
            </w:r>
          </w:p>
        </w:tc>
        <w:tc>
          <w:tcPr>
            <w:tcW w:w="2772" w:type="dxa"/>
            <w:tcBorders>
              <w:top w:val="single" w:sz="4" w:space="0" w:color="auto"/>
              <w:left w:val="single" w:sz="6" w:space="0" w:color="auto"/>
              <w:bottom w:val="single" w:sz="12" w:space="0" w:color="auto"/>
            </w:tcBorders>
            <w:vAlign w:val="center"/>
          </w:tcPr>
          <w:p w:rsidR="008A293E" w:rsidRPr="00E65913" w:rsidRDefault="008A293E" w:rsidP="00371842">
            <w:pPr>
              <w:spacing w:line="480" w:lineRule="auto"/>
              <w:jc w:val="center"/>
              <w:rPr>
                <w:rFonts w:ascii="Arial" w:hAnsi="Arial" w:cs="Arial"/>
                <w:sz w:val="16"/>
                <w:szCs w:val="16"/>
              </w:rPr>
            </w:pPr>
            <w:r>
              <w:rPr>
                <w:rFonts w:ascii="Arial" w:hAnsi="Arial" w:cs="Arial"/>
                <w:sz w:val="16"/>
                <w:szCs w:val="16"/>
              </w:rPr>
              <w:t>547</w:t>
            </w:r>
            <w:r>
              <w:rPr>
                <w:rStyle w:val="FootnoteReference"/>
                <w:rFonts w:ascii="Arial" w:hAnsi="Arial" w:cs="Arial"/>
                <w:sz w:val="16"/>
                <w:szCs w:val="16"/>
              </w:rPr>
              <w:footnoteReference w:id="37"/>
            </w:r>
          </w:p>
        </w:tc>
      </w:tr>
    </w:tbl>
    <w:p w:rsidR="00AC6C3B" w:rsidRDefault="00AC6C3B" w:rsidP="00BB666B">
      <w:pPr>
        <w:pStyle w:val="FirstHead"/>
      </w:pPr>
    </w:p>
    <w:p w:rsidR="002700A9" w:rsidRPr="00955C8C" w:rsidRDefault="00047D06" w:rsidP="00BB666B">
      <w:pPr>
        <w:pStyle w:val="FirstHead"/>
        <w:rPr>
          <w:highlight w:val="yellow"/>
        </w:rPr>
      </w:pPr>
      <w:bookmarkStart w:id="108" w:name="_Toc399834582"/>
      <w:r w:rsidRPr="00832AB3">
        <w:t>D</w:t>
      </w:r>
      <w:r w:rsidR="002700A9" w:rsidRPr="00832AB3">
        <w:t>. Homeless Needs Assessment</w:t>
      </w:r>
      <w:bookmarkEnd w:id="106"/>
      <w:bookmarkEnd w:id="107"/>
      <w:bookmarkEnd w:id="108"/>
    </w:p>
    <w:p w:rsidR="00960765" w:rsidRPr="00AC6C3B" w:rsidRDefault="00960765" w:rsidP="00960765">
      <w:pPr>
        <w:jc w:val="both"/>
        <w:rPr>
          <w:rFonts w:ascii="CG Omega" w:hAnsi="CG Omega"/>
          <w:b/>
          <w:bCs/>
          <w:smallCaps/>
        </w:rPr>
      </w:pPr>
    </w:p>
    <w:p w:rsidR="00FC4673" w:rsidRPr="00AC6C3B" w:rsidRDefault="00FC4673" w:rsidP="00EE72EC">
      <w:pPr>
        <w:jc w:val="both"/>
        <w:rPr>
          <w:rFonts w:ascii="CG Omega" w:hAnsi="CG Omega"/>
        </w:rPr>
      </w:pPr>
      <w:r w:rsidRPr="00AC6C3B">
        <w:rPr>
          <w:rFonts w:ascii="CG Omega" w:hAnsi="CG Omega"/>
          <w:b/>
          <w:bCs/>
          <w:smallCaps/>
        </w:rPr>
        <w:t>Homeless Overview</w:t>
      </w:r>
    </w:p>
    <w:p w:rsidR="00FC4673" w:rsidRPr="00AC6C3B" w:rsidRDefault="00FC4673" w:rsidP="00EE72EC">
      <w:pPr>
        <w:jc w:val="both"/>
        <w:rPr>
          <w:rFonts w:ascii="CG Omega" w:hAnsi="CG Omega"/>
          <w:highlight w:val="yellow"/>
        </w:rPr>
      </w:pPr>
    </w:p>
    <w:p w:rsidR="00FC4673" w:rsidRPr="00317C4B" w:rsidRDefault="00FC4673" w:rsidP="00EE72EC">
      <w:pPr>
        <w:jc w:val="both"/>
        <w:rPr>
          <w:rFonts w:ascii="CG Omega" w:hAnsi="CG Omega"/>
        </w:rPr>
      </w:pPr>
      <w:r w:rsidRPr="00317C4B">
        <w:rPr>
          <w:rFonts w:ascii="CG Omega" w:hAnsi="CG Omega"/>
        </w:rPr>
        <w:t xml:space="preserve">According to HUD, a national focus on homeless rights during the Reagan administration helped to form much of the way homeless needs are addressed today.  </w:t>
      </w:r>
      <w:r>
        <w:rPr>
          <w:rFonts w:ascii="CG Omega" w:hAnsi="CG Omega"/>
        </w:rPr>
        <w:t xml:space="preserve">During </w:t>
      </w:r>
      <w:r w:rsidRPr="00317C4B">
        <w:rPr>
          <w:rFonts w:ascii="CG Omega" w:hAnsi="CG Omega"/>
        </w:rPr>
        <w:t>the early 1980s</w:t>
      </w:r>
      <w:r>
        <w:rPr>
          <w:rFonts w:ascii="CG Omega" w:hAnsi="CG Omega"/>
        </w:rPr>
        <w:t>,</w:t>
      </w:r>
      <w:r w:rsidRPr="00317C4B">
        <w:rPr>
          <w:rFonts w:ascii="CG Omega" w:hAnsi="CG Omega"/>
        </w:rPr>
        <w:t xml:space="preserve"> the administration determined that the needs of the homeless were best handled on a state or local level rather than a national level.  In 1983, a federal task force was created to aid local and regional agencies in their attempts to resolve homeless needs, and in 1986, the Urgent Relief for the Homeless Act was introduced, which chiefly established basic emergency supplies for homeless persons such as food, healthcare and shelter.  The act was later renamed the McKinney-Vento Act, after the death of one of its chief legislative sponsors, and was signed into law in 1987.</w:t>
      </w:r>
    </w:p>
    <w:p w:rsidR="00FC4673" w:rsidRPr="00AC6C3B" w:rsidRDefault="00FC4673" w:rsidP="00EE72EC">
      <w:pPr>
        <w:jc w:val="both"/>
        <w:rPr>
          <w:rFonts w:ascii="CG Omega" w:hAnsi="CG Omega"/>
        </w:rPr>
      </w:pPr>
    </w:p>
    <w:p w:rsidR="00FC4673" w:rsidRPr="00AC6C3B" w:rsidRDefault="00FC4673" w:rsidP="00EE72EC">
      <w:pPr>
        <w:jc w:val="both"/>
        <w:rPr>
          <w:rFonts w:ascii="CG Omega" w:hAnsi="CG Omega"/>
        </w:rPr>
      </w:pPr>
      <w:r w:rsidRPr="00AC6C3B">
        <w:rPr>
          <w:rFonts w:ascii="CG Omega" w:hAnsi="CG Omega"/>
        </w:rPr>
        <w:t>HUD defines the term “homeless” according to the McKinney-Vento Act,</w:t>
      </w:r>
      <w:r w:rsidRPr="00AC6C3B">
        <w:rPr>
          <w:rStyle w:val="FootnoteReference"/>
          <w:rFonts w:ascii="CG Omega" w:hAnsi="CG Omega"/>
        </w:rPr>
        <w:t xml:space="preserve"> </w:t>
      </w:r>
      <w:r w:rsidRPr="00AC6C3B">
        <w:rPr>
          <w:rFonts w:ascii="CG Omega" w:hAnsi="CG Omega"/>
        </w:rPr>
        <w:t xml:space="preserve">which states that a person is considered homeless if he/she lacks a fixed, regular and adequate night-time residence.  A person is also considered homeless if he/she has a primary night time residence that is: </w:t>
      </w:r>
    </w:p>
    <w:p w:rsidR="00FC4673" w:rsidRPr="00AC6C3B" w:rsidRDefault="00FC4673" w:rsidP="00EE72EC">
      <w:pPr>
        <w:ind w:left="720" w:hanging="360"/>
        <w:jc w:val="both"/>
        <w:rPr>
          <w:rFonts w:ascii="CG Omega" w:hAnsi="CG Omega"/>
        </w:rPr>
      </w:pPr>
    </w:p>
    <w:p w:rsidR="00FC4673" w:rsidRPr="00317C4B" w:rsidRDefault="00FC4673" w:rsidP="0049477B">
      <w:pPr>
        <w:pStyle w:val="ListBullet"/>
        <w:numPr>
          <w:ilvl w:val="0"/>
          <w:numId w:val="9"/>
        </w:numPr>
        <w:tabs>
          <w:tab w:val="clear" w:pos="360"/>
          <w:tab w:val="num" w:pos="720"/>
        </w:tabs>
        <w:ind w:left="720"/>
      </w:pPr>
      <w:r w:rsidRPr="00317C4B">
        <w:t>A supervised publicly or privately operated shelter designed to provide temporary living accommodations.</w:t>
      </w:r>
    </w:p>
    <w:p w:rsidR="00FC4673" w:rsidRPr="00317C4B" w:rsidRDefault="00FC4673" w:rsidP="0049477B">
      <w:pPr>
        <w:pStyle w:val="ListBullet"/>
        <w:numPr>
          <w:ilvl w:val="0"/>
          <w:numId w:val="9"/>
        </w:numPr>
        <w:tabs>
          <w:tab w:val="clear" w:pos="360"/>
          <w:tab w:val="num" w:pos="720"/>
        </w:tabs>
        <w:ind w:left="720"/>
      </w:pPr>
      <w:r w:rsidRPr="00317C4B">
        <w:t>An institution that provides a temporary residence for individuals intended to be institutionalized.</w:t>
      </w:r>
    </w:p>
    <w:p w:rsidR="00FC4673" w:rsidRPr="00317C4B" w:rsidRDefault="00FC4673" w:rsidP="0049477B">
      <w:pPr>
        <w:pStyle w:val="ListBullet"/>
        <w:numPr>
          <w:ilvl w:val="0"/>
          <w:numId w:val="9"/>
        </w:numPr>
        <w:tabs>
          <w:tab w:val="clear" w:pos="360"/>
          <w:tab w:val="num" w:pos="720"/>
        </w:tabs>
        <w:ind w:left="720"/>
      </w:pPr>
      <w:r w:rsidRPr="00317C4B">
        <w:t>A public or private place not designed for, or ordinarily used as, a regular sleeping accommodation for human beings.</w:t>
      </w:r>
      <w:r w:rsidRPr="00317C4B">
        <w:rPr>
          <w:rStyle w:val="FootnoteReference"/>
          <w:sz w:val="20"/>
        </w:rPr>
        <w:footnoteReference w:id="38"/>
      </w:r>
    </w:p>
    <w:p w:rsidR="00AC6C3B" w:rsidRDefault="00AC6C3B" w:rsidP="00EE72EC">
      <w:pPr>
        <w:autoSpaceDE w:val="0"/>
        <w:autoSpaceDN w:val="0"/>
        <w:adjustRightInd w:val="0"/>
        <w:jc w:val="both"/>
        <w:rPr>
          <w:rFonts w:ascii="CG Omega" w:hAnsi="CG Omega"/>
        </w:rPr>
      </w:pPr>
    </w:p>
    <w:p w:rsidR="00FC4673" w:rsidRPr="00317C4B" w:rsidRDefault="00FC4673" w:rsidP="00EE72EC">
      <w:pPr>
        <w:autoSpaceDE w:val="0"/>
        <w:autoSpaceDN w:val="0"/>
        <w:adjustRightInd w:val="0"/>
        <w:jc w:val="both"/>
        <w:rPr>
          <w:rFonts w:ascii="CG Omega" w:hAnsi="CG Omega"/>
        </w:rPr>
      </w:pPr>
      <w:r w:rsidRPr="00317C4B">
        <w:rPr>
          <w:rFonts w:ascii="CG Omega" w:hAnsi="CG Omega"/>
        </w:rPr>
        <w:t>Therefore, homelessness can be defined as the absence of a safe, decent, stable place to live. A person who has no such place to live stays wher</w:t>
      </w:r>
      <w:r>
        <w:rPr>
          <w:rFonts w:ascii="CG Omega" w:hAnsi="CG Omega"/>
        </w:rPr>
        <w:t xml:space="preserve">ever he or she can find space, such as </w:t>
      </w:r>
      <w:r w:rsidRPr="00317C4B">
        <w:rPr>
          <w:rFonts w:ascii="CG Omega" w:hAnsi="CG Omega"/>
        </w:rPr>
        <w:t xml:space="preserve">an emergency shelter, an abandoned building, a car, an alley or any other such place not meant for human habitation. </w:t>
      </w:r>
    </w:p>
    <w:p w:rsidR="00FC4673" w:rsidRPr="00317C4B" w:rsidRDefault="00FC4673" w:rsidP="00EE72EC">
      <w:pPr>
        <w:autoSpaceDE w:val="0"/>
        <w:autoSpaceDN w:val="0"/>
        <w:adjustRightInd w:val="0"/>
        <w:jc w:val="both"/>
        <w:rPr>
          <w:rFonts w:ascii="CG Omega" w:hAnsi="CG Omega"/>
          <w:sz w:val="16"/>
          <w:szCs w:val="16"/>
        </w:rPr>
      </w:pPr>
    </w:p>
    <w:p w:rsidR="00FC4673" w:rsidRPr="00317C4B" w:rsidRDefault="00FC4673" w:rsidP="00EE72EC">
      <w:pPr>
        <w:jc w:val="both"/>
        <w:rPr>
          <w:rFonts w:ascii="CG Omega" w:hAnsi="CG Omega"/>
        </w:rPr>
      </w:pPr>
      <w:r w:rsidRPr="00317C4B">
        <w:rPr>
          <w:rFonts w:ascii="CG Omega" w:hAnsi="CG Omega"/>
          <w:snapToGrid w:val="0"/>
        </w:rPr>
        <w:t>H</w:t>
      </w:r>
      <w:r w:rsidRPr="00317C4B">
        <w:rPr>
          <w:rFonts w:ascii="CG Omega" w:hAnsi="CG Omega"/>
        </w:rPr>
        <w:t xml:space="preserve">omeless sub-populations tend to include those with substance abuse and dependency issues, those with serious mental illness, persons living with HIV/AIDS, women and other victims of domestic violence, emancipated youth, and veterans. </w:t>
      </w:r>
    </w:p>
    <w:p w:rsidR="00FC4673" w:rsidRPr="00317C4B" w:rsidRDefault="00FC4673" w:rsidP="00EE72EC">
      <w:pPr>
        <w:jc w:val="both"/>
        <w:rPr>
          <w:rFonts w:ascii="CG Omega" w:hAnsi="CG Omega"/>
          <w:sz w:val="16"/>
          <w:szCs w:val="16"/>
        </w:rPr>
      </w:pPr>
    </w:p>
    <w:p w:rsidR="00FC4673" w:rsidRPr="00317C4B" w:rsidRDefault="00FC4673" w:rsidP="00EE72EC">
      <w:pPr>
        <w:autoSpaceDE w:val="0"/>
        <w:autoSpaceDN w:val="0"/>
        <w:adjustRightInd w:val="0"/>
        <w:jc w:val="both"/>
        <w:rPr>
          <w:rFonts w:ascii="CG Omega" w:hAnsi="CG Omega" w:cs="Myriad-Roman"/>
        </w:rPr>
      </w:pPr>
      <w:r>
        <w:rPr>
          <w:rFonts w:ascii="CG Omega" w:hAnsi="CG Omega" w:cs="Myriad-Roman"/>
        </w:rPr>
        <w:t>The recent rise in homeless population finds cause in many areas.  These include</w:t>
      </w:r>
      <w:r w:rsidRPr="00317C4B">
        <w:rPr>
          <w:rFonts w:ascii="CG Omega" w:hAnsi="CG Omega" w:cs="Myriad-Roman"/>
        </w:rPr>
        <w:t xml:space="preserve"> declines in personal incomes, losing jobs, the lack of affordable housing for precariously-housed families and individuals who may be only a pay</w:t>
      </w:r>
      <w:r>
        <w:rPr>
          <w:rFonts w:ascii="CG Omega" w:hAnsi="CG Omega" w:cs="Myriad-Roman"/>
        </w:rPr>
        <w:t>check or two away from eviction.</w:t>
      </w:r>
      <w:r w:rsidRPr="00317C4B">
        <w:rPr>
          <w:rFonts w:ascii="CG Omega" w:hAnsi="CG Omega" w:cs="Myriad-Roman"/>
        </w:rPr>
        <w:t xml:space="preserve"> It takes only one additional personal setback to precipitate a crisis that would cause homelessness for those at risk of homelessness. </w:t>
      </w:r>
      <w:r>
        <w:rPr>
          <w:rFonts w:ascii="CG Omega" w:hAnsi="CG Omega" w:cs="Myriad-Roman"/>
        </w:rPr>
        <w:t>Furthermore, d</w:t>
      </w:r>
      <w:r w:rsidRPr="00317C4B">
        <w:rPr>
          <w:rFonts w:ascii="CG Omega" w:hAnsi="CG Omega" w:cs="Myriad-Roman"/>
        </w:rPr>
        <w:t xml:space="preserve">einstitutionalization of patients from psychiatric hospitals without adequate community clinic and affordable housing support </w:t>
      </w:r>
      <w:r>
        <w:rPr>
          <w:rFonts w:ascii="CG Omega" w:hAnsi="CG Omega" w:cs="Myriad-Roman"/>
        </w:rPr>
        <w:t>creates situations primed for homelessness.</w:t>
      </w:r>
      <w:r w:rsidRPr="00317C4B">
        <w:rPr>
          <w:rFonts w:ascii="CG Omega" w:hAnsi="CG Omega" w:cs="Myriad-Roman"/>
        </w:rPr>
        <w:t xml:space="preserve"> Personal vulnerabilities also have increased, with more people facing substance abuse problems, diminished job prospects</w:t>
      </w:r>
      <w:r>
        <w:rPr>
          <w:rFonts w:ascii="CG Omega" w:hAnsi="CG Omega" w:cs="Myriad-Roman"/>
        </w:rPr>
        <w:t xml:space="preserve">, </w:t>
      </w:r>
      <w:r w:rsidRPr="00317C4B">
        <w:rPr>
          <w:rFonts w:ascii="CG Omega" w:hAnsi="CG Omega" w:cs="Myriad-Roman"/>
        </w:rPr>
        <w:t xml:space="preserve">or health difficulties while lacking medical coverage.  </w:t>
      </w:r>
    </w:p>
    <w:p w:rsidR="00FC4673" w:rsidRPr="00955C8C" w:rsidRDefault="00FC4673" w:rsidP="00EE72EC">
      <w:pPr>
        <w:autoSpaceDE w:val="0"/>
        <w:autoSpaceDN w:val="0"/>
        <w:adjustRightInd w:val="0"/>
        <w:jc w:val="both"/>
        <w:rPr>
          <w:rFonts w:ascii="CG Omega" w:hAnsi="CG Omega" w:cs="Myriad-Roman"/>
          <w:sz w:val="16"/>
          <w:szCs w:val="16"/>
          <w:highlight w:val="yellow"/>
        </w:rPr>
      </w:pPr>
    </w:p>
    <w:p w:rsidR="00FC4673" w:rsidRPr="00317C4B" w:rsidRDefault="00FC4673" w:rsidP="00EE72EC">
      <w:pPr>
        <w:autoSpaceDE w:val="0"/>
        <w:autoSpaceDN w:val="0"/>
        <w:adjustRightInd w:val="0"/>
        <w:jc w:val="both"/>
        <w:rPr>
          <w:rFonts w:ascii="CG Omega" w:hAnsi="CG Omega" w:cs="Myriad-Roman"/>
        </w:rPr>
      </w:pPr>
      <w:r w:rsidRPr="00317C4B">
        <w:rPr>
          <w:rFonts w:ascii="CG Omega" w:hAnsi="CG Omega" w:cs="Myriad-Roman"/>
        </w:rPr>
        <w:t>Satisfying the needs of the homeless population therefore represents both a significant public policy challenge a</w:t>
      </w:r>
      <w:r>
        <w:rPr>
          <w:rFonts w:ascii="CG Omega" w:hAnsi="CG Omega" w:cs="Myriad-Roman"/>
        </w:rPr>
        <w:t>s well as</w:t>
      </w:r>
      <w:r w:rsidRPr="00317C4B">
        <w:rPr>
          <w:rFonts w:ascii="CG Omega" w:hAnsi="CG Omega" w:cs="Myriad-Roman"/>
        </w:rPr>
        <w:t xml:space="preserve"> a complex problem due to the range of physical, emotional and mental service </w:t>
      </w:r>
      <w:r>
        <w:rPr>
          <w:rFonts w:ascii="CG Omega" w:hAnsi="CG Omega" w:cs="Myriad-Roman"/>
        </w:rPr>
        <w:t xml:space="preserve">needs required.  </w:t>
      </w:r>
      <w:r w:rsidRPr="00317C4B">
        <w:rPr>
          <w:rFonts w:ascii="CG Omega" w:hAnsi="CG Omega" w:cs="Myriad-Roman"/>
        </w:rPr>
        <w:t>The following helps to characterize the nature and extent of homelessness in New Mexico.</w:t>
      </w:r>
    </w:p>
    <w:p w:rsidR="00FC4673" w:rsidRPr="00955C8C" w:rsidRDefault="00FC4673" w:rsidP="00EE72EC">
      <w:pPr>
        <w:autoSpaceDE w:val="0"/>
        <w:autoSpaceDN w:val="0"/>
        <w:adjustRightInd w:val="0"/>
        <w:jc w:val="both"/>
        <w:rPr>
          <w:rFonts w:ascii="CG Omega" w:hAnsi="CG Omega"/>
          <w:b/>
          <w:bCs/>
          <w:smallCaps/>
          <w:sz w:val="16"/>
          <w:szCs w:val="16"/>
          <w:highlight w:val="yellow"/>
        </w:rPr>
      </w:pPr>
    </w:p>
    <w:p w:rsidR="00FC4673" w:rsidRPr="00317C4B" w:rsidRDefault="00FC4673" w:rsidP="00EE72EC">
      <w:pPr>
        <w:jc w:val="both"/>
        <w:rPr>
          <w:rFonts w:ascii="CG Omega" w:hAnsi="CG Omega"/>
          <w:b/>
          <w:smallCaps/>
        </w:rPr>
      </w:pPr>
      <w:r w:rsidRPr="00317C4B">
        <w:rPr>
          <w:rFonts w:ascii="CG Omega" w:hAnsi="CG Omega"/>
          <w:b/>
          <w:smallCaps/>
        </w:rPr>
        <w:t xml:space="preserve">HEARTH Act </w:t>
      </w:r>
    </w:p>
    <w:p w:rsidR="00FC4673" w:rsidRPr="00317C4B" w:rsidRDefault="00FC4673" w:rsidP="00EE72EC">
      <w:pPr>
        <w:jc w:val="both"/>
        <w:rPr>
          <w:rFonts w:ascii="CG Omega" w:hAnsi="CG Omega"/>
          <w:sz w:val="16"/>
          <w:szCs w:val="16"/>
        </w:rPr>
      </w:pPr>
    </w:p>
    <w:p w:rsidR="00FC4673" w:rsidRPr="00317C4B" w:rsidRDefault="00FC4673" w:rsidP="00EE72EC">
      <w:pPr>
        <w:jc w:val="both"/>
        <w:rPr>
          <w:rFonts w:ascii="CG Omega" w:hAnsi="CG Omega"/>
        </w:rPr>
      </w:pPr>
      <w:r w:rsidRPr="00317C4B">
        <w:rPr>
          <w:rFonts w:ascii="CG Omega" w:hAnsi="CG Omega"/>
        </w:rPr>
        <w:t xml:space="preserve">On May 20, 2009, President Obama signed into law a bill to reauthorize HUD’s McKinney-Vento Homeless Assistance Programs. </w:t>
      </w:r>
      <w:r>
        <w:rPr>
          <w:rFonts w:ascii="CG Omega" w:hAnsi="CG Omega"/>
        </w:rPr>
        <w:t xml:space="preserve">The </w:t>
      </w:r>
      <w:r w:rsidR="00AC6C3B" w:rsidRPr="00AC6C3B">
        <w:rPr>
          <w:rFonts w:ascii="CG Omega" w:hAnsi="CG Omega"/>
        </w:rPr>
        <w:t>Homeless Emergency Assistance and Rapid Transition to Housing Act (HEARTH)</w:t>
      </w:r>
      <w:r w:rsidR="00AC6C3B">
        <w:rPr>
          <w:rFonts w:ascii="CG Omega" w:hAnsi="CG Omega"/>
        </w:rPr>
        <w:t xml:space="preserve"> </w:t>
      </w:r>
      <w:r w:rsidRPr="00317C4B">
        <w:rPr>
          <w:rFonts w:ascii="CG Omega" w:hAnsi="CG Omega"/>
        </w:rPr>
        <w:t>was included by amendment to the Helping Families Save Their Homes Act.</w:t>
      </w:r>
      <w:r>
        <w:rPr>
          <w:rFonts w:ascii="CG Omega" w:hAnsi="CG Omega"/>
        </w:rPr>
        <w:t xml:space="preserve"> </w:t>
      </w:r>
      <w:r w:rsidRPr="00317C4B">
        <w:rPr>
          <w:rFonts w:ascii="CG Omega" w:hAnsi="CG Omega"/>
        </w:rPr>
        <w:t xml:space="preserve">The McKinney-Vento reauthorization provisions are identical to the </w:t>
      </w:r>
      <w:r w:rsidR="00AC6C3B">
        <w:rPr>
          <w:rFonts w:ascii="CG Omega" w:hAnsi="CG Omega"/>
        </w:rPr>
        <w:t>HEARTH</w:t>
      </w:r>
      <w:r>
        <w:rPr>
          <w:rFonts w:ascii="CG Omega" w:hAnsi="CG Omega"/>
        </w:rPr>
        <w:t xml:space="preserve"> Act. </w:t>
      </w:r>
    </w:p>
    <w:p w:rsidR="00FC4673" w:rsidRPr="00317C4B" w:rsidRDefault="00FC4673" w:rsidP="00EE72EC">
      <w:pPr>
        <w:jc w:val="both"/>
        <w:rPr>
          <w:rFonts w:ascii="CG Omega" w:hAnsi="CG Omega"/>
          <w:sz w:val="16"/>
          <w:szCs w:val="16"/>
        </w:rPr>
      </w:pPr>
    </w:p>
    <w:p w:rsidR="00FC4673" w:rsidRPr="00317C4B" w:rsidRDefault="00FC4673" w:rsidP="00EE72EC">
      <w:pPr>
        <w:jc w:val="both"/>
        <w:rPr>
          <w:rFonts w:ascii="CG Omega" w:hAnsi="CG Omega"/>
        </w:rPr>
      </w:pPr>
      <w:r w:rsidRPr="00317C4B">
        <w:rPr>
          <w:rFonts w:ascii="CG Omega" w:hAnsi="CG Omega"/>
        </w:rPr>
        <w:t>Due to the HEARTH Act, HUD’s homeless assistance programs now place greater emphasis on homeless prevention and rapid re-housing, especially for homeless families and continued emphasis on creating permanent supporting housing for people experiencing chronic homelessness. Additionally, rural communities now have the option to apply for funding under different guideline</w:t>
      </w:r>
      <w:r>
        <w:rPr>
          <w:rFonts w:ascii="CG Omega" w:hAnsi="CG Omega"/>
        </w:rPr>
        <w:t>s, which offer more flexibility for the unique circumstances of rural homelessness.</w:t>
      </w:r>
      <w:r w:rsidRPr="00317C4B">
        <w:rPr>
          <w:rFonts w:ascii="CG Omega" w:hAnsi="CG Omega"/>
        </w:rPr>
        <w:t xml:space="preserve"> </w:t>
      </w:r>
    </w:p>
    <w:p w:rsidR="00FC4673" w:rsidRPr="00317C4B" w:rsidRDefault="00FC4673" w:rsidP="00EE72EC">
      <w:pPr>
        <w:jc w:val="both"/>
        <w:rPr>
          <w:rFonts w:ascii="CG Omega" w:hAnsi="CG Omega"/>
          <w:sz w:val="16"/>
          <w:szCs w:val="16"/>
        </w:rPr>
      </w:pPr>
    </w:p>
    <w:p w:rsidR="00AC6C3B" w:rsidRDefault="00FC4673" w:rsidP="00EE72EC">
      <w:pPr>
        <w:jc w:val="both"/>
        <w:rPr>
          <w:rFonts w:ascii="CG Omega" w:hAnsi="CG Omega"/>
        </w:rPr>
      </w:pPr>
      <w:r>
        <w:rPr>
          <w:rFonts w:ascii="CG Omega" w:hAnsi="CG Omega"/>
        </w:rPr>
        <w:t xml:space="preserve">Additionally, HUD’s definition of homelessness now includes those </w:t>
      </w:r>
      <w:r w:rsidRPr="00317C4B">
        <w:rPr>
          <w:rFonts w:ascii="CG Omega" w:hAnsi="CG Omega"/>
        </w:rPr>
        <w:t>a</w:t>
      </w:r>
      <w:r>
        <w:rPr>
          <w:rFonts w:ascii="CG Omega" w:hAnsi="CG Omega"/>
        </w:rPr>
        <w:t>t imminent risk of homelessness</w:t>
      </w:r>
      <w:r w:rsidRPr="00317C4B">
        <w:rPr>
          <w:rFonts w:ascii="CG Omega" w:hAnsi="CG Omega"/>
        </w:rPr>
        <w:t>. HUD pr</w:t>
      </w:r>
      <w:r>
        <w:rPr>
          <w:rFonts w:ascii="CG Omega" w:hAnsi="CG Omega"/>
        </w:rPr>
        <w:t>eviously defined homelessness more narrowly as persons in literal homeless situations</w:t>
      </w:r>
      <w:r w:rsidRPr="00317C4B">
        <w:rPr>
          <w:rFonts w:ascii="CG Omega" w:hAnsi="CG Omega"/>
        </w:rPr>
        <w:t>. Imm</w:t>
      </w:r>
      <w:r w:rsidR="00AC6C3B">
        <w:rPr>
          <w:rFonts w:ascii="CG Omega" w:hAnsi="CG Omega"/>
        </w:rPr>
        <w:t>i</w:t>
      </w:r>
      <w:r w:rsidRPr="00317C4B">
        <w:rPr>
          <w:rFonts w:ascii="CG Omega" w:hAnsi="CG Omega"/>
        </w:rPr>
        <w:t xml:space="preserve">nent risk of homelessness now includes situations where a person must leave his or her current housing within the next 14 days, with no other place to go and no resources or support networks to obtain housing. </w:t>
      </w:r>
      <w:r w:rsidR="00AC6C3B">
        <w:rPr>
          <w:rFonts w:ascii="CG Omega" w:hAnsi="CG Omega"/>
        </w:rPr>
        <w:t xml:space="preserve"> </w:t>
      </w:r>
      <w:r w:rsidRPr="00317C4B">
        <w:rPr>
          <w:rFonts w:ascii="CG Omega" w:hAnsi="CG Omega"/>
        </w:rPr>
        <w:t>Substantial changes to the ESG</w:t>
      </w:r>
      <w:r w:rsidR="00AC6C3B">
        <w:rPr>
          <w:rFonts w:ascii="CG Omega" w:hAnsi="CG Omega"/>
        </w:rPr>
        <w:t xml:space="preserve"> program</w:t>
      </w:r>
      <w:r w:rsidRPr="00317C4B">
        <w:rPr>
          <w:rFonts w:ascii="CG Omega" w:hAnsi="CG Omega"/>
        </w:rPr>
        <w:t xml:space="preserve"> regarding the amount of funding available and how the funding can be used is outlined in the HEARTH Act. </w:t>
      </w:r>
    </w:p>
    <w:p w:rsidR="00AC6C3B" w:rsidRDefault="00AC6C3B" w:rsidP="00EE72EC">
      <w:pPr>
        <w:jc w:val="both"/>
        <w:rPr>
          <w:rFonts w:ascii="CG Omega" w:hAnsi="CG Omega"/>
        </w:rPr>
      </w:pPr>
    </w:p>
    <w:p w:rsidR="00FC4673" w:rsidRDefault="00FC4673" w:rsidP="00EE72EC">
      <w:pPr>
        <w:jc w:val="both"/>
        <w:rPr>
          <w:rFonts w:ascii="CG Omega" w:hAnsi="CG Omega"/>
        </w:rPr>
      </w:pPr>
      <w:r w:rsidRPr="00317C4B">
        <w:rPr>
          <w:rFonts w:ascii="CG Omega" w:hAnsi="CG Omega"/>
        </w:rPr>
        <w:t xml:space="preserve">The Emergency Shelter Grant </w:t>
      </w:r>
      <w:r w:rsidR="00AC6C3B">
        <w:rPr>
          <w:rFonts w:ascii="CG Omega" w:hAnsi="CG Omega"/>
        </w:rPr>
        <w:t xml:space="preserve">Program </w:t>
      </w:r>
      <w:r w:rsidRPr="00317C4B">
        <w:rPr>
          <w:rFonts w:ascii="CG Omega" w:hAnsi="CG Omega"/>
        </w:rPr>
        <w:t>is now known as the Emergency Solutions Gr</w:t>
      </w:r>
      <w:r>
        <w:rPr>
          <w:rFonts w:ascii="CG Omega" w:hAnsi="CG Omega"/>
        </w:rPr>
        <w:t xml:space="preserve">ant </w:t>
      </w:r>
      <w:r w:rsidR="001A4E59">
        <w:rPr>
          <w:rFonts w:ascii="CG Omega" w:hAnsi="CG Omega"/>
        </w:rPr>
        <w:t>Program</w:t>
      </w:r>
      <w:r>
        <w:rPr>
          <w:rFonts w:ascii="CG Omega" w:hAnsi="CG Omega"/>
        </w:rPr>
        <w:t>, signifying the grant program’s</w:t>
      </w:r>
      <w:r w:rsidRPr="00317C4B">
        <w:rPr>
          <w:rFonts w:ascii="CG Omega" w:hAnsi="CG Omega"/>
        </w:rPr>
        <w:t xml:space="preserve"> ability to fund homeless prevention and re-housing programs, as well as traditional emergency shelters.  Programs such as short- or medium-term rental assistance, legal services, credit repair, final month’s rental assistance, moving or relocation activities, and stabilization services may now be funded using ESG funds. At least 40 percent of ESG funds now must be dedicated to prevention and re-housing activities, although grantees do not have to reduce financial support for traditional shelter and outreach services previously using ESG funds. </w:t>
      </w:r>
      <w:r w:rsidRPr="00317C4B">
        <w:rPr>
          <w:rStyle w:val="FootnoteReference"/>
          <w:rFonts w:ascii="CG Omega" w:hAnsi="CG Omega"/>
        </w:rPr>
        <w:footnoteReference w:id="39"/>
      </w:r>
    </w:p>
    <w:p w:rsidR="00FC4673" w:rsidRPr="000810B6" w:rsidRDefault="00FC4673" w:rsidP="00EE72EC">
      <w:pPr>
        <w:jc w:val="both"/>
        <w:rPr>
          <w:rFonts w:ascii="CG Omega" w:hAnsi="CG Omega"/>
          <w:sz w:val="16"/>
          <w:szCs w:val="16"/>
        </w:rPr>
      </w:pPr>
    </w:p>
    <w:p w:rsidR="00FC4673" w:rsidRPr="00317C4B" w:rsidRDefault="00FC4673" w:rsidP="00EE72EC">
      <w:pPr>
        <w:jc w:val="both"/>
        <w:rPr>
          <w:rFonts w:ascii="CG Omega" w:hAnsi="CG Omega"/>
        </w:rPr>
      </w:pPr>
      <w:r>
        <w:rPr>
          <w:rFonts w:ascii="CG Omega" w:hAnsi="CG Omega"/>
        </w:rPr>
        <w:t>In December, 2011, HUD continued its implementation of the HEARTH Act by proposing standards related to Homeless Management Information Systems (HMIS).  These proposed standards would provide for: uniform technical requirements of HMIS, consistent collection of data and maintenance of the database, and confidentiality of the information in the database.</w:t>
      </w:r>
      <w:r>
        <w:rPr>
          <w:rStyle w:val="FootnoteReference"/>
          <w:rFonts w:ascii="CG Omega" w:hAnsi="CG Omega"/>
        </w:rPr>
        <w:footnoteReference w:id="40"/>
      </w:r>
    </w:p>
    <w:p w:rsidR="00FC4673" w:rsidRPr="007F6B6C" w:rsidRDefault="00FC4673" w:rsidP="00EE72EC">
      <w:pPr>
        <w:autoSpaceDE w:val="0"/>
        <w:autoSpaceDN w:val="0"/>
        <w:adjustRightInd w:val="0"/>
        <w:jc w:val="both"/>
        <w:rPr>
          <w:rFonts w:ascii="CG Omega" w:hAnsi="CG Omega"/>
          <w:b/>
          <w:bCs/>
          <w:smallCaps/>
          <w:sz w:val="16"/>
          <w:szCs w:val="16"/>
          <w:highlight w:val="yellow"/>
        </w:rPr>
      </w:pPr>
    </w:p>
    <w:p w:rsidR="00FC4673" w:rsidRPr="0009679B" w:rsidRDefault="00FC4673" w:rsidP="00EE72EC">
      <w:pPr>
        <w:jc w:val="both"/>
        <w:rPr>
          <w:rFonts w:ascii="CG Omega" w:hAnsi="CG Omega"/>
          <w:b/>
        </w:rPr>
      </w:pPr>
      <w:r w:rsidRPr="0009679B">
        <w:rPr>
          <w:rFonts w:ascii="CG Omega" w:hAnsi="CG Omega"/>
          <w:b/>
        </w:rPr>
        <w:t>Homeless Prevention and Rapid Re-housing Program</w:t>
      </w:r>
    </w:p>
    <w:p w:rsidR="00FC4673" w:rsidRPr="0009679B" w:rsidRDefault="00FC4673" w:rsidP="00EE72EC">
      <w:pPr>
        <w:jc w:val="both"/>
        <w:rPr>
          <w:rFonts w:ascii="CG Omega" w:hAnsi="CG Omega"/>
          <w:b/>
          <w:sz w:val="16"/>
          <w:szCs w:val="16"/>
        </w:rPr>
      </w:pPr>
    </w:p>
    <w:p w:rsidR="00FC4673" w:rsidRPr="0009679B" w:rsidRDefault="00FC4673" w:rsidP="00EE72EC">
      <w:pPr>
        <w:jc w:val="both"/>
        <w:rPr>
          <w:rFonts w:ascii="CG Omega" w:hAnsi="CG Omega"/>
        </w:rPr>
      </w:pPr>
      <w:r w:rsidRPr="0009679B">
        <w:rPr>
          <w:rFonts w:ascii="CG Omega" w:hAnsi="CG Omega"/>
        </w:rPr>
        <w:t xml:space="preserve">The American Recovery and Reinvestment act of 2009 was signed into law by President Obama, on February 17, 2009. It included $1.5 billion for a Homeless Prevention Fund called the Homeless Prevention and Rapid Rehousing Program (HPRP). </w:t>
      </w:r>
      <w:r w:rsidR="00AC6C3B">
        <w:rPr>
          <w:rFonts w:ascii="CG Omega" w:hAnsi="CG Omega"/>
        </w:rPr>
        <w:t xml:space="preserve"> </w:t>
      </w:r>
      <w:r w:rsidRPr="0009679B">
        <w:rPr>
          <w:rFonts w:ascii="CG Omega" w:hAnsi="CG Omega"/>
        </w:rPr>
        <w:t xml:space="preserve">Allocation of HPRP funds are based on the same formula used to allocate the ESG program. </w:t>
      </w:r>
      <w:r w:rsidR="00AC6C3B">
        <w:rPr>
          <w:rFonts w:ascii="CG Omega" w:hAnsi="CG Omega"/>
        </w:rPr>
        <w:t xml:space="preserve"> </w:t>
      </w:r>
      <w:r w:rsidRPr="0009679B">
        <w:rPr>
          <w:rFonts w:ascii="CG Omega" w:hAnsi="CG Omega"/>
        </w:rPr>
        <w:t xml:space="preserve">HPRP </w:t>
      </w:r>
      <w:r>
        <w:rPr>
          <w:rFonts w:ascii="CG Omega" w:hAnsi="CG Omega"/>
        </w:rPr>
        <w:t>was</w:t>
      </w:r>
      <w:r w:rsidRPr="0009679B">
        <w:rPr>
          <w:rFonts w:ascii="CG Omega" w:hAnsi="CG Omega"/>
        </w:rPr>
        <w:t xml:space="preserve"> intended to provide financial assistance and services to either prevent individuals and families from becoming homeless or help those who are experiencing homelessness to be quickly re-hous</w:t>
      </w:r>
      <w:r w:rsidR="00A400B5">
        <w:rPr>
          <w:rFonts w:ascii="CG Omega" w:hAnsi="CG Omega"/>
        </w:rPr>
        <w:t>ed</w:t>
      </w:r>
      <w:r w:rsidRPr="0009679B">
        <w:rPr>
          <w:rFonts w:ascii="CG Omega" w:hAnsi="CG Omega"/>
        </w:rPr>
        <w:t xml:space="preserve"> and stabilized. </w:t>
      </w:r>
      <w:r>
        <w:rPr>
          <w:rFonts w:ascii="CG Omega" w:hAnsi="CG Omega"/>
        </w:rPr>
        <w:t>The program ended on September 30, 2012.  HPRP funds are no longer available.</w:t>
      </w:r>
      <w:r w:rsidRPr="0009679B">
        <w:rPr>
          <w:rFonts w:ascii="CG Omega" w:hAnsi="CG Omega"/>
        </w:rPr>
        <w:t xml:space="preserve"> </w:t>
      </w:r>
    </w:p>
    <w:p w:rsidR="00FC4673" w:rsidRPr="006D776B" w:rsidRDefault="00FC4673" w:rsidP="00EE72EC">
      <w:pPr>
        <w:jc w:val="both"/>
        <w:rPr>
          <w:rFonts w:ascii="CG Omega" w:hAnsi="CG Omega"/>
          <w:sz w:val="16"/>
          <w:szCs w:val="16"/>
          <w:highlight w:val="yellow"/>
        </w:rPr>
      </w:pPr>
    </w:p>
    <w:p w:rsidR="00126700" w:rsidRDefault="00126700" w:rsidP="00126700">
      <w:pPr>
        <w:jc w:val="both"/>
        <w:rPr>
          <w:rFonts w:ascii="CG Omega" w:hAnsi="CG Omega"/>
          <w:b/>
        </w:rPr>
      </w:pPr>
      <w:r w:rsidRPr="0009679B">
        <w:rPr>
          <w:rFonts w:ascii="CG Omega" w:hAnsi="CG Omega"/>
          <w:b/>
        </w:rPr>
        <w:t>Rapid Re-housing</w:t>
      </w:r>
      <w:r>
        <w:rPr>
          <w:rFonts w:ascii="CG Omega" w:hAnsi="CG Omega"/>
          <w:b/>
        </w:rPr>
        <w:t xml:space="preserve"> and Housing First</w:t>
      </w:r>
    </w:p>
    <w:p w:rsidR="00126700" w:rsidRPr="00531670" w:rsidRDefault="00126700" w:rsidP="00126700">
      <w:pPr>
        <w:jc w:val="both"/>
        <w:rPr>
          <w:rFonts w:ascii="CG Omega" w:hAnsi="CG Omega"/>
          <w:b/>
          <w:sz w:val="16"/>
          <w:szCs w:val="16"/>
        </w:rPr>
      </w:pPr>
    </w:p>
    <w:p w:rsidR="00126700" w:rsidRPr="00B9385E" w:rsidRDefault="00126700" w:rsidP="00126700">
      <w:pPr>
        <w:jc w:val="both"/>
        <w:rPr>
          <w:rFonts w:ascii="CG Omega" w:hAnsi="CG Omega"/>
        </w:rPr>
      </w:pPr>
      <w:r>
        <w:rPr>
          <w:rFonts w:ascii="CG Omega" w:hAnsi="CG Omega"/>
        </w:rPr>
        <w:t>Rapid Re-housing is a model of addressing homelessness that is aimed at moving a family or individual experiencing homelessness into permanent housing as quickly as possible.  Short to medium term rental assistance is offered to persons to combat short-term financial crises.</w:t>
      </w:r>
      <w:r>
        <w:rPr>
          <w:rStyle w:val="FootnoteReference"/>
          <w:rFonts w:ascii="CG Omega" w:hAnsi="CG Omega"/>
        </w:rPr>
        <w:footnoteReference w:id="41"/>
      </w:r>
      <w:r w:rsidR="00C60390">
        <w:rPr>
          <w:rFonts w:ascii="CG Omega" w:hAnsi="CG Omega"/>
        </w:rPr>
        <w:t xml:space="preserve"> </w:t>
      </w:r>
      <w:r>
        <w:rPr>
          <w:rFonts w:ascii="CG Omega" w:hAnsi="CG Omega"/>
        </w:rPr>
        <w:t xml:space="preserve">Funding for rapid re-housing is available through ESG and CoC Programs.  </w:t>
      </w:r>
    </w:p>
    <w:p w:rsidR="00FC4673" w:rsidRPr="006D776B" w:rsidRDefault="00FC4673" w:rsidP="00EE72EC">
      <w:pPr>
        <w:jc w:val="both"/>
        <w:rPr>
          <w:rFonts w:ascii="CG Omega" w:hAnsi="CG Omega"/>
          <w:sz w:val="16"/>
          <w:szCs w:val="16"/>
          <w:highlight w:val="yellow"/>
        </w:rPr>
      </w:pPr>
    </w:p>
    <w:p w:rsidR="00FC4673" w:rsidRPr="00287A15" w:rsidRDefault="00FC4673" w:rsidP="00EE72EC">
      <w:pPr>
        <w:jc w:val="both"/>
        <w:rPr>
          <w:rFonts w:ascii="CG Omega" w:hAnsi="CG Omega"/>
          <w:b/>
          <w:smallCaps/>
          <w:highlight w:val="yellow"/>
        </w:rPr>
      </w:pPr>
      <w:r>
        <w:rPr>
          <w:rFonts w:ascii="CG Omega" w:hAnsi="CG Omega" w:cs="CGOmega"/>
        </w:rPr>
        <w:t xml:space="preserve">There has been a recent trend in homeless prevention toward Housing First. This approach to homelessness provides permanent housing options as quickly as possible, before providing supportive services to retain the housing. The theory behind Housing First is that housing provides the foundation necessary for individual recovery and stability.  Housing is offered with minimum barriers, such as sobriety or income. This is a move away from the </w:t>
      </w:r>
      <w:r w:rsidR="00A400B5">
        <w:rPr>
          <w:rFonts w:ascii="CG Omega" w:hAnsi="CG Omega" w:cs="CGOmega"/>
        </w:rPr>
        <w:t>t</w:t>
      </w:r>
      <w:r>
        <w:rPr>
          <w:rFonts w:ascii="CG Omega" w:hAnsi="CG Omega" w:cs="CGOmega"/>
        </w:rPr>
        <w:t xml:space="preserve">ransitional </w:t>
      </w:r>
      <w:r w:rsidR="00A400B5">
        <w:rPr>
          <w:rFonts w:ascii="CG Omega" w:hAnsi="CG Omega" w:cs="CGOmega"/>
        </w:rPr>
        <w:t>h</w:t>
      </w:r>
      <w:r>
        <w:rPr>
          <w:rFonts w:ascii="CG Omega" w:hAnsi="CG Omega" w:cs="CGOmega"/>
        </w:rPr>
        <w:t>ousing approach that provides temporary housing accompanied with, and dependent upon consuming supportive services. Housing First utilizes a standard lease agreement without requiring participation in supportive services. This tactic may reduce costs by reducing the amount of assistance to individuals and families that require minimal support to regain self-sufficiency.</w:t>
      </w:r>
      <w:r>
        <w:rPr>
          <w:rStyle w:val="FootnoteReference"/>
          <w:rFonts w:ascii="CG Omega" w:hAnsi="CG Omega" w:cs="CGOmega"/>
        </w:rPr>
        <w:footnoteReference w:id="42"/>
      </w:r>
      <w:r>
        <w:rPr>
          <w:rFonts w:ascii="CG Omega" w:hAnsi="CG Omega" w:cs="CGOmega"/>
        </w:rPr>
        <w:t xml:space="preserve">  However, it has some complicating features that may make it difficult to house people or keep them housed.  Capacity to meet need is severely limited, much the same with other approaches, leaving much of the need unattended. In addition, communication and coordination among different service agencies remains crucial to serving those most in need.</w:t>
      </w:r>
    </w:p>
    <w:p w:rsidR="00FC4673" w:rsidRPr="007F6B6C" w:rsidRDefault="00FC4673" w:rsidP="00EE72EC">
      <w:pPr>
        <w:autoSpaceDE w:val="0"/>
        <w:autoSpaceDN w:val="0"/>
        <w:adjustRightInd w:val="0"/>
        <w:jc w:val="both"/>
        <w:rPr>
          <w:rFonts w:ascii="CG Omega" w:hAnsi="CG Omega"/>
          <w:b/>
          <w:bCs/>
          <w:smallCaps/>
          <w:sz w:val="16"/>
          <w:szCs w:val="16"/>
          <w:highlight w:val="yellow"/>
        </w:rPr>
      </w:pPr>
    </w:p>
    <w:p w:rsidR="00FC4673" w:rsidRPr="0041094E" w:rsidRDefault="00FC4673" w:rsidP="00EE72EC">
      <w:pPr>
        <w:pStyle w:val="BodyText"/>
        <w:tabs>
          <w:tab w:val="num" w:pos="360"/>
        </w:tabs>
        <w:rPr>
          <w:rFonts w:ascii="CG Omega" w:hAnsi="CG Omega"/>
          <w:b/>
          <w:bCs/>
          <w:smallCaps/>
        </w:rPr>
      </w:pPr>
      <w:r w:rsidRPr="0041094E">
        <w:rPr>
          <w:rFonts w:ascii="CG Omega" w:hAnsi="CG Omega"/>
          <w:b/>
          <w:bCs/>
          <w:smallCaps/>
        </w:rPr>
        <w:t>New Mexico Continuums of Care</w:t>
      </w:r>
    </w:p>
    <w:p w:rsidR="00FC4673" w:rsidRPr="0041094E" w:rsidRDefault="00FC4673" w:rsidP="00EE72EC">
      <w:pPr>
        <w:pStyle w:val="BodyText"/>
        <w:tabs>
          <w:tab w:val="num" w:pos="360"/>
        </w:tabs>
        <w:rPr>
          <w:rFonts w:ascii="CG Omega" w:hAnsi="CG Omega"/>
          <w:b/>
          <w:bCs/>
          <w:smallCaps/>
          <w:sz w:val="16"/>
          <w:szCs w:val="16"/>
        </w:rPr>
      </w:pPr>
    </w:p>
    <w:p w:rsidR="00FC4673" w:rsidRPr="0041094E" w:rsidRDefault="00FC4673" w:rsidP="00EE72EC">
      <w:pPr>
        <w:pStyle w:val="BodyTextIndent"/>
        <w:ind w:left="0"/>
        <w:rPr>
          <w:rFonts w:ascii="CG Omega" w:hAnsi="CG Omega"/>
          <w:bCs/>
        </w:rPr>
      </w:pPr>
      <w:r w:rsidRPr="0041094E">
        <w:rPr>
          <w:rFonts w:ascii="CG Omega" w:hAnsi="CG Omega"/>
          <w:bCs/>
        </w:rPr>
        <w:t>In 1994, HUD refocused national homeless efforts through advocation of Continuum of Care programs for homeless needs.  According to HUD, a CoC exists to serve the needs of homeless persons on city or county levels.  The main goals of CoCs are to offer housing assistance, support programs and shelter services to homeless persons and to ultimately b</w:t>
      </w:r>
      <w:r>
        <w:rPr>
          <w:rFonts w:ascii="CG Omega" w:hAnsi="CG Omega"/>
          <w:bCs/>
        </w:rPr>
        <w:t>reak the cycle of homelessness.</w:t>
      </w:r>
      <w:r w:rsidRPr="0041094E">
        <w:rPr>
          <w:rFonts w:ascii="CG Omega" w:hAnsi="CG Omega"/>
          <w:bCs/>
        </w:rPr>
        <w:t xml:space="preserve"> CoCs collaborate with different community organizations and local homeless advocate groups to identify homeless needs on a community level and in turn develop the best means of addressing these issues and optimize self-sufficiency.</w:t>
      </w:r>
      <w:r w:rsidRPr="0041094E">
        <w:rPr>
          <w:rStyle w:val="FootnoteReference"/>
          <w:rFonts w:ascii="CG Omega" w:hAnsi="CG Omega"/>
          <w:bCs/>
        </w:rPr>
        <w:footnoteReference w:id="43"/>
      </w:r>
      <w:r w:rsidRPr="0041094E">
        <w:rPr>
          <w:rFonts w:ascii="CG Omega" w:hAnsi="CG Omega"/>
          <w:bCs/>
        </w:rPr>
        <w:t xml:space="preserve"> For example, a CoC in one area may identify a high number of homeless persons with HIV/AIDS who have</w:t>
      </w:r>
      <w:r>
        <w:rPr>
          <w:rFonts w:ascii="CG Omega" w:hAnsi="CG Omega"/>
          <w:bCs/>
        </w:rPr>
        <w:t xml:space="preserve"> no access to support programs.</w:t>
      </w:r>
      <w:r w:rsidRPr="0041094E">
        <w:rPr>
          <w:rFonts w:ascii="CG Omega" w:hAnsi="CG Omega"/>
          <w:bCs/>
        </w:rPr>
        <w:t xml:space="preserve"> The CoC could then tailor their efforts to offer programs that would benefit this group.  </w:t>
      </w:r>
    </w:p>
    <w:p w:rsidR="00FC4673" w:rsidRPr="00955C8C" w:rsidRDefault="00FC4673" w:rsidP="00EE72EC">
      <w:pPr>
        <w:pStyle w:val="BodyTextIndent"/>
        <w:ind w:left="0"/>
        <w:rPr>
          <w:rFonts w:ascii="CG Omega" w:hAnsi="CG Omega"/>
          <w:bCs/>
          <w:sz w:val="16"/>
          <w:szCs w:val="16"/>
          <w:highlight w:val="yellow"/>
        </w:rPr>
      </w:pPr>
    </w:p>
    <w:p w:rsidR="00FC4673" w:rsidRDefault="00FC4673" w:rsidP="00EE72EC">
      <w:pPr>
        <w:pStyle w:val="BodyTextIndent"/>
        <w:ind w:left="0"/>
        <w:rPr>
          <w:rFonts w:ascii="CG Omega" w:hAnsi="CG Omega"/>
          <w:bCs/>
        </w:rPr>
      </w:pPr>
      <w:r w:rsidRPr="0041094E">
        <w:rPr>
          <w:rFonts w:ascii="CG Omega" w:hAnsi="CG Omega"/>
          <w:bCs/>
        </w:rPr>
        <w:t xml:space="preserve">In New Mexico, two CoCs address homeless needs in different regions of the state. These regions are depicted geographically in </w:t>
      </w:r>
      <w:r w:rsidR="00832AB3" w:rsidRPr="00974E80">
        <w:rPr>
          <w:rFonts w:ascii="CG Omega" w:hAnsi="CG Omega"/>
          <w:b/>
          <w:bCs/>
        </w:rPr>
        <w:t>Map V.4</w:t>
      </w:r>
      <w:r w:rsidR="00EA4494">
        <w:rPr>
          <w:rFonts w:ascii="CG Omega" w:hAnsi="CG Omega"/>
          <w:bCs/>
        </w:rPr>
        <w:t xml:space="preserve"> below</w:t>
      </w:r>
      <w:r w:rsidRPr="0041094E">
        <w:rPr>
          <w:rFonts w:ascii="CG Omega" w:hAnsi="CG Omega"/>
          <w:bCs/>
        </w:rPr>
        <w:t xml:space="preserve">. </w:t>
      </w:r>
      <w:r w:rsidR="00BC620C">
        <w:rPr>
          <w:rFonts w:ascii="CG Omega" w:hAnsi="CG Omega"/>
          <w:bCs/>
        </w:rPr>
        <w:t>NMCEH</w:t>
      </w:r>
      <w:r>
        <w:rPr>
          <w:rFonts w:ascii="CG Omega" w:hAnsi="CG Omega"/>
          <w:bCs/>
        </w:rPr>
        <w:t xml:space="preserve">, founded in 2000 as a statewide partnership between a group of nonprofit agencies and </w:t>
      </w:r>
      <w:r w:rsidR="00A400B5">
        <w:rPr>
          <w:rFonts w:ascii="CG Omega" w:hAnsi="CG Omega"/>
          <w:bCs/>
        </w:rPr>
        <w:t>MFA</w:t>
      </w:r>
      <w:r w:rsidRPr="00BC620C">
        <w:rPr>
          <w:rFonts w:ascii="CG Omega" w:hAnsi="CG Omega"/>
          <w:bCs/>
        </w:rPr>
        <w:t>,</w:t>
      </w:r>
      <w:r>
        <w:rPr>
          <w:rFonts w:ascii="CG Omega" w:hAnsi="CG Omega"/>
          <w:bCs/>
        </w:rPr>
        <w:t xml:space="preserve"> coordinates both CoCs. S</w:t>
      </w:r>
      <w:r w:rsidRPr="0041094E">
        <w:rPr>
          <w:rFonts w:ascii="CG Omega" w:hAnsi="CG Omega"/>
          <w:bCs/>
        </w:rPr>
        <w:t xml:space="preserve">eparate staff and offices are responsible for the Albuquerque and Balance of State CoCs. The Albuquerque CoC is coordinated by staff in Albuquerque, and a separate office located in Santa Fe coordinates the Balance of State CoC. </w:t>
      </w:r>
    </w:p>
    <w:p w:rsidR="00FC4673" w:rsidRPr="007F6B6C" w:rsidRDefault="00FC4673" w:rsidP="00EE72EC">
      <w:pPr>
        <w:pStyle w:val="BodyTextIndent"/>
        <w:ind w:left="0"/>
        <w:rPr>
          <w:rFonts w:ascii="CG Omega" w:hAnsi="CG Omega"/>
          <w:bCs/>
          <w:sz w:val="16"/>
          <w:szCs w:val="16"/>
        </w:rPr>
      </w:pPr>
    </w:p>
    <w:p w:rsidR="00FC4673" w:rsidRPr="00832AB3" w:rsidRDefault="00832AB3" w:rsidP="00EE72EC">
      <w:pPr>
        <w:pStyle w:val="BodyTextIndent"/>
        <w:ind w:left="0"/>
        <w:jc w:val="center"/>
        <w:rPr>
          <w:rFonts w:ascii="Arial" w:hAnsi="Arial" w:cs="Arial"/>
          <w:b/>
          <w:bCs/>
          <w:sz w:val="23"/>
          <w:szCs w:val="23"/>
        </w:rPr>
      </w:pPr>
      <w:r>
        <w:rPr>
          <w:rFonts w:ascii="Arial" w:hAnsi="Arial" w:cs="Arial"/>
          <w:b/>
          <w:bCs/>
          <w:sz w:val="23"/>
          <w:szCs w:val="23"/>
        </w:rPr>
        <w:t>Map V.4</w:t>
      </w:r>
    </w:p>
    <w:p w:rsidR="00FC4673" w:rsidRPr="00832AB3" w:rsidRDefault="00FC4673" w:rsidP="00EE72EC">
      <w:pPr>
        <w:pStyle w:val="BodyTextIndent"/>
        <w:ind w:left="0"/>
        <w:jc w:val="center"/>
        <w:rPr>
          <w:rFonts w:ascii="Arial" w:hAnsi="Arial" w:cs="Arial"/>
          <w:b/>
          <w:bCs/>
          <w:sz w:val="20"/>
          <w:szCs w:val="20"/>
        </w:rPr>
      </w:pPr>
      <w:r w:rsidRPr="00832AB3">
        <w:rPr>
          <w:rFonts w:ascii="Arial" w:hAnsi="Arial" w:cs="Arial"/>
          <w:b/>
          <w:bCs/>
          <w:sz w:val="20"/>
          <w:szCs w:val="20"/>
        </w:rPr>
        <w:t>Regions Served by Continuums of Care</w:t>
      </w:r>
    </w:p>
    <w:p w:rsidR="00FC4673" w:rsidRPr="00832AB3" w:rsidRDefault="00FC4673" w:rsidP="00EE72EC">
      <w:pPr>
        <w:pStyle w:val="BodyTextIndent"/>
        <w:ind w:left="0"/>
        <w:jc w:val="center"/>
        <w:rPr>
          <w:rFonts w:ascii="Arial" w:hAnsi="Arial" w:cs="Arial"/>
          <w:bCs/>
          <w:sz w:val="16"/>
          <w:szCs w:val="16"/>
        </w:rPr>
      </w:pPr>
      <w:r w:rsidRPr="00832AB3">
        <w:rPr>
          <w:rFonts w:ascii="Arial" w:hAnsi="Arial" w:cs="Arial"/>
          <w:bCs/>
          <w:sz w:val="16"/>
          <w:szCs w:val="16"/>
        </w:rPr>
        <w:t>State of New Mexico</w:t>
      </w:r>
    </w:p>
    <w:p w:rsidR="00FC4673" w:rsidRPr="00832AB3" w:rsidRDefault="00FC4673" w:rsidP="00EE72EC">
      <w:pPr>
        <w:pStyle w:val="BodyTextIndent"/>
        <w:ind w:left="0"/>
        <w:jc w:val="center"/>
        <w:rPr>
          <w:rFonts w:ascii="Arial" w:hAnsi="Arial" w:cs="Arial"/>
          <w:bCs/>
          <w:sz w:val="16"/>
          <w:szCs w:val="16"/>
        </w:rPr>
      </w:pPr>
      <w:r w:rsidRPr="00832AB3">
        <w:rPr>
          <w:rFonts w:ascii="Arial" w:hAnsi="Arial" w:cs="Arial"/>
          <w:bCs/>
          <w:sz w:val="16"/>
          <w:szCs w:val="16"/>
        </w:rPr>
        <w:t>HUD Homeless Resource Exchange</w:t>
      </w:r>
      <w:r w:rsidRPr="00832AB3">
        <w:rPr>
          <w:rStyle w:val="FootnoteReference"/>
          <w:rFonts w:ascii="Arial" w:hAnsi="Arial" w:cs="Arial"/>
          <w:bCs/>
          <w:sz w:val="16"/>
          <w:szCs w:val="16"/>
        </w:rPr>
        <w:footnoteReference w:id="44"/>
      </w:r>
    </w:p>
    <w:p w:rsidR="00FC4673" w:rsidRDefault="00FC4673" w:rsidP="00EE72EC">
      <w:pPr>
        <w:pStyle w:val="BodyTextIndent"/>
        <w:ind w:left="0"/>
        <w:rPr>
          <w:rFonts w:ascii="CG Omega" w:hAnsi="CG Omega"/>
          <w:bCs/>
        </w:rPr>
      </w:pPr>
    </w:p>
    <w:p w:rsidR="00FC4673" w:rsidRPr="0041094E" w:rsidRDefault="00FC4673" w:rsidP="00EE72EC">
      <w:pPr>
        <w:pStyle w:val="BodyTextIndent"/>
        <w:ind w:left="0"/>
        <w:jc w:val="center"/>
        <w:rPr>
          <w:rFonts w:ascii="CG Omega" w:hAnsi="CG Omega"/>
          <w:bCs/>
        </w:rPr>
      </w:pPr>
      <w:r>
        <w:rPr>
          <w:noProof/>
        </w:rPr>
        <w:drawing>
          <wp:inline distT="0" distB="0" distL="0" distR="0" wp14:anchorId="6201E8CC" wp14:editId="7E4CBBE3">
            <wp:extent cx="3156427" cy="2627557"/>
            <wp:effectExtent l="0" t="0" r="6350"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2">
                      <a:extLst>
                        <a:ext uri="{28A0092B-C50C-407E-A947-70E740481C1C}">
                          <a14:useLocalDpi xmlns:a14="http://schemas.microsoft.com/office/drawing/2010/main" val="0"/>
                        </a:ext>
                      </a:extLst>
                    </a:blip>
                    <a:srcRect l="7143" t="2571" r="4762" b="2313"/>
                    <a:stretch>
                      <a:fillRect/>
                    </a:stretch>
                  </pic:blipFill>
                  <pic:spPr bwMode="auto">
                    <a:xfrm>
                      <a:off x="0" y="0"/>
                      <a:ext cx="3161477" cy="2631761"/>
                    </a:xfrm>
                    <a:prstGeom prst="rect">
                      <a:avLst/>
                    </a:prstGeom>
                    <a:noFill/>
                    <a:ln>
                      <a:noFill/>
                    </a:ln>
                  </pic:spPr>
                </pic:pic>
              </a:graphicData>
            </a:graphic>
          </wp:inline>
        </w:drawing>
      </w:r>
    </w:p>
    <w:p w:rsidR="00FC4673" w:rsidRPr="00A400B5" w:rsidRDefault="00FC4673" w:rsidP="00EE72EC">
      <w:pPr>
        <w:pStyle w:val="BodyTextIndent"/>
        <w:ind w:left="0"/>
        <w:rPr>
          <w:rFonts w:ascii="CG Omega" w:hAnsi="CG Omega"/>
          <w:bCs/>
          <w:szCs w:val="24"/>
          <w:highlight w:val="yellow"/>
        </w:rPr>
      </w:pPr>
    </w:p>
    <w:p w:rsidR="00A400B5" w:rsidRDefault="00FC4673" w:rsidP="003C459D">
      <w:pPr>
        <w:pStyle w:val="BodyTextIndent"/>
        <w:ind w:left="0"/>
        <w:rPr>
          <w:rFonts w:ascii="CG Omega" w:hAnsi="CG Omega"/>
          <w:bCs/>
        </w:rPr>
      </w:pPr>
      <w:r w:rsidRPr="0041094E">
        <w:rPr>
          <w:rFonts w:ascii="CG Omega" w:hAnsi="CG Omega"/>
          <w:bCs/>
        </w:rPr>
        <w:t xml:space="preserve">The </w:t>
      </w:r>
      <w:r w:rsidR="00BC620C">
        <w:rPr>
          <w:rFonts w:ascii="CG Omega" w:hAnsi="CG Omega"/>
          <w:bCs/>
        </w:rPr>
        <w:t>NMCEH</w:t>
      </w:r>
      <w:r w:rsidRPr="0041094E">
        <w:rPr>
          <w:rFonts w:ascii="CG Omega" w:hAnsi="CG Omega"/>
          <w:bCs/>
        </w:rPr>
        <w:t xml:space="preserve"> has five major areas of operation: to develop more housing for</w:t>
      </w:r>
      <w:r w:rsidR="00A400B5">
        <w:rPr>
          <w:rFonts w:ascii="CG Omega" w:hAnsi="CG Omega"/>
          <w:bCs/>
        </w:rPr>
        <w:t xml:space="preserve"> homeless people, to manage </w:t>
      </w:r>
      <w:r w:rsidRPr="0041094E">
        <w:rPr>
          <w:rFonts w:ascii="CG Omega" w:hAnsi="CG Omega"/>
          <w:bCs/>
        </w:rPr>
        <w:t>HMIS for New Mexico, to support homeless service agencies in New Mexico, to educate people in New Mexico about homelessness, and to advocate for solutions to homelessness at the State Legislature and other government bodies.</w:t>
      </w:r>
      <w:r w:rsidRPr="0041094E">
        <w:rPr>
          <w:rStyle w:val="FootnoteReference"/>
          <w:rFonts w:ascii="CG Omega" w:hAnsi="CG Omega"/>
          <w:bCs/>
        </w:rPr>
        <w:footnoteReference w:id="45"/>
      </w:r>
      <w:r w:rsidRPr="0041094E">
        <w:rPr>
          <w:rFonts w:ascii="CG Omega" w:hAnsi="CG Omega"/>
          <w:bCs/>
        </w:rPr>
        <w:t xml:space="preserve"> According to </w:t>
      </w:r>
      <w:r w:rsidR="001A51A3">
        <w:rPr>
          <w:rFonts w:ascii="CG Omega" w:hAnsi="CG Omega"/>
          <w:bCs/>
        </w:rPr>
        <w:t>its</w:t>
      </w:r>
      <w:r w:rsidRPr="0041094E">
        <w:rPr>
          <w:rFonts w:ascii="CG Omega" w:hAnsi="CG Omega"/>
          <w:bCs/>
        </w:rPr>
        <w:t xml:space="preserve"> website, the mission of the </w:t>
      </w:r>
      <w:r w:rsidR="00BC620C">
        <w:rPr>
          <w:rFonts w:ascii="CG Omega" w:hAnsi="CG Omega"/>
          <w:bCs/>
        </w:rPr>
        <w:t xml:space="preserve">NMCEH </w:t>
      </w:r>
      <w:r w:rsidRPr="0041094E">
        <w:rPr>
          <w:rFonts w:ascii="CG Omega" w:hAnsi="CG Omega"/>
          <w:bCs/>
        </w:rPr>
        <w:t xml:space="preserve">is “to assist communities to create solutions to homelessness from prevention through permanent housing by using action, advocacy, and awareness.” </w:t>
      </w:r>
    </w:p>
    <w:tbl>
      <w:tblPr>
        <w:tblpPr w:leftFromText="180" w:rightFromText="180" w:vertAnchor="text" w:horzAnchor="margin" w:tblpXSpec="right" w:tblpY="98"/>
        <w:tblW w:w="2890" w:type="dxa"/>
        <w:tblBorders>
          <w:top w:val="single" w:sz="4" w:space="0" w:color="009900"/>
          <w:left w:val="single" w:sz="4" w:space="0" w:color="009900"/>
          <w:bottom w:val="single" w:sz="4" w:space="0" w:color="009900"/>
          <w:right w:val="single" w:sz="4" w:space="0" w:color="009900"/>
        </w:tblBorders>
        <w:shd w:val="clear" w:color="auto" w:fill="FFFFE1"/>
        <w:tblLayout w:type="fixed"/>
        <w:tblCellMar>
          <w:left w:w="0" w:type="dxa"/>
          <w:right w:w="0" w:type="dxa"/>
        </w:tblCellMar>
        <w:tblLook w:val="0000" w:firstRow="0" w:lastRow="0" w:firstColumn="0" w:lastColumn="0" w:noHBand="0" w:noVBand="0"/>
      </w:tblPr>
      <w:tblGrid>
        <w:gridCol w:w="1529"/>
        <w:gridCol w:w="1361"/>
      </w:tblGrid>
      <w:tr w:rsidR="00A400B5" w:rsidRPr="00955C8C" w:rsidTr="00A400B5">
        <w:trPr>
          <w:trHeight w:val="259"/>
        </w:trPr>
        <w:tc>
          <w:tcPr>
            <w:tcW w:w="2890" w:type="dxa"/>
            <w:gridSpan w:val="2"/>
            <w:tcBorders>
              <w:top w:val="single" w:sz="4" w:space="0" w:color="009900"/>
              <w:bottom w:val="single" w:sz="4" w:space="0" w:color="009900"/>
            </w:tcBorders>
            <w:shd w:val="clear" w:color="auto" w:fill="FFFFE1"/>
            <w:noWrap/>
            <w:tcMar>
              <w:top w:w="15" w:type="dxa"/>
              <w:left w:w="15" w:type="dxa"/>
              <w:bottom w:w="0" w:type="dxa"/>
              <w:right w:w="15" w:type="dxa"/>
            </w:tcMar>
            <w:vAlign w:val="bottom"/>
          </w:tcPr>
          <w:p w:rsidR="00A400B5" w:rsidRPr="00955C8C" w:rsidRDefault="00A400B5" w:rsidP="00A400B5">
            <w:pPr>
              <w:jc w:val="center"/>
              <w:rPr>
                <w:rFonts w:ascii="Arial" w:hAnsi="Arial" w:cs="Arial"/>
                <w:b/>
                <w:bCs/>
                <w:color w:val="000000"/>
                <w:spacing w:val="-4"/>
                <w:sz w:val="23"/>
                <w:szCs w:val="23"/>
                <w:highlight w:val="yellow"/>
              </w:rPr>
            </w:pPr>
            <w:r w:rsidRPr="00832AB3">
              <w:rPr>
                <w:rFonts w:ascii="Arial" w:hAnsi="Arial" w:cs="Arial"/>
                <w:b/>
                <w:bCs/>
                <w:color w:val="000000"/>
                <w:spacing w:val="-4"/>
                <w:sz w:val="23"/>
                <w:szCs w:val="23"/>
              </w:rPr>
              <w:t>Table V.</w:t>
            </w:r>
            <w:r>
              <w:rPr>
                <w:rFonts w:ascii="Arial" w:hAnsi="Arial" w:cs="Arial"/>
                <w:b/>
                <w:bCs/>
                <w:color w:val="000000"/>
                <w:spacing w:val="-4"/>
                <w:sz w:val="23"/>
                <w:szCs w:val="23"/>
              </w:rPr>
              <w:t>4</w:t>
            </w:r>
          </w:p>
          <w:p w:rsidR="00A400B5" w:rsidRPr="00D87E90" w:rsidRDefault="00A400B5" w:rsidP="00A400B5">
            <w:pPr>
              <w:jc w:val="center"/>
              <w:rPr>
                <w:rFonts w:ascii="Arial" w:hAnsi="Arial" w:cs="Arial"/>
                <w:b/>
                <w:bCs/>
                <w:color w:val="000000"/>
                <w:spacing w:val="-4"/>
                <w:sz w:val="20"/>
                <w:szCs w:val="20"/>
              </w:rPr>
            </w:pPr>
            <w:r w:rsidRPr="00D87E90">
              <w:rPr>
                <w:rFonts w:ascii="Arial" w:hAnsi="Arial" w:cs="Arial"/>
                <w:b/>
                <w:bCs/>
                <w:color w:val="000000"/>
                <w:spacing w:val="-4"/>
                <w:sz w:val="20"/>
                <w:szCs w:val="20"/>
              </w:rPr>
              <w:t>Population Served in Continuum of Care Regions</w:t>
            </w:r>
          </w:p>
          <w:p w:rsidR="00A400B5" w:rsidRPr="00D87E90" w:rsidRDefault="00A400B5" w:rsidP="00A400B5">
            <w:pPr>
              <w:jc w:val="center"/>
              <w:rPr>
                <w:rFonts w:ascii="Arial" w:hAnsi="Arial" w:cs="Arial"/>
                <w:bCs/>
                <w:color w:val="000000"/>
                <w:spacing w:val="-4"/>
                <w:sz w:val="16"/>
                <w:szCs w:val="16"/>
              </w:rPr>
            </w:pPr>
            <w:r w:rsidRPr="00D87E90">
              <w:rPr>
                <w:rFonts w:ascii="Arial" w:hAnsi="Arial" w:cs="Arial"/>
                <w:bCs/>
                <w:color w:val="000000"/>
                <w:spacing w:val="-4"/>
                <w:sz w:val="16"/>
                <w:szCs w:val="16"/>
              </w:rPr>
              <w:t>State of New Mexico</w:t>
            </w:r>
          </w:p>
          <w:p w:rsidR="00A400B5" w:rsidRPr="00955C8C" w:rsidRDefault="00A400B5" w:rsidP="00A400B5">
            <w:pPr>
              <w:jc w:val="center"/>
              <w:rPr>
                <w:rFonts w:ascii="Arial" w:hAnsi="Arial" w:cs="Arial"/>
                <w:b/>
                <w:bCs/>
                <w:color w:val="000000"/>
                <w:spacing w:val="-4"/>
                <w:sz w:val="16"/>
                <w:szCs w:val="16"/>
                <w:highlight w:val="yellow"/>
              </w:rPr>
            </w:pPr>
            <w:r w:rsidRPr="00D87E90">
              <w:rPr>
                <w:rFonts w:ascii="Arial" w:hAnsi="Arial" w:cs="Arial"/>
                <w:bCs/>
                <w:color w:val="000000"/>
                <w:spacing w:val="-4"/>
                <w:sz w:val="16"/>
                <w:szCs w:val="16"/>
              </w:rPr>
              <w:t>2010 Census</w:t>
            </w:r>
          </w:p>
        </w:tc>
      </w:tr>
      <w:tr w:rsidR="00A400B5" w:rsidRPr="00955C8C" w:rsidTr="00A400B5">
        <w:trPr>
          <w:trHeight w:val="259"/>
        </w:trPr>
        <w:tc>
          <w:tcPr>
            <w:tcW w:w="1529" w:type="dxa"/>
            <w:tcBorders>
              <w:top w:val="single" w:sz="4" w:space="0" w:color="009900"/>
              <w:bottom w:val="single" w:sz="4" w:space="0" w:color="009900"/>
            </w:tcBorders>
            <w:shd w:val="clear" w:color="auto" w:fill="FFFFE1"/>
            <w:noWrap/>
            <w:tcMar>
              <w:top w:w="15" w:type="dxa"/>
              <w:left w:w="15" w:type="dxa"/>
              <w:bottom w:w="0" w:type="dxa"/>
              <w:right w:w="15" w:type="dxa"/>
            </w:tcMar>
            <w:vAlign w:val="center"/>
          </w:tcPr>
          <w:p w:rsidR="00A400B5" w:rsidRPr="00D87E90" w:rsidRDefault="00A400B5" w:rsidP="00A400B5">
            <w:pPr>
              <w:rPr>
                <w:rFonts w:ascii="Arial" w:eastAsia="Arial Unicode MS" w:hAnsi="Arial" w:cs="Arial"/>
                <w:b/>
                <w:bCs/>
                <w:color w:val="000000"/>
                <w:sz w:val="16"/>
                <w:szCs w:val="16"/>
              </w:rPr>
            </w:pPr>
            <w:r w:rsidRPr="00D87E90">
              <w:rPr>
                <w:rFonts w:ascii="Arial" w:hAnsi="Arial" w:cs="Arial"/>
                <w:b/>
                <w:bCs/>
                <w:color w:val="000000"/>
                <w:sz w:val="16"/>
                <w:szCs w:val="16"/>
              </w:rPr>
              <w:t>Continuum of Care</w:t>
            </w:r>
          </w:p>
        </w:tc>
        <w:tc>
          <w:tcPr>
            <w:tcW w:w="1361" w:type="dxa"/>
            <w:tcBorders>
              <w:top w:val="single" w:sz="4" w:space="0" w:color="009900"/>
              <w:bottom w:val="single" w:sz="4" w:space="0" w:color="009900"/>
            </w:tcBorders>
            <w:shd w:val="clear" w:color="auto" w:fill="FFFFE1"/>
            <w:vAlign w:val="center"/>
          </w:tcPr>
          <w:p w:rsidR="00A400B5" w:rsidRPr="00D87E90" w:rsidRDefault="00A400B5" w:rsidP="00A400B5">
            <w:pPr>
              <w:jc w:val="center"/>
              <w:rPr>
                <w:rFonts w:ascii="Arial" w:hAnsi="Arial" w:cs="Arial"/>
                <w:b/>
                <w:bCs/>
                <w:color w:val="000000"/>
                <w:spacing w:val="-4"/>
                <w:sz w:val="16"/>
                <w:szCs w:val="16"/>
              </w:rPr>
            </w:pPr>
            <w:r w:rsidRPr="00D87E90">
              <w:rPr>
                <w:rFonts w:ascii="Arial" w:hAnsi="Arial" w:cs="Arial"/>
                <w:b/>
                <w:bCs/>
                <w:color w:val="000000"/>
                <w:spacing w:val="-4"/>
                <w:sz w:val="16"/>
                <w:szCs w:val="16"/>
              </w:rPr>
              <w:t>Population</w:t>
            </w:r>
          </w:p>
          <w:p w:rsidR="00A400B5" w:rsidRPr="00D87E90" w:rsidRDefault="00A400B5" w:rsidP="00A400B5">
            <w:pPr>
              <w:jc w:val="center"/>
              <w:rPr>
                <w:rFonts w:ascii="Arial" w:hAnsi="Arial" w:cs="Arial"/>
                <w:b/>
                <w:bCs/>
                <w:color w:val="000000"/>
                <w:spacing w:val="-4"/>
                <w:sz w:val="16"/>
                <w:szCs w:val="16"/>
              </w:rPr>
            </w:pPr>
            <w:r w:rsidRPr="00D87E90">
              <w:rPr>
                <w:rFonts w:ascii="Arial" w:hAnsi="Arial" w:cs="Arial"/>
                <w:b/>
                <w:bCs/>
                <w:color w:val="000000"/>
                <w:spacing w:val="-4"/>
                <w:sz w:val="16"/>
                <w:szCs w:val="16"/>
              </w:rPr>
              <w:t>Served</w:t>
            </w:r>
            <w:r w:rsidRPr="00D87E90">
              <w:rPr>
                <w:rStyle w:val="FootnoteReference"/>
                <w:rFonts w:ascii="Arial" w:hAnsi="Arial" w:cs="Arial"/>
                <w:b/>
                <w:bCs/>
                <w:color w:val="000000"/>
                <w:spacing w:val="-4"/>
                <w:sz w:val="16"/>
                <w:szCs w:val="16"/>
              </w:rPr>
              <w:footnoteReference w:id="46"/>
            </w:r>
          </w:p>
        </w:tc>
      </w:tr>
      <w:tr w:rsidR="00A400B5" w:rsidRPr="00955C8C" w:rsidTr="00A400B5">
        <w:trPr>
          <w:trHeight w:val="259"/>
        </w:trPr>
        <w:tc>
          <w:tcPr>
            <w:tcW w:w="1529" w:type="dxa"/>
            <w:tcBorders>
              <w:top w:val="single" w:sz="4" w:space="0" w:color="009900"/>
            </w:tcBorders>
            <w:shd w:val="clear" w:color="auto" w:fill="FFFFE1"/>
            <w:noWrap/>
            <w:tcMar>
              <w:top w:w="15" w:type="dxa"/>
              <w:left w:w="15" w:type="dxa"/>
              <w:bottom w:w="0" w:type="dxa"/>
              <w:right w:w="15" w:type="dxa"/>
            </w:tcMar>
            <w:vAlign w:val="center"/>
          </w:tcPr>
          <w:p w:rsidR="00A400B5" w:rsidRPr="00D87E90" w:rsidRDefault="00A400B5" w:rsidP="00A400B5">
            <w:pPr>
              <w:rPr>
                <w:rFonts w:ascii="Arial" w:eastAsia="Arial Unicode MS" w:hAnsi="Arial" w:cs="Arial"/>
                <w:sz w:val="16"/>
                <w:szCs w:val="16"/>
              </w:rPr>
            </w:pPr>
            <w:r w:rsidRPr="00D87E90">
              <w:rPr>
                <w:rFonts w:ascii="Arial" w:eastAsia="Arial Unicode MS" w:hAnsi="Arial" w:cs="Arial"/>
                <w:sz w:val="16"/>
                <w:szCs w:val="16"/>
              </w:rPr>
              <w:t>Balance of State</w:t>
            </w:r>
          </w:p>
        </w:tc>
        <w:tc>
          <w:tcPr>
            <w:tcW w:w="1361" w:type="dxa"/>
            <w:tcBorders>
              <w:top w:val="single" w:sz="4" w:space="0" w:color="009900"/>
            </w:tcBorders>
            <w:shd w:val="clear" w:color="auto" w:fill="FFFFE1"/>
            <w:vAlign w:val="center"/>
          </w:tcPr>
          <w:p w:rsidR="00A400B5" w:rsidRPr="00D87E90" w:rsidRDefault="00A400B5" w:rsidP="00A400B5">
            <w:pPr>
              <w:jc w:val="center"/>
              <w:rPr>
                <w:rFonts w:ascii="Arial" w:hAnsi="Arial" w:cs="Arial"/>
                <w:sz w:val="16"/>
                <w:szCs w:val="16"/>
              </w:rPr>
            </w:pPr>
            <w:r w:rsidRPr="00D87E90">
              <w:rPr>
                <w:rFonts w:ascii="Arial" w:hAnsi="Arial" w:cs="Arial"/>
                <w:sz w:val="16"/>
                <w:szCs w:val="16"/>
              </w:rPr>
              <w:t>1,512,</w:t>
            </w:r>
            <w:r>
              <w:rPr>
                <w:rFonts w:ascii="Arial" w:hAnsi="Arial" w:cs="Arial"/>
                <w:sz w:val="16"/>
                <w:szCs w:val="16"/>
              </w:rPr>
              <w:t>642</w:t>
            </w:r>
          </w:p>
        </w:tc>
      </w:tr>
      <w:tr w:rsidR="00A400B5" w:rsidRPr="00955C8C" w:rsidTr="00A400B5">
        <w:trPr>
          <w:trHeight w:val="259"/>
        </w:trPr>
        <w:tc>
          <w:tcPr>
            <w:tcW w:w="1529" w:type="dxa"/>
            <w:shd w:val="clear" w:color="auto" w:fill="FFFFE1"/>
            <w:noWrap/>
            <w:tcMar>
              <w:top w:w="15" w:type="dxa"/>
              <w:left w:w="15" w:type="dxa"/>
              <w:bottom w:w="0" w:type="dxa"/>
              <w:right w:w="15" w:type="dxa"/>
            </w:tcMar>
            <w:vAlign w:val="center"/>
          </w:tcPr>
          <w:p w:rsidR="00A400B5" w:rsidRPr="00D87E90" w:rsidRDefault="00A400B5" w:rsidP="00A400B5">
            <w:pPr>
              <w:rPr>
                <w:rFonts w:ascii="Arial" w:eastAsia="Arial Unicode MS" w:hAnsi="Arial" w:cs="Arial"/>
                <w:sz w:val="16"/>
                <w:szCs w:val="16"/>
              </w:rPr>
            </w:pPr>
            <w:r w:rsidRPr="00D87E90">
              <w:rPr>
                <w:rFonts w:ascii="Arial" w:eastAsia="Arial Unicode MS" w:hAnsi="Arial" w:cs="Arial"/>
                <w:sz w:val="16"/>
                <w:szCs w:val="16"/>
              </w:rPr>
              <w:t>Albuquerque</w:t>
            </w:r>
          </w:p>
        </w:tc>
        <w:tc>
          <w:tcPr>
            <w:tcW w:w="1361" w:type="dxa"/>
            <w:shd w:val="clear" w:color="auto" w:fill="FFFFE1"/>
            <w:vAlign w:val="center"/>
          </w:tcPr>
          <w:p w:rsidR="00A400B5" w:rsidRPr="00D87E90" w:rsidRDefault="00A400B5" w:rsidP="00A400B5">
            <w:pPr>
              <w:jc w:val="center"/>
              <w:rPr>
                <w:rFonts w:ascii="Arial" w:hAnsi="Arial" w:cs="Arial"/>
                <w:sz w:val="16"/>
                <w:szCs w:val="16"/>
              </w:rPr>
            </w:pPr>
            <w:r w:rsidRPr="00D87E90">
              <w:rPr>
                <w:rFonts w:ascii="Arial" w:hAnsi="Arial" w:cs="Arial"/>
                <w:sz w:val="16"/>
                <w:szCs w:val="16"/>
              </w:rPr>
              <w:t>546,537</w:t>
            </w:r>
          </w:p>
        </w:tc>
      </w:tr>
      <w:tr w:rsidR="00A400B5" w:rsidRPr="00955C8C" w:rsidTr="00A400B5">
        <w:trPr>
          <w:trHeight w:val="259"/>
        </w:trPr>
        <w:tc>
          <w:tcPr>
            <w:tcW w:w="1529" w:type="dxa"/>
            <w:tcBorders>
              <w:bottom w:val="single" w:sz="4" w:space="0" w:color="009900"/>
            </w:tcBorders>
            <w:shd w:val="clear" w:color="auto" w:fill="FFFFE1"/>
            <w:noWrap/>
            <w:tcMar>
              <w:top w:w="15" w:type="dxa"/>
              <w:left w:w="15" w:type="dxa"/>
              <w:bottom w:w="0" w:type="dxa"/>
              <w:right w:w="15" w:type="dxa"/>
            </w:tcMar>
            <w:vAlign w:val="center"/>
          </w:tcPr>
          <w:p w:rsidR="00A400B5" w:rsidRPr="00D87E90" w:rsidRDefault="00A400B5" w:rsidP="00A400B5">
            <w:pPr>
              <w:rPr>
                <w:rFonts w:ascii="Arial" w:eastAsia="Arial Unicode MS" w:hAnsi="Arial" w:cs="Arial"/>
                <w:b/>
                <w:bCs/>
                <w:color w:val="000000"/>
                <w:sz w:val="16"/>
                <w:szCs w:val="16"/>
              </w:rPr>
            </w:pPr>
            <w:r w:rsidRPr="00D87E90">
              <w:rPr>
                <w:rFonts w:ascii="Arial" w:eastAsia="Arial Unicode MS" w:hAnsi="Arial" w:cs="Arial"/>
                <w:b/>
                <w:bCs/>
                <w:color w:val="000000"/>
                <w:sz w:val="16"/>
                <w:szCs w:val="16"/>
              </w:rPr>
              <w:t>Total</w:t>
            </w:r>
          </w:p>
        </w:tc>
        <w:tc>
          <w:tcPr>
            <w:tcW w:w="1361" w:type="dxa"/>
            <w:tcBorders>
              <w:bottom w:val="single" w:sz="4" w:space="0" w:color="009900"/>
            </w:tcBorders>
            <w:shd w:val="clear" w:color="auto" w:fill="FFFFE1"/>
            <w:vAlign w:val="center"/>
          </w:tcPr>
          <w:p w:rsidR="00A400B5" w:rsidRPr="00D87E90" w:rsidRDefault="00A400B5" w:rsidP="00A400B5">
            <w:pPr>
              <w:jc w:val="center"/>
              <w:rPr>
                <w:rFonts w:ascii="Arial" w:hAnsi="Arial" w:cs="Arial"/>
                <w:b/>
                <w:bCs/>
                <w:color w:val="000000"/>
                <w:sz w:val="16"/>
                <w:szCs w:val="16"/>
              </w:rPr>
            </w:pPr>
            <w:r w:rsidRPr="00D87E90">
              <w:rPr>
                <w:rFonts w:ascii="Arial" w:hAnsi="Arial" w:cs="Arial"/>
                <w:b/>
                <w:bCs/>
                <w:color w:val="000000"/>
                <w:sz w:val="16"/>
                <w:szCs w:val="16"/>
              </w:rPr>
              <w:t>2,059,1</w:t>
            </w:r>
            <w:r>
              <w:rPr>
                <w:rFonts w:ascii="Arial" w:hAnsi="Arial" w:cs="Arial"/>
                <w:b/>
                <w:bCs/>
                <w:color w:val="000000"/>
                <w:sz w:val="16"/>
                <w:szCs w:val="16"/>
              </w:rPr>
              <w:t>79</w:t>
            </w:r>
          </w:p>
        </w:tc>
      </w:tr>
    </w:tbl>
    <w:p w:rsidR="00A400B5" w:rsidRDefault="00A400B5" w:rsidP="00EE72EC">
      <w:pPr>
        <w:pStyle w:val="BodyTextIndent"/>
        <w:ind w:left="0"/>
        <w:rPr>
          <w:rFonts w:ascii="CG Omega" w:hAnsi="CG Omega"/>
          <w:bCs/>
        </w:rPr>
      </w:pPr>
    </w:p>
    <w:p w:rsidR="00FC4673" w:rsidRDefault="00A400B5" w:rsidP="00EE72EC">
      <w:pPr>
        <w:pStyle w:val="BodyTextIndent"/>
        <w:ind w:left="0"/>
        <w:rPr>
          <w:rFonts w:ascii="CG Omega" w:hAnsi="CG Omega"/>
          <w:bCs/>
        </w:rPr>
      </w:pPr>
      <w:r w:rsidRPr="00A400B5">
        <w:rPr>
          <w:rFonts w:ascii="CG Omega" w:hAnsi="CG Omega"/>
          <w:bCs/>
        </w:rPr>
        <w:t xml:space="preserve">In addition to administering both </w:t>
      </w:r>
      <w:r w:rsidR="00FC4673" w:rsidRPr="0041094E">
        <w:rPr>
          <w:rFonts w:ascii="CG Omega" w:hAnsi="CG Omega"/>
          <w:bCs/>
        </w:rPr>
        <w:t xml:space="preserve">CoCs in New Mexico, </w:t>
      </w:r>
      <w:r>
        <w:rPr>
          <w:rFonts w:ascii="CG Omega" w:hAnsi="CG Omega"/>
          <w:bCs/>
        </w:rPr>
        <w:t>NMCEH</w:t>
      </w:r>
      <w:r w:rsidR="00FC4673" w:rsidRPr="0041094E">
        <w:rPr>
          <w:rFonts w:ascii="CG Omega" w:hAnsi="CG Omega"/>
          <w:bCs/>
        </w:rPr>
        <w:t xml:space="preserve"> also offers </w:t>
      </w:r>
      <w:r>
        <w:rPr>
          <w:rFonts w:ascii="CG Omega" w:hAnsi="CG Omega"/>
          <w:bCs/>
        </w:rPr>
        <w:t>T and TA</w:t>
      </w:r>
      <w:r w:rsidR="00FC4673" w:rsidRPr="0041094E">
        <w:rPr>
          <w:rFonts w:ascii="CG Omega" w:hAnsi="CG Omega"/>
          <w:bCs/>
        </w:rPr>
        <w:t xml:space="preserve"> to nonprofit agencies and other groups in New Mexico, partners with other organizations to create supportive housing, and is engaged in a campaign to end child homelessness. </w:t>
      </w:r>
    </w:p>
    <w:p w:rsidR="00FC4673" w:rsidRPr="00A400B5" w:rsidRDefault="00FC4673" w:rsidP="00EE72EC">
      <w:pPr>
        <w:pStyle w:val="BodyTextIndent"/>
        <w:ind w:left="0"/>
        <w:rPr>
          <w:rFonts w:ascii="CG Omega" w:hAnsi="CG Omega"/>
          <w:bCs/>
          <w:szCs w:val="24"/>
        </w:rPr>
      </w:pPr>
    </w:p>
    <w:p w:rsidR="00FC4673" w:rsidRPr="00955C8C" w:rsidRDefault="00FC4673" w:rsidP="00EE72EC">
      <w:pPr>
        <w:pStyle w:val="BodyTextIndent"/>
        <w:ind w:left="0"/>
        <w:rPr>
          <w:rFonts w:ascii="CG Omega" w:hAnsi="CG Omega"/>
          <w:bCs/>
          <w:highlight w:val="yellow"/>
        </w:rPr>
      </w:pPr>
      <w:r>
        <w:rPr>
          <w:rFonts w:ascii="CG Omega" w:hAnsi="CG Omega"/>
          <w:bCs/>
        </w:rPr>
        <w:t xml:space="preserve">As </w:t>
      </w:r>
      <w:r w:rsidRPr="00832AB3">
        <w:rPr>
          <w:rFonts w:ascii="CG Omega" w:hAnsi="CG Omega"/>
          <w:bCs/>
        </w:rPr>
        <w:t>Table</w:t>
      </w:r>
      <w:r w:rsidR="00832AB3" w:rsidRPr="00832AB3">
        <w:rPr>
          <w:rFonts w:ascii="CG Omega" w:hAnsi="CG Omega"/>
          <w:bCs/>
        </w:rPr>
        <w:t xml:space="preserve"> V.</w:t>
      </w:r>
      <w:r w:rsidR="000155B6">
        <w:rPr>
          <w:rFonts w:ascii="CG Omega" w:hAnsi="CG Omega"/>
          <w:bCs/>
        </w:rPr>
        <w:t>4</w:t>
      </w:r>
      <w:r w:rsidRPr="009918C5">
        <w:rPr>
          <w:rFonts w:ascii="CG Omega" w:hAnsi="CG Omega"/>
          <w:bCs/>
        </w:rPr>
        <w:t xml:space="preserve"> </w:t>
      </w:r>
      <w:r w:rsidRPr="000810B6">
        <w:rPr>
          <w:rFonts w:ascii="CG Omega" w:hAnsi="CG Omega"/>
          <w:bCs/>
        </w:rPr>
        <w:t>s</w:t>
      </w:r>
      <w:r>
        <w:rPr>
          <w:rFonts w:ascii="CG Omega" w:hAnsi="CG Omega"/>
          <w:bCs/>
        </w:rPr>
        <w:t xml:space="preserve">hows, the majority of the state’s population falls under the Balance of State CoC.  However, Albuquerque represents a significant portion of New Mexico’s population, </w:t>
      </w:r>
      <w:r w:rsidRPr="00D87E90">
        <w:rPr>
          <w:rFonts w:ascii="CG Omega" w:hAnsi="CG Omega"/>
          <w:bCs/>
        </w:rPr>
        <w:t>with over a quarter of the state’s residents concentrated in the urban area.</w:t>
      </w:r>
    </w:p>
    <w:p w:rsidR="00FC4673" w:rsidRPr="00A400B5" w:rsidRDefault="00FC4673" w:rsidP="00EE72EC">
      <w:pPr>
        <w:jc w:val="both"/>
        <w:rPr>
          <w:rFonts w:ascii="CG Omega" w:hAnsi="CG Omega"/>
          <w:b/>
          <w:smallCaps/>
          <w:highlight w:val="yellow"/>
        </w:rPr>
      </w:pPr>
    </w:p>
    <w:p w:rsidR="003C459D" w:rsidRPr="00A400B5" w:rsidRDefault="003C459D" w:rsidP="003C459D">
      <w:pPr>
        <w:jc w:val="both"/>
        <w:rPr>
          <w:rFonts w:ascii="CG Omega" w:hAnsi="CG Omega"/>
          <w:b/>
          <w:smallCaps/>
        </w:rPr>
      </w:pPr>
      <w:r w:rsidRPr="00A400B5">
        <w:rPr>
          <w:rFonts w:ascii="CG Omega" w:hAnsi="CG Omega"/>
          <w:b/>
          <w:smallCaps/>
        </w:rPr>
        <w:t>Population</w:t>
      </w:r>
    </w:p>
    <w:p w:rsidR="003C459D" w:rsidRPr="00A400B5" w:rsidRDefault="003C459D" w:rsidP="003C459D">
      <w:pPr>
        <w:jc w:val="both"/>
        <w:rPr>
          <w:rFonts w:ascii="CG Omega" w:hAnsi="CG Omega"/>
          <w:b/>
          <w:smallCaps/>
          <w:highlight w:val="yellow"/>
        </w:rPr>
      </w:pPr>
    </w:p>
    <w:p w:rsidR="003C459D" w:rsidRPr="00AD0753" w:rsidRDefault="003C459D" w:rsidP="003C459D">
      <w:pPr>
        <w:autoSpaceDE w:val="0"/>
        <w:autoSpaceDN w:val="0"/>
        <w:adjustRightInd w:val="0"/>
        <w:jc w:val="both"/>
        <w:rPr>
          <w:rFonts w:ascii="CG Omega" w:hAnsi="CG Omega" w:cs="CGOmega"/>
        </w:rPr>
      </w:pPr>
      <w:r w:rsidRPr="00AD0753">
        <w:rPr>
          <w:rFonts w:ascii="CG Omega" w:hAnsi="CG Omega" w:cs="CGOmega"/>
        </w:rPr>
        <w:t xml:space="preserve">Compiling accurate homeless counts is a complex challenge faced by communities across the nation. The most common method used to count homeless persons is a point-in-time count. The two CoCs rely on point-in-time surveys to count the number of homeless individuals and families in the state. Point-in-time counts involve counting all the people who are literally homeless on a given day or series of days and are designed to be statistically reliable and produce unduplicated numbers. </w:t>
      </w:r>
    </w:p>
    <w:p w:rsidR="003C459D" w:rsidRPr="00A400B5" w:rsidRDefault="003C459D" w:rsidP="003C459D">
      <w:pPr>
        <w:jc w:val="both"/>
        <w:rPr>
          <w:rFonts w:ascii="CG Omega" w:hAnsi="CG Omega" w:cs="CGOmega"/>
        </w:rPr>
      </w:pPr>
    </w:p>
    <w:p w:rsidR="003C459D" w:rsidRDefault="003C459D" w:rsidP="003C459D">
      <w:pPr>
        <w:jc w:val="both"/>
        <w:rPr>
          <w:rFonts w:ascii="CG Omega" w:hAnsi="CG Omega" w:cs="CGOmega"/>
        </w:rPr>
      </w:pPr>
      <w:r w:rsidRPr="00AD0753">
        <w:rPr>
          <w:rFonts w:ascii="CG Omega" w:hAnsi="CG Omega" w:cs="CGOmega"/>
        </w:rPr>
        <w:t xml:space="preserve">However, the National Coalition for the Homeless has pointed out that because point-in-time studies give just a "snapshot" picture of homelessness, they may miss people who are homeless at other times during the year. Other people may be missed because they are not in places researchers can easily find. These unsheltered or “hidden” homeless may be living in automobiles or campgrounds, for instance, or doubling up temporarily with relatives, friends, or others. </w:t>
      </w:r>
      <w:r>
        <w:rPr>
          <w:rFonts w:ascii="CG Omega" w:hAnsi="CG Omega" w:cs="CGOmega"/>
        </w:rPr>
        <w:t>Additionally, ma</w:t>
      </w:r>
      <w:r w:rsidR="00A400B5">
        <w:rPr>
          <w:rFonts w:ascii="CG Omega" w:hAnsi="CG Omega" w:cs="CGOmega"/>
        </w:rPr>
        <w:t>n</w:t>
      </w:r>
      <w:r>
        <w:rPr>
          <w:rFonts w:ascii="CG Omega" w:hAnsi="CG Omega" w:cs="CGOmega"/>
        </w:rPr>
        <w:t xml:space="preserve">y counts rely on persons accessing services on the day of the count, which many homeless persons may not utilize on an on-going basis.  Both the Balance of State CoC and the Albuquerque CoC used the same methods in 2009 as each did in 2013 to carry out their point-in-time counts meaning that comparing counts from these two points will ensure more accurate levels of comparison.   </w:t>
      </w:r>
    </w:p>
    <w:p w:rsidR="003C459D" w:rsidRPr="00A400B5" w:rsidRDefault="003C459D" w:rsidP="003C459D">
      <w:pPr>
        <w:rPr>
          <w:rFonts w:ascii="CG Omega" w:hAnsi="CG Omega"/>
        </w:rPr>
      </w:pPr>
    </w:p>
    <w:p w:rsidR="00A36EF4" w:rsidRDefault="003C459D" w:rsidP="003C459D">
      <w:pPr>
        <w:autoSpaceDE w:val="0"/>
        <w:autoSpaceDN w:val="0"/>
        <w:adjustRightInd w:val="0"/>
        <w:jc w:val="both"/>
        <w:rPr>
          <w:rFonts w:ascii="CG Omega" w:hAnsi="CG Omega" w:cs="CGOmega"/>
        </w:rPr>
      </w:pPr>
      <w:r w:rsidRPr="00873BBD">
        <w:rPr>
          <w:rFonts w:ascii="CG Omega" w:hAnsi="CG Omega" w:cs="CGOmega"/>
        </w:rPr>
        <w:t>Despite the limitations, the point-in-time counts done by each CoC provide a helpful estimation of the homeless population in New Mexico. C</w:t>
      </w:r>
      <w:r w:rsidRPr="00B11E65">
        <w:rPr>
          <w:rFonts w:ascii="CG Omega" w:hAnsi="CG Omega" w:cs="CGOmega"/>
        </w:rPr>
        <w:t xml:space="preserve">ombining the counts provided by the two CoCs, it was estimated that </w:t>
      </w:r>
      <w:r>
        <w:rPr>
          <w:rFonts w:ascii="CG Omega" w:hAnsi="CG Omega" w:cs="CGOmega"/>
        </w:rPr>
        <w:t xml:space="preserve">2,819 </w:t>
      </w:r>
      <w:r w:rsidRPr="00B11E65">
        <w:rPr>
          <w:rFonts w:ascii="CG Omega" w:hAnsi="CG Omega" w:cs="CGOmega"/>
        </w:rPr>
        <w:t>persons were homeless in the state in 2013, as</w:t>
      </w:r>
      <w:r w:rsidRPr="00100504">
        <w:rPr>
          <w:rFonts w:ascii="CG Omega" w:hAnsi="CG Omega" w:cs="CGOmega"/>
        </w:rPr>
        <w:t xml:space="preserve"> shown in </w:t>
      </w:r>
      <w:r w:rsidRPr="00A400B5">
        <w:rPr>
          <w:rFonts w:ascii="CG Omega" w:hAnsi="CG Omega" w:cs="CGOmega"/>
          <w:b/>
        </w:rPr>
        <w:t>Table</w:t>
      </w:r>
      <w:r w:rsidR="00832AB3" w:rsidRPr="00A400B5">
        <w:rPr>
          <w:rFonts w:ascii="CG Omega" w:hAnsi="CG Omega" w:cs="CGOmega"/>
          <w:b/>
        </w:rPr>
        <w:t xml:space="preserve"> V.</w:t>
      </w:r>
      <w:r w:rsidR="000155B6" w:rsidRPr="00A400B5">
        <w:rPr>
          <w:rFonts w:ascii="CG Omega" w:hAnsi="CG Omega" w:cs="CGOmega"/>
          <w:b/>
        </w:rPr>
        <w:t>5</w:t>
      </w:r>
      <w:r w:rsidRPr="00832AB3">
        <w:rPr>
          <w:rFonts w:ascii="CG Omega" w:hAnsi="CG Omega" w:cs="CGOmega"/>
        </w:rPr>
        <w:t>.</w:t>
      </w:r>
      <w:r w:rsidRPr="00832AB3">
        <w:rPr>
          <w:rFonts w:ascii="CG Omega" w:hAnsi="CG Omega" w:cs="CGOmega"/>
          <w:sz w:val="14"/>
          <w:szCs w:val="14"/>
        </w:rPr>
        <w:t xml:space="preserve"> </w:t>
      </w:r>
      <w:r w:rsidRPr="00B11E65">
        <w:rPr>
          <w:rFonts w:ascii="CG Omega" w:hAnsi="CG Omega" w:cs="CGOmega"/>
        </w:rPr>
        <w:t>This is compared to the 3,475 persons estimated to be homeless in the state in 2009.</w:t>
      </w:r>
      <w:r>
        <w:rPr>
          <w:rFonts w:ascii="CG Omega" w:hAnsi="CG Omega" w:cs="CGOmega"/>
        </w:rPr>
        <w:t xml:space="preserve">  Going back to 2005, the homeless count was 5,256 for the state.</w:t>
      </w:r>
      <w:r w:rsidRPr="00B11E65">
        <w:rPr>
          <w:rFonts w:ascii="CG Omega" w:hAnsi="CG Omega" w:cs="CGOmega"/>
        </w:rPr>
        <w:t xml:space="preserve">  </w:t>
      </w:r>
    </w:p>
    <w:tbl>
      <w:tblPr>
        <w:tblW w:w="6520" w:type="dxa"/>
        <w:jc w:val="center"/>
        <w:tblLook w:val="04A0" w:firstRow="1" w:lastRow="0" w:firstColumn="1" w:lastColumn="0" w:noHBand="0" w:noVBand="1"/>
      </w:tblPr>
      <w:tblGrid>
        <w:gridCol w:w="2719"/>
        <w:gridCol w:w="761"/>
        <w:gridCol w:w="760"/>
        <w:gridCol w:w="760"/>
        <w:gridCol w:w="760"/>
        <w:gridCol w:w="760"/>
      </w:tblGrid>
      <w:tr w:rsidR="003C459D" w:rsidRPr="00C9253E" w:rsidTr="00E56B71">
        <w:trPr>
          <w:trHeight w:val="255"/>
          <w:jc w:val="center"/>
        </w:trPr>
        <w:tc>
          <w:tcPr>
            <w:tcW w:w="6520" w:type="dxa"/>
            <w:gridSpan w:val="6"/>
            <w:tcBorders>
              <w:top w:val="nil"/>
              <w:left w:val="nil"/>
              <w:bottom w:val="nil"/>
              <w:right w:val="nil"/>
            </w:tcBorders>
            <w:shd w:val="clear" w:color="auto" w:fill="auto"/>
            <w:noWrap/>
            <w:vAlign w:val="center"/>
            <w:hideMark/>
          </w:tcPr>
          <w:p w:rsidR="003C459D" w:rsidRPr="00A400B5" w:rsidRDefault="003C459D" w:rsidP="00E56B71">
            <w:pPr>
              <w:rPr>
                <w:rFonts w:ascii="Arial" w:hAnsi="Arial" w:cs="Arial"/>
                <w:bCs/>
                <w:color w:val="000000"/>
                <w:sz w:val="20"/>
                <w:szCs w:val="20"/>
              </w:rPr>
            </w:pPr>
          </w:p>
          <w:p w:rsidR="003C459D" w:rsidRPr="00C9253E" w:rsidRDefault="003C459D" w:rsidP="000155B6">
            <w:pPr>
              <w:jc w:val="center"/>
              <w:rPr>
                <w:rFonts w:ascii="Arial" w:hAnsi="Arial" w:cs="Arial"/>
                <w:b/>
                <w:bCs/>
                <w:color w:val="000000"/>
              </w:rPr>
            </w:pPr>
            <w:r w:rsidRPr="00832AB3">
              <w:rPr>
                <w:rFonts w:ascii="Arial" w:hAnsi="Arial" w:cs="Arial"/>
                <w:b/>
                <w:bCs/>
                <w:color w:val="000000"/>
              </w:rPr>
              <w:t>Table</w:t>
            </w:r>
            <w:r w:rsidR="00832AB3">
              <w:rPr>
                <w:rFonts w:ascii="Arial" w:hAnsi="Arial" w:cs="Arial"/>
                <w:b/>
                <w:bCs/>
                <w:color w:val="000000"/>
              </w:rPr>
              <w:t xml:space="preserve"> V.</w:t>
            </w:r>
            <w:r w:rsidR="000155B6">
              <w:rPr>
                <w:rFonts w:ascii="Arial" w:hAnsi="Arial" w:cs="Arial"/>
                <w:b/>
                <w:bCs/>
                <w:color w:val="000000"/>
              </w:rPr>
              <w:t>5</w:t>
            </w:r>
          </w:p>
        </w:tc>
      </w:tr>
      <w:tr w:rsidR="003C459D" w:rsidRPr="00C9253E" w:rsidTr="00E56B71">
        <w:trPr>
          <w:trHeight w:val="198"/>
          <w:jc w:val="center"/>
        </w:trPr>
        <w:tc>
          <w:tcPr>
            <w:tcW w:w="6520" w:type="dxa"/>
            <w:gridSpan w:val="6"/>
            <w:tcBorders>
              <w:top w:val="nil"/>
              <w:left w:val="nil"/>
              <w:bottom w:val="nil"/>
              <w:right w:val="nil"/>
            </w:tcBorders>
            <w:shd w:val="clear" w:color="auto" w:fill="auto"/>
            <w:noWrap/>
            <w:vAlign w:val="center"/>
            <w:hideMark/>
          </w:tcPr>
          <w:p w:rsidR="003C459D" w:rsidRPr="00C9253E" w:rsidRDefault="003C459D" w:rsidP="00E56B71">
            <w:pPr>
              <w:jc w:val="center"/>
              <w:rPr>
                <w:rFonts w:ascii="Arial" w:hAnsi="Arial" w:cs="Arial"/>
                <w:b/>
                <w:bCs/>
                <w:color w:val="000000"/>
                <w:sz w:val="20"/>
                <w:szCs w:val="20"/>
              </w:rPr>
            </w:pPr>
            <w:r w:rsidRPr="00C9253E">
              <w:rPr>
                <w:rFonts w:ascii="Arial" w:hAnsi="Arial" w:cs="Arial"/>
                <w:b/>
                <w:bCs/>
                <w:color w:val="000000"/>
                <w:sz w:val="20"/>
                <w:szCs w:val="20"/>
              </w:rPr>
              <w:t>Homeless Count</w:t>
            </w:r>
          </w:p>
        </w:tc>
      </w:tr>
      <w:tr w:rsidR="003C459D" w:rsidRPr="00C9253E" w:rsidTr="00E56B71">
        <w:trPr>
          <w:trHeight w:val="153"/>
          <w:jc w:val="center"/>
        </w:trPr>
        <w:tc>
          <w:tcPr>
            <w:tcW w:w="6520" w:type="dxa"/>
            <w:gridSpan w:val="6"/>
            <w:tcBorders>
              <w:top w:val="nil"/>
              <w:left w:val="nil"/>
              <w:bottom w:val="nil"/>
              <w:right w:val="nil"/>
            </w:tcBorders>
            <w:shd w:val="clear" w:color="auto" w:fill="auto"/>
            <w:noWrap/>
            <w:vAlign w:val="center"/>
            <w:hideMark/>
          </w:tcPr>
          <w:p w:rsidR="003C459D" w:rsidRPr="00C9253E" w:rsidRDefault="003C459D" w:rsidP="00E56B71">
            <w:pPr>
              <w:jc w:val="center"/>
              <w:rPr>
                <w:rFonts w:ascii="Arial" w:hAnsi="Arial" w:cs="Arial"/>
                <w:color w:val="000000"/>
                <w:sz w:val="16"/>
                <w:szCs w:val="16"/>
              </w:rPr>
            </w:pPr>
            <w:r>
              <w:rPr>
                <w:rFonts w:ascii="Arial" w:hAnsi="Arial" w:cs="Arial"/>
                <w:color w:val="000000"/>
                <w:sz w:val="16"/>
                <w:szCs w:val="16"/>
              </w:rPr>
              <w:t>The State of New Mexico</w:t>
            </w:r>
          </w:p>
        </w:tc>
      </w:tr>
      <w:tr w:rsidR="003C459D" w:rsidRPr="00C9253E" w:rsidTr="00E56B71">
        <w:trPr>
          <w:trHeight w:val="225"/>
          <w:jc w:val="center"/>
        </w:trPr>
        <w:tc>
          <w:tcPr>
            <w:tcW w:w="6520" w:type="dxa"/>
            <w:gridSpan w:val="6"/>
            <w:tcBorders>
              <w:top w:val="nil"/>
              <w:left w:val="nil"/>
              <w:bottom w:val="single" w:sz="8" w:space="0" w:color="009900"/>
              <w:right w:val="nil"/>
            </w:tcBorders>
            <w:shd w:val="clear" w:color="auto" w:fill="auto"/>
            <w:noWrap/>
            <w:vAlign w:val="center"/>
            <w:hideMark/>
          </w:tcPr>
          <w:p w:rsidR="003C459D" w:rsidRPr="00C9253E" w:rsidRDefault="003C459D" w:rsidP="00E56B71">
            <w:pPr>
              <w:jc w:val="center"/>
              <w:rPr>
                <w:rFonts w:ascii="Arial" w:hAnsi="Arial" w:cs="Arial"/>
                <w:color w:val="000000"/>
                <w:sz w:val="16"/>
                <w:szCs w:val="16"/>
              </w:rPr>
            </w:pPr>
            <w:r w:rsidRPr="00C9253E">
              <w:rPr>
                <w:rFonts w:ascii="Arial" w:hAnsi="Arial" w:cs="Arial"/>
                <w:color w:val="000000"/>
                <w:sz w:val="16"/>
                <w:szCs w:val="16"/>
              </w:rPr>
              <w:t>US Department of Housing and Urban Development</w:t>
            </w:r>
            <w:r w:rsidR="000D7E46">
              <w:rPr>
                <w:rStyle w:val="FootnoteReference"/>
                <w:rFonts w:ascii="Arial" w:hAnsi="Arial" w:cs="Arial"/>
                <w:color w:val="000000"/>
                <w:sz w:val="16"/>
                <w:szCs w:val="16"/>
              </w:rPr>
              <w:footnoteReference w:id="47"/>
            </w:r>
            <w:r w:rsidR="00556ADB">
              <w:rPr>
                <w:rFonts w:ascii="Arial" w:hAnsi="Arial" w:cs="Arial"/>
                <w:color w:val="000000"/>
                <w:sz w:val="16"/>
                <w:szCs w:val="16"/>
              </w:rPr>
              <w:t xml:space="preserve"> 2014</w:t>
            </w:r>
          </w:p>
        </w:tc>
      </w:tr>
      <w:tr w:rsidR="003C459D" w:rsidRPr="00C9253E" w:rsidTr="00E56B71">
        <w:trPr>
          <w:trHeight w:val="315"/>
          <w:jc w:val="center"/>
        </w:trPr>
        <w:tc>
          <w:tcPr>
            <w:tcW w:w="2719" w:type="dxa"/>
            <w:tcBorders>
              <w:top w:val="nil"/>
              <w:left w:val="single" w:sz="8" w:space="0" w:color="009900"/>
              <w:bottom w:val="single" w:sz="8" w:space="0" w:color="009900"/>
              <w:right w:val="nil"/>
            </w:tcBorders>
            <w:shd w:val="clear" w:color="000000" w:fill="FFFFE1"/>
            <w:noWrap/>
            <w:vAlign w:val="center"/>
            <w:hideMark/>
          </w:tcPr>
          <w:p w:rsidR="003C459D" w:rsidRPr="00C9253E" w:rsidRDefault="003C459D" w:rsidP="00E56B71">
            <w:pPr>
              <w:rPr>
                <w:rFonts w:ascii="Arial" w:hAnsi="Arial" w:cs="Arial"/>
                <w:b/>
                <w:bCs/>
                <w:color w:val="000000"/>
                <w:sz w:val="16"/>
                <w:szCs w:val="16"/>
              </w:rPr>
            </w:pPr>
            <w:r w:rsidRPr="00C9253E">
              <w:rPr>
                <w:rFonts w:ascii="Arial" w:hAnsi="Arial" w:cs="Arial"/>
                <w:b/>
                <w:bCs/>
                <w:color w:val="000000"/>
                <w:sz w:val="16"/>
                <w:szCs w:val="16"/>
              </w:rPr>
              <w:t>Point in Time Count</w:t>
            </w:r>
          </w:p>
        </w:tc>
        <w:tc>
          <w:tcPr>
            <w:tcW w:w="761" w:type="dxa"/>
            <w:tcBorders>
              <w:top w:val="nil"/>
              <w:left w:val="nil"/>
              <w:bottom w:val="single" w:sz="8" w:space="0" w:color="009900"/>
              <w:right w:val="nil"/>
            </w:tcBorders>
            <w:shd w:val="clear" w:color="000000" w:fill="FFFFE1"/>
            <w:noWrap/>
            <w:vAlign w:val="center"/>
            <w:hideMark/>
          </w:tcPr>
          <w:p w:rsidR="003C459D" w:rsidRPr="00C9253E" w:rsidRDefault="003C459D" w:rsidP="00E56B71">
            <w:pPr>
              <w:jc w:val="center"/>
              <w:rPr>
                <w:rFonts w:ascii="Arial" w:hAnsi="Arial" w:cs="Arial"/>
                <w:b/>
                <w:bCs/>
                <w:color w:val="000000"/>
                <w:sz w:val="16"/>
                <w:szCs w:val="16"/>
              </w:rPr>
            </w:pPr>
            <w:r w:rsidRPr="00C9253E">
              <w:rPr>
                <w:rFonts w:ascii="Arial" w:hAnsi="Arial" w:cs="Arial"/>
                <w:b/>
                <w:bCs/>
                <w:color w:val="000000"/>
                <w:sz w:val="16"/>
                <w:szCs w:val="16"/>
              </w:rPr>
              <w:t>2005</w:t>
            </w:r>
          </w:p>
        </w:tc>
        <w:tc>
          <w:tcPr>
            <w:tcW w:w="760" w:type="dxa"/>
            <w:tcBorders>
              <w:top w:val="nil"/>
              <w:left w:val="nil"/>
              <w:bottom w:val="single" w:sz="8" w:space="0" w:color="009900"/>
              <w:right w:val="nil"/>
            </w:tcBorders>
            <w:shd w:val="clear" w:color="000000" w:fill="FFFFE1"/>
            <w:noWrap/>
            <w:vAlign w:val="center"/>
            <w:hideMark/>
          </w:tcPr>
          <w:p w:rsidR="003C459D" w:rsidRPr="00C9253E" w:rsidRDefault="003C459D" w:rsidP="00E56B71">
            <w:pPr>
              <w:jc w:val="center"/>
              <w:rPr>
                <w:rFonts w:ascii="Arial" w:hAnsi="Arial" w:cs="Arial"/>
                <w:b/>
                <w:bCs/>
                <w:color w:val="000000"/>
                <w:sz w:val="16"/>
                <w:szCs w:val="16"/>
              </w:rPr>
            </w:pPr>
            <w:r w:rsidRPr="00C9253E">
              <w:rPr>
                <w:rFonts w:ascii="Arial" w:hAnsi="Arial" w:cs="Arial"/>
                <w:b/>
                <w:bCs/>
                <w:color w:val="000000"/>
                <w:sz w:val="16"/>
                <w:szCs w:val="16"/>
              </w:rPr>
              <w:t>2007</w:t>
            </w:r>
          </w:p>
        </w:tc>
        <w:tc>
          <w:tcPr>
            <w:tcW w:w="760" w:type="dxa"/>
            <w:tcBorders>
              <w:top w:val="nil"/>
              <w:left w:val="nil"/>
              <w:bottom w:val="single" w:sz="8" w:space="0" w:color="009900"/>
              <w:right w:val="nil"/>
            </w:tcBorders>
            <w:shd w:val="clear" w:color="000000" w:fill="FFFFE1"/>
            <w:noWrap/>
            <w:vAlign w:val="center"/>
            <w:hideMark/>
          </w:tcPr>
          <w:p w:rsidR="003C459D" w:rsidRPr="00C9253E" w:rsidRDefault="003C459D" w:rsidP="00E56B71">
            <w:pPr>
              <w:jc w:val="center"/>
              <w:rPr>
                <w:rFonts w:ascii="Arial" w:hAnsi="Arial" w:cs="Arial"/>
                <w:b/>
                <w:bCs/>
                <w:color w:val="000000"/>
                <w:sz w:val="16"/>
                <w:szCs w:val="16"/>
              </w:rPr>
            </w:pPr>
            <w:r w:rsidRPr="00C9253E">
              <w:rPr>
                <w:rFonts w:ascii="Arial" w:hAnsi="Arial" w:cs="Arial"/>
                <w:b/>
                <w:bCs/>
                <w:color w:val="000000"/>
                <w:sz w:val="16"/>
                <w:szCs w:val="16"/>
              </w:rPr>
              <w:t>2009</w:t>
            </w:r>
          </w:p>
        </w:tc>
        <w:tc>
          <w:tcPr>
            <w:tcW w:w="760" w:type="dxa"/>
            <w:tcBorders>
              <w:top w:val="nil"/>
              <w:left w:val="nil"/>
              <w:bottom w:val="single" w:sz="8" w:space="0" w:color="009900"/>
              <w:right w:val="nil"/>
            </w:tcBorders>
            <w:shd w:val="clear" w:color="000000" w:fill="FFFFE1"/>
            <w:noWrap/>
            <w:vAlign w:val="center"/>
            <w:hideMark/>
          </w:tcPr>
          <w:p w:rsidR="003C459D" w:rsidRPr="00C9253E" w:rsidRDefault="003C459D" w:rsidP="00E56B71">
            <w:pPr>
              <w:jc w:val="center"/>
              <w:rPr>
                <w:rFonts w:ascii="Arial" w:hAnsi="Arial" w:cs="Arial"/>
                <w:b/>
                <w:bCs/>
                <w:color w:val="000000"/>
                <w:sz w:val="16"/>
                <w:szCs w:val="16"/>
              </w:rPr>
            </w:pPr>
            <w:r w:rsidRPr="00C9253E">
              <w:rPr>
                <w:rFonts w:ascii="Arial" w:hAnsi="Arial" w:cs="Arial"/>
                <w:b/>
                <w:bCs/>
                <w:color w:val="000000"/>
                <w:sz w:val="16"/>
                <w:szCs w:val="16"/>
              </w:rPr>
              <w:t>2011</w:t>
            </w:r>
          </w:p>
        </w:tc>
        <w:tc>
          <w:tcPr>
            <w:tcW w:w="760" w:type="dxa"/>
            <w:tcBorders>
              <w:top w:val="nil"/>
              <w:left w:val="nil"/>
              <w:bottom w:val="single" w:sz="8" w:space="0" w:color="009900"/>
              <w:right w:val="single" w:sz="8" w:space="0" w:color="009900"/>
            </w:tcBorders>
            <w:shd w:val="clear" w:color="000000" w:fill="FFFFE1"/>
            <w:noWrap/>
            <w:vAlign w:val="center"/>
            <w:hideMark/>
          </w:tcPr>
          <w:p w:rsidR="003C459D" w:rsidRPr="00C9253E" w:rsidRDefault="003C459D" w:rsidP="00E56B71">
            <w:pPr>
              <w:jc w:val="center"/>
              <w:rPr>
                <w:rFonts w:ascii="Arial" w:hAnsi="Arial" w:cs="Arial"/>
                <w:b/>
                <w:bCs/>
                <w:color w:val="000000"/>
                <w:sz w:val="16"/>
                <w:szCs w:val="16"/>
              </w:rPr>
            </w:pPr>
            <w:r w:rsidRPr="00C9253E">
              <w:rPr>
                <w:rFonts w:ascii="Arial" w:hAnsi="Arial" w:cs="Arial"/>
                <w:b/>
                <w:bCs/>
                <w:color w:val="000000"/>
                <w:sz w:val="16"/>
                <w:szCs w:val="16"/>
              </w:rPr>
              <w:t>2013</w:t>
            </w:r>
          </w:p>
        </w:tc>
      </w:tr>
      <w:tr w:rsidR="003C459D" w:rsidRPr="00C9253E" w:rsidTr="00E56B71">
        <w:trPr>
          <w:trHeight w:val="315"/>
          <w:jc w:val="center"/>
        </w:trPr>
        <w:tc>
          <w:tcPr>
            <w:tcW w:w="2719" w:type="dxa"/>
            <w:tcBorders>
              <w:top w:val="nil"/>
              <w:left w:val="single" w:sz="8" w:space="0" w:color="009900"/>
              <w:bottom w:val="single" w:sz="8" w:space="0" w:color="009900"/>
              <w:right w:val="single" w:sz="8" w:space="0" w:color="009900"/>
            </w:tcBorders>
            <w:shd w:val="clear" w:color="000000" w:fill="FFFFE1"/>
            <w:noWrap/>
            <w:vAlign w:val="center"/>
            <w:hideMark/>
          </w:tcPr>
          <w:p w:rsidR="003C459D" w:rsidRPr="00C9253E" w:rsidRDefault="003C459D" w:rsidP="00E56B71">
            <w:pPr>
              <w:rPr>
                <w:rFonts w:ascii="Arial" w:hAnsi="Arial" w:cs="Arial"/>
                <w:color w:val="000000"/>
                <w:sz w:val="16"/>
                <w:szCs w:val="16"/>
              </w:rPr>
            </w:pPr>
            <w:r w:rsidRPr="00C9253E">
              <w:rPr>
                <w:rFonts w:ascii="Arial" w:hAnsi="Arial" w:cs="Arial"/>
                <w:color w:val="000000"/>
                <w:sz w:val="16"/>
                <w:szCs w:val="16"/>
              </w:rPr>
              <w:t>Albuquerque</w:t>
            </w:r>
          </w:p>
        </w:tc>
        <w:tc>
          <w:tcPr>
            <w:tcW w:w="761" w:type="dxa"/>
            <w:tcBorders>
              <w:top w:val="nil"/>
              <w:left w:val="nil"/>
              <w:bottom w:val="single" w:sz="8" w:space="0" w:color="009900"/>
              <w:right w:val="nil"/>
            </w:tcBorders>
            <w:shd w:val="clear" w:color="000000" w:fill="FFFFE1"/>
            <w:noWrap/>
            <w:vAlign w:val="center"/>
            <w:hideMark/>
          </w:tcPr>
          <w:p w:rsidR="003C459D" w:rsidRPr="00C9253E" w:rsidRDefault="003C459D" w:rsidP="00E56B71">
            <w:pPr>
              <w:jc w:val="center"/>
              <w:rPr>
                <w:rFonts w:ascii="Arial" w:hAnsi="Arial" w:cs="Arial"/>
                <w:color w:val="000000"/>
                <w:sz w:val="16"/>
                <w:szCs w:val="16"/>
              </w:rPr>
            </w:pPr>
            <w:r w:rsidRPr="00C9253E">
              <w:rPr>
                <w:rFonts w:ascii="Arial" w:hAnsi="Arial" w:cs="Arial"/>
                <w:color w:val="000000"/>
                <w:sz w:val="16"/>
                <w:szCs w:val="16"/>
              </w:rPr>
              <w:t>3,649</w:t>
            </w:r>
          </w:p>
        </w:tc>
        <w:tc>
          <w:tcPr>
            <w:tcW w:w="760" w:type="dxa"/>
            <w:tcBorders>
              <w:top w:val="nil"/>
              <w:left w:val="nil"/>
              <w:bottom w:val="single" w:sz="8" w:space="0" w:color="009900"/>
              <w:right w:val="nil"/>
            </w:tcBorders>
            <w:shd w:val="clear" w:color="000000" w:fill="FFFFE1"/>
            <w:noWrap/>
            <w:vAlign w:val="center"/>
            <w:hideMark/>
          </w:tcPr>
          <w:p w:rsidR="003C459D" w:rsidRPr="00C9253E" w:rsidRDefault="003C459D" w:rsidP="00E56B71">
            <w:pPr>
              <w:jc w:val="center"/>
              <w:rPr>
                <w:rFonts w:ascii="Arial" w:hAnsi="Arial" w:cs="Arial"/>
                <w:color w:val="000000"/>
                <w:sz w:val="16"/>
                <w:szCs w:val="16"/>
              </w:rPr>
            </w:pPr>
            <w:r w:rsidRPr="00C9253E">
              <w:rPr>
                <w:rFonts w:ascii="Arial" w:hAnsi="Arial" w:cs="Arial"/>
                <w:color w:val="000000"/>
                <w:sz w:val="16"/>
                <w:szCs w:val="16"/>
              </w:rPr>
              <w:t>1,276</w:t>
            </w:r>
          </w:p>
        </w:tc>
        <w:tc>
          <w:tcPr>
            <w:tcW w:w="760" w:type="dxa"/>
            <w:tcBorders>
              <w:top w:val="nil"/>
              <w:left w:val="nil"/>
              <w:bottom w:val="single" w:sz="8" w:space="0" w:color="009900"/>
              <w:right w:val="nil"/>
            </w:tcBorders>
            <w:shd w:val="clear" w:color="000000" w:fill="FFFFE1"/>
            <w:noWrap/>
            <w:vAlign w:val="center"/>
            <w:hideMark/>
          </w:tcPr>
          <w:p w:rsidR="003C459D" w:rsidRPr="00C9253E" w:rsidRDefault="003C459D" w:rsidP="00E56B71">
            <w:pPr>
              <w:jc w:val="center"/>
              <w:rPr>
                <w:rFonts w:ascii="Arial" w:hAnsi="Arial" w:cs="Arial"/>
                <w:color w:val="000000"/>
                <w:sz w:val="16"/>
                <w:szCs w:val="16"/>
              </w:rPr>
            </w:pPr>
            <w:r w:rsidRPr="00C9253E">
              <w:rPr>
                <w:rFonts w:ascii="Arial" w:hAnsi="Arial" w:cs="Arial"/>
                <w:color w:val="000000"/>
                <w:sz w:val="16"/>
                <w:szCs w:val="16"/>
              </w:rPr>
              <w:t>2,002</w:t>
            </w:r>
          </w:p>
        </w:tc>
        <w:tc>
          <w:tcPr>
            <w:tcW w:w="760" w:type="dxa"/>
            <w:tcBorders>
              <w:top w:val="nil"/>
              <w:left w:val="nil"/>
              <w:bottom w:val="single" w:sz="8" w:space="0" w:color="009900"/>
              <w:right w:val="nil"/>
            </w:tcBorders>
            <w:shd w:val="clear" w:color="000000" w:fill="FFFFE1"/>
            <w:noWrap/>
            <w:vAlign w:val="center"/>
            <w:hideMark/>
          </w:tcPr>
          <w:p w:rsidR="003C459D" w:rsidRPr="00C9253E" w:rsidRDefault="003C459D" w:rsidP="00E56B71">
            <w:pPr>
              <w:jc w:val="center"/>
              <w:rPr>
                <w:rFonts w:ascii="Arial" w:hAnsi="Arial" w:cs="Arial"/>
                <w:color w:val="000000"/>
                <w:sz w:val="16"/>
                <w:szCs w:val="16"/>
              </w:rPr>
            </w:pPr>
            <w:r w:rsidRPr="00C9253E">
              <w:rPr>
                <w:rFonts w:ascii="Arial" w:hAnsi="Arial" w:cs="Arial"/>
                <w:color w:val="000000"/>
                <w:sz w:val="16"/>
                <w:szCs w:val="16"/>
              </w:rPr>
              <w:t>1,639</w:t>
            </w:r>
          </w:p>
        </w:tc>
        <w:tc>
          <w:tcPr>
            <w:tcW w:w="760" w:type="dxa"/>
            <w:tcBorders>
              <w:top w:val="nil"/>
              <w:left w:val="nil"/>
              <w:bottom w:val="single" w:sz="8" w:space="0" w:color="009900"/>
              <w:right w:val="single" w:sz="8" w:space="0" w:color="009900"/>
            </w:tcBorders>
            <w:shd w:val="clear" w:color="000000" w:fill="FFFFE1"/>
            <w:noWrap/>
            <w:vAlign w:val="center"/>
            <w:hideMark/>
          </w:tcPr>
          <w:p w:rsidR="003C459D" w:rsidRPr="00C9253E" w:rsidRDefault="003C459D" w:rsidP="00E56B71">
            <w:pPr>
              <w:jc w:val="center"/>
              <w:rPr>
                <w:rFonts w:ascii="Arial" w:hAnsi="Arial" w:cs="Arial"/>
                <w:color w:val="000000"/>
                <w:sz w:val="16"/>
                <w:szCs w:val="16"/>
              </w:rPr>
            </w:pPr>
            <w:r w:rsidRPr="00C9253E">
              <w:rPr>
                <w:rFonts w:ascii="Arial" w:hAnsi="Arial" w:cs="Arial"/>
                <w:color w:val="000000"/>
                <w:sz w:val="16"/>
                <w:szCs w:val="16"/>
              </w:rPr>
              <w:t>1,171</w:t>
            </w:r>
          </w:p>
        </w:tc>
      </w:tr>
      <w:tr w:rsidR="003C459D" w:rsidRPr="00C9253E" w:rsidTr="00E56B71">
        <w:trPr>
          <w:trHeight w:val="315"/>
          <w:jc w:val="center"/>
        </w:trPr>
        <w:tc>
          <w:tcPr>
            <w:tcW w:w="2719" w:type="dxa"/>
            <w:tcBorders>
              <w:top w:val="nil"/>
              <w:left w:val="single" w:sz="8" w:space="0" w:color="009900"/>
              <w:bottom w:val="nil"/>
              <w:right w:val="nil"/>
            </w:tcBorders>
            <w:shd w:val="clear" w:color="000000" w:fill="FFFFE1"/>
            <w:noWrap/>
            <w:vAlign w:val="center"/>
            <w:hideMark/>
          </w:tcPr>
          <w:p w:rsidR="003C459D" w:rsidRPr="00C9253E" w:rsidRDefault="003C459D" w:rsidP="00E56B71">
            <w:pPr>
              <w:rPr>
                <w:rFonts w:ascii="Arial" w:hAnsi="Arial" w:cs="Arial"/>
                <w:color w:val="000000"/>
                <w:sz w:val="16"/>
                <w:szCs w:val="16"/>
              </w:rPr>
            </w:pPr>
            <w:r w:rsidRPr="00C9253E">
              <w:rPr>
                <w:rFonts w:ascii="Arial" w:hAnsi="Arial" w:cs="Arial"/>
                <w:color w:val="000000"/>
                <w:sz w:val="16"/>
                <w:szCs w:val="16"/>
              </w:rPr>
              <w:t>Balance of State</w:t>
            </w:r>
          </w:p>
        </w:tc>
        <w:tc>
          <w:tcPr>
            <w:tcW w:w="761" w:type="dxa"/>
            <w:tcBorders>
              <w:top w:val="nil"/>
              <w:left w:val="single" w:sz="8" w:space="0" w:color="009900"/>
              <w:bottom w:val="double" w:sz="6" w:space="0" w:color="009900"/>
              <w:right w:val="nil"/>
            </w:tcBorders>
            <w:shd w:val="clear" w:color="000000" w:fill="FFFFE1"/>
            <w:noWrap/>
            <w:vAlign w:val="center"/>
            <w:hideMark/>
          </w:tcPr>
          <w:p w:rsidR="003C459D" w:rsidRPr="00C9253E" w:rsidRDefault="003C459D" w:rsidP="00E56B71">
            <w:pPr>
              <w:jc w:val="center"/>
              <w:rPr>
                <w:rFonts w:ascii="Arial" w:hAnsi="Arial" w:cs="Arial"/>
                <w:color w:val="000000"/>
                <w:sz w:val="16"/>
                <w:szCs w:val="16"/>
              </w:rPr>
            </w:pPr>
            <w:r w:rsidRPr="00C9253E">
              <w:rPr>
                <w:rFonts w:ascii="Arial" w:hAnsi="Arial" w:cs="Arial"/>
                <w:color w:val="000000"/>
                <w:sz w:val="16"/>
                <w:szCs w:val="16"/>
              </w:rPr>
              <w:t>1,607</w:t>
            </w:r>
          </w:p>
        </w:tc>
        <w:tc>
          <w:tcPr>
            <w:tcW w:w="760" w:type="dxa"/>
            <w:tcBorders>
              <w:top w:val="nil"/>
              <w:left w:val="nil"/>
              <w:bottom w:val="double" w:sz="6" w:space="0" w:color="009900"/>
              <w:right w:val="nil"/>
            </w:tcBorders>
            <w:shd w:val="clear" w:color="000000" w:fill="FFFFE1"/>
            <w:noWrap/>
            <w:vAlign w:val="center"/>
            <w:hideMark/>
          </w:tcPr>
          <w:p w:rsidR="003C459D" w:rsidRPr="00C9253E" w:rsidRDefault="003C459D" w:rsidP="00E56B71">
            <w:pPr>
              <w:jc w:val="center"/>
              <w:rPr>
                <w:rFonts w:ascii="Arial" w:hAnsi="Arial" w:cs="Arial"/>
                <w:color w:val="000000"/>
                <w:sz w:val="16"/>
                <w:szCs w:val="16"/>
              </w:rPr>
            </w:pPr>
            <w:r w:rsidRPr="00C9253E">
              <w:rPr>
                <w:rFonts w:ascii="Arial" w:hAnsi="Arial" w:cs="Arial"/>
                <w:color w:val="000000"/>
                <w:sz w:val="16"/>
                <w:szCs w:val="16"/>
              </w:rPr>
              <w:t>1,739</w:t>
            </w:r>
          </w:p>
        </w:tc>
        <w:tc>
          <w:tcPr>
            <w:tcW w:w="760" w:type="dxa"/>
            <w:tcBorders>
              <w:top w:val="nil"/>
              <w:left w:val="nil"/>
              <w:bottom w:val="double" w:sz="6" w:space="0" w:color="009900"/>
              <w:right w:val="nil"/>
            </w:tcBorders>
            <w:shd w:val="clear" w:color="000000" w:fill="FFFFE1"/>
            <w:noWrap/>
            <w:vAlign w:val="center"/>
            <w:hideMark/>
          </w:tcPr>
          <w:p w:rsidR="003C459D" w:rsidRPr="00C9253E" w:rsidRDefault="003C459D" w:rsidP="00E56B71">
            <w:pPr>
              <w:jc w:val="center"/>
              <w:rPr>
                <w:rFonts w:ascii="Arial" w:hAnsi="Arial" w:cs="Arial"/>
                <w:color w:val="000000"/>
                <w:sz w:val="16"/>
                <w:szCs w:val="16"/>
              </w:rPr>
            </w:pPr>
            <w:r w:rsidRPr="00C9253E">
              <w:rPr>
                <w:rFonts w:ascii="Arial" w:hAnsi="Arial" w:cs="Arial"/>
                <w:color w:val="000000"/>
                <w:sz w:val="16"/>
                <w:szCs w:val="16"/>
              </w:rPr>
              <w:t>1,473</w:t>
            </w:r>
          </w:p>
        </w:tc>
        <w:tc>
          <w:tcPr>
            <w:tcW w:w="760" w:type="dxa"/>
            <w:tcBorders>
              <w:top w:val="nil"/>
              <w:left w:val="nil"/>
              <w:bottom w:val="double" w:sz="6" w:space="0" w:color="009900"/>
              <w:right w:val="nil"/>
            </w:tcBorders>
            <w:shd w:val="clear" w:color="000000" w:fill="FFFFE1"/>
            <w:noWrap/>
            <w:vAlign w:val="center"/>
            <w:hideMark/>
          </w:tcPr>
          <w:p w:rsidR="003C459D" w:rsidRPr="00C9253E" w:rsidRDefault="003C459D" w:rsidP="00E56B71">
            <w:pPr>
              <w:jc w:val="center"/>
              <w:rPr>
                <w:rFonts w:ascii="Arial" w:hAnsi="Arial" w:cs="Arial"/>
                <w:color w:val="000000"/>
                <w:sz w:val="16"/>
                <w:szCs w:val="16"/>
              </w:rPr>
            </w:pPr>
            <w:r w:rsidRPr="00C9253E">
              <w:rPr>
                <w:rFonts w:ascii="Arial" w:hAnsi="Arial" w:cs="Arial"/>
                <w:color w:val="000000"/>
                <w:sz w:val="16"/>
                <w:szCs w:val="16"/>
              </w:rPr>
              <w:t>1,962</w:t>
            </w:r>
          </w:p>
        </w:tc>
        <w:tc>
          <w:tcPr>
            <w:tcW w:w="760" w:type="dxa"/>
            <w:tcBorders>
              <w:top w:val="nil"/>
              <w:left w:val="nil"/>
              <w:bottom w:val="double" w:sz="6" w:space="0" w:color="009900"/>
              <w:right w:val="single" w:sz="8" w:space="0" w:color="009900"/>
            </w:tcBorders>
            <w:shd w:val="clear" w:color="000000" w:fill="FFFFE1"/>
            <w:noWrap/>
            <w:vAlign w:val="center"/>
            <w:hideMark/>
          </w:tcPr>
          <w:p w:rsidR="003C459D" w:rsidRPr="00C9253E" w:rsidRDefault="003C459D" w:rsidP="00E56B71">
            <w:pPr>
              <w:jc w:val="center"/>
              <w:rPr>
                <w:rFonts w:ascii="Arial" w:hAnsi="Arial" w:cs="Arial"/>
                <w:color w:val="000000"/>
                <w:sz w:val="16"/>
                <w:szCs w:val="16"/>
              </w:rPr>
            </w:pPr>
            <w:r w:rsidRPr="00C9253E">
              <w:rPr>
                <w:rFonts w:ascii="Arial" w:hAnsi="Arial" w:cs="Arial"/>
                <w:color w:val="000000"/>
                <w:sz w:val="16"/>
                <w:szCs w:val="16"/>
              </w:rPr>
              <w:t>1,648</w:t>
            </w:r>
          </w:p>
        </w:tc>
      </w:tr>
      <w:tr w:rsidR="003C459D" w:rsidRPr="00C9253E" w:rsidTr="00E56B71">
        <w:trPr>
          <w:trHeight w:val="330"/>
          <w:jc w:val="center"/>
        </w:trPr>
        <w:tc>
          <w:tcPr>
            <w:tcW w:w="2719" w:type="dxa"/>
            <w:tcBorders>
              <w:top w:val="double" w:sz="6" w:space="0" w:color="009900"/>
              <w:left w:val="single" w:sz="8" w:space="0" w:color="009900"/>
              <w:bottom w:val="single" w:sz="8" w:space="0" w:color="009900"/>
              <w:right w:val="nil"/>
            </w:tcBorders>
            <w:shd w:val="clear" w:color="000000" w:fill="FFFFE1"/>
            <w:noWrap/>
            <w:vAlign w:val="center"/>
            <w:hideMark/>
          </w:tcPr>
          <w:p w:rsidR="003C459D" w:rsidRPr="00C9253E" w:rsidRDefault="003C459D" w:rsidP="00E56B71">
            <w:pPr>
              <w:rPr>
                <w:rFonts w:ascii="Arial" w:hAnsi="Arial" w:cs="Arial"/>
                <w:b/>
                <w:bCs/>
                <w:color w:val="000000"/>
                <w:sz w:val="16"/>
                <w:szCs w:val="16"/>
              </w:rPr>
            </w:pPr>
            <w:r w:rsidRPr="00C9253E">
              <w:rPr>
                <w:rFonts w:ascii="Arial" w:hAnsi="Arial" w:cs="Arial"/>
                <w:b/>
                <w:bCs/>
                <w:color w:val="000000"/>
                <w:sz w:val="16"/>
                <w:szCs w:val="16"/>
              </w:rPr>
              <w:t>Total Homeless</w:t>
            </w:r>
          </w:p>
        </w:tc>
        <w:tc>
          <w:tcPr>
            <w:tcW w:w="761" w:type="dxa"/>
            <w:tcBorders>
              <w:top w:val="nil"/>
              <w:left w:val="single" w:sz="8" w:space="0" w:color="009900"/>
              <w:bottom w:val="single" w:sz="8" w:space="0" w:color="009900"/>
              <w:right w:val="nil"/>
            </w:tcBorders>
            <w:shd w:val="clear" w:color="000000" w:fill="FFFFE1"/>
            <w:noWrap/>
            <w:vAlign w:val="center"/>
            <w:hideMark/>
          </w:tcPr>
          <w:p w:rsidR="003C459D" w:rsidRPr="00C9253E" w:rsidRDefault="003C459D" w:rsidP="00E56B71">
            <w:pPr>
              <w:jc w:val="center"/>
              <w:rPr>
                <w:rFonts w:ascii="Arial" w:hAnsi="Arial" w:cs="Arial"/>
                <w:b/>
                <w:bCs/>
                <w:color w:val="000000"/>
                <w:sz w:val="16"/>
                <w:szCs w:val="16"/>
              </w:rPr>
            </w:pPr>
            <w:r w:rsidRPr="00C9253E">
              <w:rPr>
                <w:rFonts w:ascii="Arial" w:hAnsi="Arial" w:cs="Arial"/>
                <w:b/>
                <w:bCs/>
                <w:color w:val="000000"/>
                <w:sz w:val="16"/>
                <w:szCs w:val="16"/>
              </w:rPr>
              <w:t>5,256</w:t>
            </w:r>
          </w:p>
        </w:tc>
        <w:tc>
          <w:tcPr>
            <w:tcW w:w="760" w:type="dxa"/>
            <w:tcBorders>
              <w:top w:val="nil"/>
              <w:left w:val="nil"/>
              <w:bottom w:val="single" w:sz="8" w:space="0" w:color="009900"/>
              <w:right w:val="nil"/>
            </w:tcBorders>
            <w:shd w:val="clear" w:color="000000" w:fill="FFFFE1"/>
            <w:noWrap/>
            <w:vAlign w:val="center"/>
            <w:hideMark/>
          </w:tcPr>
          <w:p w:rsidR="003C459D" w:rsidRPr="00C9253E" w:rsidRDefault="003C459D" w:rsidP="00E56B71">
            <w:pPr>
              <w:jc w:val="center"/>
              <w:rPr>
                <w:rFonts w:ascii="Arial" w:hAnsi="Arial" w:cs="Arial"/>
                <w:b/>
                <w:bCs/>
                <w:color w:val="000000"/>
                <w:sz w:val="16"/>
                <w:szCs w:val="16"/>
              </w:rPr>
            </w:pPr>
            <w:r w:rsidRPr="00C9253E">
              <w:rPr>
                <w:rFonts w:ascii="Arial" w:hAnsi="Arial" w:cs="Arial"/>
                <w:b/>
                <w:bCs/>
                <w:color w:val="000000"/>
                <w:sz w:val="16"/>
                <w:szCs w:val="16"/>
              </w:rPr>
              <w:t>3,015</w:t>
            </w:r>
          </w:p>
        </w:tc>
        <w:tc>
          <w:tcPr>
            <w:tcW w:w="760" w:type="dxa"/>
            <w:tcBorders>
              <w:top w:val="nil"/>
              <w:left w:val="nil"/>
              <w:bottom w:val="single" w:sz="8" w:space="0" w:color="009900"/>
              <w:right w:val="nil"/>
            </w:tcBorders>
            <w:shd w:val="clear" w:color="000000" w:fill="FFFFE1"/>
            <w:noWrap/>
            <w:vAlign w:val="center"/>
            <w:hideMark/>
          </w:tcPr>
          <w:p w:rsidR="003C459D" w:rsidRPr="00C9253E" w:rsidRDefault="003C459D" w:rsidP="00E56B71">
            <w:pPr>
              <w:jc w:val="center"/>
              <w:rPr>
                <w:rFonts w:ascii="Arial" w:hAnsi="Arial" w:cs="Arial"/>
                <w:b/>
                <w:bCs/>
                <w:color w:val="000000"/>
                <w:sz w:val="16"/>
                <w:szCs w:val="16"/>
              </w:rPr>
            </w:pPr>
            <w:r w:rsidRPr="00C9253E">
              <w:rPr>
                <w:rFonts w:ascii="Arial" w:hAnsi="Arial" w:cs="Arial"/>
                <w:b/>
                <w:bCs/>
                <w:color w:val="000000"/>
                <w:sz w:val="16"/>
                <w:szCs w:val="16"/>
              </w:rPr>
              <w:t>3,475</w:t>
            </w:r>
          </w:p>
        </w:tc>
        <w:tc>
          <w:tcPr>
            <w:tcW w:w="760" w:type="dxa"/>
            <w:tcBorders>
              <w:top w:val="nil"/>
              <w:left w:val="nil"/>
              <w:bottom w:val="single" w:sz="8" w:space="0" w:color="009900"/>
              <w:right w:val="nil"/>
            </w:tcBorders>
            <w:shd w:val="clear" w:color="000000" w:fill="FFFFE1"/>
            <w:noWrap/>
            <w:vAlign w:val="center"/>
            <w:hideMark/>
          </w:tcPr>
          <w:p w:rsidR="003C459D" w:rsidRPr="00C9253E" w:rsidRDefault="003C459D" w:rsidP="00E56B71">
            <w:pPr>
              <w:jc w:val="center"/>
              <w:rPr>
                <w:rFonts w:ascii="Arial" w:hAnsi="Arial" w:cs="Arial"/>
                <w:b/>
                <w:bCs/>
                <w:color w:val="000000"/>
                <w:sz w:val="16"/>
                <w:szCs w:val="16"/>
              </w:rPr>
            </w:pPr>
            <w:r w:rsidRPr="00C9253E">
              <w:rPr>
                <w:rFonts w:ascii="Arial" w:hAnsi="Arial" w:cs="Arial"/>
                <w:b/>
                <w:bCs/>
                <w:color w:val="000000"/>
                <w:sz w:val="16"/>
                <w:szCs w:val="16"/>
              </w:rPr>
              <w:t>3,601</w:t>
            </w:r>
          </w:p>
        </w:tc>
        <w:tc>
          <w:tcPr>
            <w:tcW w:w="760" w:type="dxa"/>
            <w:tcBorders>
              <w:top w:val="nil"/>
              <w:left w:val="nil"/>
              <w:bottom w:val="single" w:sz="8" w:space="0" w:color="009900"/>
              <w:right w:val="single" w:sz="8" w:space="0" w:color="009900"/>
            </w:tcBorders>
            <w:shd w:val="clear" w:color="000000" w:fill="FFFFE1"/>
            <w:noWrap/>
            <w:vAlign w:val="center"/>
            <w:hideMark/>
          </w:tcPr>
          <w:p w:rsidR="003C459D" w:rsidRPr="00C9253E" w:rsidRDefault="003C459D" w:rsidP="00E56B71">
            <w:pPr>
              <w:jc w:val="center"/>
              <w:rPr>
                <w:rFonts w:ascii="Arial" w:hAnsi="Arial" w:cs="Arial"/>
                <w:b/>
                <w:bCs/>
                <w:color w:val="000000"/>
                <w:sz w:val="16"/>
                <w:szCs w:val="16"/>
              </w:rPr>
            </w:pPr>
            <w:r w:rsidRPr="00C9253E">
              <w:rPr>
                <w:rFonts w:ascii="Arial" w:hAnsi="Arial" w:cs="Arial"/>
                <w:b/>
                <w:bCs/>
                <w:color w:val="000000"/>
                <w:sz w:val="16"/>
                <w:szCs w:val="16"/>
              </w:rPr>
              <w:t>2,819</w:t>
            </w:r>
          </w:p>
        </w:tc>
      </w:tr>
    </w:tbl>
    <w:p w:rsidR="003C459D" w:rsidRDefault="003C459D" w:rsidP="003C459D">
      <w:pPr>
        <w:tabs>
          <w:tab w:val="left" w:pos="540"/>
        </w:tabs>
        <w:jc w:val="both"/>
        <w:rPr>
          <w:rFonts w:ascii="CG Omega" w:hAnsi="CG Omega"/>
          <w:sz w:val="20"/>
          <w:szCs w:val="20"/>
        </w:rPr>
      </w:pPr>
    </w:p>
    <w:p w:rsidR="00A400B5" w:rsidRPr="00A400B5" w:rsidRDefault="00A400B5" w:rsidP="003C459D">
      <w:pPr>
        <w:tabs>
          <w:tab w:val="left" w:pos="540"/>
        </w:tabs>
        <w:jc w:val="both"/>
        <w:rPr>
          <w:rFonts w:ascii="CG Omega" w:hAnsi="CG Omega"/>
          <w:sz w:val="20"/>
          <w:szCs w:val="20"/>
        </w:rPr>
      </w:pPr>
    </w:p>
    <w:p w:rsidR="003C459D" w:rsidRDefault="003C459D" w:rsidP="003C459D">
      <w:pPr>
        <w:tabs>
          <w:tab w:val="left" w:pos="540"/>
        </w:tabs>
        <w:jc w:val="both"/>
        <w:rPr>
          <w:rFonts w:ascii="CG Omega" w:hAnsi="CG Omega"/>
        </w:rPr>
      </w:pPr>
      <w:r>
        <w:rPr>
          <w:rFonts w:ascii="CG Omega" w:hAnsi="CG Omega"/>
        </w:rPr>
        <w:t xml:space="preserve">Albuquerque and the Balance of State CoCs have different rates of persons remaining unsheltered. For the 2013 count, the total of all homeless persons remaining unsheltered within the Albuquerque CoC was 12.3 percent. The percentage of total homeless persons remaining unsheltered within the Balance of State CoC was 17.2 percent, as seen in </w:t>
      </w:r>
      <w:r w:rsidRPr="00A400B5">
        <w:rPr>
          <w:rFonts w:ascii="CG Omega" w:hAnsi="CG Omega"/>
          <w:b/>
        </w:rPr>
        <w:t>Table</w:t>
      </w:r>
      <w:r w:rsidR="00832AB3" w:rsidRPr="00A400B5">
        <w:rPr>
          <w:rFonts w:ascii="CG Omega" w:hAnsi="CG Omega"/>
          <w:b/>
        </w:rPr>
        <w:t xml:space="preserve"> V.</w:t>
      </w:r>
      <w:r w:rsidR="000155B6" w:rsidRPr="00A400B5">
        <w:rPr>
          <w:rFonts w:ascii="CG Omega" w:hAnsi="CG Omega"/>
          <w:b/>
        </w:rPr>
        <w:t>6</w:t>
      </w:r>
      <w:r w:rsidRPr="00832AB3">
        <w:rPr>
          <w:rFonts w:ascii="CG Omega" w:hAnsi="CG Omega"/>
        </w:rPr>
        <w:t xml:space="preserve">, </w:t>
      </w:r>
      <w:r w:rsidRPr="00CB3631">
        <w:rPr>
          <w:rFonts w:ascii="CG Omega" w:hAnsi="CG Omega"/>
        </w:rPr>
        <w:t>below.</w:t>
      </w:r>
      <w:r>
        <w:rPr>
          <w:rFonts w:ascii="CG Omega" w:hAnsi="CG Omega"/>
        </w:rPr>
        <w:t xml:space="preserve"> For the state as a whole, 15.2 percent of homeless persons remained unsheltered during the 2013 count. This number has decreased from 2009, when the percentage of homeless persons remaining unsheltered was at 39.3 percent.  As stated above, these numbers may be less than the total homeless population due to the nature of the point-in-time count.</w:t>
      </w:r>
    </w:p>
    <w:tbl>
      <w:tblPr>
        <w:tblW w:w="6797" w:type="dxa"/>
        <w:jc w:val="center"/>
        <w:tblLook w:val="04A0" w:firstRow="1" w:lastRow="0" w:firstColumn="1" w:lastColumn="0" w:noHBand="0" w:noVBand="1"/>
      </w:tblPr>
      <w:tblGrid>
        <w:gridCol w:w="2409"/>
        <w:gridCol w:w="2286"/>
        <w:gridCol w:w="864"/>
        <w:gridCol w:w="990"/>
        <w:gridCol w:w="617"/>
      </w:tblGrid>
      <w:tr w:rsidR="003C459D" w:rsidRPr="005300D4" w:rsidTr="00E56B71">
        <w:trPr>
          <w:trHeight w:val="198"/>
          <w:jc w:val="center"/>
        </w:trPr>
        <w:tc>
          <w:tcPr>
            <w:tcW w:w="6797" w:type="dxa"/>
            <w:gridSpan w:val="5"/>
            <w:tcBorders>
              <w:top w:val="nil"/>
              <w:left w:val="nil"/>
              <w:bottom w:val="nil"/>
              <w:right w:val="nil"/>
            </w:tcBorders>
            <w:shd w:val="clear" w:color="auto" w:fill="auto"/>
            <w:noWrap/>
            <w:vAlign w:val="center"/>
            <w:hideMark/>
          </w:tcPr>
          <w:p w:rsidR="003C459D" w:rsidRPr="00A400B5" w:rsidRDefault="003C459D" w:rsidP="00E56B71">
            <w:pPr>
              <w:rPr>
                <w:rFonts w:ascii="Arial" w:hAnsi="Arial" w:cs="Arial"/>
                <w:bCs/>
                <w:color w:val="000000"/>
                <w:sz w:val="20"/>
                <w:szCs w:val="20"/>
              </w:rPr>
            </w:pPr>
          </w:p>
          <w:p w:rsidR="003C459D" w:rsidRPr="005300D4" w:rsidRDefault="003C459D" w:rsidP="000155B6">
            <w:pPr>
              <w:jc w:val="center"/>
              <w:rPr>
                <w:rFonts w:ascii="Arial" w:hAnsi="Arial" w:cs="Arial"/>
                <w:b/>
                <w:bCs/>
                <w:color w:val="000000"/>
              </w:rPr>
            </w:pPr>
            <w:r w:rsidRPr="00832AB3">
              <w:rPr>
                <w:rFonts w:ascii="Arial" w:hAnsi="Arial" w:cs="Arial"/>
                <w:b/>
                <w:bCs/>
                <w:color w:val="000000"/>
              </w:rPr>
              <w:t>Table</w:t>
            </w:r>
            <w:r w:rsidR="00832AB3">
              <w:rPr>
                <w:rFonts w:ascii="Arial" w:hAnsi="Arial" w:cs="Arial"/>
                <w:b/>
                <w:bCs/>
                <w:color w:val="000000"/>
              </w:rPr>
              <w:t xml:space="preserve"> V.</w:t>
            </w:r>
            <w:r w:rsidR="000155B6">
              <w:rPr>
                <w:rFonts w:ascii="Arial" w:hAnsi="Arial" w:cs="Arial"/>
                <w:b/>
                <w:bCs/>
                <w:color w:val="000000"/>
              </w:rPr>
              <w:t>6</w:t>
            </w:r>
          </w:p>
        </w:tc>
      </w:tr>
      <w:tr w:rsidR="003C459D" w:rsidRPr="005300D4" w:rsidTr="00E56B71">
        <w:trPr>
          <w:trHeight w:val="252"/>
          <w:jc w:val="center"/>
        </w:trPr>
        <w:tc>
          <w:tcPr>
            <w:tcW w:w="6797" w:type="dxa"/>
            <w:gridSpan w:val="5"/>
            <w:tcBorders>
              <w:top w:val="nil"/>
              <w:left w:val="nil"/>
              <w:bottom w:val="nil"/>
              <w:right w:val="nil"/>
            </w:tcBorders>
            <w:shd w:val="clear" w:color="auto" w:fill="auto"/>
            <w:noWrap/>
            <w:vAlign w:val="center"/>
            <w:hideMark/>
          </w:tcPr>
          <w:p w:rsidR="003C459D" w:rsidRPr="005300D4" w:rsidRDefault="003C459D" w:rsidP="00E56B71">
            <w:pPr>
              <w:jc w:val="center"/>
              <w:rPr>
                <w:rFonts w:ascii="Arial" w:hAnsi="Arial" w:cs="Arial"/>
                <w:b/>
                <w:bCs/>
                <w:color w:val="000000"/>
                <w:sz w:val="20"/>
                <w:szCs w:val="20"/>
              </w:rPr>
            </w:pPr>
            <w:r w:rsidRPr="005300D4">
              <w:rPr>
                <w:rFonts w:ascii="Arial" w:hAnsi="Arial" w:cs="Arial"/>
                <w:b/>
                <w:bCs/>
                <w:color w:val="000000"/>
                <w:sz w:val="20"/>
                <w:szCs w:val="20"/>
              </w:rPr>
              <w:t>Homeless Count</w:t>
            </w:r>
          </w:p>
        </w:tc>
      </w:tr>
      <w:tr w:rsidR="003C459D" w:rsidRPr="005300D4" w:rsidTr="00E56B71">
        <w:trPr>
          <w:trHeight w:val="135"/>
          <w:jc w:val="center"/>
        </w:trPr>
        <w:tc>
          <w:tcPr>
            <w:tcW w:w="6797" w:type="dxa"/>
            <w:gridSpan w:val="5"/>
            <w:tcBorders>
              <w:top w:val="nil"/>
              <w:left w:val="nil"/>
              <w:bottom w:val="nil"/>
              <w:right w:val="nil"/>
            </w:tcBorders>
            <w:shd w:val="clear" w:color="auto" w:fill="auto"/>
            <w:noWrap/>
            <w:vAlign w:val="center"/>
            <w:hideMark/>
          </w:tcPr>
          <w:p w:rsidR="003C459D" w:rsidRPr="005300D4" w:rsidRDefault="003C459D" w:rsidP="00E56B71">
            <w:pPr>
              <w:jc w:val="center"/>
              <w:rPr>
                <w:rFonts w:ascii="Arial" w:hAnsi="Arial" w:cs="Arial"/>
                <w:color w:val="000000"/>
                <w:sz w:val="16"/>
                <w:szCs w:val="16"/>
              </w:rPr>
            </w:pPr>
            <w:r>
              <w:rPr>
                <w:rFonts w:ascii="Arial" w:hAnsi="Arial" w:cs="Arial"/>
                <w:color w:val="000000"/>
                <w:sz w:val="16"/>
                <w:szCs w:val="16"/>
              </w:rPr>
              <w:t>The State of New Mexico</w:t>
            </w:r>
            <w:r>
              <w:rPr>
                <w:rStyle w:val="FootnoteReference"/>
                <w:rFonts w:ascii="Arial" w:hAnsi="Arial" w:cs="Arial"/>
                <w:color w:val="000000"/>
                <w:sz w:val="16"/>
                <w:szCs w:val="16"/>
              </w:rPr>
              <w:footnoteReference w:id="48"/>
            </w:r>
          </w:p>
        </w:tc>
      </w:tr>
      <w:tr w:rsidR="003C459D" w:rsidRPr="005300D4" w:rsidTr="00E56B71">
        <w:trPr>
          <w:trHeight w:val="90"/>
          <w:jc w:val="center"/>
        </w:trPr>
        <w:tc>
          <w:tcPr>
            <w:tcW w:w="6797" w:type="dxa"/>
            <w:gridSpan w:val="5"/>
            <w:tcBorders>
              <w:top w:val="nil"/>
              <w:left w:val="nil"/>
              <w:bottom w:val="nil"/>
              <w:right w:val="nil"/>
            </w:tcBorders>
            <w:shd w:val="clear" w:color="auto" w:fill="auto"/>
            <w:noWrap/>
            <w:vAlign w:val="bottom"/>
            <w:hideMark/>
          </w:tcPr>
          <w:p w:rsidR="003C459D" w:rsidRPr="00A00EDA" w:rsidRDefault="003C459D" w:rsidP="00E56B71">
            <w:pPr>
              <w:jc w:val="center"/>
              <w:rPr>
                <w:rFonts w:ascii="Arial" w:hAnsi="Arial" w:cs="Arial"/>
                <w:color w:val="000000"/>
                <w:sz w:val="16"/>
                <w:szCs w:val="16"/>
              </w:rPr>
            </w:pPr>
            <w:r w:rsidRPr="00A00EDA">
              <w:rPr>
                <w:rFonts w:ascii="Arial" w:hAnsi="Arial" w:cs="Arial"/>
                <w:color w:val="000000"/>
                <w:sz w:val="16"/>
                <w:szCs w:val="16"/>
              </w:rPr>
              <w:t>Homeless Point-In-Time Counts</w:t>
            </w:r>
          </w:p>
        </w:tc>
      </w:tr>
      <w:tr w:rsidR="003C459D" w:rsidRPr="005300D4" w:rsidTr="00E56B71">
        <w:trPr>
          <w:trHeight w:val="315"/>
          <w:jc w:val="center"/>
        </w:trPr>
        <w:tc>
          <w:tcPr>
            <w:tcW w:w="2409" w:type="dxa"/>
            <w:tcBorders>
              <w:top w:val="single" w:sz="8" w:space="0" w:color="009900"/>
              <w:left w:val="single" w:sz="8" w:space="0" w:color="009900"/>
              <w:bottom w:val="single" w:sz="8" w:space="0" w:color="009900"/>
              <w:right w:val="nil"/>
            </w:tcBorders>
            <w:shd w:val="clear" w:color="000000" w:fill="FFFFE1"/>
            <w:noWrap/>
            <w:vAlign w:val="center"/>
            <w:hideMark/>
          </w:tcPr>
          <w:p w:rsidR="003C459D" w:rsidRPr="005300D4" w:rsidRDefault="003C459D" w:rsidP="00E56B71">
            <w:pPr>
              <w:rPr>
                <w:rFonts w:ascii="Arial" w:hAnsi="Arial" w:cs="Arial"/>
                <w:b/>
                <w:bCs/>
                <w:color w:val="000000"/>
                <w:sz w:val="16"/>
                <w:szCs w:val="16"/>
              </w:rPr>
            </w:pPr>
            <w:r w:rsidRPr="005300D4">
              <w:rPr>
                <w:rFonts w:ascii="Arial" w:hAnsi="Arial" w:cs="Arial"/>
                <w:b/>
                <w:bCs/>
                <w:color w:val="000000"/>
                <w:sz w:val="16"/>
                <w:szCs w:val="16"/>
              </w:rPr>
              <w:t>Point in Time Count</w:t>
            </w:r>
          </w:p>
        </w:tc>
        <w:tc>
          <w:tcPr>
            <w:tcW w:w="2286" w:type="dxa"/>
            <w:tcBorders>
              <w:top w:val="single" w:sz="8" w:space="0" w:color="009900"/>
              <w:left w:val="nil"/>
              <w:bottom w:val="single" w:sz="8" w:space="0" w:color="009900"/>
              <w:right w:val="nil"/>
            </w:tcBorders>
            <w:shd w:val="clear" w:color="000000" w:fill="FFFFE1"/>
            <w:noWrap/>
            <w:vAlign w:val="center"/>
            <w:hideMark/>
          </w:tcPr>
          <w:p w:rsidR="003C459D" w:rsidRPr="005300D4" w:rsidRDefault="003C459D" w:rsidP="00E56B71">
            <w:pPr>
              <w:rPr>
                <w:rFonts w:ascii="Arial" w:hAnsi="Arial" w:cs="Arial"/>
                <w:b/>
                <w:bCs/>
                <w:color w:val="000000"/>
                <w:sz w:val="16"/>
                <w:szCs w:val="16"/>
              </w:rPr>
            </w:pPr>
            <w:r w:rsidRPr="005300D4">
              <w:rPr>
                <w:rFonts w:ascii="Arial" w:hAnsi="Arial" w:cs="Arial"/>
                <w:b/>
                <w:bCs/>
                <w:color w:val="000000"/>
                <w:sz w:val="16"/>
                <w:szCs w:val="16"/>
              </w:rPr>
              <w:t> </w:t>
            </w:r>
          </w:p>
        </w:tc>
        <w:tc>
          <w:tcPr>
            <w:tcW w:w="864" w:type="dxa"/>
            <w:tcBorders>
              <w:top w:val="single" w:sz="8" w:space="0" w:color="009900"/>
              <w:left w:val="nil"/>
              <w:bottom w:val="single" w:sz="8" w:space="0" w:color="009900"/>
              <w:right w:val="nil"/>
            </w:tcBorders>
            <w:shd w:val="clear" w:color="000000" w:fill="FFFFE1"/>
            <w:noWrap/>
            <w:vAlign w:val="center"/>
            <w:hideMark/>
          </w:tcPr>
          <w:p w:rsidR="003C459D" w:rsidRPr="005300D4" w:rsidRDefault="003C459D" w:rsidP="00E56B71">
            <w:pPr>
              <w:jc w:val="center"/>
              <w:rPr>
                <w:rFonts w:ascii="Arial" w:hAnsi="Arial" w:cs="Arial"/>
                <w:b/>
                <w:bCs/>
                <w:color w:val="000000"/>
                <w:sz w:val="16"/>
                <w:szCs w:val="16"/>
              </w:rPr>
            </w:pPr>
            <w:r w:rsidRPr="005300D4">
              <w:rPr>
                <w:rFonts w:ascii="Arial" w:hAnsi="Arial" w:cs="Arial"/>
                <w:b/>
                <w:bCs/>
                <w:color w:val="000000"/>
                <w:sz w:val="16"/>
                <w:szCs w:val="16"/>
              </w:rPr>
              <w:t>2009</w:t>
            </w:r>
          </w:p>
        </w:tc>
        <w:tc>
          <w:tcPr>
            <w:tcW w:w="990" w:type="dxa"/>
            <w:tcBorders>
              <w:top w:val="single" w:sz="8" w:space="0" w:color="009900"/>
              <w:left w:val="nil"/>
              <w:bottom w:val="single" w:sz="8" w:space="0" w:color="009900"/>
              <w:right w:val="nil"/>
            </w:tcBorders>
            <w:shd w:val="clear" w:color="000000" w:fill="FFFFE1"/>
            <w:noWrap/>
            <w:vAlign w:val="center"/>
            <w:hideMark/>
          </w:tcPr>
          <w:p w:rsidR="003C459D" w:rsidRPr="005300D4" w:rsidRDefault="003C459D" w:rsidP="00E56B71">
            <w:pPr>
              <w:jc w:val="center"/>
              <w:rPr>
                <w:rFonts w:ascii="Arial" w:hAnsi="Arial" w:cs="Arial"/>
                <w:b/>
                <w:bCs/>
                <w:color w:val="000000"/>
                <w:sz w:val="16"/>
                <w:szCs w:val="16"/>
              </w:rPr>
            </w:pPr>
            <w:r w:rsidRPr="005300D4">
              <w:rPr>
                <w:rFonts w:ascii="Arial" w:hAnsi="Arial" w:cs="Arial"/>
                <w:b/>
                <w:bCs/>
                <w:color w:val="000000"/>
                <w:sz w:val="16"/>
                <w:szCs w:val="16"/>
              </w:rPr>
              <w:t>2011</w:t>
            </w:r>
          </w:p>
        </w:tc>
        <w:tc>
          <w:tcPr>
            <w:tcW w:w="248" w:type="dxa"/>
            <w:tcBorders>
              <w:top w:val="single" w:sz="8" w:space="0" w:color="009900"/>
              <w:left w:val="nil"/>
              <w:bottom w:val="single" w:sz="8" w:space="0" w:color="009900"/>
              <w:right w:val="single" w:sz="8" w:space="0" w:color="009900"/>
            </w:tcBorders>
            <w:shd w:val="clear" w:color="000000" w:fill="FFFFE1"/>
            <w:noWrap/>
            <w:vAlign w:val="center"/>
            <w:hideMark/>
          </w:tcPr>
          <w:p w:rsidR="003C459D" w:rsidRPr="005300D4" w:rsidRDefault="003C459D" w:rsidP="00E56B71">
            <w:pPr>
              <w:jc w:val="center"/>
              <w:rPr>
                <w:rFonts w:ascii="Arial" w:hAnsi="Arial" w:cs="Arial"/>
                <w:b/>
                <w:bCs/>
                <w:color w:val="000000"/>
                <w:sz w:val="16"/>
                <w:szCs w:val="16"/>
              </w:rPr>
            </w:pPr>
            <w:r w:rsidRPr="005300D4">
              <w:rPr>
                <w:rFonts w:ascii="Arial" w:hAnsi="Arial" w:cs="Arial"/>
                <w:b/>
                <w:bCs/>
                <w:color w:val="000000"/>
                <w:sz w:val="16"/>
                <w:szCs w:val="16"/>
              </w:rPr>
              <w:t>2013</w:t>
            </w:r>
          </w:p>
        </w:tc>
      </w:tr>
      <w:tr w:rsidR="003C459D" w:rsidRPr="005300D4" w:rsidTr="00E56B71">
        <w:trPr>
          <w:trHeight w:val="315"/>
          <w:jc w:val="center"/>
        </w:trPr>
        <w:tc>
          <w:tcPr>
            <w:tcW w:w="2409" w:type="dxa"/>
            <w:tcBorders>
              <w:top w:val="nil"/>
              <w:left w:val="single" w:sz="8" w:space="0" w:color="009900"/>
              <w:bottom w:val="nil"/>
              <w:right w:val="nil"/>
            </w:tcBorders>
            <w:shd w:val="clear" w:color="000000" w:fill="FFFFE1"/>
            <w:noWrap/>
            <w:vAlign w:val="center"/>
            <w:hideMark/>
          </w:tcPr>
          <w:p w:rsidR="003C459D" w:rsidRPr="005300D4" w:rsidRDefault="003C459D" w:rsidP="00E56B71">
            <w:pPr>
              <w:rPr>
                <w:rFonts w:ascii="Arial" w:hAnsi="Arial" w:cs="Arial"/>
                <w:color w:val="000000"/>
                <w:sz w:val="16"/>
                <w:szCs w:val="16"/>
              </w:rPr>
            </w:pPr>
            <w:r w:rsidRPr="005300D4">
              <w:rPr>
                <w:rFonts w:ascii="Arial" w:hAnsi="Arial" w:cs="Arial"/>
                <w:color w:val="000000"/>
                <w:sz w:val="16"/>
                <w:szCs w:val="16"/>
              </w:rPr>
              <w:t> </w:t>
            </w:r>
          </w:p>
        </w:tc>
        <w:tc>
          <w:tcPr>
            <w:tcW w:w="2286" w:type="dxa"/>
            <w:tcBorders>
              <w:top w:val="nil"/>
              <w:left w:val="single" w:sz="8" w:space="0" w:color="009900"/>
              <w:bottom w:val="nil"/>
              <w:right w:val="nil"/>
            </w:tcBorders>
            <w:shd w:val="clear" w:color="000000" w:fill="FFFFE1"/>
            <w:noWrap/>
            <w:vAlign w:val="center"/>
            <w:hideMark/>
          </w:tcPr>
          <w:p w:rsidR="003C459D" w:rsidRPr="005300D4" w:rsidRDefault="003C459D" w:rsidP="00E56B71">
            <w:pPr>
              <w:rPr>
                <w:rFonts w:ascii="Arial" w:hAnsi="Arial" w:cs="Arial"/>
                <w:color w:val="000000"/>
                <w:sz w:val="16"/>
                <w:szCs w:val="16"/>
              </w:rPr>
            </w:pPr>
            <w:r w:rsidRPr="005300D4">
              <w:rPr>
                <w:rFonts w:ascii="Arial" w:hAnsi="Arial" w:cs="Arial"/>
                <w:color w:val="000000"/>
                <w:sz w:val="16"/>
                <w:szCs w:val="16"/>
              </w:rPr>
              <w:t>Emergency Shelter</w:t>
            </w:r>
          </w:p>
        </w:tc>
        <w:tc>
          <w:tcPr>
            <w:tcW w:w="864" w:type="dxa"/>
            <w:tcBorders>
              <w:top w:val="nil"/>
              <w:left w:val="nil"/>
              <w:bottom w:val="nil"/>
              <w:right w:val="nil"/>
            </w:tcBorders>
            <w:shd w:val="clear" w:color="000000" w:fill="FFFFE1"/>
            <w:noWrap/>
            <w:vAlign w:val="center"/>
            <w:hideMark/>
          </w:tcPr>
          <w:p w:rsidR="003C459D" w:rsidRPr="005300D4" w:rsidRDefault="003C459D" w:rsidP="00E56B71">
            <w:pPr>
              <w:jc w:val="center"/>
              <w:rPr>
                <w:rFonts w:ascii="Arial" w:hAnsi="Arial" w:cs="Arial"/>
                <w:color w:val="000000"/>
                <w:sz w:val="16"/>
                <w:szCs w:val="16"/>
              </w:rPr>
            </w:pPr>
            <w:r w:rsidRPr="005300D4">
              <w:rPr>
                <w:rFonts w:ascii="Arial" w:hAnsi="Arial" w:cs="Arial"/>
                <w:color w:val="000000"/>
                <w:sz w:val="16"/>
                <w:szCs w:val="16"/>
              </w:rPr>
              <w:t>481</w:t>
            </w:r>
          </w:p>
        </w:tc>
        <w:tc>
          <w:tcPr>
            <w:tcW w:w="990" w:type="dxa"/>
            <w:tcBorders>
              <w:top w:val="nil"/>
              <w:left w:val="nil"/>
              <w:bottom w:val="nil"/>
              <w:right w:val="nil"/>
            </w:tcBorders>
            <w:shd w:val="clear" w:color="000000" w:fill="FFFFE1"/>
            <w:noWrap/>
            <w:vAlign w:val="center"/>
            <w:hideMark/>
          </w:tcPr>
          <w:p w:rsidR="003C459D" w:rsidRPr="005300D4" w:rsidRDefault="003C459D" w:rsidP="00E56B71">
            <w:pPr>
              <w:jc w:val="center"/>
              <w:rPr>
                <w:rFonts w:ascii="Arial" w:hAnsi="Arial" w:cs="Arial"/>
                <w:color w:val="000000"/>
                <w:sz w:val="16"/>
                <w:szCs w:val="16"/>
              </w:rPr>
            </w:pPr>
            <w:r w:rsidRPr="005300D4">
              <w:rPr>
                <w:rFonts w:ascii="Arial" w:hAnsi="Arial" w:cs="Arial"/>
                <w:color w:val="000000"/>
                <w:sz w:val="16"/>
                <w:szCs w:val="16"/>
              </w:rPr>
              <w:t>658</w:t>
            </w:r>
          </w:p>
        </w:tc>
        <w:tc>
          <w:tcPr>
            <w:tcW w:w="248" w:type="dxa"/>
            <w:tcBorders>
              <w:top w:val="nil"/>
              <w:left w:val="nil"/>
              <w:bottom w:val="nil"/>
              <w:right w:val="single" w:sz="8" w:space="0" w:color="009900"/>
            </w:tcBorders>
            <w:shd w:val="clear" w:color="000000" w:fill="FFFFE1"/>
            <w:noWrap/>
            <w:vAlign w:val="center"/>
            <w:hideMark/>
          </w:tcPr>
          <w:p w:rsidR="003C459D" w:rsidRPr="005300D4" w:rsidRDefault="003C459D" w:rsidP="00E56B71">
            <w:pPr>
              <w:jc w:val="center"/>
              <w:rPr>
                <w:rFonts w:ascii="Arial" w:hAnsi="Arial" w:cs="Arial"/>
                <w:color w:val="000000"/>
                <w:sz w:val="16"/>
                <w:szCs w:val="16"/>
              </w:rPr>
            </w:pPr>
            <w:r w:rsidRPr="005300D4">
              <w:rPr>
                <w:rFonts w:ascii="Arial" w:hAnsi="Arial" w:cs="Arial"/>
                <w:color w:val="000000"/>
                <w:sz w:val="16"/>
                <w:szCs w:val="16"/>
              </w:rPr>
              <w:t>619</w:t>
            </w:r>
          </w:p>
        </w:tc>
      </w:tr>
      <w:tr w:rsidR="003C459D" w:rsidRPr="005300D4" w:rsidTr="00E56B71">
        <w:trPr>
          <w:trHeight w:val="315"/>
          <w:jc w:val="center"/>
        </w:trPr>
        <w:tc>
          <w:tcPr>
            <w:tcW w:w="2409" w:type="dxa"/>
            <w:tcBorders>
              <w:top w:val="nil"/>
              <w:left w:val="single" w:sz="8" w:space="0" w:color="009900"/>
              <w:bottom w:val="nil"/>
              <w:right w:val="single" w:sz="8" w:space="0" w:color="009900"/>
            </w:tcBorders>
            <w:shd w:val="clear" w:color="000000" w:fill="FFFFE1"/>
            <w:noWrap/>
            <w:vAlign w:val="center"/>
            <w:hideMark/>
          </w:tcPr>
          <w:p w:rsidR="003C459D" w:rsidRPr="005300D4" w:rsidRDefault="003C459D" w:rsidP="00E56B71">
            <w:pPr>
              <w:jc w:val="center"/>
              <w:rPr>
                <w:rFonts w:ascii="Arial" w:hAnsi="Arial" w:cs="Arial"/>
                <w:color w:val="000000"/>
                <w:sz w:val="16"/>
                <w:szCs w:val="16"/>
              </w:rPr>
            </w:pPr>
            <w:r w:rsidRPr="005300D4">
              <w:rPr>
                <w:rFonts w:ascii="Arial" w:hAnsi="Arial" w:cs="Arial"/>
                <w:color w:val="000000"/>
                <w:sz w:val="16"/>
                <w:szCs w:val="16"/>
              </w:rPr>
              <w:t>Albuquerque CoC</w:t>
            </w:r>
          </w:p>
        </w:tc>
        <w:tc>
          <w:tcPr>
            <w:tcW w:w="2286" w:type="dxa"/>
            <w:tcBorders>
              <w:top w:val="nil"/>
              <w:left w:val="nil"/>
              <w:bottom w:val="nil"/>
              <w:right w:val="nil"/>
            </w:tcBorders>
            <w:shd w:val="clear" w:color="000000" w:fill="FFFFE1"/>
            <w:noWrap/>
            <w:vAlign w:val="center"/>
            <w:hideMark/>
          </w:tcPr>
          <w:p w:rsidR="003C459D" w:rsidRPr="005300D4" w:rsidRDefault="003C459D" w:rsidP="00E56B71">
            <w:pPr>
              <w:rPr>
                <w:rFonts w:ascii="Arial" w:hAnsi="Arial" w:cs="Arial"/>
                <w:color w:val="000000"/>
                <w:sz w:val="16"/>
                <w:szCs w:val="16"/>
              </w:rPr>
            </w:pPr>
            <w:r w:rsidRPr="005300D4">
              <w:rPr>
                <w:rFonts w:ascii="Arial" w:hAnsi="Arial" w:cs="Arial"/>
                <w:color w:val="000000"/>
                <w:sz w:val="16"/>
                <w:szCs w:val="16"/>
              </w:rPr>
              <w:t>Transitional Housing</w:t>
            </w:r>
          </w:p>
        </w:tc>
        <w:tc>
          <w:tcPr>
            <w:tcW w:w="864" w:type="dxa"/>
            <w:tcBorders>
              <w:top w:val="nil"/>
              <w:left w:val="nil"/>
              <w:bottom w:val="nil"/>
              <w:right w:val="nil"/>
            </w:tcBorders>
            <w:shd w:val="clear" w:color="000000" w:fill="FFFFE1"/>
            <w:noWrap/>
            <w:vAlign w:val="center"/>
            <w:hideMark/>
          </w:tcPr>
          <w:p w:rsidR="003C459D" w:rsidRPr="005300D4" w:rsidRDefault="003C459D" w:rsidP="00E56B71">
            <w:pPr>
              <w:jc w:val="center"/>
              <w:rPr>
                <w:rFonts w:ascii="Arial" w:hAnsi="Arial" w:cs="Arial"/>
                <w:color w:val="000000"/>
                <w:sz w:val="16"/>
                <w:szCs w:val="16"/>
              </w:rPr>
            </w:pPr>
            <w:r w:rsidRPr="005300D4">
              <w:rPr>
                <w:rFonts w:ascii="Arial" w:hAnsi="Arial" w:cs="Arial"/>
                <w:color w:val="000000"/>
                <w:sz w:val="16"/>
                <w:szCs w:val="16"/>
              </w:rPr>
              <w:t>590</w:t>
            </w:r>
          </w:p>
        </w:tc>
        <w:tc>
          <w:tcPr>
            <w:tcW w:w="990" w:type="dxa"/>
            <w:tcBorders>
              <w:top w:val="nil"/>
              <w:left w:val="nil"/>
              <w:bottom w:val="nil"/>
              <w:right w:val="nil"/>
            </w:tcBorders>
            <w:shd w:val="clear" w:color="000000" w:fill="FFFFE1"/>
            <w:noWrap/>
            <w:vAlign w:val="center"/>
            <w:hideMark/>
          </w:tcPr>
          <w:p w:rsidR="003C459D" w:rsidRPr="005300D4" w:rsidRDefault="003C459D" w:rsidP="00E56B71">
            <w:pPr>
              <w:jc w:val="center"/>
              <w:rPr>
                <w:rFonts w:ascii="Arial" w:hAnsi="Arial" w:cs="Arial"/>
                <w:color w:val="000000"/>
                <w:sz w:val="16"/>
                <w:szCs w:val="16"/>
              </w:rPr>
            </w:pPr>
            <w:r w:rsidRPr="005300D4">
              <w:rPr>
                <w:rFonts w:ascii="Arial" w:hAnsi="Arial" w:cs="Arial"/>
                <w:color w:val="000000"/>
                <w:sz w:val="16"/>
                <w:szCs w:val="16"/>
              </w:rPr>
              <w:t>594</w:t>
            </w:r>
          </w:p>
        </w:tc>
        <w:tc>
          <w:tcPr>
            <w:tcW w:w="248" w:type="dxa"/>
            <w:tcBorders>
              <w:top w:val="nil"/>
              <w:left w:val="nil"/>
              <w:bottom w:val="nil"/>
              <w:right w:val="single" w:sz="8" w:space="0" w:color="009900"/>
            </w:tcBorders>
            <w:shd w:val="clear" w:color="000000" w:fill="FFFFE1"/>
            <w:noWrap/>
            <w:vAlign w:val="center"/>
            <w:hideMark/>
          </w:tcPr>
          <w:p w:rsidR="003C459D" w:rsidRPr="005300D4" w:rsidRDefault="003C459D" w:rsidP="00E56B71">
            <w:pPr>
              <w:jc w:val="center"/>
              <w:rPr>
                <w:rFonts w:ascii="Arial" w:hAnsi="Arial" w:cs="Arial"/>
                <w:color w:val="000000"/>
                <w:sz w:val="16"/>
                <w:szCs w:val="16"/>
              </w:rPr>
            </w:pPr>
            <w:r w:rsidRPr="005300D4">
              <w:rPr>
                <w:rFonts w:ascii="Arial" w:hAnsi="Arial" w:cs="Arial"/>
                <w:color w:val="000000"/>
                <w:sz w:val="16"/>
                <w:szCs w:val="16"/>
              </w:rPr>
              <w:t>408</w:t>
            </w:r>
          </w:p>
        </w:tc>
      </w:tr>
      <w:tr w:rsidR="003C459D" w:rsidRPr="005300D4" w:rsidTr="00E56B71">
        <w:trPr>
          <w:trHeight w:val="315"/>
          <w:jc w:val="center"/>
        </w:trPr>
        <w:tc>
          <w:tcPr>
            <w:tcW w:w="2409" w:type="dxa"/>
            <w:tcBorders>
              <w:top w:val="nil"/>
              <w:left w:val="single" w:sz="8" w:space="0" w:color="009900"/>
              <w:bottom w:val="nil"/>
              <w:right w:val="single" w:sz="8" w:space="0" w:color="009900"/>
            </w:tcBorders>
            <w:shd w:val="clear" w:color="000000" w:fill="FFFFE1"/>
            <w:noWrap/>
            <w:vAlign w:val="center"/>
            <w:hideMark/>
          </w:tcPr>
          <w:p w:rsidR="003C459D" w:rsidRPr="005300D4" w:rsidRDefault="003C459D" w:rsidP="00E56B71">
            <w:pPr>
              <w:rPr>
                <w:rFonts w:ascii="Arial" w:hAnsi="Arial" w:cs="Arial"/>
                <w:color w:val="000000"/>
                <w:sz w:val="16"/>
                <w:szCs w:val="16"/>
              </w:rPr>
            </w:pPr>
            <w:r w:rsidRPr="005300D4">
              <w:rPr>
                <w:rFonts w:ascii="Arial" w:hAnsi="Arial" w:cs="Arial"/>
                <w:color w:val="000000"/>
                <w:sz w:val="16"/>
                <w:szCs w:val="16"/>
              </w:rPr>
              <w:t> </w:t>
            </w:r>
          </w:p>
        </w:tc>
        <w:tc>
          <w:tcPr>
            <w:tcW w:w="2286" w:type="dxa"/>
            <w:tcBorders>
              <w:top w:val="single" w:sz="8" w:space="0" w:color="009900"/>
              <w:left w:val="nil"/>
              <w:bottom w:val="dotted" w:sz="4" w:space="0" w:color="009900"/>
              <w:right w:val="nil"/>
            </w:tcBorders>
            <w:shd w:val="clear" w:color="000000" w:fill="FFFFE1"/>
            <w:noWrap/>
            <w:vAlign w:val="center"/>
            <w:hideMark/>
          </w:tcPr>
          <w:p w:rsidR="003C459D" w:rsidRPr="005300D4" w:rsidRDefault="003C459D" w:rsidP="00E56B71">
            <w:pPr>
              <w:rPr>
                <w:rFonts w:ascii="Arial" w:hAnsi="Arial" w:cs="Arial"/>
                <w:color w:val="000000"/>
                <w:sz w:val="16"/>
                <w:szCs w:val="16"/>
              </w:rPr>
            </w:pPr>
            <w:r w:rsidRPr="005300D4">
              <w:rPr>
                <w:rFonts w:ascii="Arial" w:hAnsi="Arial" w:cs="Arial"/>
                <w:color w:val="000000"/>
                <w:sz w:val="16"/>
                <w:szCs w:val="16"/>
              </w:rPr>
              <w:t>Total in Shelter</w:t>
            </w:r>
          </w:p>
        </w:tc>
        <w:tc>
          <w:tcPr>
            <w:tcW w:w="864" w:type="dxa"/>
            <w:tcBorders>
              <w:top w:val="single" w:sz="8" w:space="0" w:color="009900"/>
              <w:left w:val="nil"/>
              <w:bottom w:val="dotted" w:sz="4" w:space="0" w:color="009900"/>
              <w:right w:val="nil"/>
            </w:tcBorders>
            <w:shd w:val="clear" w:color="000000" w:fill="FFFFE1"/>
            <w:noWrap/>
            <w:vAlign w:val="center"/>
            <w:hideMark/>
          </w:tcPr>
          <w:p w:rsidR="003C459D" w:rsidRPr="005300D4" w:rsidRDefault="003C459D" w:rsidP="00E56B71">
            <w:pPr>
              <w:jc w:val="center"/>
              <w:rPr>
                <w:rFonts w:ascii="Arial" w:hAnsi="Arial" w:cs="Arial"/>
                <w:color w:val="000000"/>
                <w:sz w:val="16"/>
                <w:szCs w:val="16"/>
              </w:rPr>
            </w:pPr>
            <w:r w:rsidRPr="005300D4">
              <w:rPr>
                <w:rFonts w:ascii="Arial" w:hAnsi="Arial" w:cs="Arial"/>
                <w:color w:val="000000"/>
                <w:sz w:val="16"/>
                <w:szCs w:val="16"/>
              </w:rPr>
              <w:t>1,071</w:t>
            </w:r>
          </w:p>
        </w:tc>
        <w:tc>
          <w:tcPr>
            <w:tcW w:w="990" w:type="dxa"/>
            <w:tcBorders>
              <w:top w:val="single" w:sz="8" w:space="0" w:color="009900"/>
              <w:left w:val="nil"/>
              <w:bottom w:val="dotted" w:sz="4" w:space="0" w:color="009900"/>
              <w:right w:val="nil"/>
            </w:tcBorders>
            <w:shd w:val="clear" w:color="000000" w:fill="FFFFE1"/>
            <w:noWrap/>
            <w:vAlign w:val="center"/>
            <w:hideMark/>
          </w:tcPr>
          <w:p w:rsidR="003C459D" w:rsidRPr="005300D4" w:rsidRDefault="003C459D" w:rsidP="00E56B71">
            <w:pPr>
              <w:jc w:val="center"/>
              <w:rPr>
                <w:rFonts w:ascii="Arial" w:hAnsi="Arial" w:cs="Arial"/>
                <w:color w:val="000000"/>
                <w:sz w:val="16"/>
                <w:szCs w:val="16"/>
              </w:rPr>
            </w:pPr>
            <w:r w:rsidRPr="005300D4">
              <w:rPr>
                <w:rFonts w:ascii="Arial" w:hAnsi="Arial" w:cs="Arial"/>
                <w:color w:val="000000"/>
                <w:sz w:val="16"/>
                <w:szCs w:val="16"/>
              </w:rPr>
              <w:t>1,252</w:t>
            </w:r>
          </w:p>
        </w:tc>
        <w:tc>
          <w:tcPr>
            <w:tcW w:w="248" w:type="dxa"/>
            <w:tcBorders>
              <w:top w:val="single" w:sz="8" w:space="0" w:color="009900"/>
              <w:left w:val="nil"/>
              <w:bottom w:val="dotted" w:sz="4" w:space="0" w:color="009900"/>
              <w:right w:val="single" w:sz="8" w:space="0" w:color="009900"/>
            </w:tcBorders>
            <w:shd w:val="clear" w:color="000000" w:fill="FFFFE1"/>
            <w:noWrap/>
            <w:vAlign w:val="center"/>
            <w:hideMark/>
          </w:tcPr>
          <w:p w:rsidR="003C459D" w:rsidRPr="005300D4" w:rsidRDefault="003C459D" w:rsidP="00E56B71">
            <w:pPr>
              <w:jc w:val="center"/>
              <w:rPr>
                <w:rFonts w:ascii="Arial" w:hAnsi="Arial" w:cs="Arial"/>
                <w:color w:val="000000"/>
                <w:sz w:val="16"/>
                <w:szCs w:val="16"/>
              </w:rPr>
            </w:pPr>
            <w:r w:rsidRPr="005300D4">
              <w:rPr>
                <w:rFonts w:ascii="Arial" w:hAnsi="Arial" w:cs="Arial"/>
                <w:color w:val="000000"/>
                <w:sz w:val="16"/>
                <w:szCs w:val="16"/>
              </w:rPr>
              <w:t>1,027</w:t>
            </w:r>
          </w:p>
        </w:tc>
      </w:tr>
      <w:tr w:rsidR="003C459D" w:rsidRPr="005300D4" w:rsidTr="00E56B71">
        <w:trPr>
          <w:trHeight w:val="330"/>
          <w:jc w:val="center"/>
        </w:trPr>
        <w:tc>
          <w:tcPr>
            <w:tcW w:w="2409" w:type="dxa"/>
            <w:tcBorders>
              <w:top w:val="nil"/>
              <w:left w:val="single" w:sz="8" w:space="0" w:color="009900"/>
              <w:bottom w:val="single" w:sz="8" w:space="0" w:color="009900"/>
              <w:right w:val="nil"/>
            </w:tcBorders>
            <w:shd w:val="clear" w:color="000000" w:fill="FFFFE1"/>
            <w:noWrap/>
            <w:vAlign w:val="center"/>
            <w:hideMark/>
          </w:tcPr>
          <w:p w:rsidR="003C459D" w:rsidRPr="005300D4" w:rsidRDefault="003C459D" w:rsidP="00E56B71">
            <w:pPr>
              <w:rPr>
                <w:rFonts w:ascii="Arial" w:hAnsi="Arial" w:cs="Arial"/>
                <w:color w:val="000000"/>
                <w:sz w:val="16"/>
                <w:szCs w:val="16"/>
              </w:rPr>
            </w:pPr>
            <w:r w:rsidRPr="005300D4">
              <w:rPr>
                <w:rFonts w:ascii="Arial" w:hAnsi="Arial" w:cs="Arial"/>
                <w:color w:val="000000"/>
                <w:sz w:val="16"/>
                <w:szCs w:val="16"/>
              </w:rPr>
              <w:t> </w:t>
            </w:r>
          </w:p>
        </w:tc>
        <w:tc>
          <w:tcPr>
            <w:tcW w:w="2286" w:type="dxa"/>
            <w:tcBorders>
              <w:top w:val="nil"/>
              <w:left w:val="single" w:sz="8" w:space="0" w:color="009900"/>
              <w:bottom w:val="single" w:sz="8" w:space="0" w:color="009900"/>
              <w:right w:val="nil"/>
            </w:tcBorders>
            <w:shd w:val="clear" w:color="000000" w:fill="FFFFE1"/>
            <w:noWrap/>
            <w:vAlign w:val="center"/>
            <w:hideMark/>
          </w:tcPr>
          <w:p w:rsidR="003C459D" w:rsidRPr="005300D4" w:rsidRDefault="003C459D" w:rsidP="00E56B71">
            <w:pPr>
              <w:rPr>
                <w:rFonts w:ascii="Arial" w:hAnsi="Arial" w:cs="Arial"/>
                <w:color w:val="000000"/>
                <w:sz w:val="16"/>
                <w:szCs w:val="16"/>
              </w:rPr>
            </w:pPr>
            <w:r w:rsidRPr="005300D4">
              <w:rPr>
                <w:rFonts w:ascii="Arial" w:hAnsi="Arial" w:cs="Arial"/>
                <w:color w:val="000000"/>
                <w:sz w:val="16"/>
                <w:szCs w:val="16"/>
              </w:rPr>
              <w:t>Unsheltered</w:t>
            </w:r>
          </w:p>
        </w:tc>
        <w:tc>
          <w:tcPr>
            <w:tcW w:w="864" w:type="dxa"/>
            <w:tcBorders>
              <w:top w:val="nil"/>
              <w:left w:val="nil"/>
              <w:bottom w:val="single" w:sz="8" w:space="0" w:color="009900"/>
              <w:right w:val="nil"/>
            </w:tcBorders>
            <w:shd w:val="clear" w:color="000000" w:fill="FFFFE1"/>
            <w:noWrap/>
            <w:vAlign w:val="center"/>
            <w:hideMark/>
          </w:tcPr>
          <w:p w:rsidR="003C459D" w:rsidRPr="005300D4" w:rsidRDefault="003C459D" w:rsidP="00E56B71">
            <w:pPr>
              <w:jc w:val="center"/>
              <w:rPr>
                <w:rFonts w:ascii="Arial" w:hAnsi="Arial" w:cs="Arial"/>
                <w:color w:val="000000"/>
                <w:sz w:val="16"/>
                <w:szCs w:val="16"/>
              </w:rPr>
            </w:pPr>
            <w:r w:rsidRPr="005300D4">
              <w:rPr>
                <w:rFonts w:ascii="Arial" w:hAnsi="Arial" w:cs="Arial"/>
                <w:color w:val="000000"/>
                <w:sz w:val="16"/>
                <w:szCs w:val="16"/>
              </w:rPr>
              <w:t>931</w:t>
            </w:r>
          </w:p>
        </w:tc>
        <w:tc>
          <w:tcPr>
            <w:tcW w:w="990" w:type="dxa"/>
            <w:tcBorders>
              <w:top w:val="nil"/>
              <w:left w:val="nil"/>
              <w:bottom w:val="single" w:sz="8" w:space="0" w:color="009900"/>
              <w:right w:val="nil"/>
            </w:tcBorders>
            <w:shd w:val="clear" w:color="000000" w:fill="FFFFE1"/>
            <w:noWrap/>
            <w:vAlign w:val="center"/>
            <w:hideMark/>
          </w:tcPr>
          <w:p w:rsidR="003C459D" w:rsidRPr="005300D4" w:rsidRDefault="003C459D" w:rsidP="00E56B71">
            <w:pPr>
              <w:jc w:val="center"/>
              <w:rPr>
                <w:rFonts w:ascii="Arial" w:hAnsi="Arial" w:cs="Arial"/>
                <w:color w:val="000000"/>
                <w:sz w:val="16"/>
                <w:szCs w:val="16"/>
              </w:rPr>
            </w:pPr>
            <w:r w:rsidRPr="005300D4">
              <w:rPr>
                <w:rFonts w:ascii="Arial" w:hAnsi="Arial" w:cs="Arial"/>
                <w:color w:val="000000"/>
                <w:sz w:val="16"/>
                <w:szCs w:val="16"/>
              </w:rPr>
              <w:t>387</w:t>
            </w:r>
          </w:p>
        </w:tc>
        <w:tc>
          <w:tcPr>
            <w:tcW w:w="248" w:type="dxa"/>
            <w:tcBorders>
              <w:top w:val="nil"/>
              <w:left w:val="nil"/>
              <w:bottom w:val="single" w:sz="8" w:space="0" w:color="009900"/>
              <w:right w:val="single" w:sz="8" w:space="0" w:color="009900"/>
            </w:tcBorders>
            <w:shd w:val="clear" w:color="000000" w:fill="FFFFE1"/>
            <w:noWrap/>
            <w:vAlign w:val="center"/>
            <w:hideMark/>
          </w:tcPr>
          <w:p w:rsidR="003C459D" w:rsidRPr="005300D4" w:rsidRDefault="003C459D" w:rsidP="00E56B71">
            <w:pPr>
              <w:jc w:val="center"/>
              <w:rPr>
                <w:rFonts w:ascii="Arial" w:hAnsi="Arial" w:cs="Arial"/>
                <w:color w:val="000000"/>
                <w:sz w:val="16"/>
                <w:szCs w:val="16"/>
              </w:rPr>
            </w:pPr>
            <w:r w:rsidRPr="005300D4">
              <w:rPr>
                <w:rFonts w:ascii="Arial" w:hAnsi="Arial" w:cs="Arial"/>
                <w:color w:val="000000"/>
                <w:sz w:val="16"/>
                <w:szCs w:val="16"/>
              </w:rPr>
              <w:t>144</w:t>
            </w:r>
          </w:p>
        </w:tc>
      </w:tr>
      <w:tr w:rsidR="003C459D" w:rsidRPr="005300D4" w:rsidTr="00E56B71">
        <w:trPr>
          <w:trHeight w:val="300"/>
          <w:jc w:val="center"/>
        </w:trPr>
        <w:tc>
          <w:tcPr>
            <w:tcW w:w="2409" w:type="dxa"/>
            <w:tcBorders>
              <w:top w:val="nil"/>
              <w:left w:val="single" w:sz="8" w:space="0" w:color="009900"/>
              <w:bottom w:val="nil"/>
              <w:right w:val="nil"/>
            </w:tcBorders>
            <w:shd w:val="clear" w:color="000000" w:fill="FFFFE1"/>
            <w:noWrap/>
            <w:vAlign w:val="center"/>
            <w:hideMark/>
          </w:tcPr>
          <w:p w:rsidR="003C459D" w:rsidRPr="005300D4" w:rsidRDefault="003C459D" w:rsidP="00E56B71">
            <w:pPr>
              <w:rPr>
                <w:rFonts w:ascii="Arial" w:hAnsi="Arial" w:cs="Arial"/>
                <w:color w:val="000000"/>
                <w:sz w:val="16"/>
                <w:szCs w:val="16"/>
              </w:rPr>
            </w:pPr>
            <w:r w:rsidRPr="005300D4">
              <w:rPr>
                <w:rFonts w:ascii="Arial" w:hAnsi="Arial" w:cs="Arial"/>
                <w:color w:val="000000"/>
                <w:sz w:val="16"/>
                <w:szCs w:val="16"/>
              </w:rPr>
              <w:t> </w:t>
            </w:r>
          </w:p>
        </w:tc>
        <w:tc>
          <w:tcPr>
            <w:tcW w:w="2286" w:type="dxa"/>
            <w:tcBorders>
              <w:top w:val="nil"/>
              <w:left w:val="single" w:sz="8" w:space="0" w:color="009900"/>
              <w:bottom w:val="nil"/>
              <w:right w:val="nil"/>
            </w:tcBorders>
            <w:shd w:val="clear" w:color="000000" w:fill="FFFFE1"/>
            <w:noWrap/>
            <w:vAlign w:val="center"/>
            <w:hideMark/>
          </w:tcPr>
          <w:p w:rsidR="003C459D" w:rsidRPr="005300D4" w:rsidRDefault="003C459D" w:rsidP="00E56B71">
            <w:pPr>
              <w:rPr>
                <w:rFonts w:ascii="Arial" w:hAnsi="Arial" w:cs="Arial"/>
                <w:color w:val="000000"/>
                <w:sz w:val="16"/>
                <w:szCs w:val="16"/>
              </w:rPr>
            </w:pPr>
            <w:r w:rsidRPr="005300D4">
              <w:rPr>
                <w:rFonts w:ascii="Arial" w:hAnsi="Arial" w:cs="Arial"/>
                <w:color w:val="000000"/>
                <w:sz w:val="16"/>
                <w:szCs w:val="16"/>
              </w:rPr>
              <w:t>Emergency Shelter</w:t>
            </w:r>
          </w:p>
        </w:tc>
        <w:tc>
          <w:tcPr>
            <w:tcW w:w="864" w:type="dxa"/>
            <w:tcBorders>
              <w:top w:val="nil"/>
              <w:left w:val="nil"/>
              <w:bottom w:val="nil"/>
              <w:right w:val="nil"/>
            </w:tcBorders>
            <w:shd w:val="clear" w:color="000000" w:fill="FFFFE1"/>
            <w:noWrap/>
            <w:vAlign w:val="center"/>
            <w:hideMark/>
          </w:tcPr>
          <w:p w:rsidR="003C459D" w:rsidRPr="005300D4" w:rsidRDefault="003C459D" w:rsidP="00E56B71">
            <w:pPr>
              <w:jc w:val="center"/>
              <w:rPr>
                <w:rFonts w:ascii="Arial" w:hAnsi="Arial" w:cs="Arial"/>
                <w:color w:val="000000"/>
                <w:sz w:val="16"/>
                <w:szCs w:val="16"/>
              </w:rPr>
            </w:pPr>
            <w:r w:rsidRPr="005300D4">
              <w:rPr>
                <w:rFonts w:ascii="Arial" w:hAnsi="Arial" w:cs="Arial"/>
                <w:color w:val="000000"/>
                <w:sz w:val="16"/>
                <w:szCs w:val="16"/>
              </w:rPr>
              <w:t>504</w:t>
            </w:r>
          </w:p>
        </w:tc>
        <w:tc>
          <w:tcPr>
            <w:tcW w:w="990" w:type="dxa"/>
            <w:tcBorders>
              <w:top w:val="nil"/>
              <w:left w:val="nil"/>
              <w:bottom w:val="nil"/>
              <w:right w:val="nil"/>
            </w:tcBorders>
            <w:shd w:val="clear" w:color="000000" w:fill="FFFFE1"/>
            <w:noWrap/>
            <w:vAlign w:val="center"/>
            <w:hideMark/>
          </w:tcPr>
          <w:p w:rsidR="003C459D" w:rsidRPr="005300D4" w:rsidRDefault="003C459D" w:rsidP="00E56B71">
            <w:pPr>
              <w:jc w:val="center"/>
              <w:rPr>
                <w:rFonts w:ascii="Arial" w:hAnsi="Arial" w:cs="Arial"/>
                <w:color w:val="000000"/>
                <w:sz w:val="16"/>
                <w:szCs w:val="16"/>
              </w:rPr>
            </w:pPr>
            <w:r w:rsidRPr="005300D4">
              <w:rPr>
                <w:rFonts w:ascii="Arial" w:hAnsi="Arial" w:cs="Arial"/>
                <w:color w:val="000000"/>
                <w:sz w:val="16"/>
                <w:szCs w:val="16"/>
              </w:rPr>
              <w:t>1,035</w:t>
            </w:r>
          </w:p>
        </w:tc>
        <w:tc>
          <w:tcPr>
            <w:tcW w:w="248" w:type="dxa"/>
            <w:tcBorders>
              <w:top w:val="nil"/>
              <w:left w:val="nil"/>
              <w:bottom w:val="nil"/>
              <w:right w:val="single" w:sz="8" w:space="0" w:color="009900"/>
            </w:tcBorders>
            <w:shd w:val="clear" w:color="000000" w:fill="FFFFE1"/>
            <w:noWrap/>
            <w:vAlign w:val="center"/>
            <w:hideMark/>
          </w:tcPr>
          <w:p w:rsidR="003C459D" w:rsidRPr="005300D4" w:rsidRDefault="003C459D" w:rsidP="00E56B71">
            <w:pPr>
              <w:jc w:val="center"/>
              <w:rPr>
                <w:rFonts w:ascii="Arial" w:hAnsi="Arial" w:cs="Arial"/>
                <w:color w:val="000000"/>
                <w:sz w:val="16"/>
                <w:szCs w:val="16"/>
              </w:rPr>
            </w:pPr>
            <w:r w:rsidRPr="005300D4">
              <w:rPr>
                <w:rFonts w:ascii="Arial" w:hAnsi="Arial" w:cs="Arial"/>
                <w:color w:val="000000"/>
                <w:sz w:val="16"/>
                <w:szCs w:val="16"/>
              </w:rPr>
              <w:t>876</w:t>
            </w:r>
          </w:p>
        </w:tc>
      </w:tr>
      <w:tr w:rsidR="003C459D" w:rsidRPr="005300D4" w:rsidTr="00E56B71">
        <w:trPr>
          <w:trHeight w:val="315"/>
          <w:jc w:val="center"/>
        </w:trPr>
        <w:tc>
          <w:tcPr>
            <w:tcW w:w="2409" w:type="dxa"/>
            <w:tcBorders>
              <w:top w:val="nil"/>
              <w:left w:val="single" w:sz="8" w:space="0" w:color="009900"/>
              <w:bottom w:val="nil"/>
              <w:right w:val="nil"/>
            </w:tcBorders>
            <w:shd w:val="clear" w:color="000000" w:fill="FFFFE1"/>
            <w:noWrap/>
            <w:vAlign w:val="center"/>
            <w:hideMark/>
          </w:tcPr>
          <w:p w:rsidR="003C459D" w:rsidRPr="005300D4" w:rsidRDefault="003C459D" w:rsidP="00E56B71">
            <w:pPr>
              <w:jc w:val="center"/>
              <w:rPr>
                <w:rFonts w:ascii="Arial" w:hAnsi="Arial" w:cs="Arial"/>
                <w:color w:val="000000"/>
                <w:sz w:val="16"/>
                <w:szCs w:val="16"/>
              </w:rPr>
            </w:pPr>
            <w:r w:rsidRPr="005300D4">
              <w:rPr>
                <w:rFonts w:ascii="Arial" w:hAnsi="Arial" w:cs="Arial"/>
                <w:color w:val="000000"/>
                <w:sz w:val="16"/>
                <w:szCs w:val="16"/>
              </w:rPr>
              <w:t>Balance of State CoC</w:t>
            </w:r>
          </w:p>
        </w:tc>
        <w:tc>
          <w:tcPr>
            <w:tcW w:w="2286" w:type="dxa"/>
            <w:tcBorders>
              <w:top w:val="nil"/>
              <w:left w:val="single" w:sz="8" w:space="0" w:color="009900"/>
              <w:bottom w:val="nil"/>
              <w:right w:val="nil"/>
            </w:tcBorders>
            <w:shd w:val="clear" w:color="000000" w:fill="FFFFE1"/>
            <w:noWrap/>
            <w:vAlign w:val="center"/>
            <w:hideMark/>
          </w:tcPr>
          <w:p w:rsidR="003C459D" w:rsidRPr="005300D4" w:rsidRDefault="003C459D" w:rsidP="00E56B71">
            <w:pPr>
              <w:rPr>
                <w:rFonts w:ascii="Arial" w:hAnsi="Arial" w:cs="Arial"/>
                <w:color w:val="000000"/>
                <w:sz w:val="16"/>
                <w:szCs w:val="16"/>
              </w:rPr>
            </w:pPr>
            <w:r w:rsidRPr="005300D4">
              <w:rPr>
                <w:rFonts w:ascii="Arial" w:hAnsi="Arial" w:cs="Arial"/>
                <w:color w:val="000000"/>
                <w:sz w:val="16"/>
                <w:szCs w:val="16"/>
              </w:rPr>
              <w:t>Transitional Housing</w:t>
            </w:r>
          </w:p>
        </w:tc>
        <w:tc>
          <w:tcPr>
            <w:tcW w:w="864" w:type="dxa"/>
            <w:tcBorders>
              <w:top w:val="nil"/>
              <w:left w:val="nil"/>
              <w:bottom w:val="single" w:sz="8" w:space="0" w:color="009900"/>
              <w:right w:val="nil"/>
            </w:tcBorders>
            <w:shd w:val="clear" w:color="000000" w:fill="FFFFE1"/>
            <w:noWrap/>
            <w:vAlign w:val="center"/>
            <w:hideMark/>
          </w:tcPr>
          <w:p w:rsidR="003C459D" w:rsidRPr="005300D4" w:rsidRDefault="003C459D" w:rsidP="00E56B71">
            <w:pPr>
              <w:jc w:val="center"/>
              <w:rPr>
                <w:rFonts w:ascii="Arial" w:hAnsi="Arial" w:cs="Arial"/>
                <w:color w:val="000000"/>
                <w:sz w:val="16"/>
                <w:szCs w:val="16"/>
              </w:rPr>
            </w:pPr>
            <w:r w:rsidRPr="005300D4">
              <w:rPr>
                <w:rFonts w:ascii="Arial" w:hAnsi="Arial" w:cs="Arial"/>
                <w:color w:val="000000"/>
                <w:sz w:val="16"/>
                <w:szCs w:val="16"/>
              </w:rPr>
              <w:t>533</w:t>
            </w:r>
          </w:p>
        </w:tc>
        <w:tc>
          <w:tcPr>
            <w:tcW w:w="990" w:type="dxa"/>
            <w:tcBorders>
              <w:top w:val="nil"/>
              <w:left w:val="nil"/>
              <w:bottom w:val="single" w:sz="8" w:space="0" w:color="009900"/>
              <w:right w:val="nil"/>
            </w:tcBorders>
            <w:shd w:val="clear" w:color="000000" w:fill="FFFFE1"/>
            <w:noWrap/>
            <w:vAlign w:val="center"/>
            <w:hideMark/>
          </w:tcPr>
          <w:p w:rsidR="003C459D" w:rsidRPr="005300D4" w:rsidRDefault="003C459D" w:rsidP="00E56B71">
            <w:pPr>
              <w:jc w:val="center"/>
              <w:rPr>
                <w:rFonts w:ascii="Arial" w:hAnsi="Arial" w:cs="Arial"/>
                <w:color w:val="000000"/>
                <w:sz w:val="16"/>
                <w:szCs w:val="16"/>
              </w:rPr>
            </w:pPr>
            <w:r w:rsidRPr="005300D4">
              <w:rPr>
                <w:rFonts w:ascii="Arial" w:hAnsi="Arial" w:cs="Arial"/>
                <w:color w:val="000000"/>
                <w:sz w:val="16"/>
                <w:szCs w:val="16"/>
              </w:rPr>
              <w:t>466</w:t>
            </w:r>
          </w:p>
        </w:tc>
        <w:tc>
          <w:tcPr>
            <w:tcW w:w="248" w:type="dxa"/>
            <w:tcBorders>
              <w:top w:val="nil"/>
              <w:left w:val="nil"/>
              <w:bottom w:val="single" w:sz="8" w:space="0" w:color="009900"/>
              <w:right w:val="single" w:sz="8" w:space="0" w:color="009900"/>
            </w:tcBorders>
            <w:shd w:val="clear" w:color="000000" w:fill="FFFFE1"/>
            <w:noWrap/>
            <w:vAlign w:val="center"/>
            <w:hideMark/>
          </w:tcPr>
          <w:p w:rsidR="003C459D" w:rsidRPr="005300D4" w:rsidRDefault="003C459D" w:rsidP="00E56B71">
            <w:pPr>
              <w:jc w:val="center"/>
              <w:rPr>
                <w:rFonts w:ascii="Arial" w:hAnsi="Arial" w:cs="Arial"/>
                <w:color w:val="000000"/>
                <w:sz w:val="16"/>
                <w:szCs w:val="16"/>
              </w:rPr>
            </w:pPr>
            <w:r w:rsidRPr="005300D4">
              <w:rPr>
                <w:rFonts w:ascii="Arial" w:hAnsi="Arial" w:cs="Arial"/>
                <w:color w:val="000000"/>
                <w:sz w:val="16"/>
                <w:szCs w:val="16"/>
              </w:rPr>
              <w:t>488</w:t>
            </w:r>
          </w:p>
        </w:tc>
      </w:tr>
      <w:tr w:rsidR="003C459D" w:rsidRPr="005300D4" w:rsidTr="00E56B71">
        <w:trPr>
          <w:trHeight w:val="300"/>
          <w:jc w:val="center"/>
        </w:trPr>
        <w:tc>
          <w:tcPr>
            <w:tcW w:w="2409" w:type="dxa"/>
            <w:tcBorders>
              <w:top w:val="nil"/>
              <w:left w:val="single" w:sz="8" w:space="0" w:color="009900"/>
              <w:bottom w:val="nil"/>
              <w:right w:val="nil"/>
            </w:tcBorders>
            <w:shd w:val="clear" w:color="000000" w:fill="FFFFE1"/>
            <w:noWrap/>
            <w:vAlign w:val="center"/>
            <w:hideMark/>
          </w:tcPr>
          <w:p w:rsidR="003C459D" w:rsidRPr="005300D4" w:rsidRDefault="003C459D" w:rsidP="00E56B71">
            <w:pPr>
              <w:rPr>
                <w:rFonts w:ascii="Arial" w:hAnsi="Arial" w:cs="Arial"/>
                <w:color w:val="000000"/>
                <w:sz w:val="16"/>
                <w:szCs w:val="16"/>
              </w:rPr>
            </w:pPr>
            <w:r w:rsidRPr="005300D4">
              <w:rPr>
                <w:rFonts w:ascii="Arial" w:hAnsi="Arial" w:cs="Arial"/>
                <w:color w:val="000000"/>
                <w:sz w:val="16"/>
                <w:szCs w:val="16"/>
              </w:rPr>
              <w:t> </w:t>
            </w:r>
          </w:p>
        </w:tc>
        <w:tc>
          <w:tcPr>
            <w:tcW w:w="2286" w:type="dxa"/>
            <w:tcBorders>
              <w:top w:val="single" w:sz="8" w:space="0" w:color="009900"/>
              <w:left w:val="single" w:sz="8" w:space="0" w:color="009900"/>
              <w:bottom w:val="dotted" w:sz="4" w:space="0" w:color="009900"/>
              <w:right w:val="nil"/>
            </w:tcBorders>
            <w:shd w:val="clear" w:color="000000" w:fill="FFFFE1"/>
            <w:noWrap/>
            <w:vAlign w:val="center"/>
            <w:hideMark/>
          </w:tcPr>
          <w:p w:rsidR="003C459D" w:rsidRPr="005300D4" w:rsidRDefault="003C459D" w:rsidP="00E56B71">
            <w:pPr>
              <w:rPr>
                <w:rFonts w:ascii="Arial" w:hAnsi="Arial" w:cs="Arial"/>
                <w:color w:val="000000"/>
                <w:sz w:val="16"/>
                <w:szCs w:val="16"/>
              </w:rPr>
            </w:pPr>
            <w:r w:rsidRPr="005300D4">
              <w:rPr>
                <w:rFonts w:ascii="Arial" w:hAnsi="Arial" w:cs="Arial"/>
                <w:color w:val="000000"/>
                <w:sz w:val="16"/>
                <w:szCs w:val="16"/>
              </w:rPr>
              <w:t>Total in Shelter</w:t>
            </w:r>
          </w:p>
        </w:tc>
        <w:tc>
          <w:tcPr>
            <w:tcW w:w="864" w:type="dxa"/>
            <w:tcBorders>
              <w:top w:val="nil"/>
              <w:left w:val="nil"/>
              <w:bottom w:val="dotted" w:sz="4" w:space="0" w:color="009900"/>
              <w:right w:val="nil"/>
            </w:tcBorders>
            <w:shd w:val="clear" w:color="000000" w:fill="FFFFE1"/>
            <w:noWrap/>
            <w:vAlign w:val="center"/>
            <w:hideMark/>
          </w:tcPr>
          <w:p w:rsidR="003C459D" w:rsidRPr="005300D4" w:rsidRDefault="003C459D" w:rsidP="00E56B71">
            <w:pPr>
              <w:jc w:val="center"/>
              <w:rPr>
                <w:rFonts w:ascii="Arial" w:hAnsi="Arial" w:cs="Arial"/>
                <w:color w:val="000000"/>
                <w:sz w:val="16"/>
                <w:szCs w:val="16"/>
              </w:rPr>
            </w:pPr>
            <w:r w:rsidRPr="005300D4">
              <w:rPr>
                <w:rFonts w:ascii="Arial" w:hAnsi="Arial" w:cs="Arial"/>
                <w:color w:val="000000"/>
                <w:sz w:val="16"/>
                <w:szCs w:val="16"/>
              </w:rPr>
              <w:t>1,037</w:t>
            </w:r>
          </w:p>
        </w:tc>
        <w:tc>
          <w:tcPr>
            <w:tcW w:w="990" w:type="dxa"/>
            <w:tcBorders>
              <w:top w:val="nil"/>
              <w:left w:val="nil"/>
              <w:bottom w:val="dotted" w:sz="4" w:space="0" w:color="009900"/>
              <w:right w:val="nil"/>
            </w:tcBorders>
            <w:shd w:val="clear" w:color="000000" w:fill="FFFFE1"/>
            <w:noWrap/>
            <w:vAlign w:val="center"/>
            <w:hideMark/>
          </w:tcPr>
          <w:p w:rsidR="003C459D" w:rsidRPr="005300D4" w:rsidRDefault="003C459D" w:rsidP="00E56B71">
            <w:pPr>
              <w:jc w:val="center"/>
              <w:rPr>
                <w:rFonts w:ascii="Arial" w:hAnsi="Arial" w:cs="Arial"/>
                <w:color w:val="000000"/>
                <w:sz w:val="16"/>
                <w:szCs w:val="16"/>
              </w:rPr>
            </w:pPr>
            <w:r w:rsidRPr="005300D4">
              <w:rPr>
                <w:rFonts w:ascii="Arial" w:hAnsi="Arial" w:cs="Arial"/>
                <w:color w:val="000000"/>
                <w:sz w:val="16"/>
                <w:szCs w:val="16"/>
              </w:rPr>
              <w:t>1,501</w:t>
            </w:r>
          </w:p>
        </w:tc>
        <w:tc>
          <w:tcPr>
            <w:tcW w:w="248" w:type="dxa"/>
            <w:tcBorders>
              <w:top w:val="nil"/>
              <w:left w:val="nil"/>
              <w:bottom w:val="dotted" w:sz="4" w:space="0" w:color="009900"/>
              <w:right w:val="single" w:sz="8" w:space="0" w:color="009900"/>
            </w:tcBorders>
            <w:shd w:val="clear" w:color="000000" w:fill="FFFFE1"/>
            <w:noWrap/>
            <w:vAlign w:val="center"/>
            <w:hideMark/>
          </w:tcPr>
          <w:p w:rsidR="003C459D" w:rsidRPr="005300D4" w:rsidRDefault="003C459D" w:rsidP="00E56B71">
            <w:pPr>
              <w:jc w:val="center"/>
              <w:rPr>
                <w:rFonts w:ascii="Arial" w:hAnsi="Arial" w:cs="Arial"/>
                <w:color w:val="000000"/>
                <w:sz w:val="16"/>
                <w:szCs w:val="16"/>
              </w:rPr>
            </w:pPr>
            <w:r w:rsidRPr="005300D4">
              <w:rPr>
                <w:rFonts w:ascii="Arial" w:hAnsi="Arial" w:cs="Arial"/>
                <w:color w:val="000000"/>
                <w:sz w:val="16"/>
                <w:szCs w:val="16"/>
              </w:rPr>
              <w:t>1,364</w:t>
            </w:r>
          </w:p>
        </w:tc>
      </w:tr>
      <w:tr w:rsidR="003C459D" w:rsidRPr="005300D4" w:rsidTr="00E56B71">
        <w:trPr>
          <w:trHeight w:val="315"/>
          <w:jc w:val="center"/>
        </w:trPr>
        <w:tc>
          <w:tcPr>
            <w:tcW w:w="2409" w:type="dxa"/>
            <w:tcBorders>
              <w:top w:val="nil"/>
              <w:left w:val="single" w:sz="8" w:space="0" w:color="009900"/>
              <w:bottom w:val="nil"/>
              <w:right w:val="nil"/>
            </w:tcBorders>
            <w:shd w:val="clear" w:color="000000" w:fill="FFFFE1"/>
            <w:noWrap/>
            <w:vAlign w:val="center"/>
            <w:hideMark/>
          </w:tcPr>
          <w:p w:rsidR="003C459D" w:rsidRPr="005300D4" w:rsidRDefault="003C459D" w:rsidP="00E56B71">
            <w:pPr>
              <w:rPr>
                <w:rFonts w:ascii="Arial" w:hAnsi="Arial" w:cs="Arial"/>
                <w:color w:val="000000"/>
                <w:sz w:val="16"/>
                <w:szCs w:val="16"/>
              </w:rPr>
            </w:pPr>
            <w:r w:rsidRPr="005300D4">
              <w:rPr>
                <w:rFonts w:ascii="Arial" w:hAnsi="Arial" w:cs="Arial"/>
                <w:color w:val="000000"/>
                <w:sz w:val="16"/>
                <w:szCs w:val="16"/>
              </w:rPr>
              <w:t> </w:t>
            </w:r>
          </w:p>
        </w:tc>
        <w:tc>
          <w:tcPr>
            <w:tcW w:w="2286" w:type="dxa"/>
            <w:tcBorders>
              <w:top w:val="nil"/>
              <w:left w:val="single" w:sz="8" w:space="0" w:color="009900"/>
              <w:bottom w:val="nil"/>
              <w:right w:val="nil"/>
            </w:tcBorders>
            <w:shd w:val="clear" w:color="000000" w:fill="FFFFE1"/>
            <w:noWrap/>
            <w:vAlign w:val="center"/>
            <w:hideMark/>
          </w:tcPr>
          <w:p w:rsidR="003C459D" w:rsidRPr="005300D4" w:rsidRDefault="003C459D" w:rsidP="00E56B71">
            <w:pPr>
              <w:rPr>
                <w:rFonts w:ascii="Arial" w:hAnsi="Arial" w:cs="Arial"/>
                <w:color w:val="000000"/>
                <w:sz w:val="16"/>
                <w:szCs w:val="16"/>
              </w:rPr>
            </w:pPr>
            <w:r w:rsidRPr="005300D4">
              <w:rPr>
                <w:rFonts w:ascii="Arial" w:hAnsi="Arial" w:cs="Arial"/>
                <w:color w:val="000000"/>
                <w:sz w:val="16"/>
                <w:szCs w:val="16"/>
              </w:rPr>
              <w:t>Unsheltered</w:t>
            </w:r>
          </w:p>
        </w:tc>
        <w:tc>
          <w:tcPr>
            <w:tcW w:w="864" w:type="dxa"/>
            <w:tcBorders>
              <w:top w:val="nil"/>
              <w:left w:val="nil"/>
              <w:bottom w:val="double" w:sz="6" w:space="0" w:color="009900"/>
              <w:right w:val="nil"/>
            </w:tcBorders>
            <w:shd w:val="clear" w:color="000000" w:fill="FFFFE1"/>
            <w:noWrap/>
            <w:vAlign w:val="center"/>
            <w:hideMark/>
          </w:tcPr>
          <w:p w:rsidR="003C459D" w:rsidRPr="005300D4" w:rsidRDefault="003C459D" w:rsidP="00E56B71">
            <w:pPr>
              <w:jc w:val="center"/>
              <w:rPr>
                <w:rFonts w:ascii="Arial" w:hAnsi="Arial" w:cs="Arial"/>
                <w:color w:val="000000"/>
                <w:sz w:val="16"/>
                <w:szCs w:val="16"/>
              </w:rPr>
            </w:pPr>
            <w:r w:rsidRPr="005300D4">
              <w:rPr>
                <w:rFonts w:ascii="Arial" w:hAnsi="Arial" w:cs="Arial"/>
                <w:color w:val="000000"/>
                <w:sz w:val="16"/>
                <w:szCs w:val="16"/>
              </w:rPr>
              <w:t>436</w:t>
            </w:r>
          </w:p>
        </w:tc>
        <w:tc>
          <w:tcPr>
            <w:tcW w:w="990" w:type="dxa"/>
            <w:tcBorders>
              <w:top w:val="nil"/>
              <w:left w:val="nil"/>
              <w:bottom w:val="double" w:sz="6" w:space="0" w:color="009900"/>
              <w:right w:val="nil"/>
            </w:tcBorders>
            <w:shd w:val="clear" w:color="000000" w:fill="FFFFE1"/>
            <w:noWrap/>
            <w:vAlign w:val="center"/>
            <w:hideMark/>
          </w:tcPr>
          <w:p w:rsidR="003C459D" w:rsidRPr="005300D4" w:rsidRDefault="003C459D" w:rsidP="00E56B71">
            <w:pPr>
              <w:jc w:val="center"/>
              <w:rPr>
                <w:rFonts w:ascii="Arial" w:hAnsi="Arial" w:cs="Arial"/>
                <w:color w:val="000000"/>
                <w:sz w:val="16"/>
                <w:szCs w:val="16"/>
              </w:rPr>
            </w:pPr>
            <w:r w:rsidRPr="005300D4">
              <w:rPr>
                <w:rFonts w:ascii="Arial" w:hAnsi="Arial" w:cs="Arial"/>
                <w:color w:val="000000"/>
                <w:sz w:val="16"/>
                <w:szCs w:val="16"/>
              </w:rPr>
              <w:t>461</w:t>
            </w:r>
          </w:p>
        </w:tc>
        <w:tc>
          <w:tcPr>
            <w:tcW w:w="248" w:type="dxa"/>
            <w:tcBorders>
              <w:top w:val="nil"/>
              <w:left w:val="nil"/>
              <w:bottom w:val="double" w:sz="6" w:space="0" w:color="009900"/>
              <w:right w:val="single" w:sz="8" w:space="0" w:color="009900"/>
            </w:tcBorders>
            <w:shd w:val="clear" w:color="000000" w:fill="FFFFE1"/>
            <w:noWrap/>
            <w:vAlign w:val="center"/>
            <w:hideMark/>
          </w:tcPr>
          <w:p w:rsidR="003C459D" w:rsidRPr="005300D4" w:rsidRDefault="003C459D" w:rsidP="00E56B71">
            <w:pPr>
              <w:jc w:val="center"/>
              <w:rPr>
                <w:rFonts w:ascii="Arial" w:hAnsi="Arial" w:cs="Arial"/>
                <w:color w:val="000000"/>
                <w:sz w:val="16"/>
                <w:szCs w:val="16"/>
              </w:rPr>
            </w:pPr>
            <w:r w:rsidRPr="005300D4">
              <w:rPr>
                <w:rFonts w:ascii="Arial" w:hAnsi="Arial" w:cs="Arial"/>
                <w:color w:val="000000"/>
                <w:sz w:val="16"/>
                <w:szCs w:val="16"/>
              </w:rPr>
              <w:t>284</w:t>
            </w:r>
          </w:p>
        </w:tc>
      </w:tr>
      <w:tr w:rsidR="003C459D" w:rsidRPr="005300D4" w:rsidTr="00E56B71">
        <w:trPr>
          <w:trHeight w:val="330"/>
          <w:jc w:val="center"/>
        </w:trPr>
        <w:tc>
          <w:tcPr>
            <w:tcW w:w="2409" w:type="dxa"/>
            <w:tcBorders>
              <w:top w:val="double" w:sz="6" w:space="0" w:color="009900"/>
              <w:left w:val="single" w:sz="8" w:space="0" w:color="009900"/>
              <w:bottom w:val="single" w:sz="8" w:space="0" w:color="009900"/>
              <w:right w:val="nil"/>
            </w:tcBorders>
            <w:shd w:val="clear" w:color="000000" w:fill="FFFFE1"/>
            <w:noWrap/>
            <w:vAlign w:val="center"/>
            <w:hideMark/>
          </w:tcPr>
          <w:p w:rsidR="003C459D" w:rsidRPr="005300D4" w:rsidRDefault="003C459D" w:rsidP="00E56B71">
            <w:pPr>
              <w:rPr>
                <w:rFonts w:ascii="Arial" w:hAnsi="Arial" w:cs="Arial"/>
                <w:b/>
                <w:bCs/>
                <w:color w:val="000000"/>
                <w:sz w:val="16"/>
                <w:szCs w:val="16"/>
              </w:rPr>
            </w:pPr>
            <w:r w:rsidRPr="005300D4">
              <w:rPr>
                <w:rFonts w:ascii="Arial" w:hAnsi="Arial" w:cs="Arial"/>
                <w:b/>
                <w:bCs/>
                <w:color w:val="000000"/>
                <w:sz w:val="16"/>
                <w:szCs w:val="16"/>
              </w:rPr>
              <w:t>Total Homeless</w:t>
            </w:r>
          </w:p>
        </w:tc>
        <w:tc>
          <w:tcPr>
            <w:tcW w:w="2286" w:type="dxa"/>
            <w:tcBorders>
              <w:top w:val="double" w:sz="6" w:space="0" w:color="009900"/>
              <w:left w:val="nil"/>
              <w:bottom w:val="single" w:sz="8" w:space="0" w:color="009900"/>
              <w:right w:val="nil"/>
            </w:tcBorders>
            <w:shd w:val="clear" w:color="000000" w:fill="FFFFE1"/>
            <w:noWrap/>
            <w:vAlign w:val="center"/>
            <w:hideMark/>
          </w:tcPr>
          <w:p w:rsidR="003C459D" w:rsidRPr="005300D4" w:rsidRDefault="003C459D" w:rsidP="00E56B71">
            <w:pPr>
              <w:rPr>
                <w:rFonts w:ascii="Arial" w:hAnsi="Arial" w:cs="Arial"/>
                <w:b/>
                <w:bCs/>
                <w:color w:val="000000"/>
                <w:sz w:val="16"/>
                <w:szCs w:val="16"/>
              </w:rPr>
            </w:pPr>
            <w:r w:rsidRPr="005300D4">
              <w:rPr>
                <w:rFonts w:ascii="Arial" w:hAnsi="Arial" w:cs="Arial"/>
                <w:b/>
                <w:bCs/>
                <w:color w:val="000000"/>
                <w:sz w:val="16"/>
                <w:szCs w:val="16"/>
              </w:rPr>
              <w:t> </w:t>
            </w:r>
          </w:p>
        </w:tc>
        <w:tc>
          <w:tcPr>
            <w:tcW w:w="864" w:type="dxa"/>
            <w:tcBorders>
              <w:top w:val="nil"/>
              <w:left w:val="nil"/>
              <w:bottom w:val="single" w:sz="8" w:space="0" w:color="009900"/>
              <w:right w:val="nil"/>
            </w:tcBorders>
            <w:shd w:val="clear" w:color="000000" w:fill="FFFFE1"/>
            <w:noWrap/>
            <w:vAlign w:val="center"/>
            <w:hideMark/>
          </w:tcPr>
          <w:p w:rsidR="003C459D" w:rsidRPr="005300D4" w:rsidRDefault="003C459D" w:rsidP="00E56B71">
            <w:pPr>
              <w:jc w:val="center"/>
              <w:rPr>
                <w:rFonts w:ascii="Arial" w:hAnsi="Arial" w:cs="Arial"/>
                <w:b/>
                <w:bCs/>
                <w:color w:val="000000"/>
                <w:sz w:val="16"/>
                <w:szCs w:val="16"/>
              </w:rPr>
            </w:pPr>
            <w:r w:rsidRPr="005300D4">
              <w:rPr>
                <w:rFonts w:ascii="Arial" w:hAnsi="Arial" w:cs="Arial"/>
                <w:b/>
                <w:bCs/>
                <w:color w:val="000000"/>
                <w:sz w:val="16"/>
                <w:szCs w:val="16"/>
              </w:rPr>
              <w:t>3,475</w:t>
            </w:r>
          </w:p>
        </w:tc>
        <w:tc>
          <w:tcPr>
            <w:tcW w:w="990" w:type="dxa"/>
            <w:tcBorders>
              <w:top w:val="nil"/>
              <w:left w:val="nil"/>
              <w:bottom w:val="single" w:sz="8" w:space="0" w:color="009900"/>
              <w:right w:val="nil"/>
            </w:tcBorders>
            <w:shd w:val="clear" w:color="000000" w:fill="FFFFE1"/>
            <w:noWrap/>
            <w:vAlign w:val="center"/>
            <w:hideMark/>
          </w:tcPr>
          <w:p w:rsidR="003C459D" w:rsidRPr="005300D4" w:rsidRDefault="003C459D" w:rsidP="00E56B71">
            <w:pPr>
              <w:jc w:val="center"/>
              <w:rPr>
                <w:rFonts w:ascii="Arial" w:hAnsi="Arial" w:cs="Arial"/>
                <w:b/>
                <w:bCs/>
                <w:color w:val="000000"/>
                <w:sz w:val="16"/>
                <w:szCs w:val="16"/>
              </w:rPr>
            </w:pPr>
            <w:r w:rsidRPr="005300D4">
              <w:rPr>
                <w:rFonts w:ascii="Arial" w:hAnsi="Arial" w:cs="Arial"/>
                <w:b/>
                <w:bCs/>
                <w:color w:val="000000"/>
                <w:sz w:val="16"/>
                <w:szCs w:val="16"/>
              </w:rPr>
              <w:t>3,601</w:t>
            </w:r>
          </w:p>
        </w:tc>
        <w:tc>
          <w:tcPr>
            <w:tcW w:w="248" w:type="dxa"/>
            <w:tcBorders>
              <w:top w:val="nil"/>
              <w:left w:val="nil"/>
              <w:bottom w:val="single" w:sz="8" w:space="0" w:color="009900"/>
              <w:right w:val="single" w:sz="8" w:space="0" w:color="009900"/>
            </w:tcBorders>
            <w:shd w:val="clear" w:color="000000" w:fill="FFFFE1"/>
            <w:noWrap/>
            <w:vAlign w:val="center"/>
            <w:hideMark/>
          </w:tcPr>
          <w:p w:rsidR="003C459D" w:rsidRPr="005300D4" w:rsidRDefault="003C459D" w:rsidP="00E56B71">
            <w:pPr>
              <w:jc w:val="center"/>
              <w:rPr>
                <w:rFonts w:ascii="Arial" w:hAnsi="Arial" w:cs="Arial"/>
                <w:b/>
                <w:bCs/>
                <w:color w:val="000000"/>
                <w:sz w:val="16"/>
                <w:szCs w:val="16"/>
              </w:rPr>
            </w:pPr>
            <w:r w:rsidRPr="005300D4">
              <w:rPr>
                <w:rFonts w:ascii="Arial" w:hAnsi="Arial" w:cs="Arial"/>
                <w:b/>
                <w:bCs/>
                <w:color w:val="000000"/>
                <w:sz w:val="16"/>
                <w:szCs w:val="16"/>
              </w:rPr>
              <w:t>2,819</w:t>
            </w:r>
          </w:p>
        </w:tc>
      </w:tr>
    </w:tbl>
    <w:p w:rsidR="003C459D" w:rsidRDefault="003C459D" w:rsidP="003C459D">
      <w:pPr>
        <w:jc w:val="both"/>
        <w:rPr>
          <w:rFonts w:ascii="CG Omega" w:hAnsi="CG Omega"/>
        </w:rPr>
      </w:pPr>
    </w:p>
    <w:p w:rsidR="00A400B5" w:rsidRPr="00A400B5" w:rsidRDefault="00A400B5" w:rsidP="003C459D">
      <w:pPr>
        <w:jc w:val="both"/>
        <w:rPr>
          <w:rFonts w:ascii="CG Omega" w:hAnsi="CG Omega"/>
        </w:rPr>
      </w:pPr>
    </w:p>
    <w:p w:rsidR="003C459D" w:rsidRDefault="003C459D" w:rsidP="003C459D">
      <w:pPr>
        <w:jc w:val="both"/>
        <w:rPr>
          <w:rFonts w:ascii="CG Omega" w:hAnsi="CG Omega"/>
        </w:rPr>
      </w:pPr>
      <w:r>
        <w:rPr>
          <w:rFonts w:ascii="CG Omega" w:hAnsi="CG Omega"/>
        </w:rPr>
        <w:t>The point-in-</w:t>
      </w:r>
      <w:r w:rsidRPr="003D48F5">
        <w:rPr>
          <w:rFonts w:ascii="CG Omega" w:hAnsi="CG Omega"/>
        </w:rPr>
        <w:t>time counts also gathered additional data on the age</w:t>
      </w:r>
      <w:r>
        <w:rPr>
          <w:rFonts w:ascii="CG Omega" w:hAnsi="CG Omega"/>
        </w:rPr>
        <w:t xml:space="preserve">, </w:t>
      </w:r>
      <w:r w:rsidRPr="003D48F5">
        <w:rPr>
          <w:rFonts w:ascii="CG Omega" w:hAnsi="CG Omega"/>
        </w:rPr>
        <w:t>veteran status</w:t>
      </w:r>
      <w:r>
        <w:rPr>
          <w:rFonts w:ascii="CG Omega" w:hAnsi="CG Omega"/>
        </w:rPr>
        <w:t>, and subpopulation information for each</w:t>
      </w:r>
      <w:r w:rsidRPr="003D48F5">
        <w:rPr>
          <w:rFonts w:ascii="CG Omega" w:hAnsi="CG Omega"/>
        </w:rPr>
        <w:t xml:space="preserve"> homeless person counted. </w:t>
      </w:r>
      <w:r>
        <w:rPr>
          <w:rFonts w:ascii="CG Omega" w:hAnsi="CG Omega"/>
        </w:rPr>
        <w:t xml:space="preserve">Additionally, each person was defined to be in a household with or without children. As seen in </w:t>
      </w:r>
      <w:r w:rsidRPr="00A400B5">
        <w:rPr>
          <w:rFonts w:ascii="CG Omega" w:hAnsi="CG Omega"/>
          <w:b/>
        </w:rPr>
        <w:t>Table</w:t>
      </w:r>
      <w:r w:rsidR="00832AB3" w:rsidRPr="00A400B5">
        <w:rPr>
          <w:rFonts w:ascii="CG Omega" w:hAnsi="CG Omega"/>
          <w:b/>
        </w:rPr>
        <w:t xml:space="preserve"> V.</w:t>
      </w:r>
      <w:r w:rsidR="000155B6" w:rsidRPr="00A400B5">
        <w:rPr>
          <w:rFonts w:ascii="CG Omega" w:hAnsi="CG Omega"/>
          <w:b/>
        </w:rPr>
        <w:t>7</w:t>
      </w:r>
      <w:r>
        <w:rPr>
          <w:rFonts w:ascii="CG Omega" w:hAnsi="CG Omega"/>
        </w:rPr>
        <w:t>, there were 1,033 persons in households with at least one adult and one child in the state of New Mexico during the 2013 count.  Of these households, there were 642 children under the</w:t>
      </w:r>
      <w:r w:rsidR="009E6FC6">
        <w:rPr>
          <w:rFonts w:ascii="CG Omega" w:hAnsi="CG Omega"/>
        </w:rPr>
        <w:t xml:space="preserve"> age of 18.  All but 24 of the</w:t>
      </w:r>
      <w:r>
        <w:rPr>
          <w:rFonts w:ascii="CG Omega" w:hAnsi="CG Omega"/>
        </w:rPr>
        <w:t xml:space="preserve"> children </w:t>
      </w:r>
      <w:r w:rsidR="009E6FC6">
        <w:rPr>
          <w:rFonts w:ascii="CG Omega" w:hAnsi="CG Omega"/>
        </w:rPr>
        <w:t>in households with at least one adult and one child were sheltered during the count.</w:t>
      </w:r>
      <w:r>
        <w:rPr>
          <w:rFonts w:ascii="CG Omega" w:hAnsi="CG Omega"/>
        </w:rPr>
        <w:t xml:space="preserve"> </w:t>
      </w:r>
    </w:p>
    <w:p w:rsidR="009E6FC6" w:rsidRPr="00A400B5" w:rsidRDefault="009E6FC6" w:rsidP="009E6FC6">
      <w:pPr>
        <w:pStyle w:val="NoSpacing"/>
        <w:jc w:val="center"/>
        <w:rPr>
          <w:rFonts w:ascii="Arial" w:hAnsi="Arial" w:cs="Arial"/>
        </w:rPr>
      </w:pPr>
    </w:p>
    <w:tbl>
      <w:tblPr>
        <w:tblW w:w="9546" w:type="dxa"/>
        <w:jc w:val="center"/>
        <w:tblLook w:val="04A0" w:firstRow="1" w:lastRow="0" w:firstColumn="1" w:lastColumn="0" w:noHBand="0" w:noVBand="1"/>
      </w:tblPr>
      <w:tblGrid>
        <w:gridCol w:w="1263"/>
        <w:gridCol w:w="1079"/>
        <w:gridCol w:w="1198"/>
        <w:gridCol w:w="1222"/>
        <w:gridCol w:w="617"/>
        <w:gridCol w:w="1142"/>
        <w:gridCol w:w="1198"/>
        <w:gridCol w:w="1222"/>
        <w:gridCol w:w="617"/>
      </w:tblGrid>
      <w:tr w:rsidR="009E6FC6" w:rsidRPr="00E72A9C" w:rsidTr="00A400B5">
        <w:trPr>
          <w:trHeight w:val="225"/>
          <w:jc w:val="center"/>
        </w:trPr>
        <w:tc>
          <w:tcPr>
            <w:tcW w:w="9546" w:type="dxa"/>
            <w:gridSpan w:val="9"/>
            <w:tcBorders>
              <w:top w:val="nil"/>
              <w:left w:val="nil"/>
              <w:bottom w:val="nil"/>
              <w:right w:val="nil"/>
            </w:tcBorders>
            <w:shd w:val="clear" w:color="auto" w:fill="auto"/>
            <w:noWrap/>
            <w:vAlign w:val="center"/>
            <w:hideMark/>
          </w:tcPr>
          <w:p w:rsidR="009E6FC6" w:rsidRPr="00E72A9C" w:rsidRDefault="009E6FC6" w:rsidP="000155B6">
            <w:pPr>
              <w:jc w:val="center"/>
              <w:rPr>
                <w:rFonts w:ascii="Arial" w:hAnsi="Arial" w:cs="Arial"/>
                <w:b/>
                <w:bCs/>
                <w:color w:val="000000"/>
              </w:rPr>
            </w:pPr>
            <w:r w:rsidRPr="00832AB3">
              <w:rPr>
                <w:rFonts w:ascii="Arial" w:hAnsi="Arial" w:cs="Arial"/>
                <w:b/>
                <w:bCs/>
                <w:color w:val="000000"/>
              </w:rPr>
              <w:t>Table</w:t>
            </w:r>
            <w:r w:rsidR="00832AB3">
              <w:rPr>
                <w:rFonts w:ascii="Arial" w:hAnsi="Arial" w:cs="Arial"/>
                <w:b/>
                <w:bCs/>
                <w:color w:val="000000"/>
              </w:rPr>
              <w:t xml:space="preserve"> V.</w:t>
            </w:r>
            <w:r w:rsidR="000155B6">
              <w:rPr>
                <w:rFonts w:ascii="Arial" w:hAnsi="Arial" w:cs="Arial"/>
                <w:b/>
                <w:bCs/>
                <w:color w:val="000000"/>
              </w:rPr>
              <w:t>7</w:t>
            </w:r>
          </w:p>
        </w:tc>
      </w:tr>
      <w:tr w:rsidR="009E6FC6" w:rsidRPr="00E72A9C" w:rsidTr="00A400B5">
        <w:trPr>
          <w:trHeight w:val="180"/>
          <w:jc w:val="center"/>
        </w:trPr>
        <w:tc>
          <w:tcPr>
            <w:tcW w:w="9546" w:type="dxa"/>
            <w:gridSpan w:val="9"/>
            <w:tcBorders>
              <w:top w:val="nil"/>
              <w:left w:val="nil"/>
              <w:bottom w:val="nil"/>
              <w:right w:val="nil"/>
            </w:tcBorders>
            <w:shd w:val="clear" w:color="auto" w:fill="auto"/>
            <w:noWrap/>
            <w:vAlign w:val="center"/>
            <w:hideMark/>
          </w:tcPr>
          <w:p w:rsidR="009E6FC6" w:rsidRPr="00E72A9C" w:rsidRDefault="009E6FC6" w:rsidP="00E56B71">
            <w:pPr>
              <w:jc w:val="center"/>
              <w:rPr>
                <w:rFonts w:ascii="Arial" w:hAnsi="Arial" w:cs="Arial"/>
                <w:b/>
                <w:bCs/>
                <w:color w:val="000000"/>
                <w:sz w:val="20"/>
                <w:szCs w:val="20"/>
              </w:rPr>
            </w:pPr>
            <w:r w:rsidRPr="00E72A9C">
              <w:rPr>
                <w:rFonts w:ascii="Arial" w:hAnsi="Arial" w:cs="Arial"/>
                <w:b/>
                <w:bCs/>
                <w:color w:val="000000"/>
                <w:sz w:val="20"/>
                <w:szCs w:val="20"/>
              </w:rPr>
              <w:t>Persons in Households with at least one Adult and one Child</w:t>
            </w:r>
          </w:p>
        </w:tc>
      </w:tr>
      <w:tr w:rsidR="009E6FC6" w:rsidRPr="00E72A9C" w:rsidTr="00A400B5">
        <w:trPr>
          <w:trHeight w:val="153"/>
          <w:jc w:val="center"/>
        </w:trPr>
        <w:tc>
          <w:tcPr>
            <w:tcW w:w="9546" w:type="dxa"/>
            <w:gridSpan w:val="9"/>
            <w:tcBorders>
              <w:top w:val="nil"/>
              <w:left w:val="nil"/>
              <w:bottom w:val="nil"/>
              <w:right w:val="nil"/>
            </w:tcBorders>
            <w:shd w:val="clear" w:color="auto" w:fill="auto"/>
            <w:noWrap/>
            <w:vAlign w:val="center"/>
            <w:hideMark/>
          </w:tcPr>
          <w:p w:rsidR="009E6FC6" w:rsidRPr="00E72A9C" w:rsidRDefault="009E6FC6" w:rsidP="00E56B71">
            <w:pPr>
              <w:jc w:val="center"/>
              <w:rPr>
                <w:rFonts w:ascii="Arial" w:hAnsi="Arial" w:cs="Arial"/>
                <w:color w:val="000000"/>
                <w:sz w:val="16"/>
                <w:szCs w:val="16"/>
              </w:rPr>
            </w:pPr>
            <w:r w:rsidRPr="00E72A9C">
              <w:rPr>
                <w:rFonts w:ascii="Arial" w:hAnsi="Arial" w:cs="Arial"/>
                <w:color w:val="000000"/>
                <w:sz w:val="16"/>
                <w:szCs w:val="16"/>
              </w:rPr>
              <w:t>State of New Mexico</w:t>
            </w:r>
          </w:p>
        </w:tc>
      </w:tr>
      <w:tr w:rsidR="009E6FC6" w:rsidRPr="00E72A9C" w:rsidTr="00A400B5">
        <w:trPr>
          <w:trHeight w:val="207"/>
          <w:jc w:val="center"/>
        </w:trPr>
        <w:tc>
          <w:tcPr>
            <w:tcW w:w="9546" w:type="dxa"/>
            <w:gridSpan w:val="9"/>
            <w:tcBorders>
              <w:top w:val="nil"/>
              <w:left w:val="nil"/>
              <w:bottom w:val="single" w:sz="8" w:space="0" w:color="009900"/>
              <w:right w:val="nil"/>
            </w:tcBorders>
            <w:shd w:val="clear" w:color="auto" w:fill="auto"/>
            <w:noWrap/>
            <w:vAlign w:val="center"/>
            <w:hideMark/>
          </w:tcPr>
          <w:p w:rsidR="009E6FC6" w:rsidRPr="00E72A9C" w:rsidRDefault="000D7E46" w:rsidP="00E56B71">
            <w:pPr>
              <w:jc w:val="center"/>
              <w:rPr>
                <w:rFonts w:ascii="Arial" w:hAnsi="Arial" w:cs="Arial"/>
                <w:color w:val="000000"/>
                <w:sz w:val="16"/>
                <w:szCs w:val="16"/>
              </w:rPr>
            </w:pPr>
            <w:r>
              <w:rPr>
                <w:rFonts w:ascii="Arial" w:hAnsi="Arial" w:cs="Arial"/>
                <w:color w:val="000000"/>
                <w:sz w:val="16"/>
                <w:szCs w:val="16"/>
              </w:rPr>
              <w:t xml:space="preserve"> </w:t>
            </w:r>
            <w:r w:rsidR="009E6FC6" w:rsidRPr="00E72A9C">
              <w:rPr>
                <w:rFonts w:ascii="Arial" w:hAnsi="Arial" w:cs="Arial"/>
                <w:color w:val="000000"/>
                <w:sz w:val="16"/>
                <w:szCs w:val="16"/>
              </w:rPr>
              <w:t>US Department of Housing and Urban Development</w:t>
            </w:r>
            <w:r w:rsidR="001E57AB">
              <w:rPr>
                <w:rFonts w:ascii="Arial" w:hAnsi="Arial" w:cs="Arial"/>
                <w:color w:val="000000"/>
                <w:sz w:val="16"/>
                <w:szCs w:val="16"/>
              </w:rPr>
              <w:t xml:space="preserve"> 2014</w:t>
            </w:r>
            <w:r w:rsidR="009E6FC6" w:rsidRPr="00E72A9C">
              <w:rPr>
                <w:rFonts w:ascii="Arial" w:hAnsi="Arial" w:cs="Arial"/>
                <w:color w:val="000000"/>
                <w:sz w:val="16"/>
                <w:szCs w:val="16"/>
              </w:rPr>
              <w:t xml:space="preserve"> </w:t>
            </w:r>
          </w:p>
        </w:tc>
      </w:tr>
      <w:tr w:rsidR="009E6FC6" w:rsidRPr="00E72A9C" w:rsidTr="00A400B5">
        <w:trPr>
          <w:trHeight w:val="300"/>
          <w:jc w:val="center"/>
        </w:trPr>
        <w:tc>
          <w:tcPr>
            <w:tcW w:w="1263" w:type="dxa"/>
            <w:vMerge w:val="restart"/>
            <w:tcBorders>
              <w:top w:val="nil"/>
              <w:left w:val="single" w:sz="8" w:space="0" w:color="009900"/>
              <w:bottom w:val="single" w:sz="8" w:space="0" w:color="009900"/>
              <w:right w:val="dotted" w:sz="4" w:space="0" w:color="009900"/>
            </w:tcBorders>
            <w:shd w:val="clear" w:color="000000" w:fill="FFFFE1"/>
            <w:noWrap/>
            <w:vAlign w:val="center"/>
            <w:hideMark/>
          </w:tcPr>
          <w:p w:rsidR="009E6FC6" w:rsidRPr="00E72A9C" w:rsidRDefault="009E6FC6" w:rsidP="00E56B71">
            <w:pPr>
              <w:rPr>
                <w:rFonts w:ascii="Arial" w:hAnsi="Arial" w:cs="Arial"/>
                <w:b/>
                <w:bCs/>
                <w:color w:val="000000"/>
                <w:sz w:val="16"/>
                <w:szCs w:val="16"/>
              </w:rPr>
            </w:pPr>
            <w:r w:rsidRPr="00E72A9C">
              <w:rPr>
                <w:rFonts w:ascii="Arial" w:hAnsi="Arial" w:cs="Arial"/>
                <w:b/>
                <w:bCs/>
                <w:color w:val="000000"/>
                <w:sz w:val="16"/>
                <w:szCs w:val="16"/>
              </w:rPr>
              <w:t>Persons</w:t>
            </w:r>
          </w:p>
        </w:tc>
        <w:tc>
          <w:tcPr>
            <w:tcW w:w="4104" w:type="dxa"/>
            <w:gridSpan w:val="4"/>
            <w:tcBorders>
              <w:top w:val="single" w:sz="8" w:space="0" w:color="009900"/>
              <w:left w:val="nil"/>
              <w:bottom w:val="dotted" w:sz="4" w:space="0" w:color="009900"/>
              <w:right w:val="dotted" w:sz="4" w:space="0" w:color="009900"/>
            </w:tcBorders>
            <w:shd w:val="clear" w:color="000000" w:fill="FFFFE1"/>
            <w:noWrap/>
            <w:vAlign w:val="center"/>
            <w:hideMark/>
          </w:tcPr>
          <w:p w:rsidR="009E6FC6" w:rsidRPr="00E72A9C" w:rsidRDefault="009E6FC6" w:rsidP="00E56B71">
            <w:pPr>
              <w:jc w:val="center"/>
              <w:rPr>
                <w:rFonts w:ascii="Arial" w:hAnsi="Arial" w:cs="Arial"/>
                <w:b/>
                <w:bCs/>
                <w:color w:val="000000"/>
                <w:sz w:val="16"/>
                <w:szCs w:val="16"/>
              </w:rPr>
            </w:pPr>
            <w:r w:rsidRPr="00E72A9C">
              <w:rPr>
                <w:rFonts w:ascii="Arial" w:hAnsi="Arial" w:cs="Arial"/>
                <w:b/>
                <w:bCs/>
                <w:color w:val="000000"/>
                <w:sz w:val="16"/>
                <w:szCs w:val="16"/>
              </w:rPr>
              <w:t>2009</w:t>
            </w:r>
          </w:p>
        </w:tc>
        <w:tc>
          <w:tcPr>
            <w:tcW w:w="4179" w:type="dxa"/>
            <w:gridSpan w:val="4"/>
            <w:tcBorders>
              <w:top w:val="single" w:sz="8" w:space="0" w:color="009900"/>
              <w:left w:val="nil"/>
              <w:bottom w:val="dotted" w:sz="4" w:space="0" w:color="009900"/>
              <w:right w:val="single" w:sz="8" w:space="0" w:color="009900"/>
            </w:tcBorders>
            <w:shd w:val="clear" w:color="000000" w:fill="FFFFE1"/>
            <w:noWrap/>
            <w:vAlign w:val="center"/>
            <w:hideMark/>
          </w:tcPr>
          <w:p w:rsidR="009E6FC6" w:rsidRPr="00E72A9C" w:rsidRDefault="009E6FC6" w:rsidP="00E56B71">
            <w:pPr>
              <w:jc w:val="center"/>
              <w:rPr>
                <w:rFonts w:ascii="Arial" w:hAnsi="Arial" w:cs="Arial"/>
                <w:b/>
                <w:bCs/>
                <w:color w:val="000000"/>
                <w:sz w:val="16"/>
                <w:szCs w:val="16"/>
              </w:rPr>
            </w:pPr>
            <w:r w:rsidRPr="00E72A9C">
              <w:rPr>
                <w:rFonts w:ascii="Arial" w:hAnsi="Arial" w:cs="Arial"/>
                <w:b/>
                <w:bCs/>
                <w:color w:val="000000"/>
                <w:sz w:val="16"/>
                <w:szCs w:val="16"/>
              </w:rPr>
              <w:t>2013</w:t>
            </w:r>
          </w:p>
        </w:tc>
      </w:tr>
      <w:tr w:rsidR="009E6FC6" w:rsidRPr="00E72A9C" w:rsidTr="00A400B5">
        <w:trPr>
          <w:trHeight w:val="315"/>
          <w:jc w:val="center"/>
        </w:trPr>
        <w:tc>
          <w:tcPr>
            <w:tcW w:w="1263" w:type="dxa"/>
            <w:vMerge/>
            <w:tcBorders>
              <w:top w:val="nil"/>
              <w:left w:val="single" w:sz="8" w:space="0" w:color="009900"/>
              <w:bottom w:val="single" w:sz="8" w:space="0" w:color="009900"/>
              <w:right w:val="dotted" w:sz="4" w:space="0" w:color="009900"/>
            </w:tcBorders>
            <w:vAlign w:val="center"/>
            <w:hideMark/>
          </w:tcPr>
          <w:p w:rsidR="009E6FC6" w:rsidRPr="00E72A9C" w:rsidRDefault="009E6FC6" w:rsidP="00E56B71">
            <w:pPr>
              <w:rPr>
                <w:rFonts w:ascii="Arial" w:hAnsi="Arial" w:cs="Arial"/>
                <w:b/>
                <w:bCs/>
                <w:color w:val="000000"/>
                <w:sz w:val="16"/>
                <w:szCs w:val="16"/>
              </w:rPr>
            </w:pPr>
          </w:p>
        </w:tc>
        <w:tc>
          <w:tcPr>
            <w:tcW w:w="1067" w:type="dxa"/>
            <w:tcBorders>
              <w:top w:val="nil"/>
              <w:left w:val="nil"/>
              <w:bottom w:val="single" w:sz="8" w:space="0" w:color="009900"/>
              <w:right w:val="nil"/>
            </w:tcBorders>
            <w:shd w:val="clear" w:color="000000" w:fill="FFFFE1"/>
            <w:noWrap/>
            <w:vAlign w:val="center"/>
            <w:hideMark/>
          </w:tcPr>
          <w:p w:rsidR="009E6FC6" w:rsidRPr="00E72A9C" w:rsidRDefault="009E6FC6" w:rsidP="00E56B71">
            <w:pPr>
              <w:jc w:val="center"/>
              <w:rPr>
                <w:rFonts w:ascii="Arial" w:hAnsi="Arial" w:cs="Arial"/>
                <w:b/>
                <w:bCs/>
                <w:color w:val="000000"/>
                <w:sz w:val="16"/>
                <w:szCs w:val="16"/>
              </w:rPr>
            </w:pPr>
            <w:r w:rsidRPr="00E72A9C">
              <w:rPr>
                <w:rFonts w:ascii="Arial" w:hAnsi="Arial" w:cs="Arial"/>
                <w:b/>
                <w:bCs/>
                <w:color w:val="000000"/>
                <w:sz w:val="16"/>
                <w:szCs w:val="16"/>
              </w:rPr>
              <w:t xml:space="preserve">Emergency </w:t>
            </w:r>
          </w:p>
        </w:tc>
        <w:tc>
          <w:tcPr>
            <w:tcW w:w="1198" w:type="dxa"/>
            <w:tcBorders>
              <w:top w:val="nil"/>
              <w:left w:val="nil"/>
              <w:bottom w:val="single" w:sz="8" w:space="0" w:color="009900"/>
              <w:right w:val="nil"/>
            </w:tcBorders>
            <w:shd w:val="clear" w:color="000000" w:fill="FFFFE1"/>
            <w:noWrap/>
            <w:vAlign w:val="center"/>
            <w:hideMark/>
          </w:tcPr>
          <w:p w:rsidR="009E6FC6" w:rsidRPr="00E72A9C" w:rsidRDefault="009E6FC6" w:rsidP="00E56B71">
            <w:pPr>
              <w:jc w:val="center"/>
              <w:rPr>
                <w:rFonts w:ascii="Arial" w:hAnsi="Arial" w:cs="Arial"/>
                <w:b/>
                <w:bCs/>
                <w:color w:val="000000"/>
                <w:sz w:val="16"/>
                <w:szCs w:val="16"/>
              </w:rPr>
            </w:pPr>
            <w:r w:rsidRPr="00E72A9C">
              <w:rPr>
                <w:rFonts w:ascii="Arial" w:hAnsi="Arial" w:cs="Arial"/>
                <w:b/>
                <w:bCs/>
                <w:color w:val="000000"/>
                <w:sz w:val="16"/>
                <w:szCs w:val="16"/>
              </w:rPr>
              <w:t>Transitional</w:t>
            </w:r>
          </w:p>
        </w:tc>
        <w:tc>
          <w:tcPr>
            <w:tcW w:w="1222" w:type="dxa"/>
            <w:tcBorders>
              <w:top w:val="nil"/>
              <w:left w:val="nil"/>
              <w:bottom w:val="single" w:sz="8" w:space="0" w:color="009900"/>
              <w:right w:val="nil"/>
            </w:tcBorders>
            <w:shd w:val="clear" w:color="000000" w:fill="FFFFE1"/>
            <w:noWrap/>
            <w:vAlign w:val="center"/>
            <w:hideMark/>
          </w:tcPr>
          <w:p w:rsidR="009E6FC6" w:rsidRPr="00E72A9C" w:rsidRDefault="009E6FC6" w:rsidP="00E56B71">
            <w:pPr>
              <w:jc w:val="center"/>
              <w:rPr>
                <w:rFonts w:ascii="Arial" w:hAnsi="Arial" w:cs="Arial"/>
                <w:b/>
                <w:bCs/>
                <w:color w:val="000000"/>
                <w:sz w:val="16"/>
                <w:szCs w:val="16"/>
              </w:rPr>
            </w:pPr>
            <w:r w:rsidRPr="00E72A9C">
              <w:rPr>
                <w:rFonts w:ascii="Arial" w:hAnsi="Arial" w:cs="Arial"/>
                <w:b/>
                <w:bCs/>
                <w:color w:val="000000"/>
                <w:sz w:val="16"/>
                <w:szCs w:val="16"/>
              </w:rPr>
              <w:t>Unsheltered</w:t>
            </w:r>
          </w:p>
        </w:tc>
        <w:tc>
          <w:tcPr>
            <w:tcW w:w="617" w:type="dxa"/>
            <w:tcBorders>
              <w:top w:val="nil"/>
              <w:left w:val="dotted" w:sz="4" w:space="0" w:color="009900"/>
              <w:bottom w:val="single" w:sz="8" w:space="0" w:color="009900"/>
              <w:right w:val="dotted" w:sz="4" w:space="0" w:color="009900"/>
            </w:tcBorders>
            <w:shd w:val="clear" w:color="000000" w:fill="FFFFE1"/>
            <w:noWrap/>
            <w:vAlign w:val="center"/>
            <w:hideMark/>
          </w:tcPr>
          <w:p w:rsidR="009E6FC6" w:rsidRPr="00E72A9C" w:rsidRDefault="009E6FC6" w:rsidP="00E56B71">
            <w:pPr>
              <w:jc w:val="center"/>
              <w:rPr>
                <w:rFonts w:ascii="Arial" w:hAnsi="Arial" w:cs="Arial"/>
                <w:b/>
                <w:bCs/>
                <w:color w:val="000000"/>
                <w:sz w:val="16"/>
                <w:szCs w:val="16"/>
              </w:rPr>
            </w:pPr>
            <w:r w:rsidRPr="00E72A9C">
              <w:rPr>
                <w:rFonts w:ascii="Arial" w:hAnsi="Arial" w:cs="Arial"/>
                <w:b/>
                <w:bCs/>
                <w:color w:val="000000"/>
                <w:sz w:val="16"/>
                <w:szCs w:val="16"/>
              </w:rPr>
              <w:t>Total</w:t>
            </w:r>
          </w:p>
        </w:tc>
        <w:tc>
          <w:tcPr>
            <w:tcW w:w="1142" w:type="dxa"/>
            <w:tcBorders>
              <w:top w:val="nil"/>
              <w:left w:val="nil"/>
              <w:bottom w:val="single" w:sz="8" w:space="0" w:color="009900"/>
              <w:right w:val="nil"/>
            </w:tcBorders>
            <w:shd w:val="clear" w:color="000000" w:fill="FFFFE1"/>
            <w:noWrap/>
            <w:vAlign w:val="center"/>
            <w:hideMark/>
          </w:tcPr>
          <w:p w:rsidR="009E6FC6" w:rsidRPr="00E72A9C" w:rsidRDefault="009E6FC6" w:rsidP="00E56B71">
            <w:pPr>
              <w:jc w:val="center"/>
              <w:rPr>
                <w:rFonts w:ascii="Arial" w:hAnsi="Arial" w:cs="Arial"/>
                <w:b/>
                <w:bCs/>
                <w:color w:val="000000"/>
                <w:sz w:val="16"/>
                <w:szCs w:val="16"/>
              </w:rPr>
            </w:pPr>
            <w:r w:rsidRPr="00E72A9C">
              <w:rPr>
                <w:rFonts w:ascii="Arial" w:hAnsi="Arial" w:cs="Arial"/>
                <w:b/>
                <w:bCs/>
                <w:color w:val="000000"/>
                <w:sz w:val="16"/>
                <w:szCs w:val="16"/>
              </w:rPr>
              <w:t xml:space="preserve">Emergency </w:t>
            </w:r>
          </w:p>
        </w:tc>
        <w:tc>
          <w:tcPr>
            <w:tcW w:w="1198" w:type="dxa"/>
            <w:tcBorders>
              <w:top w:val="nil"/>
              <w:left w:val="nil"/>
              <w:bottom w:val="single" w:sz="8" w:space="0" w:color="009900"/>
              <w:right w:val="nil"/>
            </w:tcBorders>
            <w:shd w:val="clear" w:color="000000" w:fill="FFFFE1"/>
            <w:noWrap/>
            <w:vAlign w:val="center"/>
            <w:hideMark/>
          </w:tcPr>
          <w:p w:rsidR="009E6FC6" w:rsidRPr="00E72A9C" w:rsidRDefault="009E6FC6" w:rsidP="00E56B71">
            <w:pPr>
              <w:jc w:val="center"/>
              <w:rPr>
                <w:rFonts w:ascii="Arial" w:hAnsi="Arial" w:cs="Arial"/>
                <w:b/>
                <w:bCs/>
                <w:color w:val="000000"/>
                <w:sz w:val="16"/>
                <w:szCs w:val="16"/>
              </w:rPr>
            </w:pPr>
            <w:r w:rsidRPr="00E72A9C">
              <w:rPr>
                <w:rFonts w:ascii="Arial" w:hAnsi="Arial" w:cs="Arial"/>
                <w:b/>
                <w:bCs/>
                <w:color w:val="000000"/>
                <w:sz w:val="16"/>
                <w:szCs w:val="16"/>
              </w:rPr>
              <w:t>Transitional</w:t>
            </w:r>
          </w:p>
        </w:tc>
        <w:tc>
          <w:tcPr>
            <w:tcW w:w="1222" w:type="dxa"/>
            <w:tcBorders>
              <w:top w:val="nil"/>
              <w:left w:val="nil"/>
              <w:bottom w:val="single" w:sz="8" w:space="0" w:color="009900"/>
              <w:right w:val="nil"/>
            </w:tcBorders>
            <w:shd w:val="clear" w:color="000000" w:fill="FFFFE1"/>
            <w:noWrap/>
            <w:vAlign w:val="center"/>
            <w:hideMark/>
          </w:tcPr>
          <w:p w:rsidR="009E6FC6" w:rsidRPr="00E72A9C" w:rsidRDefault="009E6FC6" w:rsidP="00E56B71">
            <w:pPr>
              <w:jc w:val="center"/>
              <w:rPr>
                <w:rFonts w:ascii="Arial" w:hAnsi="Arial" w:cs="Arial"/>
                <w:b/>
                <w:bCs/>
                <w:color w:val="000000"/>
                <w:sz w:val="16"/>
                <w:szCs w:val="16"/>
              </w:rPr>
            </w:pPr>
            <w:r w:rsidRPr="00E72A9C">
              <w:rPr>
                <w:rFonts w:ascii="Arial" w:hAnsi="Arial" w:cs="Arial"/>
                <w:b/>
                <w:bCs/>
                <w:color w:val="000000"/>
                <w:sz w:val="16"/>
                <w:szCs w:val="16"/>
              </w:rPr>
              <w:t>Unsheltered</w:t>
            </w:r>
          </w:p>
        </w:tc>
        <w:tc>
          <w:tcPr>
            <w:tcW w:w="617" w:type="dxa"/>
            <w:tcBorders>
              <w:top w:val="nil"/>
              <w:left w:val="dotted" w:sz="4" w:space="0" w:color="009900"/>
              <w:bottom w:val="single" w:sz="8" w:space="0" w:color="009900"/>
              <w:right w:val="single" w:sz="8" w:space="0" w:color="009900"/>
            </w:tcBorders>
            <w:shd w:val="clear" w:color="000000" w:fill="FFFFE1"/>
            <w:noWrap/>
            <w:vAlign w:val="center"/>
            <w:hideMark/>
          </w:tcPr>
          <w:p w:rsidR="009E6FC6" w:rsidRPr="00E72A9C" w:rsidRDefault="009E6FC6" w:rsidP="00E56B71">
            <w:pPr>
              <w:jc w:val="center"/>
              <w:rPr>
                <w:rFonts w:ascii="Arial" w:hAnsi="Arial" w:cs="Arial"/>
                <w:b/>
                <w:bCs/>
                <w:color w:val="000000"/>
                <w:sz w:val="16"/>
                <w:szCs w:val="16"/>
              </w:rPr>
            </w:pPr>
            <w:r w:rsidRPr="00E72A9C">
              <w:rPr>
                <w:rFonts w:ascii="Arial" w:hAnsi="Arial" w:cs="Arial"/>
                <w:b/>
                <w:bCs/>
                <w:color w:val="000000"/>
                <w:sz w:val="16"/>
                <w:szCs w:val="16"/>
              </w:rPr>
              <w:t>Total</w:t>
            </w:r>
          </w:p>
        </w:tc>
      </w:tr>
      <w:tr w:rsidR="009E6FC6" w:rsidRPr="00E72A9C" w:rsidTr="00A400B5">
        <w:trPr>
          <w:trHeight w:val="300"/>
          <w:jc w:val="center"/>
        </w:trPr>
        <w:tc>
          <w:tcPr>
            <w:tcW w:w="1263" w:type="dxa"/>
            <w:tcBorders>
              <w:top w:val="nil"/>
              <w:left w:val="single" w:sz="8" w:space="0" w:color="009900"/>
              <w:bottom w:val="nil"/>
              <w:right w:val="nil"/>
            </w:tcBorders>
            <w:shd w:val="clear" w:color="000000" w:fill="FFFFE1"/>
            <w:noWrap/>
            <w:vAlign w:val="center"/>
            <w:hideMark/>
          </w:tcPr>
          <w:p w:rsidR="009E6FC6" w:rsidRPr="00E72A9C" w:rsidRDefault="009E6FC6" w:rsidP="00E56B71">
            <w:pPr>
              <w:rPr>
                <w:rFonts w:ascii="Arial" w:hAnsi="Arial" w:cs="Arial"/>
                <w:color w:val="000000"/>
                <w:sz w:val="16"/>
                <w:szCs w:val="16"/>
              </w:rPr>
            </w:pPr>
            <w:r w:rsidRPr="00E72A9C">
              <w:rPr>
                <w:rFonts w:ascii="Arial" w:hAnsi="Arial" w:cs="Arial"/>
                <w:color w:val="000000"/>
                <w:sz w:val="16"/>
                <w:szCs w:val="16"/>
              </w:rPr>
              <w:t>Under Age 18</w:t>
            </w:r>
          </w:p>
        </w:tc>
        <w:tc>
          <w:tcPr>
            <w:tcW w:w="1067" w:type="dxa"/>
            <w:tcBorders>
              <w:top w:val="nil"/>
              <w:left w:val="dotted" w:sz="4" w:space="0" w:color="009900"/>
              <w:bottom w:val="nil"/>
              <w:right w:val="nil"/>
            </w:tcBorders>
            <w:shd w:val="clear" w:color="000000" w:fill="FFFFE1"/>
            <w:noWrap/>
            <w:vAlign w:val="center"/>
            <w:hideMark/>
          </w:tcPr>
          <w:p w:rsidR="009E6FC6" w:rsidRPr="00E72A9C" w:rsidRDefault="009E6FC6" w:rsidP="00E56B71">
            <w:pPr>
              <w:jc w:val="center"/>
              <w:rPr>
                <w:rFonts w:ascii="Arial" w:hAnsi="Arial" w:cs="Arial"/>
                <w:color w:val="000000"/>
                <w:sz w:val="16"/>
                <w:szCs w:val="16"/>
              </w:rPr>
            </w:pPr>
            <w:r w:rsidRPr="00E72A9C">
              <w:rPr>
                <w:rFonts w:ascii="Arial" w:hAnsi="Arial" w:cs="Arial"/>
                <w:color w:val="000000"/>
                <w:sz w:val="16"/>
                <w:szCs w:val="16"/>
              </w:rPr>
              <w:t>.</w:t>
            </w:r>
          </w:p>
        </w:tc>
        <w:tc>
          <w:tcPr>
            <w:tcW w:w="1198" w:type="dxa"/>
            <w:tcBorders>
              <w:top w:val="nil"/>
              <w:left w:val="nil"/>
              <w:bottom w:val="nil"/>
              <w:right w:val="nil"/>
            </w:tcBorders>
            <w:shd w:val="clear" w:color="000000" w:fill="FFFFE1"/>
            <w:noWrap/>
            <w:vAlign w:val="center"/>
            <w:hideMark/>
          </w:tcPr>
          <w:p w:rsidR="009E6FC6" w:rsidRPr="00E72A9C" w:rsidRDefault="009E6FC6" w:rsidP="00E56B71">
            <w:pPr>
              <w:jc w:val="center"/>
              <w:rPr>
                <w:rFonts w:ascii="Arial" w:hAnsi="Arial" w:cs="Arial"/>
                <w:color w:val="000000"/>
                <w:sz w:val="16"/>
                <w:szCs w:val="16"/>
              </w:rPr>
            </w:pPr>
            <w:r w:rsidRPr="00E72A9C">
              <w:rPr>
                <w:rFonts w:ascii="Arial" w:hAnsi="Arial" w:cs="Arial"/>
                <w:color w:val="000000"/>
                <w:sz w:val="16"/>
                <w:szCs w:val="16"/>
              </w:rPr>
              <w:t>.</w:t>
            </w:r>
          </w:p>
        </w:tc>
        <w:tc>
          <w:tcPr>
            <w:tcW w:w="1222" w:type="dxa"/>
            <w:tcBorders>
              <w:top w:val="nil"/>
              <w:left w:val="nil"/>
              <w:bottom w:val="nil"/>
              <w:right w:val="nil"/>
            </w:tcBorders>
            <w:shd w:val="clear" w:color="000000" w:fill="FFFFE1"/>
            <w:noWrap/>
            <w:vAlign w:val="center"/>
            <w:hideMark/>
          </w:tcPr>
          <w:p w:rsidR="009E6FC6" w:rsidRPr="00E72A9C" w:rsidRDefault="009E6FC6" w:rsidP="00E56B71">
            <w:pPr>
              <w:jc w:val="center"/>
              <w:rPr>
                <w:rFonts w:ascii="Arial" w:hAnsi="Arial" w:cs="Arial"/>
                <w:color w:val="000000"/>
                <w:sz w:val="16"/>
                <w:szCs w:val="16"/>
              </w:rPr>
            </w:pPr>
            <w:r w:rsidRPr="00E72A9C">
              <w:rPr>
                <w:rFonts w:ascii="Arial" w:hAnsi="Arial" w:cs="Arial"/>
                <w:color w:val="000000"/>
                <w:sz w:val="16"/>
                <w:szCs w:val="16"/>
              </w:rPr>
              <w:t>.</w:t>
            </w:r>
          </w:p>
        </w:tc>
        <w:tc>
          <w:tcPr>
            <w:tcW w:w="617" w:type="dxa"/>
            <w:tcBorders>
              <w:top w:val="nil"/>
              <w:left w:val="dotted" w:sz="4" w:space="0" w:color="009900"/>
              <w:bottom w:val="nil"/>
              <w:right w:val="dotted" w:sz="4" w:space="0" w:color="009900"/>
            </w:tcBorders>
            <w:shd w:val="clear" w:color="000000" w:fill="FFFFE1"/>
            <w:noWrap/>
            <w:vAlign w:val="center"/>
            <w:hideMark/>
          </w:tcPr>
          <w:p w:rsidR="009E6FC6" w:rsidRPr="00E72A9C" w:rsidRDefault="009E6FC6" w:rsidP="00E56B71">
            <w:pPr>
              <w:jc w:val="center"/>
              <w:rPr>
                <w:rFonts w:ascii="Arial" w:hAnsi="Arial" w:cs="Arial"/>
                <w:color w:val="000000"/>
                <w:sz w:val="16"/>
                <w:szCs w:val="16"/>
              </w:rPr>
            </w:pPr>
            <w:r w:rsidRPr="00E72A9C">
              <w:rPr>
                <w:rFonts w:ascii="Arial" w:hAnsi="Arial" w:cs="Arial"/>
                <w:color w:val="000000"/>
                <w:sz w:val="16"/>
                <w:szCs w:val="16"/>
              </w:rPr>
              <w:t>.</w:t>
            </w:r>
          </w:p>
        </w:tc>
        <w:tc>
          <w:tcPr>
            <w:tcW w:w="1142" w:type="dxa"/>
            <w:tcBorders>
              <w:top w:val="nil"/>
              <w:left w:val="nil"/>
              <w:bottom w:val="nil"/>
              <w:right w:val="nil"/>
            </w:tcBorders>
            <w:shd w:val="clear" w:color="000000" w:fill="FFFFE1"/>
            <w:noWrap/>
            <w:vAlign w:val="center"/>
            <w:hideMark/>
          </w:tcPr>
          <w:p w:rsidR="009E6FC6" w:rsidRPr="00E72A9C" w:rsidRDefault="009E6FC6" w:rsidP="00E56B71">
            <w:pPr>
              <w:jc w:val="center"/>
              <w:rPr>
                <w:rFonts w:ascii="Arial" w:hAnsi="Arial" w:cs="Arial"/>
                <w:color w:val="000000"/>
                <w:sz w:val="16"/>
                <w:szCs w:val="16"/>
              </w:rPr>
            </w:pPr>
            <w:r w:rsidRPr="00E72A9C">
              <w:rPr>
                <w:rFonts w:ascii="Arial" w:hAnsi="Arial" w:cs="Arial"/>
                <w:color w:val="000000"/>
                <w:sz w:val="16"/>
                <w:szCs w:val="16"/>
              </w:rPr>
              <w:t>252</w:t>
            </w:r>
          </w:p>
        </w:tc>
        <w:tc>
          <w:tcPr>
            <w:tcW w:w="1198" w:type="dxa"/>
            <w:tcBorders>
              <w:top w:val="nil"/>
              <w:left w:val="nil"/>
              <w:bottom w:val="nil"/>
              <w:right w:val="nil"/>
            </w:tcBorders>
            <w:shd w:val="clear" w:color="000000" w:fill="FFFFE1"/>
            <w:noWrap/>
            <w:vAlign w:val="center"/>
            <w:hideMark/>
          </w:tcPr>
          <w:p w:rsidR="009E6FC6" w:rsidRPr="00E72A9C" w:rsidRDefault="009E6FC6" w:rsidP="00E56B71">
            <w:pPr>
              <w:jc w:val="center"/>
              <w:rPr>
                <w:rFonts w:ascii="Arial" w:hAnsi="Arial" w:cs="Arial"/>
                <w:color w:val="000000"/>
                <w:sz w:val="16"/>
                <w:szCs w:val="16"/>
              </w:rPr>
            </w:pPr>
            <w:r w:rsidRPr="00E72A9C">
              <w:rPr>
                <w:rFonts w:ascii="Arial" w:hAnsi="Arial" w:cs="Arial"/>
                <w:color w:val="000000"/>
                <w:sz w:val="16"/>
                <w:szCs w:val="16"/>
              </w:rPr>
              <w:t>366</w:t>
            </w:r>
          </w:p>
        </w:tc>
        <w:tc>
          <w:tcPr>
            <w:tcW w:w="1222" w:type="dxa"/>
            <w:tcBorders>
              <w:top w:val="nil"/>
              <w:left w:val="nil"/>
              <w:bottom w:val="nil"/>
              <w:right w:val="nil"/>
            </w:tcBorders>
            <w:shd w:val="clear" w:color="000000" w:fill="FFFFE1"/>
            <w:noWrap/>
            <w:vAlign w:val="center"/>
            <w:hideMark/>
          </w:tcPr>
          <w:p w:rsidR="009E6FC6" w:rsidRPr="00E72A9C" w:rsidRDefault="009E6FC6" w:rsidP="00E56B71">
            <w:pPr>
              <w:jc w:val="center"/>
              <w:rPr>
                <w:rFonts w:ascii="Arial" w:hAnsi="Arial" w:cs="Arial"/>
                <w:color w:val="000000"/>
                <w:sz w:val="16"/>
                <w:szCs w:val="16"/>
              </w:rPr>
            </w:pPr>
            <w:r w:rsidRPr="00E72A9C">
              <w:rPr>
                <w:rFonts w:ascii="Arial" w:hAnsi="Arial" w:cs="Arial"/>
                <w:color w:val="000000"/>
                <w:sz w:val="16"/>
                <w:szCs w:val="16"/>
              </w:rPr>
              <w:t>24</w:t>
            </w:r>
          </w:p>
        </w:tc>
        <w:tc>
          <w:tcPr>
            <w:tcW w:w="617" w:type="dxa"/>
            <w:tcBorders>
              <w:top w:val="nil"/>
              <w:left w:val="dotted" w:sz="4" w:space="0" w:color="009900"/>
              <w:bottom w:val="nil"/>
              <w:right w:val="single" w:sz="8" w:space="0" w:color="009900"/>
            </w:tcBorders>
            <w:shd w:val="clear" w:color="000000" w:fill="FFFFE1"/>
            <w:noWrap/>
            <w:vAlign w:val="center"/>
            <w:hideMark/>
          </w:tcPr>
          <w:p w:rsidR="009E6FC6" w:rsidRPr="00E72A9C" w:rsidRDefault="009E6FC6" w:rsidP="00E56B71">
            <w:pPr>
              <w:jc w:val="center"/>
              <w:rPr>
                <w:rFonts w:ascii="Arial" w:hAnsi="Arial" w:cs="Arial"/>
                <w:color w:val="000000"/>
                <w:sz w:val="16"/>
                <w:szCs w:val="16"/>
              </w:rPr>
            </w:pPr>
            <w:r w:rsidRPr="00E72A9C">
              <w:rPr>
                <w:rFonts w:ascii="Arial" w:hAnsi="Arial" w:cs="Arial"/>
                <w:color w:val="000000"/>
                <w:sz w:val="16"/>
                <w:szCs w:val="16"/>
              </w:rPr>
              <w:t>642</w:t>
            </w:r>
          </w:p>
        </w:tc>
      </w:tr>
      <w:tr w:rsidR="009E6FC6" w:rsidRPr="00E72A9C" w:rsidTr="00A400B5">
        <w:trPr>
          <w:trHeight w:val="300"/>
          <w:jc w:val="center"/>
        </w:trPr>
        <w:tc>
          <w:tcPr>
            <w:tcW w:w="1263" w:type="dxa"/>
            <w:tcBorders>
              <w:top w:val="nil"/>
              <w:left w:val="single" w:sz="8" w:space="0" w:color="009900"/>
              <w:bottom w:val="nil"/>
              <w:right w:val="nil"/>
            </w:tcBorders>
            <w:shd w:val="clear" w:color="000000" w:fill="FFFFE1"/>
            <w:noWrap/>
            <w:vAlign w:val="center"/>
            <w:hideMark/>
          </w:tcPr>
          <w:p w:rsidR="009E6FC6" w:rsidRPr="00E72A9C" w:rsidRDefault="009E6FC6" w:rsidP="00E56B71">
            <w:pPr>
              <w:rPr>
                <w:rFonts w:ascii="Arial" w:hAnsi="Arial" w:cs="Arial"/>
                <w:color w:val="000000"/>
                <w:sz w:val="16"/>
                <w:szCs w:val="16"/>
              </w:rPr>
            </w:pPr>
            <w:r w:rsidRPr="00E72A9C">
              <w:rPr>
                <w:rFonts w:ascii="Arial" w:hAnsi="Arial" w:cs="Arial"/>
                <w:color w:val="000000"/>
                <w:sz w:val="16"/>
                <w:szCs w:val="16"/>
              </w:rPr>
              <w:t>Aged 18 to 24</w:t>
            </w:r>
          </w:p>
        </w:tc>
        <w:tc>
          <w:tcPr>
            <w:tcW w:w="1067" w:type="dxa"/>
            <w:tcBorders>
              <w:top w:val="nil"/>
              <w:left w:val="dotted" w:sz="4" w:space="0" w:color="009900"/>
              <w:bottom w:val="nil"/>
              <w:right w:val="nil"/>
            </w:tcBorders>
            <w:shd w:val="clear" w:color="000000" w:fill="FFFFE1"/>
            <w:noWrap/>
            <w:vAlign w:val="center"/>
            <w:hideMark/>
          </w:tcPr>
          <w:p w:rsidR="009E6FC6" w:rsidRPr="00E72A9C" w:rsidRDefault="009E6FC6" w:rsidP="00E56B71">
            <w:pPr>
              <w:jc w:val="center"/>
              <w:rPr>
                <w:rFonts w:ascii="Arial" w:hAnsi="Arial" w:cs="Arial"/>
                <w:color w:val="000000"/>
                <w:sz w:val="16"/>
                <w:szCs w:val="16"/>
              </w:rPr>
            </w:pPr>
            <w:r w:rsidRPr="00E72A9C">
              <w:rPr>
                <w:rFonts w:ascii="Arial" w:hAnsi="Arial" w:cs="Arial"/>
                <w:color w:val="000000"/>
                <w:sz w:val="16"/>
                <w:szCs w:val="16"/>
              </w:rPr>
              <w:t>.</w:t>
            </w:r>
          </w:p>
        </w:tc>
        <w:tc>
          <w:tcPr>
            <w:tcW w:w="1198" w:type="dxa"/>
            <w:tcBorders>
              <w:top w:val="nil"/>
              <w:left w:val="nil"/>
              <w:bottom w:val="nil"/>
              <w:right w:val="nil"/>
            </w:tcBorders>
            <w:shd w:val="clear" w:color="000000" w:fill="FFFFE1"/>
            <w:noWrap/>
            <w:vAlign w:val="center"/>
            <w:hideMark/>
          </w:tcPr>
          <w:p w:rsidR="009E6FC6" w:rsidRPr="00E72A9C" w:rsidRDefault="009E6FC6" w:rsidP="00E56B71">
            <w:pPr>
              <w:jc w:val="center"/>
              <w:rPr>
                <w:rFonts w:ascii="Arial" w:hAnsi="Arial" w:cs="Arial"/>
                <w:color w:val="000000"/>
                <w:sz w:val="16"/>
                <w:szCs w:val="16"/>
              </w:rPr>
            </w:pPr>
            <w:r w:rsidRPr="00E72A9C">
              <w:rPr>
                <w:rFonts w:ascii="Arial" w:hAnsi="Arial" w:cs="Arial"/>
                <w:color w:val="000000"/>
                <w:sz w:val="16"/>
                <w:szCs w:val="16"/>
              </w:rPr>
              <w:t>.</w:t>
            </w:r>
          </w:p>
        </w:tc>
        <w:tc>
          <w:tcPr>
            <w:tcW w:w="1222" w:type="dxa"/>
            <w:tcBorders>
              <w:top w:val="nil"/>
              <w:left w:val="nil"/>
              <w:bottom w:val="nil"/>
              <w:right w:val="nil"/>
            </w:tcBorders>
            <w:shd w:val="clear" w:color="000000" w:fill="FFFFE1"/>
            <w:noWrap/>
            <w:vAlign w:val="center"/>
            <w:hideMark/>
          </w:tcPr>
          <w:p w:rsidR="009E6FC6" w:rsidRPr="00E72A9C" w:rsidRDefault="009E6FC6" w:rsidP="00E56B71">
            <w:pPr>
              <w:jc w:val="center"/>
              <w:rPr>
                <w:rFonts w:ascii="Arial" w:hAnsi="Arial" w:cs="Arial"/>
                <w:color w:val="000000"/>
                <w:sz w:val="16"/>
                <w:szCs w:val="16"/>
              </w:rPr>
            </w:pPr>
            <w:r w:rsidRPr="00E72A9C">
              <w:rPr>
                <w:rFonts w:ascii="Arial" w:hAnsi="Arial" w:cs="Arial"/>
                <w:color w:val="000000"/>
                <w:sz w:val="16"/>
                <w:szCs w:val="16"/>
              </w:rPr>
              <w:t>.</w:t>
            </w:r>
          </w:p>
        </w:tc>
        <w:tc>
          <w:tcPr>
            <w:tcW w:w="617" w:type="dxa"/>
            <w:tcBorders>
              <w:top w:val="nil"/>
              <w:left w:val="dotted" w:sz="4" w:space="0" w:color="009900"/>
              <w:bottom w:val="nil"/>
              <w:right w:val="dotted" w:sz="4" w:space="0" w:color="009900"/>
            </w:tcBorders>
            <w:shd w:val="clear" w:color="000000" w:fill="FFFFE1"/>
            <w:noWrap/>
            <w:vAlign w:val="center"/>
            <w:hideMark/>
          </w:tcPr>
          <w:p w:rsidR="009E6FC6" w:rsidRPr="00E72A9C" w:rsidRDefault="009E6FC6" w:rsidP="00E56B71">
            <w:pPr>
              <w:jc w:val="center"/>
              <w:rPr>
                <w:rFonts w:ascii="Arial" w:hAnsi="Arial" w:cs="Arial"/>
                <w:color w:val="000000"/>
                <w:sz w:val="16"/>
                <w:szCs w:val="16"/>
              </w:rPr>
            </w:pPr>
            <w:r w:rsidRPr="00E72A9C">
              <w:rPr>
                <w:rFonts w:ascii="Arial" w:hAnsi="Arial" w:cs="Arial"/>
                <w:color w:val="000000"/>
                <w:sz w:val="16"/>
                <w:szCs w:val="16"/>
              </w:rPr>
              <w:t>.</w:t>
            </w:r>
          </w:p>
        </w:tc>
        <w:tc>
          <w:tcPr>
            <w:tcW w:w="1142" w:type="dxa"/>
            <w:tcBorders>
              <w:top w:val="nil"/>
              <w:left w:val="nil"/>
              <w:bottom w:val="nil"/>
              <w:right w:val="nil"/>
            </w:tcBorders>
            <w:shd w:val="clear" w:color="000000" w:fill="FFFFE1"/>
            <w:noWrap/>
            <w:vAlign w:val="center"/>
            <w:hideMark/>
          </w:tcPr>
          <w:p w:rsidR="009E6FC6" w:rsidRPr="00E72A9C" w:rsidRDefault="009E6FC6" w:rsidP="00E56B71">
            <w:pPr>
              <w:jc w:val="center"/>
              <w:rPr>
                <w:rFonts w:ascii="Arial" w:hAnsi="Arial" w:cs="Arial"/>
                <w:color w:val="000000"/>
                <w:sz w:val="16"/>
                <w:szCs w:val="16"/>
              </w:rPr>
            </w:pPr>
            <w:r w:rsidRPr="00E72A9C">
              <w:rPr>
                <w:rFonts w:ascii="Arial" w:hAnsi="Arial" w:cs="Arial"/>
                <w:color w:val="000000"/>
                <w:sz w:val="16"/>
                <w:szCs w:val="16"/>
              </w:rPr>
              <w:t>25</w:t>
            </w:r>
          </w:p>
        </w:tc>
        <w:tc>
          <w:tcPr>
            <w:tcW w:w="1198" w:type="dxa"/>
            <w:tcBorders>
              <w:top w:val="nil"/>
              <w:left w:val="nil"/>
              <w:bottom w:val="nil"/>
              <w:right w:val="nil"/>
            </w:tcBorders>
            <w:shd w:val="clear" w:color="000000" w:fill="FFFFE1"/>
            <w:noWrap/>
            <w:vAlign w:val="center"/>
            <w:hideMark/>
          </w:tcPr>
          <w:p w:rsidR="009E6FC6" w:rsidRPr="00E72A9C" w:rsidRDefault="009E6FC6" w:rsidP="00E56B71">
            <w:pPr>
              <w:jc w:val="center"/>
              <w:rPr>
                <w:rFonts w:ascii="Arial" w:hAnsi="Arial" w:cs="Arial"/>
                <w:color w:val="000000"/>
                <w:sz w:val="16"/>
                <w:szCs w:val="16"/>
              </w:rPr>
            </w:pPr>
            <w:r w:rsidRPr="00E72A9C">
              <w:rPr>
                <w:rFonts w:ascii="Arial" w:hAnsi="Arial" w:cs="Arial"/>
                <w:color w:val="000000"/>
                <w:sz w:val="16"/>
                <w:szCs w:val="16"/>
              </w:rPr>
              <w:t>49</w:t>
            </w:r>
          </w:p>
        </w:tc>
        <w:tc>
          <w:tcPr>
            <w:tcW w:w="1222" w:type="dxa"/>
            <w:tcBorders>
              <w:top w:val="nil"/>
              <w:left w:val="nil"/>
              <w:bottom w:val="nil"/>
              <w:right w:val="nil"/>
            </w:tcBorders>
            <w:shd w:val="clear" w:color="000000" w:fill="FFFFE1"/>
            <w:noWrap/>
            <w:vAlign w:val="center"/>
            <w:hideMark/>
          </w:tcPr>
          <w:p w:rsidR="009E6FC6" w:rsidRPr="00E72A9C" w:rsidRDefault="009E6FC6" w:rsidP="00E56B71">
            <w:pPr>
              <w:jc w:val="center"/>
              <w:rPr>
                <w:rFonts w:ascii="Arial" w:hAnsi="Arial" w:cs="Arial"/>
                <w:color w:val="000000"/>
                <w:sz w:val="16"/>
                <w:szCs w:val="16"/>
              </w:rPr>
            </w:pPr>
            <w:r w:rsidRPr="00E72A9C">
              <w:rPr>
                <w:rFonts w:ascii="Arial" w:hAnsi="Arial" w:cs="Arial"/>
                <w:color w:val="000000"/>
                <w:sz w:val="16"/>
                <w:szCs w:val="16"/>
              </w:rPr>
              <w:t>17</w:t>
            </w:r>
          </w:p>
        </w:tc>
        <w:tc>
          <w:tcPr>
            <w:tcW w:w="617" w:type="dxa"/>
            <w:tcBorders>
              <w:top w:val="nil"/>
              <w:left w:val="dotted" w:sz="4" w:space="0" w:color="009900"/>
              <w:bottom w:val="nil"/>
              <w:right w:val="single" w:sz="8" w:space="0" w:color="009900"/>
            </w:tcBorders>
            <w:shd w:val="clear" w:color="000000" w:fill="FFFFE1"/>
            <w:noWrap/>
            <w:vAlign w:val="center"/>
            <w:hideMark/>
          </w:tcPr>
          <w:p w:rsidR="009E6FC6" w:rsidRPr="00E72A9C" w:rsidRDefault="009E6FC6" w:rsidP="00E56B71">
            <w:pPr>
              <w:jc w:val="center"/>
              <w:rPr>
                <w:rFonts w:ascii="Arial" w:hAnsi="Arial" w:cs="Arial"/>
                <w:color w:val="000000"/>
                <w:sz w:val="16"/>
                <w:szCs w:val="16"/>
              </w:rPr>
            </w:pPr>
            <w:r w:rsidRPr="00E72A9C">
              <w:rPr>
                <w:rFonts w:ascii="Arial" w:hAnsi="Arial" w:cs="Arial"/>
                <w:color w:val="000000"/>
                <w:sz w:val="16"/>
                <w:szCs w:val="16"/>
              </w:rPr>
              <w:t>91</w:t>
            </w:r>
          </w:p>
        </w:tc>
      </w:tr>
      <w:tr w:rsidR="009E6FC6" w:rsidRPr="00E72A9C" w:rsidTr="00A400B5">
        <w:trPr>
          <w:trHeight w:val="315"/>
          <w:jc w:val="center"/>
        </w:trPr>
        <w:tc>
          <w:tcPr>
            <w:tcW w:w="1263" w:type="dxa"/>
            <w:tcBorders>
              <w:top w:val="nil"/>
              <w:left w:val="single" w:sz="8" w:space="0" w:color="009900"/>
              <w:bottom w:val="nil"/>
              <w:right w:val="nil"/>
            </w:tcBorders>
            <w:shd w:val="clear" w:color="000000" w:fill="FFFFE1"/>
            <w:noWrap/>
            <w:vAlign w:val="center"/>
            <w:hideMark/>
          </w:tcPr>
          <w:p w:rsidR="009E6FC6" w:rsidRPr="00E72A9C" w:rsidRDefault="009E6FC6" w:rsidP="00E56B71">
            <w:pPr>
              <w:rPr>
                <w:rFonts w:ascii="Arial" w:hAnsi="Arial" w:cs="Arial"/>
                <w:color w:val="000000"/>
                <w:sz w:val="16"/>
                <w:szCs w:val="16"/>
              </w:rPr>
            </w:pPr>
            <w:r w:rsidRPr="00E72A9C">
              <w:rPr>
                <w:rFonts w:ascii="Arial" w:hAnsi="Arial" w:cs="Arial"/>
                <w:color w:val="000000"/>
                <w:sz w:val="16"/>
                <w:szCs w:val="16"/>
              </w:rPr>
              <w:t>Over 24</w:t>
            </w:r>
          </w:p>
        </w:tc>
        <w:tc>
          <w:tcPr>
            <w:tcW w:w="1067" w:type="dxa"/>
            <w:tcBorders>
              <w:top w:val="nil"/>
              <w:left w:val="dotted" w:sz="4" w:space="0" w:color="009900"/>
              <w:bottom w:val="nil"/>
              <w:right w:val="nil"/>
            </w:tcBorders>
            <w:shd w:val="clear" w:color="000000" w:fill="FFFFE1"/>
            <w:noWrap/>
            <w:vAlign w:val="center"/>
            <w:hideMark/>
          </w:tcPr>
          <w:p w:rsidR="009E6FC6" w:rsidRPr="00E72A9C" w:rsidRDefault="009E6FC6" w:rsidP="00E56B71">
            <w:pPr>
              <w:jc w:val="center"/>
              <w:rPr>
                <w:rFonts w:ascii="Arial" w:hAnsi="Arial" w:cs="Arial"/>
                <w:color w:val="000000"/>
                <w:sz w:val="16"/>
                <w:szCs w:val="16"/>
              </w:rPr>
            </w:pPr>
            <w:r w:rsidRPr="00E72A9C">
              <w:rPr>
                <w:rFonts w:ascii="Arial" w:hAnsi="Arial" w:cs="Arial"/>
                <w:color w:val="000000"/>
                <w:sz w:val="16"/>
                <w:szCs w:val="16"/>
              </w:rPr>
              <w:t>.</w:t>
            </w:r>
          </w:p>
        </w:tc>
        <w:tc>
          <w:tcPr>
            <w:tcW w:w="1198" w:type="dxa"/>
            <w:tcBorders>
              <w:top w:val="nil"/>
              <w:left w:val="nil"/>
              <w:bottom w:val="nil"/>
              <w:right w:val="nil"/>
            </w:tcBorders>
            <w:shd w:val="clear" w:color="000000" w:fill="FFFFE1"/>
            <w:noWrap/>
            <w:vAlign w:val="center"/>
            <w:hideMark/>
          </w:tcPr>
          <w:p w:rsidR="009E6FC6" w:rsidRPr="00E72A9C" w:rsidRDefault="009E6FC6" w:rsidP="00E56B71">
            <w:pPr>
              <w:jc w:val="center"/>
              <w:rPr>
                <w:rFonts w:ascii="Arial" w:hAnsi="Arial" w:cs="Arial"/>
                <w:color w:val="000000"/>
                <w:sz w:val="16"/>
                <w:szCs w:val="16"/>
              </w:rPr>
            </w:pPr>
            <w:r w:rsidRPr="00E72A9C">
              <w:rPr>
                <w:rFonts w:ascii="Arial" w:hAnsi="Arial" w:cs="Arial"/>
                <w:color w:val="000000"/>
                <w:sz w:val="16"/>
                <w:szCs w:val="16"/>
              </w:rPr>
              <w:t>.</w:t>
            </w:r>
          </w:p>
        </w:tc>
        <w:tc>
          <w:tcPr>
            <w:tcW w:w="1222" w:type="dxa"/>
            <w:tcBorders>
              <w:top w:val="nil"/>
              <w:left w:val="nil"/>
              <w:bottom w:val="nil"/>
              <w:right w:val="nil"/>
            </w:tcBorders>
            <w:shd w:val="clear" w:color="000000" w:fill="FFFFE1"/>
            <w:noWrap/>
            <w:vAlign w:val="center"/>
            <w:hideMark/>
          </w:tcPr>
          <w:p w:rsidR="009E6FC6" w:rsidRPr="00E72A9C" w:rsidRDefault="009E6FC6" w:rsidP="00E56B71">
            <w:pPr>
              <w:jc w:val="center"/>
              <w:rPr>
                <w:rFonts w:ascii="Arial" w:hAnsi="Arial" w:cs="Arial"/>
                <w:color w:val="000000"/>
                <w:sz w:val="16"/>
                <w:szCs w:val="16"/>
              </w:rPr>
            </w:pPr>
            <w:r w:rsidRPr="00E72A9C">
              <w:rPr>
                <w:rFonts w:ascii="Arial" w:hAnsi="Arial" w:cs="Arial"/>
                <w:color w:val="000000"/>
                <w:sz w:val="16"/>
                <w:szCs w:val="16"/>
              </w:rPr>
              <w:t>.</w:t>
            </w:r>
          </w:p>
        </w:tc>
        <w:tc>
          <w:tcPr>
            <w:tcW w:w="617" w:type="dxa"/>
            <w:tcBorders>
              <w:top w:val="nil"/>
              <w:left w:val="dotted" w:sz="4" w:space="0" w:color="009900"/>
              <w:bottom w:val="nil"/>
              <w:right w:val="dotted" w:sz="4" w:space="0" w:color="009900"/>
            </w:tcBorders>
            <w:shd w:val="clear" w:color="000000" w:fill="FFFFE1"/>
            <w:noWrap/>
            <w:vAlign w:val="center"/>
            <w:hideMark/>
          </w:tcPr>
          <w:p w:rsidR="009E6FC6" w:rsidRPr="00E72A9C" w:rsidRDefault="009E6FC6" w:rsidP="00E56B71">
            <w:pPr>
              <w:jc w:val="center"/>
              <w:rPr>
                <w:rFonts w:ascii="Arial" w:hAnsi="Arial" w:cs="Arial"/>
                <w:color w:val="000000"/>
                <w:sz w:val="16"/>
                <w:szCs w:val="16"/>
              </w:rPr>
            </w:pPr>
            <w:r w:rsidRPr="00E72A9C">
              <w:rPr>
                <w:rFonts w:ascii="Arial" w:hAnsi="Arial" w:cs="Arial"/>
                <w:color w:val="000000"/>
                <w:sz w:val="16"/>
                <w:szCs w:val="16"/>
              </w:rPr>
              <w:t>.</w:t>
            </w:r>
          </w:p>
        </w:tc>
        <w:tc>
          <w:tcPr>
            <w:tcW w:w="1142" w:type="dxa"/>
            <w:tcBorders>
              <w:top w:val="nil"/>
              <w:left w:val="nil"/>
              <w:bottom w:val="nil"/>
              <w:right w:val="nil"/>
            </w:tcBorders>
            <w:shd w:val="clear" w:color="000000" w:fill="FFFFE1"/>
            <w:noWrap/>
            <w:vAlign w:val="center"/>
            <w:hideMark/>
          </w:tcPr>
          <w:p w:rsidR="009E6FC6" w:rsidRPr="00E72A9C" w:rsidRDefault="009E6FC6" w:rsidP="00E56B71">
            <w:pPr>
              <w:jc w:val="center"/>
              <w:rPr>
                <w:rFonts w:ascii="Arial" w:hAnsi="Arial" w:cs="Arial"/>
                <w:color w:val="000000"/>
                <w:sz w:val="16"/>
                <w:szCs w:val="16"/>
              </w:rPr>
            </w:pPr>
            <w:r w:rsidRPr="00E72A9C">
              <w:rPr>
                <w:rFonts w:ascii="Arial" w:hAnsi="Arial" w:cs="Arial"/>
                <w:color w:val="000000"/>
                <w:sz w:val="16"/>
                <w:szCs w:val="16"/>
              </w:rPr>
              <w:t>120</w:t>
            </w:r>
          </w:p>
        </w:tc>
        <w:tc>
          <w:tcPr>
            <w:tcW w:w="1198" w:type="dxa"/>
            <w:tcBorders>
              <w:top w:val="nil"/>
              <w:left w:val="nil"/>
              <w:bottom w:val="nil"/>
              <w:right w:val="nil"/>
            </w:tcBorders>
            <w:shd w:val="clear" w:color="000000" w:fill="FFFFE1"/>
            <w:noWrap/>
            <w:vAlign w:val="center"/>
            <w:hideMark/>
          </w:tcPr>
          <w:p w:rsidR="009E6FC6" w:rsidRPr="00E72A9C" w:rsidRDefault="009E6FC6" w:rsidP="00E56B71">
            <w:pPr>
              <w:jc w:val="center"/>
              <w:rPr>
                <w:rFonts w:ascii="Arial" w:hAnsi="Arial" w:cs="Arial"/>
                <w:color w:val="000000"/>
                <w:sz w:val="16"/>
                <w:szCs w:val="16"/>
              </w:rPr>
            </w:pPr>
            <w:r w:rsidRPr="00E72A9C">
              <w:rPr>
                <w:rFonts w:ascii="Arial" w:hAnsi="Arial" w:cs="Arial"/>
                <w:color w:val="000000"/>
                <w:sz w:val="16"/>
                <w:szCs w:val="16"/>
              </w:rPr>
              <w:t>168</w:t>
            </w:r>
          </w:p>
        </w:tc>
        <w:tc>
          <w:tcPr>
            <w:tcW w:w="1222" w:type="dxa"/>
            <w:tcBorders>
              <w:top w:val="nil"/>
              <w:left w:val="nil"/>
              <w:bottom w:val="nil"/>
              <w:right w:val="nil"/>
            </w:tcBorders>
            <w:shd w:val="clear" w:color="000000" w:fill="FFFFE1"/>
            <w:noWrap/>
            <w:vAlign w:val="center"/>
            <w:hideMark/>
          </w:tcPr>
          <w:p w:rsidR="009E6FC6" w:rsidRPr="00E72A9C" w:rsidRDefault="009E6FC6" w:rsidP="00E56B71">
            <w:pPr>
              <w:jc w:val="center"/>
              <w:rPr>
                <w:rFonts w:ascii="Arial" w:hAnsi="Arial" w:cs="Arial"/>
                <w:color w:val="000000"/>
                <w:sz w:val="16"/>
                <w:szCs w:val="16"/>
              </w:rPr>
            </w:pPr>
            <w:r w:rsidRPr="00E72A9C">
              <w:rPr>
                <w:rFonts w:ascii="Arial" w:hAnsi="Arial" w:cs="Arial"/>
                <w:color w:val="000000"/>
                <w:sz w:val="16"/>
                <w:szCs w:val="16"/>
              </w:rPr>
              <w:t>12</w:t>
            </w:r>
          </w:p>
        </w:tc>
        <w:tc>
          <w:tcPr>
            <w:tcW w:w="617" w:type="dxa"/>
            <w:tcBorders>
              <w:top w:val="nil"/>
              <w:left w:val="dotted" w:sz="4" w:space="0" w:color="009900"/>
              <w:bottom w:val="nil"/>
              <w:right w:val="single" w:sz="8" w:space="0" w:color="009900"/>
            </w:tcBorders>
            <w:shd w:val="clear" w:color="000000" w:fill="FFFFE1"/>
            <w:noWrap/>
            <w:vAlign w:val="center"/>
            <w:hideMark/>
          </w:tcPr>
          <w:p w:rsidR="009E6FC6" w:rsidRPr="00E72A9C" w:rsidRDefault="009E6FC6" w:rsidP="00E56B71">
            <w:pPr>
              <w:jc w:val="center"/>
              <w:rPr>
                <w:rFonts w:ascii="Arial" w:hAnsi="Arial" w:cs="Arial"/>
                <w:color w:val="000000"/>
                <w:sz w:val="16"/>
                <w:szCs w:val="16"/>
              </w:rPr>
            </w:pPr>
            <w:r w:rsidRPr="00E72A9C">
              <w:rPr>
                <w:rFonts w:ascii="Arial" w:hAnsi="Arial" w:cs="Arial"/>
                <w:color w:val="000000"/>
                <w:sz w:val="16"/>
                <w:szCs w:val="16"/>
              </w:rPr>
              <w:t>300</w:t>
            </w:r>
          </w:p>
        </w:tc>
      </w:tr>
      <w:tr w:rsidR="009E6FC6" w:rsidRPr="00E72A9C" w:rsidTr="00A400B5">
        <w:trPr>
          <w:trHeight w:val="657"/>
          <w:jc w:val="center"/>
        </w:trPr>
        <w:tc>
          <w:tcPr>
            <w:tcW w:w="1263" w:type="dxa"/>
            <w:tcBorders>
              <w:top w:val="double" w:sz="6" w:space="0" w:color="009900"/>
              <w:left w:val="single" w:sz="8" w:space="0" w:color="009900"/>
              <w:bottom w:val="single" w:sz="8" w:space="0" w:color="009900"/>
              <w:right w:val="nil"/>
            </w:tcBorders>
            <w:shd w:val="clear" w:color="000000" w:fill="FFFFE1"/>
            <w:vAlign w:val="center"/>
            <w:hideMark/>
          </w:tcPr>
          <w:p w:rsidR="009E6FC6" w:rsidRPr="00E72A9C" w:rsidRDefault="009E6FC6" w:rsidP="00E56B71">
            <w:pPr>
              <w:rPr>
                <w:rFonts w:ascii="Arial" w:hAnsi="Arial" w:cs="Arial"/>
                <w:b/>
                <w:bCs/>
                <w:color w:val="000000"/>
                <w:sz w:val="16"/>
                <w:szCs w:val="16"/>
              </w:rPr>
            </w:pPr>
            <w:r w:rsidRPr="00E72A9C">
              <w:rPr>
                <w:rFonts w:ascii="Arial" w:hAnsi="Arial" w:cs="Arial"/>
                <w:b/>
                <w:bCs/>
                <w:color w:val="000000"/>
                <w:sz w:val="16"/>
                <w:szCs w:val="16"/>
              </w:rPr>
              <w:t>Total Number of Persons</w:t>
            </w:r>
          </w:p>
        </w:tc>
        <w:tc>
          <w:tcPr>
            <w:tcW w:w="1067" w:type="dxa"/>
            <w:tcBorders>
              <w:top w:val="double" w:sz="6" w:space="0" w:color="009900"/>
              <w:left w:val="dotted" w:sz="4" w:space="0" w:color="009900"/>
              <w:bottom w:val="single" w:sz="8" w:space="0" w:color="009900"/>
              <w:right w:val="nil"/>
            </w:tcBorders>
            <w:shd w:val="clear" w:color="000000" w:fill="FFFFE1"/>
            <w:noWrap/>
            <w:vAlign w:val="center"/>
            <w:hideMark/>
          </w:tcPr>
          <w:p w:rsidR="009E6FC6" w:rsidRPr="00E72A9C" w:rsidRDefault="009E6FC6" w:rsidP="00E56B71">
            <w:pPr>
              <w:jc w:val="center"/>
              <w:rPr>
                <w:rFonts w:ascii="Arial" w:hAnsi="Arial" w:cs="Arial"/>
                <w:b/>
                <w:bCs/>
                <w:color w:val="000000"/>
                <w:sz w:val="16"/>
                <w:szCs w:val="16"/>
              </w:rPr>
            </w:pPr>
            <w:r w:rsidRPr="00E72A9C">
              <w:rPr>
                <w:rFonts w:ascii="Arial" w:hAnsi="Arial" w:cs="Arial"/>
                <w:b/>
                <w:bCs/>
                <w:color w:val="000000"/>
                <w:sz w:val="16"/>
                <w:szCs w:val="16"/>
              </w:rPr>
              <w:t>348</w:t>
            </w:r>
          </w:p>
        </w:tc>
        <w:tc>
          <w:tcPr>
            <w:tcW w:w="1198" w:type="dxa"/>
            <w:tcBorders>
              <w:top w:val="double" w:sz="6" w:space="0" w:color="009900"/>
              <w:left w:val="nil"/>
              <w:bottom w:val="single" w:sz="8" w:space="0" w:color="009900"/>
              <w:right w:val="nil"/>
            </w:tcBorders>
            <w:shd w:val="clear" w:color="000000" w:fill="FFFFE1"/>
            <w:noWrap/>
            <w:vAlign w:val="center"/>
            <w:hideMark/>
          </w:tcPr>
          <w:p w:rsidR="009E6FC6" w:rsidRPr="00E72A9C" w:rsidRDefault="009E6FC6" w:rsidP="00E56B71">
            <w:pPr>
              <w:jc w:val="center"/>
              <w:rPr>
                <w:rFonts w:ascii="Arial" w:hAnsi="Arial" w:cs="Arial"/>
                <w:b/>
                <w:bCs/>
                <w:color w:val="000000"/>
                <w:sz w:val="16"/>
                <w:szCs w:val="16"/>
              </w:rPr>
            </w:pPr>
            <w:r w:rsidRPr="00E72A9C">
              <w:rPr>
                <w:rFonts w:ascii="Arial" w:hAnsi="Arial" w:cs="Arial"/>
                <w:b/>
                <w:bCs/>
                <w:color w:val="000000"/>
                <w:sz w:val="16"/>
                <w:szCs w:val="16"/>
              </w:rPr>
              <w:t>658</w:t>
            </w:r>
          </w:p>
        </w:tc>
        <w:tc>
          <w:tcPr>
            <w:tcW w:w="1222" w:type="dxa"/>
            <w:tcBorders>
              <w:top w:val="double" w:sz="6" w:space="0" w:color="009900"/>
              <w:left w:val="nil"/>
              <w:bottom w:val="single" w:sz="8" w:space="0" w:color="009900"/>
              <w:right w:val="nil"/>
            </w:tcBorders>
            <w:shd w:val="clear" w:color="000000" w:fill="FFFFE1"/>
            <w:noWrap/>
            <w:vAlign w:val="center"/>
            <w:hideMark/>
          </w:tcPr>
          <w:p w:rsidR="009E6FC6" w:rsidRPr="00E72A9C" w:rsidRDefault="009E6FC6" w:rsidP="00E56B71">
            <w:pPr>
              <w:jc w:val="center"/>
              <w:rPr>
                <w:rFonts w:ascii="Arial" w:hAnsi="Arial" w:cs="Arial"/>
                <w:b/>
                <w:bCs/>
                <w:color w:val="000000"/>
                <w:sz w:val="16"/>
                <w:szCs w:val="16"/>
              </w:rPr>
            </w:pPr>
            <w:r w:rsidRPr="00E72A9C">
              <w:rPr>
                <w:rFonts w:ascii="Arial" w:hAnsi="Arial" w:cs="Arial"/>
                <w:b/>
                <w:bCs/>
                <w:color w:val="000000"/>
                <w:sz w:val="16"/>
                <w:szCs w:val="16"/>
              </w:rPr>
              <w:t>126</w:t>
            </w:r>
          </w:p>
        </w:tc>
        <w:tc>
          <w:tcPr>
            <w:tcW w:w="617" w:type="dxa"/>
            <w:tcBorders>
              <w:top w:val="double" w:sz="6" w:space="0" w:color="009900"/>
              <w:left w:val="dotted" w:sz="4" w:space="0" w:color="009900"/>
              <w:bottom w:val="single" w:sz="8" w:space="0" w:color="009900"/>
              <w:right w:val="dotted" w:sz="4" w:space="0" w:color="009900"/>
            </w:tcBorders>
            <w:shd w:val="clear" w:color="000000" w:fill="FFFFE1"/>
            <w:noWrap/>
            <w:vAlign w:val="center"/>
            <w:hideMark/>
          </w:tcPr>
          <w:p w:rsidR="009E6FC6" w:rsidRPr="00E72A9C" w:rsidRDefault="009E6FC6" w:rsidP="00E56B71">
            <w:pPr>
              <w:jc w:val="center"/>
              <w:rPr>
                <w:rFonts w:ascii="Arial" w:hAnsi="Arial" w:cs="Arial"/>
                <w:b/>
                <w:bCs/>
                <w:color w:val="000000"/>
                <w:sz w:val="16"/>
                <w:szCs w:val="16"/>
              </w:rPr>
            </w:pPr>
            <w:r w:rsidRPr="00E72A9C">
              <w:rPr>
                <w:rFonts w:ascii="Arial" w:hAnsi="Arial" w:cs="Arial"/>
                <w:b/>
                <w:bCs/>
                <w:color w:val="000000"/>
                <w:sz w:val="16"/>
                <w:szCs w:val="16"/>
              </w:rPr>
              <w:t>1,132</w:t>
            </w:r>
          </w:p>
        </w:tc>
        <w:tc>
          <w:tcPr>
            <w:tcW w:w="1142" w:type="dxa"/>
            <w:tcBorders>
              <w:top w:val="double" w:sz="6" w:space="0" w:color="009900"/>
              <w:left w:val="nil"/>
              <w:bottom w:val="single" w:sz="8" w:space="0" w:color="009900"/>
              <w:right w:val="nil"/>
            </w:tcBorders>
            <w:shd w:val="clear" w:color="000000" w:fill="FFFFE1"/>
            <w:noWrap/>
            <w:vAlign w:val="center"/>
            <w:hideMark/>
          </w:tcPr>
          <w:p w:rsidR="009E6FC6" w:rsidRPr="00E72A9C" w:rsidRDefault="009E6FC6" w:rsidP="00E56B71">
            <w:pPr>
              <w:jc w:val="center"/>
              <w:rPr>
                <w:rFonts w:ascii="Arial" w:hAnsi="Arial" w:cs="Arial"/>
                <w:b/>
                <w:bCs/>
                <w:color w:val="000000"/>
                <w:sz w:val="16"/>
                <w:szCs w:val="16"/>
              </w:rPr>
            </w:pPr>
            <w:r w:rsidRPr="00E72A9C">
              <w:rPr>
                <w:rFonts w:ascii="Arial" w:hAnsi="Arial" w:cs="Arial"/>
                <w:b/>
                <w:bCs/>
                <w:color w:val="000000"/>
                <w:sz w:val="16"/>
                <w:szCs w:val="16"/>
              </w:rPr>
              <w:t>397</w:t>
            </w:r>
          </w:p>
        </w:tc>
        <w:tc>
          <w:tcPr>
            <w:tcW w:w="1198" w:type="dxa"/>
            <w:tcBorders>
              <w:top w:val="double" w:sz="6" w:space="0" w:color="009900"/>
              <w:left w:val="nil"/>
              <w:bottom w:val="single" w:sz="8" w:space="0" w:color="009900"/>
              <w:right w:val="nil"/>
            </w:tcBorders>
            <w:shd w:val="clear" w:color="000000" w:fill="FFFFE1"/>
            <w:noWrap/>
            <w:vAlign w:val="center"/>
            <w:hideMark/>
          </w:tcPr>
          <w:p w:rsidR="009E6FC6" w:rsidRPr="00E72A9C" w:rsidRDefault="009E6FC6" w:rsidP="00E56B71">
            <w:pPr>
              <w:jc w:val="center"/>
              <w:rPr>
                <w:rFonts w:ascii="Arial" w:hAnsi="Arial" w:cs="Arial"/>
                <w:b/>
                <w:bCs/>
                <w:color w:val="000000"/>
                <w:sz w:val="16"/>
                <w:szCs w:val="16"/>
              </w:rPr>
            </w:pPr>
            <w:r w:rsidRPr="00E72A9C">
              <w:rPr>
                <w:rFonts w:ascii="Arial" w:hAnsi="Arial" w:cs="Arial"/>
                <w:b/>
                <w:bCs/>
                <w:color w:val="000000"/>
                <w:sz w:val="16"/>
                <w:szCs w:val="16"/>
              </w:rPr>
              <w:t>583</w:t>
            </w:r>
          </w:p>
        </w:tc>
        <w:tc>
          <w:tcPr>
            <w:tcW w:w="1222" w:type="dxa"/>
            <w:tcBorders>
              <w:top w:val="double" w:sz="6" w:space="0" w:color="009900"/>
              <w:left w:val="nil"/>
              <w:bottom w:val="single" w:sz="8" w:space="0" w:color="009900"/>
              <w:right w:val="nil"/>
            </w:tcBorders>
            <w:shd w:val="clear" w:color="000000" w:fill="FFFFE1"/>
            <w:noWrap/>
            <w:vAlign w:val="center"/>
            <w:hideMark/>
          </w:tcPr>
          <w:p w:rsidR="009E6FC6" w:rsidRPr="00E72A9C" w:rsidRDefault="009E6FC6" w:rsidP="00E56B71">
            <w:pPr>
              <w:jc w:val="center"/>
              <w:rPr>
                <w:rFonts w:ascii="Arial" w:hAnsi="Arial" w:cs="Arial"/>
                <w:b/>
                <w:bCs/>
                <w:color w:val="000000"/>
                <w:sz w:val="16"/>
                <w:szCs w:val="16"/>
              </w:rPr>
            </w:pPr>
            <w:r w:rsidRPr="00E72A9C">
              <w:rPr>
                <w:rFonts w:ascii="Arial" w:hAnsi="Arial" w:cs="Arial"/>
                <w:b/>
                <w:bCs/>
                <w:color w:val="000000"/>
                <w:sz w:val="16"/>
                <w:szCs w:val="16"/>
              </w:rPr>
              <w:t>53</w:t>
            </w:r>
          </w:p>
        </w:tc>
        <w:tc>
          <w:tcPr>
            <w:tcW w:w="617" w:type="dxa"/>
            <w:tcBorders>
              <w:top w:val="double" w:sz="6" w:space="0" w:color="009900"/>
              <w:left w:val="dotted" w:sz="4" w:space="0" w:color="009900"/>
              <w:bottom w:val="single" w:sz="8" w:space="0" w:color="009900"/>
              <w:right w:val="single" w:sz="8" w:space="0" w:color="009900"/>
            </w:tcBorders>
            <w:shd w:val="clear" w:color="000000" w:fill="FFFFE1"/>
            <w:noWrap/>
            <w:vAlign w:val="center"/>
            <w:hideMark/>
          </w:tcPr>
          <w:p w:rsidR="009E6FC6" w:rsidRPr="00E72A9C" w:rsidRDefault="009E6FC6" w:rsidP="00E56B71">
            <w:pPr>
              <w:jc w:val="center"/>
              <w:rPr>
                <w:rFonts w:ascii="Arial" w:hAnsi="Arial" w:cs="Arial"/>
                <w:b/>
                <w:bCs/>
                <w:color w:val="000000"/>
                <w:sz w:val="16"/>
                <w:szCs w:val="16"/>
              </w:rPr>
            </w:pPr>
            <w:r w:rsidRPr="00E72A9C">
              <w:rPr>
                <w:rFonts w:ascii="Arial" w:hAnsi="Arial" w:cs="Arial"/>
                <w:b/>
                <w:bCs/>
                <w:color w:val="000000"/>
                <w:sz w:val="16"/>
                <w:szCs w:val="16"/>
              </w:rPr>
              <w:t>1,033</w:t>
            </w:r>
          </w:p>
        </w:tc>
      </w:tr>
    </w:tbl>
    <w:p w:rsidR="003C459D" w:rsidRPr="00A400B5" w:rsidRDefault="003C459D" w:rsidP="003C459D">
      <w:pPr>
        <w:jc w:val="both"/>
        <w:rPr>
          <w:rFonts w:ascii="CG Omega" w:hAnsi="CG Omega"/>
        </w:rPr>
      </w:pPr>
    </w:p>
    <w:p w:rsidR="003C459D" w:rsidRDefault="003C459D" w:rsidP="003C459D">
      <w:pPr>
        <w:jc w:val="both"/>
        <w:rPr>
          <w:rFonts w:ascii="CG Omega" w:hAnsi="CG Omega"/>
        </w:rPr>
      </w:pPr>
      <w:r>
        <w:rPr>
          <w:rFonts w:ascii="CG Omega" w:hAnsi="CG Omega"/>
        </w:rPr>
        <w:t xml:space="preserve">As seen in </w:t>
      </w:r>
      <w:r w:rsidRPr="00A400B5">
        <w:rPr>
          <w:rFonts w:ascii="CG Omega" w:hAnsi="CG Omega"/>
          <w:b/>
        </w:rPr>
        <w:t>Table</w:t>
      </w:r>
      <w:r w:rsidR="00832AB3" w:rsidRPr="00A400B5">
        <w:rPr>
          <w:rFonts w:ascii="CG Omega" w:hAnsi="CG Omega"/>
          <w:b/>
        </w:rPr>
        <w:t xml:space="preserve"> V.</w:t>
      </w:r>
      <w:r w:rsidR="000155B6" w:rsidRPr="00A400B5">
        <w:rPr>
          <w:rFonts w:ascii="CG Omega" w:hAnsi="CG Omega"/>
          <w:b/>
        </w:rPr>
        <w:t>8</w:t>
      </w:r>
      <w:r>
        <w:rPr>
          <w:rFonts w:ascii="CG Omega" w:hAnsi="CG Omega"/>
        </w:rPr>
        <w:t xml:space="preserve">, on the following page, persons in households with children comprised 36.6 percent of the total homeless population for the state in 2013. In 2009, persons in households with children comprised 32.1 percent of the homes population for the state.  While there has been an increase in the percentage of persons in households with children from 2009 to 2013, there has been a decrease in the number remaining unsheltered.  In 2009, 11 percent of persons in households with children remained unsheltered.  By 2013, 5 percent of persons in households with children were unsheltered during the count.  Additionally, there were 81 persons in households with only children in 2013.  Of these, 20 persons remained unsheltered during the 2013 count.  </w:t>
      </w:r>
    </w:p>
    <w:p w:rsidR="000B514F" w:rsidRPr="00A400B5" w:rsidRDefault="000B514F" w:rsidP="003C459D">
      <w:pPr>
        <w:jc w:val="both"/>
        <w:rPr>
          <w:rFonts w:ascii="CG Omega" w:hAnsi="CG Omega"/>
        </w:rPr>
      </w:pPr>
    </w:p>
    <w:p w:rsidR="003C459D" w:rsidRDefault="003C459D" w:rsidP="003C459D">
      <w:pPr>
        <w:jc w:val="both"/>
        <w:rPr>
          <w:rFonts w:ascii="CG Omega" w:hAnsi="CG Omega"/>
        </w:rPr>
      </w:pPr>
      <w:r>
        <w:rPr>
          <w:rFonts w:ascii="CG Omega" w:hAnsi="CG Omega"/>
        </w:rPr>
        <w:t xml:space="preserve">Looking more closely at the Albuquerque population, </w:t>
      </w:r>
      <w:r w:rsidRPr="00A400B5">
        <w:rPr>
          <w:rFonts w:ascii="CG Omega" w:hAnsi="CG Omega"/>
          <w:b/>
        </w:rPr>
        <w:t>Table</w:t>
      </w:r>
      <w:r w:rsidR="00832AB3" w:rsidRPr="00A400B5">
        <w:rPr>
          <w:rFonts w:ascii="CG Omega" w:hAnsi="CG Omega"/>
          <w:b/>
        </w:rPr>
        <w:t xml:space="preserve"> V.</w:t>
      </w:r>
      <w:r w:rsidR="000155B6" w:rsidRPr="00A400B5">
        <w:rPr>
          <w:rFonts w:ascii="CG Omega" w:hAnsi="CG Omega"/>
          <w:b/>
        </w:rPr>
        <w:t>9</w:t>
      </w:r>
      <w:r w:rsidRPr="00832AB3">
        <w:rPr>
          <w:rFonts w:ascii="CG Omega" w:hAnsi="CG Omega"/>
        </w:rPr>
        <w:t xml:space="preserve">, </w:t>
      </w:r>
      <w:r w:rsidRPr="00421183">
        <w:rPr>
          <w:rFonts w:ascii="CG Omega" w:hAnsi="CG Omega"/>
        </w:rPr>
        <w:t xml:space="preserve">on the following page, </w:t>
      </w:r>
      <w:r>
        <w:rPr>
          <w:rFonts w:ascii="CG Omega" w:hAnsi="CG Omega"/>
        </w:rPr>
        <w:t xml:space="preserve">shows </w:t>
      </w:r>
      <w:r w:rsidRPr="00421183">
        <w:rPr>
          <w:rFonts w:ascii="CG Omega" w:hAnsi="CG Omega"/>
        </w:rPr>
        <w:t xml:space="preserve">the </w:t>
      </w:r>
      <w:r w:rsidRPr="003D48F5">
        <w:rPr>
          <w:rFonts w:ascii="CG Omega" w:hAnsi="CG Omega"/>
        </w:rPr>
        <w:t xml:space="preserve">majority of the homeless population in Albuquerque was </w:t>
      </w:r>
      <w:r>
        <w:rPr>
          <w:rFonts w:ascii="CG Omega" w:hAnsi="CG Omega"/>
        </w:rPr>
        <w:t>over the age of 24</w:t>
      </w:r>
      <w:r w:rsidRPr="003D48F5">
        <w:rPr>
          <w:rFonts w:ascii="CG Omega" w:hAnsi="CG Omega"/>
        </w:rPr>
        <w:t>.</w:t>
      </w:r>
      <w:r>
        <w:rPr>
          <w:rFonts w:ascii="CG Omega" w:hAnsi="CG Omega"/>
        </w:rPr>
        <w:t xml:space="preserve"> Within this age group, the majority were sheltered in either Emergency or Transitional Housing, with 128 persons over the age of 24 remaining unsheltered.  The total number of unsheltered individuals of all ages in 2013 was 144, compared to 931 unsheltered individuals in 2009.  There were 219 homeless persons under the age of 18, with a total of 122 households with at least one adult and one child. The vast majority of households with children are sheltered, either in </w:t>
      </w:r>
      <w:r w:rsidR="00A400B5">
        <w:rPr>
          <w:rFonts w:ascii="CG Omega" w:hAnsi="CG Omega"/>
        </w:rPr>
        <w:t>e</w:t>
      </w:r>
      <w:r>
        <w:rPr>
          <w:rFonts w:ascii="CG Omega" w:hAnsi="CG Omega"/>
        </w:rPr>
        <w:t xml:space="preserve">mergency or </w:t>
      </w:r>
      <w:r w:rsidR="00A400B5">
        <w:rPr>
          <w:rFonts w:ascii="CG Omega" w:hAnsi="CG Omega"/>
        </w:rPr>
        <w:t>t</w:t>
      </w:r>
      <w:r>
        <w:rPr>
          <w:rFonts w:ascii="CG Omega" w:hAnsi="CG Omega"/>
        </w:rPr>
        <w:t xml:space="preserve">ransitional </w:t>
      </w:r>
      <w:r w:rsidR="00A400B5">
        <w:rPr>
          <w:rFonts w:ascii="CG Omega" w:hAnsi="CG Omega"/>
        </w:rPr>
        <w:t>h</w:t>
      </w:r>
      <w:r>
        <w:rPr>
          <w:rFonts w:ascii="CG Omega" w:hAnsi="CG Omega"/>
        </w:rPr>
        <w:t>ousing, with only one person under the age of 18 remaining unsheltered.</w:t>
      </w:r>
    </w:p>
    <w:p w:rsidR="003C459D" w:rsidRDefault="003C459D" w:rsidP="003C459D">
      <w:pPr>
        <w:jc w:val="both"/>
        <w:rPr>
          <w:rFonts w:ascii="CG Omega" w:hAnsi="CG Omega"/>
        </w:rPr>
      </w:pPr>
    </w:p>
    <w:p w:rsidR="003C459D" w:rsidRPr="001D5EFB" w:rsidRDefault="003C459D" w:rsidP="003C459D">
      <w:pPr>
        <w:rPr>
          <w:rFonts w:ascii="CG Omega" w:hAnsi="CG Omega"/>
        </w:rPr>
        <w:sectPr w:rsidR="003C459D" w:rsidRPr="001D5EFB" w:rsidSect="00A04931">
          <w:headerReference w:type="default" r:id="rId53"/>
          <w:headerReference w:type="first" r:id="rId54"/>
          <w:pgSz w:w="12240" w:h="15840"/>
          <w:pgMar w:top="1440" w:right="1440" w:bottom="1440" w:left="1440" w:header="720" w:footer="720" w:gutter="0"/>
          <w:cols w:space="720"/>
          <w:titlePg/>
          <w:docGrid w:linePitch="360"/>
        </w:sectPr>
      </w:pPr>
    </w:p>
    <w:p w:rsidR="003C459D" w:rsidRDefault="003C459D" w:rsidP="003C459D">
      <w:pPr>
        <w:pStyle w:val="NoSpacing"/>
        <w:jc w:val="center"/>
        <w:rPr>
          <w:rFonts w:ascii="Arial" w:hAnsi="Arial" w:cs="Arial"/>
          <w:sz w:val="16"/>
          <w:szCs w:val="16"/>
        </w:rPr>
      </w:pPr>
    </w:p>
    <w:tbl>
      <w:tblPr>
        <w:tblW w:w="13379" w:type="dxa"/>
        <w:jc w:val="center"/>
        <w:tblLook w:val="04A0" w:firstRow="1" w:lastRow="0" w:firstColumn="1" w:lastColumn="0" w:noHBand="0" w:noVBand="1"/>
      </w:tblPr>
      <w:tblGrid>
        <w:gridCol w:w="375"/>
        <w:gridCol w:w="990"/>
        <w:gridCol w:w="1079"/>
        <w:gridCol w:w="1123"/>
        <w:gridCol w:w="146"/>
        <w:gridCol w:w="995"/>
        <w:gridCol w:w="62"/>
        <w:gridCol w:w="555"/>
        <w:gridCol w:w="677"/>
        <w:gridCol w:w="536"/>
        <w:gridCol w:w="81"/>
        <w:gridCol w:w="1001"/>
        <w:gridCol w:w="41"/>
        <w:gridCol w:w="1141"/>
        <w:gridCol w:w="50"/>
        <w:gridCol w:w="567"/>
        <w:gridCol w:w="50"/>
        <w:gridCol w:w="1001"/>
        <w:gridCol w:w="28"/>
        <w:gridCol w:w="1123"/>
        <w:gridCol w:w="81"/>
        <w:gridCol w:w="617"/>
        <w:gridCol w:w="443"/>
        <w:gridCol w:w="617"/>
      </w:tblGrid>
      <w:tr w:rsidR="003C459D" w:rsidRPr="003A2B9C" w:rsidTr="00D20353">
        <w:trPr>
          <w:gridBefore w:val="1"/>
          <w:gridAfter w:val="2"/>
          <w:wBefore w:w="375" w:type="dxa"/>
          <w:wAfter w:w="1060" w:type="dxa"/>
          <w:trHeight w:val="240"/>
          <w:jc w:val="center"/>
        </w:trPr>
        <w:tc>
          <w:tcPr>
            <w:tcW w:w="11944" w:type="dxa"/>
            <w:gridSpan w:val="21"/>
            <w:tcBorders>
              <w:top w:val="nil"/>
              <w:left w:val="nil"/>
              <w:bottom w:val="nil"/>
              <w:right w:val="nil"/>
            </w:tcBorders>
            <w:shd w:val="clear" w:color="auto" w:fill="auto"/>
            <w:noWrap/>
            <w:vAlign w:val="center"/>
            <w:hideMark/>
          </w:tcPr>
          <w:p w:rsidR="003C459D" w:rsidRPr="003A2B9C" w:rsidRDefault="003C459D" w:rsidP="000155B6">
            <w:pPr>
              <w:jc w:val="center"/>
              <w:rPr>
                <w:rFonts w:ascii="Arial" w:hAnsi="Arial" w:cs="Arial"/>
                <w:b/>
                <w:bCs/>
                <w:color w:val="000000"/>
              </w:rPr>
            </w:pPr>
            <w:r w:rsidRPr="003A2B9C">
              <w:rPr>
                <w:rFonts w:ascii="Arial" w:hAnsi="Arial" w:cs="Arial"/>
                <w:b/>
                <w:bCs/>
                <w:color w:val="000000"/>
              </w:rPr>
              <w:t>Table</w:t>
            </w:r>
            <w:r w:rsidR="00832AB3">
              <w:rPr>
                <w:rFonts w:ascii="Arial" w:hAnsi="Arial" w:cs="Arial"/>
                <w:b/>
                <w:bCs/>
                <w:color w:val="000000"/>
              </w:rPr>
              <w:t xml:space="preserve"> V.</w:t>
            </w:r>
            <w:r w:rsidR="000155B6">
              <w:rPr>
                <w:rFonts w:ascii="Arial" w:hAnsi="Arial" w:cs="Arial"/>
                <w:b/>
                <w:bCs/>
                <w:color w:val="000000"/>
              </w:rPr>
              <w:t>8</w:t>
            </w:r>
          </w:p>
        </w:tc>
      </w:tr>
      <w:tr w:rsidR="003C459D" w:rsidRPr="003A2B9C" w:rsidTr="00D20353">
        <w:trPr>
          <w:gridBefore w:val="1"/>
          <w:gridAfter w:val="2"/>
          <w:wBefore w:w="375" w:type="dxa"/>
          <w:wAfter w:w="1060" w:type="dxa"/>
          <w:trHeight w:val="255"/>
          <w:jc w:val="center"/>
        </w:trPr>
        <w:tc>
          <w:tcPr>
            <w:tcW w:w="11944" w:type="dxa"/>
            <w:gridSpan w:val="21"/>
            <w:tcBorders>
              <w:top w:val="nil"/>
              <w:left w:val="nil"/>
              <w:bottom w:val="nil"/>
              <w:right w:val="nil"/>
            </w:tcBorders>
            <w:shd w:val="clear" w:color="auto" w:fill="auto"/>
            <w:noWrap/>
            <w:vAlign w:val="center"/>
            <w:hideMark/>
          </w:tcPr>
          <w:p w:rsidR="003C459D" w:rsidRPr="003A2B9C" w:rsidRDefault="003C459D" w:rsidP="00E56B71">
            <w:pPr>
              <w:jc w:val="center"/>
              <w:rPr>
                <w:rFonts w:ascii="Arial" w:hAnsi="Arial" w:cs="Arial"/>
                <w:b/>
                <w:bCs/>
                <w:color w:val="000000"/>
                <w:sz w:val="20"/>
                <w:szCs w:val="20"/>
              </w:rPr>
            </w:pPr>
            <w:r w:rsidRPr="003A2B9C">
              <w:rPr>
                <w:rFonts w:ascii="Arial" w:hAnsi="Arial" w:cs="Arial"/>
                <w:b/>
                <w:bCs/>
                <w:color w:val="000000"/>
                <w:sz w:val="20"/>
                <w:szCs w:val="20"/>
              </w:rPr>
              <w:t>Persons in Households with at least one Adult and one Child</w:t>
            </w:r>
          </w:p>
        </w:tc>
      </w:tr>
      <w:tr w:rsidR="003C459D" w:rsidRPr="003A2B9C" w:rsidTr="00D20353">
        <w:trPr>
          <w:gridBefore w:val="1"/>
          <w:gridAfter w:val="2"/>
          <w:wBefore w:w="375" w:type="dxa"/>
          <w:wAfter w:w="1060" w:type="dxa"/>
          <w:trHeight w:val="225"/>
          <w:jc w:val="center"/>
        </w:trPr>
        <w:tc>
          <w:tcPr>
            <w:tcW w:w="11944" w:type="dxa"/>
            <w:gridSpan w:val="21"/>
            <w:tcBorders>
              <w:top w:val="nil"/>
              <w:left w:val="nil"/>
              <w:bottom w:val="nil"/>
              <w:right w:val="nil"/>
            </w:tcBorders>
            <w:shd w:val="clear" w:color="auto" w:fill="auto"/>
            <w:noWrap/>
            <w:vAlign w:val="center"/>
            <w:hideMark/>
          </w:tcPr>
          <w:p w:rsidR="003C459D" w:rsidRPr="003B166C" w:rsidRDefault="00897F09" w:rsidP="003B166C">
            <w:pPr>
              <w:jc w:val="center"/>
              <w:rPr>
                <w:rFonts w:ascii="Arial" w:hAnsi="Arial" w:cs="Arial"/>
                <w:sz w:val="16"/>
                <w:szCs w:val="16"/>
              </w:rPr>
            </w:pPr>
            <w:r>
              <w:rPr>
                <w:rFonts w:ascii="Arial" w:hAnsi="Arial" w:cs="Arial"/>
                <w:sz w:val="16"/>
                <w:szCs w:val="16"/>
              </w:rPr>
              <w:t>State of New Mexico</w:t>
            </w:r>
            <w:r>
              <w:rPr>
                <w:rStyle w:val="FootnoteReference"/>
                <w:rFonts w:ascii="Arial" w:hAnsi="Arial" w:cs="Arial"/>
                <w:sz w:val="16"/>
                <w:szCs w:val="16"/>
              </w:rPr>
              <w:footnoteReference w:id="49"/>
            </w:r>
          </w:p>
        </w:tc>
      </w:tr>
      <w:tr w:rsidR="003C459D" w:rsidRPr="003A2B9C" w:rsidTr="00D20353">
        <w:trPr>
          <w:gridBefore w:val="1"/>
          <w:gridAfter w:val="2"/>
          <w:wBefore w:w="375" w:type="dxa"/>
          <w:wAfter w:w="1060" w:type="dxa"/>
          <w:trHeight w:val="225"/>
          <w:jc w:val="center"/>
        </w:trPr>
        <w:tc>
          <w:tcPr>
            <w:tcW w:w="11944" w:type="dxa"/>
            <w:gridSpan w:val="21"/>
            <w:tcBorders>
              <w:top w:val="nil"/>
              <w:left w:val="nil"/>
              <w:bottom w:val="single" w:sz="8" w:space="0" w:color="009900"/>
              <w:right w:val="nil"/>
            </w:tcBorders>
            <w:shd w:val="clear" w:color="auto" w:fill="auto"/>
            <w:noWrap/>
            <w:vAlign w:val="center"/>
            <w:hideMark/>
          </w:tcPr>
          <w:p w:rsidR="003C459D" w:rsidRPr="003A2B9C" w:rsidRDefault="00AF6503" w:rsidP="00E56B71">
            <w:pPr>
              <w:jc w:val="center"/>
              <w:rPr>
                <w:rFonts w:ascii="Arial" w:hAnsi="Arial" w:cs="Arial"/>
                <w:color w:val="000000"/>
                <w:sz w:val="16"/>
                <w:szCs w:val="16"/>
              </w:rPr>
            </w:pPr>
            <w:r>
              <w:rPr>
                <w:rFonts w:ascii="Arial" w:hAnsi="Arial" w:cs="Arial"/>
                <w:color w:val="000000"/>
                <w:sz w:val="16"/>
                <w:szCs w:val="16"/>
              </w:rPr>
              <w:t xml:space="preserve"> </w:t>
            </w:r>
            <w:r w:rsidR="003C459D" w:rsidRPr="003A2B9C">
              <w:rPr>
                <w:rFonts w:ascii="Arial" w:hAnsi="Arial" w:cs="Arial"/>
                <w:color w:val="000000"/>
                <w:sz w:val="16"/>
                <w:szCs w:val="16"/>
              </w:rPr>
              <w:t xml:space="preserve">US Department of Housing and Urban Development </w:t>
            </w:r>
            <w:r w:rsidR="00405F93">
              <w:rPr>
                <w:rFonts w:ascii="Arial" w:hAnsi="Arial" w:cs="Arial"/>
                <w:color w:val="000000"/>
                <w:sz w:val="16"/>
                <w:szCs w:val="16"/>
              </w:rPr>
              <w:t>2014</w:t>
            </w:r>
          </w:p>
        </w:tc>
      </w:tr>
      <w:tr w:rsidR="003C459D" w:rsidRPr="003A2B9C" w:rsidTr="00D20353">
        <w:trPr>
          <w:gridBefore w:val="1"/>
          <w:gridAfter w:val="2"/>
          <w:wBefore w:w="375" w:type="dxa"/>
          <w:wAfter w:w="1060" w:type="dxa"/>
          <w:trHeight w:val="300"/>
          <w:jc w:val="center"/>
        </w:trPr>
        <w:tc>
          <w:tcPr>
            <w:tcW w:w="3338" w:type="dxa"/>
            <w:gridSpan w:val="4"/>
            <w:vMerge w:val="restart"/>
            <w:tcBorders>
              <w:top w:val="nil"/>
              <w:left w:val="single" w:sz="8" w:space="0" w:color="009900"/>
              <w:bottom w:val="single" w:sz="8" w:space="0" w:color="009900"/>
              <w:right w:val="dotted" w:sz="4" w:space="0" w:color="009900"/>
            </w:tcBorders>
            <w:shd w:val="clear" w:color="000000" w:fill="FFFFE1"/>
            <w:noWrap/>
            <w:vAlign w:val="center"/>
            <w:hideMark/>
          </w:tcPr>
          <w:p w:rsidR="003C459D" w:rsidRPr="003A2B9C" w:rsidRDefault="003C459D" w:rsidP="00E56B71">
            <w:pPr>
              <w:rPr>
                <w:rFonts w:ascii="Arial" w:hAnsi="Arial" w:cs="Arial"/>
                <w:b/>
                <w:bCs/>
                <w:color w:val="000000"/>
                <w:sz w:val="16"/>
                <w:szCs w:val="16"/>
              </w:rPr>
            </w:pPr>
            <w:r w:rsidRPr="003A2B9C">
              <w:rPr>
                <w:rFonts w:ascii="Arial" w:hAnsi="Arial" w:cs="Arial"/>
                <w:b/>
                <w:bCs/>
                <w:color w:val="000000"/>
                <w:sz w:val="16"/>
                <w:szCs w:val="16"/>
              </w:rPr>
              <w:t>Persons</w:t>
            </w:r>
          </w:p>
        </w:tc>
        <w:tc>
          <w:tcPr>
            <w:tcW w:w="2906" w:type="dxa"/>
            <w:gridSpan w:val="6"/>
            <w:tcBorders>
              <w:top w:val="single" w:sz="8" w:space="0" w:color="009900"/>
              <w:left w:val="nil"/>
              <w:bottom w:val="dotted" w:sz="4" w:space="0" w:color="009900"/>
              <w:right w:val="dotted" w:sz="4" w:space="0" w:color="009900"/>
            </w:tcBorders>
            <w:shd w:val="clear" w:color="000000" w:fill="FFFFE1"/>
            <w:noWrap/>
            <w:vAlign w:val="center"/>
            <w:hideMark/>
          </w:tcPr>
          <w:p w:rsidR="003C459D" w:rsidRPr="003A2B9C" w:rsidRDefault="003C459D" w:rsidP="00E56B71">
            <w:pPr>
              <w:jc w:val="center"/>
              <w:rPr>
                <w:rFonts w:ascii="Arial" w:hAnsi="Arial" w:cs="Arial"/>
                <w:b/>
                <w:bCs/>
                <w:color w:val="000000"/>
                <w:sz w:val="16"/>
                <w:szCs w:val="16"/>
              </w:rPr>
            </w:pPr>
            <w:r w:rsidRPr="003A2B9C">
              <w:rPr>
                <w:rFonts w:ascii="Arial" w:hAnsi="Arial" w:cs="Arial"/>
                <w:b/>
                <w:bCs/>
                <w:color w:val="000000"/>
                <w:sz w:val="16"/>
                <w:szCs w:val="16"/>
              </w:rPr>
              <w:t>2009</w:t>
            </w:r>
          </w:p>
        </w:tc>
        <w:tc>
          <w:tcPr>
            <w:tcW w:w="2850" w:type="dxa"/>
            <w:gridSpan w:val="6"/>
            <w:tcBorders>
              <w:top w:val="single" w:sz="8" w:space="0" w:color="009900"/>
              <w:left w:val="nil"/>
              <w:bottom w:val="dotted" w:sz="4" w:space="0" w:color="009900"/>
              <w:right w:val="dotted" w:sz="4" w:space="0" w:color="009900"/>
            </w:tcBorders>
            <w:shd w:val="clear" w:color="000000" w:fill="FFFFE1"/>
            <w:noWrap/>
            <w:vAlign w:val="center"/>
            <w:hideMark/>
          </w:tcPr>
          <w:p w:rsidR="003C459D" w:rsidRPr="003A2B9C" w:rsidRDefault="003C459D" w:rsidP="00E56B71">
            <w:pPr>
              <w:jc w:val="center"/>
              <w:rPr>
                <w:rFonts w:ascii="Arial" w:hAnsi="Arial" w:cs="Arial"/>
                <w:b/>
                <w:bCs/>
                <w:color w:val="000000"/>
                <w:sz w:val="16"/>
                <w:szCs w:val="16"/>
              </w:rPr>
            </w:pPr>
            <w:r w:rsidRPr="003A2B9C">
              <w:rPr>
                <w:rFonts w:ascii="Arial" w:hAnsi="Arial" w:cs="Arial"/>
                <w:b/>
                <w:bCs/>
                <w:color w:val="000000"/>
                <w:sz w:val="16"/>
                <w:szCs w:val="16"/>
              </w:rPr>
              <w:t>2011</w:t>
            </w:r>
          </w:p>
        </w:tc>
        <w:tc>
          <w:tcPr>
            <w:tcW w:w="2850" w:type="dxa"/>
            <w:gridSpan w:val="5"/>
            <w:tcBorders>
              <w:top w:val="single" w:sz="8" w:space="0" w:color="009900"/>
              <w:left w:val="nil"/>
              <w:bottom w:val="dotted" w:sz="4" w:space="0" w:color="009900"/>
              <w:right w:val="single" w:sz="8" w:space="0" w:color="009900"/>
            </w:tcBorders>
            <w:shd w:val="clear" w:color="000000" w:fill="FFFFE1"/>
            <w:noWrap/>
            <w:vAlign w:val="center"/>
            <w:hideMark/>
          </w:tcPr>
          <w:p w:rsidR="003C459D" w:rsidRPr="003A2B9C" w:rsidRDefault="003C459D" w:rsidP="00E56B71">
            <w:pPr>
              <w:jc w:val="center"/>
              <w:rPr>
                <w:rFonts w:ascii="Arial" w:hAnsi="Arial" w:cs="Arial"/>
                <w:b/>
                <w:bCs/>
                <w:color w:val="000000"/>
                <w:sz w:val="16"/>
                <w:szCs w:val="16"/>
              </w:rPr>
            </w:pPr>
            <w:r w:rsidRPr="003A2B9C">
              <w:rPr>
                <w:rFonts w:ascii="Arial" w:hAnsi="Arial" w:cs="Arial"/>
                <w:b/>
                <w:bCs/>
                <w:color w:val="000000"/>
                <w:sz w:val="16"/>
                <w:szCs w:val="16"/>
              </w:rPr>
              <w:t>2013</w:t>
            </w:r>
          </w:p>
        </w:tc>
      </w:tr>
      <w:tr w:rsidR="003C459D" w:rsidRPr="003A2B9C" w:rsidTr="00D20353">
        <w:trPr>
          <w:gridBefore w:val="1"/>
          <w:gridAfter w:val="2"/>
          <w:wBefore w:w="375" w:type="dxa"/>
          <w:wAfter w:w="1060" w:type="dxa"/>
          <w:trHeight w:val="315"/>
          <w:jc w:val="center"/>
        </w:trPr>
        <w:tc>
          <w:tcPr>
            <w:tcW w:w="3338" w:type="dxa"/>
            <w:gridSpan w:val="4"/>
            <w:vMerge/>
            <w:tcBorders>
              <w:top w:val="nil"/>
              <w:left w:val="single" w:sz="8" w:space="0" w:color="009900"/>
              <w:bottom w:val="single" w:sz="8" w:space="0" w:color="009900"/>
              <w:right w:val="dotted" w:sz="4" w:space="0" w:color="009900"/>
            </w:tcBorders>
            <w:vAlign w:val="center"/>
            <w:hideMark/>
          </w:tcPr>
          <w:p w:rsidR="003C459D" w:rsidRPr="003A2B9C" w:rsidRDefault="003C459D" w:rsidP="00E56B71">
            <w:pPr>
              <w:rPr>
                <w:rFonts w:ascii="Arial" w:hAnsi="Arial" w:cs="Arial"/>
                <w:b/>
                <w:bCs/>
                <w:color w:val="000000"/>
                <w:sz w:val="16"/>
                <w:szCs w:val="16"/>
              </w:rPr>
            </w:pPr>
          </w:p>
        </w:tc>
        <w:tc>
          <w:tcPr>
            <w:tcW w:w="1057" w:type="dxa"/>
            <w:gridSpan w:val="2"/>
            <w:tcBorders>
              <w:top w:val="nil"/>
              <w:left w:val="nil"/>
              <w:bottom w:val="single" w:sz="8" w:space="0" w:color="009900"/>
              <w:right w:val="nil"/>
            </w:tcBorders>
            <w:shd w:val="clear" w:color="000000" w:fill="FFFFE1"/>
            <w:noWrap/>
            <w:vAlign w:val="center"/>
            <w:hideMark/>
          </w:tcPr>
          <w:p w:rsidR="003C459D" w:rsidRPr="003A2B9C" w:rsidRDefault="003C459D" w:rsidP="00897F09">
            <w:pPr>
              <w:jc w:val="center"/>
              <w:rPr>
                <w:rFonts w:ascii="Arial" w:hAnsi="Arial" w:cs="Arial"/>
                <w:b/>
                <w:bCs/>
                <w:color w:val="000000"/>
                <w:sz w:val="16"/>
                <w:szCs w:val="16"/>
              </w:rPr>
            </w:pPr>
            <w:r w:rsidRPr="003A2B9C">
              <w:rPr>
                <w:rFonts w:ascii="Arial" w:hAnsi="Arial" w:cs="Arial"/>
                <w:b/>
                <w:bCs/>
                <w:color w:val="000000"/>
                <w:sz w:val="16"/>
                <w:szCs w:val="16"/>
              </w:rPr>
              <w:t>Sheltered</w:t>
            </w:r>
            <w:r w:rsidR="00897F09">
              <w:rPr>
                <w:rStyle w:val="FootnoteReference"/>
                <w:rFonts w:ascii="Arial" w:hAnsi="Arial" w:cs="Arial"/>
                <w:b/>
                <w:bCs/>
                <w:color w:val="000000"/>
                <w:sz w:val="16"/>
                <w:szCs w:val="16"/>
              </w:rPr>
              <w:footnoteReference w:id="50"/>
            </w:r>
          </w:p>
        </w:tc>
        <w:tc>
          <w:tcPr>
            <w:tcW w:w="1232" w:type="dxa"/>
            <w:gridSpan w:val="2"/>
            <w:tcBorders>
              <w:top w:val="nil"/>
              <w:left w:val="nil"/>
              <w:bottom w:val="single" w:sz="8" w:space="0" w:color="009900"/>
              <w:right w:val="nil"/>
            </w:tcBorders>
            <w:shd w:val="clear" w:color="000000" w:fill="FFFFE1"/>
            <w:noWrap/>
            <w:vAlign w:val="center"/>
            <w:hideMark/>
          </w:tcPr>
          <w:p w:rsidR="003C459D" w:rsidRPr="003A2B9C" w:rsidRDefault="003C459D" w:rsidP="00E56B71">
            <w:pPr>
              <w:jc w:val="center"/>
              <w:rPr>
                <w:rFonts w:ascii="Arial" w:hAnsi="Arial" w:cs="Arial"/>
                <w:b/>
                <w:bCs/>
                <w:color w:val="000000"/>
                <w:sz w:val="16"/>
                <w:szCs w:val="16"/>
              </w:rPr>
            </w:pPr>
            <w:r w:rsidRPr="003A2B9C">
              <w:rPr>
                <w:rFonts w:ascii="Arial" w:hAnsi="Arial" w:cs="Arial"/>
                <w:b/>
                <w:bCs/>
                <w:color w:val="000000"/>
                <w:sz w:val="16"/>
                <w:szCs w:val="16"/>
              </w:rPr>
              <w:t>Unsheltered</w:t>
            </w:r>
          </w:p>
        </w:tc>
        <w:tc>
          <w:tcPr>
            <w:tcW w:w="617" w:type="dxa"/>
            <w:gridSpan w:val="2"/>
            <w:tcBorders>
              <w:top w:val="nil"/>
              <w:left w:val="dotted" w:sz="4" w:space="0" w:color="009900"/>
              <w:bottom w:val="single" w:sz="8" w:space="0" w:color="009900"/>
              <w:right w:val="dotted" w:sz="4" w:space="0" w:color="009900"/>
            </w:tcBorders>
            <w:shd w:val="clear" w:color="000000" w:fill="FFFFE1"/>
            <w:noWrap/>
            <w:vAlign w:val="center"/>
            <w:hideMark/>
          </w:tcPr>
          <w:p w:rsidR="003C459D" w:rsidRPr="003A2B9C" w:rsidRDefault="003C459D" w:rsidP="00E56B71">
            <w:pPr>
              <w:jc w:val="center"/>
              <w:rPr>
                <w:rFonts w:ascii="Arial" w:hAnsi="Arial" w:cs="Arial"/>
                <w:b/>
                <w:bCs/>
                <w:color w:val="000000"/>
                <w:sz w:val="16"/>
                <w:szCs w:val="16"/>
              </w:rPr>
            </w:pPr>
            <w:r w:rsidRPr="003A2B9C">
              <w:rPr>
                <w:rFonts w:ascii="Arial" w:hAnsi="Arial" w:cs="Arial"/>
                <w:b/>
                <w:bCs/>
                <w:color w:val="000000"/>
                <w:sz w:val="16"/>
                <w:szCs w:val="16"/>
              </w:rPr>
              <w:t>Total</w:t>
            </w:r>
          </w:p>
        </w:tc>
        <w:tc>
          <w:tcPr>
            <w:tcW w:w="1001" w:type="dxa"/>
            <w:tcBorders>
              <w:top w:val="nil"/>
              <w:left w:val="nil"/>
              <w:bottom w:val="single" w:sz="8" w:space="0" w:color="009900"/>
              <w:right w:val="nil"/>
            </w:tcBorders>
            <w:shd w:val="clear" w:color="000000" w:fill="FFFFE1"/>
            <w:noWrap/>
            <w:vAlign w:val="center"/>
            <w:hideMark/>
          </w:tcPr>
          <w:p w:rsidR="003C459D" w:rsidRPr="003A2B9C" w:rsidRDefault="003C459D" w:rsidP="00897F09">
            <w:pPr>
              <w:jc w:val="center"/>
              <w:rPr>
                <w:rFonts w:ascii="Arial" w:hAnsi="Arial" w:cs="Arial"/>
                <w:b/>
                <w:bCs/>
                <w:color w:val="000000"/>
                <w:sz w:val="16"/>
                <w:szCs w:val="16"/>
              </w:rPr>
            </w:pPr>
            <w:r w:rsidRPr="003A2B9C">
              <w:rPr>
                <w:rFonts w:ascii="Arial" w:hAnsi="Arial" w:cs="Arial"/>
                <w:b/>
                <w:bCs/>
                <w:color w:val="000000"/>
                <w:sz w:val="16"/>
                <w:szCs w:val="16"/>
              </w:rPr>
              <w:t>Sheltered</w:t>
            </w:r>
          </w:p>
        </w:tc>
        <w:tc>
          <w:tcPr>
            <w:tcW w:w="1232" w:type="dxa"/>
            <w:gridSpan w:val="3"/>
            <w:tcBorders>
              <w:top w:val="nil"/>
              <w:left w:val="nil"/>
              <w:bottom w:val="single" w:sz="8" w:space="0" w:color="009900"/>
              <w:right w:val="nil"/>
            </w:tcBorders>
            <w:shd w:val="clear" w:color="000000" w:fill="FFFFE1"/>
            <w:noWrap/>
            <w:vAlign w:val="center"/>
            <w:hideMark/>
          </w:tcPr>
          <w:p w:rsidR="003C459D" w:rsidRPr="003A2B9C" w:rsidRDefault="003C459D" w:rsidP="00E56B71">
            <w:pPr>
              <w:jc w:val="center"/>
              <w:rPr>
                <w:rFonts w:ascii="Arial" w:hAnsi="Arial" w:cs="Arial"/>
                <w:b/>
                <w:bCs/>
                <w:color w:val="000000"/>
                <w:sz w:val="16"/>
                <w:szCs w:val="16"/>
              </w:rPr>
            </w:pPr>
            <w:r w:rsidRPr="003A2B9C">
              <w:rPr>
                <w:rFonts w:ascii="Arial" w:hAnsi="Arial" w:cs="Arial"/>
                <w:b/>
                <w:bCs/>
                <w:color w:val="000000"/>
                <w:sz w:val="16"/>
                <w:szCs w:val="16"/>
              </w:rPr>
              <w:t>Unsheltered</w:t>
            </w:r>
          </w:p>
        </w:tc>
        <w:tc>
          <w:tcPr>
            <w:tcW w:w="617" w:type="dxa"/>
            <w:gridSpan w:val="2"/>
            <w:tcBorders>
              <w:top w:val="nil"/>
              <w:left w:val="dotted" w:sz="4" w:space="0" w:color="009900"/>
              <w:bottom w:val="single" w:sz="8" w:space="0" w:color="009900"/>
              <w:right w:val="dotted" w:sz="4" w:space="0" w:color="009900"/>
            </w:tcBorders>
            <w:shd w:val="clear" w:color="000000" w:fill="FFFFE1"/>
            <w:noWrap/>
            <w:vAlign w:val="center"/>
            <w:hideMark/>
          </w:tcPr>
          <w:p w:rsidR="003C459D" w:rsidRPr="003A2B9C" w:rsidRDefault="003C459D" w:rsidP="00E56B71">
            <w:pPr>
              <w:jc w:val="center"/>
              <w:rPr>
                <w:rFonts w:ascii="Arial" w:hAnsi="Arial" w:cs="Arial"/>
                <w:b/>
                <w:bCs/>
                <w:color w:val="000000"/>
                <w:sz w:val="16"/>
                <w:szCs w:val="16"/>
              </w:rPr>
            </w:pPr>
            <w:r w:rsidRPr="003A2B9C">
              <w:rPr>
                <w:rFonts w:ascii="Arial" w:hAnsi="Arial" w:cs="Arial"/>
                <w:b/>
                <w:bCs/>
                <w:color w:val="000000"/>
                <w:sz w:val="16"/>
                <w:szCs w:val="16"/>
              </w:rPr>
              <w:t>Total</w:t>
            </w:r>
          </w:p>
        </w:tc>
        <w:tc>
          <w:tcPr>
            <w:tcW w:w="1001" w:type="dxa"/>
            <w:tcBorders>
              <w:top w:val="nil"/>
              <w:left w:val="nil"/>
              <w:bottom w:val="single" w:sz="8" w:space="0" w:color="009900"/>
              <w:right w:val="nil"/>
            </w:tcBorders>
            <w:shd w:val="clear" w:color="000000" w:fill="FFFFE1"/>
            <w:noWrap/>
            <w:vAlign w:val="center"/>
            <w:hideMark/>
          </w:tcPr>
          <w:p w:rsidR="003C459D" w:rsidRPr="003A2B9C" w:rsidRDefault="003C459D" w:rsidP="00897F09">
            <w:pPr>
              <w:jc w:val="center"/>
              <w:rPr>
                <w:rFonts w:ascii="Arial" w:hAnsi="Arial" w:cs="Arial"/>
                <w:b/>
                <w:bCs/>
                <w:color w:val="000000"/>
                <w:sz w:val="16"/>
                <w:szCs w:val="16"/>
              </w:rPr>
            </w:pPr>
            <w:r w:rsidRPr="003A2B9C">
              <w:rPr>
                <w:rFonts w:ascii="Arial" w:hAnsi="Arial" w:cs="Arial"/>
                <w:b/>
                <w:bCs/>
                <w:color w:val="000000"/>
                <w:sz w:val="16"/>
                <w:szCs w:val="16"/>
              </w:rPr>
              <w:t>Sheltered</w:t>
            </w:r>
          </w:p>
        </w:tc>
        <w:tc>
          <w:tcPr>
            <w:tcW w:w="1232" w:type="dxa"/>
            <w:gridSpan w:val="3"/>
            <w:tcBorders>
              <w:top w:val="nil"/>
              <w:left w:val="nil"/>
              <w:bottom w:val="single" w:sz="8" w:space="0" w:color="009900"/>
              <w:right w:val="nil"/>
            </w:tcBorders>
            <w:shd w:val="clear" w:color="000000" w:fill="FFFFE1"/>
            <w:noWrap/>
            <w:vAlign w:val="center"/>
            <w:hideMark/>
          </w:tcPr>
          <w:p w:rsidR="003C459D" w:rsidRPr="003A2B9C" w:rsidRDefault="003C459D" w:rsidP="00E56B71">
            <w:pPr>
              <w:jc w:val="center"/>
              <w:rPr>
                <w:rFonts w:ascii="Arial" w:hAnsi="Arial" w:cs="Arial"/>
                <w:b/>
                <w:bCs/>
                <w:color w:val="000000"/>
                <w:sz w:val="16"/>
                <w:szCs w:val="16"/>
              </w:rPr>
            </w:pPr>
            <w:r w:rsidRPr="003A2B9C">
              <w:rPr>
                <w:rFonts w:ascii="Arial" w:hAnsi="Arial" w:cs="Arial"/>
                <w:b/>
                <w:bCs/>
                <w:color w:val="000000"/>
                <w:sz w:val="16"/>
                <w:szCs w:val="16"/>
              </w:rPr>
              <w:t>Unsheltered</w:t>
            </w:r>
          </w:p>
        </w:tc>
        <w:tc>
          <w:tcPr>
            <w:tcW w:w="617" w:type="dxa"/>
            <w:tcBorders>
              <w:top w:val="nil"/>
              <w:left w:val="dotted" w:sz="4" w:space="0" w:color="009900"/>
              <w:bottom w:val="single" w:sz="8" w:space="0" w:color="009900"/>
              <w:right w:val="single" w:sz="8" w:space="0" w:color="009900"/>
            </w:tcBorders>
            <w:shd w:val="clear" w:color="000000" w:fill="FFFFE1"/>
            <w:noWrap/>
            <w:vAlign w:val="center"/>
            <w:hideMark/>
          </w:tcPr>
          <w:p w:rsidR="003C459D" w:rsidRPr="003A2B9C" w:rsidRDefault="003C459D" w:rsidP="00E56B71">
            <w:pPr>
              <w:jc w:val="center"/>
              <w:rPr>
                <w:rFonts w:ascii="Arial" w:hAnsi="Arial" w:cs="Arial"/>
                <w:b/>
                <w:bCs/>
                <w:color w:val="000000"/>
                <w:sz w:val="16"/>
                <w:szCs w:val="16"/>
              </w:rPr>
            </w:pPr>
            <w:r w:rsidRPr="003A2B9C">
              <w:rPr>
                <w:rFonts w:ascii="Arial" w:hAnsi="Arial" w:cs="Arial"/>
                <w:b/>
                <w:bCs/>
                <w:color w:val="000000"/>
                <w:sz w:val="16"/>
                <w:szCs w:val="16"/>
              </w:rPr>
              <w:t>Total</w:t>
            </w:r>
          </w:p>
        </w:tc>
      </w:tr>
      <w:tr w:rsidR="003C459D" w:rsidRPr="003A2B9C" w:rsidTr="00D20353">
        <w:trPr>
          <w:gridBefore w:val="1"/>
          <w:gridAfter w:val="2"/>
          <w:wBefore w:w="375" w:type="dxa"/>
          <w:wAfter w:w="1060" w:type="dxa"/>
          <w:trHeight w:val="300"/>
          <w:jc w:val="center"/>
        </w:trPr>
        <w:tc>
          <w:tcPr>
            <w:tcW w:w="3338" w:type="dxa"/>
            <w:gridSpan w:val="4"/>
            <w:tcBorders>
              <w:top w:val="nil"/>
              <w:left w:val="single" w:sz="8" w:space="0" w:color="009900"/>
              <w:bottom w:val="nil"/>
              <w:right w:val="nil"/>
            </w:tcBorders>
            <w:shd w:val="clear" w:color="000000" w:fill="FFFFE1"/>
            <w:noWrap/>
            <w:vAlign w:val="center"/>
            <w:hideMark/>
          </w:tcPr>
          <w:p w:rsidR="003C459D" w:rsidRPr="003B166C" w:rsidRDefault="00897F09" w:rsidP="003B166C">
            <w:pPr>
              <w:pStyle w:val="WESNormaltext"/>
              <w:rPr>
                <w:rFonts w:ascii="Arial" w:hAnsi="Arial" w:cs="Arial"/>
                <w:sz w:val="16"/>
                <w:szCs w:val="16"/>
              </w:rPr>
            </w:pPr>
            <w:r>
              <w:rPr>
                <w:rFonts w:ascii="Arial" w:hAnsi="Arial" w:cs="Arial"/>
                <w:sz w:val="16"/>
                <w:szCs w:val="16"/>
              </w:rPr>
              <w:t>Households with Children</w:t>
            </w:r>
          </w:p>
        </w:tc>
        <w:tc>
          <w:tcPr>
            <w:tcW w:w="1057" w:type="dxa"/>
            <w:gridSpan w:val="2"/>
            <w:tcBorders>
              <w:top w:val="nil"/>
              <w:left w:val="dotted" w:sz="4" w:space="0" w:color="009900"/>
              <w:bottom w:val="nil"/>
              <w:right w:val="nil"/>
            </w:tcBorders>
            <w:shd w:val="clear" w:color="000000" w:fill="FFFFE1"/>
            <w:noWrap/>
            <w:vAlign w:val="center"/>
            <w:hideMark/>
          </w:tcPr>
          <w:p w:rsidR="003C459D" w:rsidRPr="003A2B9C" w:rsidRDefault="003C459D" w:rsidP="00E56B71">
            <w:pPr>
              <w:jc w:val="center"/>
              <w:rPr>
                <w:rFonts w:ascii="Arial" w:hAnsi="Arial" w:cs="Arial"/>
                <w:color w:val="000000"/>
                <w:sz w:val="16"/>
                <w:szCs w:val="16"/>
              </w:rPr>
            </w:pPr>
            <w:r w:rsidRPr="003A2B9C">
              <w:rPr>
                <w:rFonts w:ascii="Arial" w:hAnsi="Arial" w:cs="Arial"/>
                <w:color w:val="000000"/>
                <w:sz w:val="16"/>
                <w:szCs w:val="16"/>
              </w:rPr>
              <w:t>907</w:t>
            </w:r>
          </w:p>
        </w:tc>
        <w:tc>
          <w:tcPr>
            <w:tcW w:w="1232" w:type="dxa"/>
            <w:gridSpan w:val="2"/>
            <w:tcBorders>
              <w:top w:val="nil"/>
              <w:left w:val="nil"/>
              <w:bottom w:val="nil"/>
              <w:right w:val="nil"/>
            </w:tcBorders>
            <w:shd w:val="clear" w:color="000000" w:fill="FFFFE1"/>
            <w:noWrap/>
            <w:vAlign w:val="center"/>
            <w:hideMark/>
          </w:tcPr>
          <w:p w:rsidR="003C459D" w:rsidRPr="003A2B9C" w:rsidRDefault="003C459D" w:rsidP="00E56B71">
            <w:pPr>
              <w:jc w:val="center"/>
              <w:rPr>
                <w:rFonts w:ascii="Arial" w:hAnsi="Arial" w:cs="Arial"/>
                <w:color w:val="000000"/>
                <w:sz w:val="16"/>
                <w:szCs w:val="16"/>
              </w:rPr>
            </w:pPr>
            <w:r w:rsidRPr="003A2B9C">
              <w:rPr>
                <w:rFonts w:ascii="Arial" w:hAnsi="Arial" w:cs="Arial"/>
                <w:color w:val="000000"/>
                <w:sz w:val="16"/>
                <w:szCs w:val="16"/>
              </w:rPr>
              <w:t>997</w:t>
            </w:r>
          </w:p>
        </w:tc>
        <w:tc>
          <w:tcPr>
            <w:tcW w:w="617" w:type="dxa"/>
            <w:gridSpan w:val="2"/>
            <w:tcBorders>
              <w:top w:val="nil"/>
              <w:left w:val="dotted" w:sz="4" w:space="0" w:color="009900"/>
              <w:bottom w:val="nil"/>
              <w:right w:val="dotted" w:sz="4" w:space="0" w:color="009900"/>
            </w:tcBorders>
            <w:shd w:val="clear" w:color="000000" w:fill="FFFFE1"/>
            <w:noWrap/>
            <w:vAlign w:val="center"/>
            <w:hideMark/>
          </w:tcPr>
          <w:p w:rsidR="003C459D" w:rsidRPr="003A2B9C" w:rsidRDefault="003C459D" w:rsidP="00E56B71">
            <w:pPr>
              <w:jc w:val="center"/>
              <w:rPr>
                <w:rFonts w:ascii="Arial" w:hAnsi="Arial" w:cs="Arial"/>
                <w:color w:val="000000"/>
                <w:sz w:val="16"/>
                <w:szCs w:val="16"/>
              </w:rPr>
            </w:pPr>
            <w:r w:rsidRPr="003A2B9C">
              <w:rPr>
                <w:rFonts w:ascii="Arial" w:hAnsi="Arial" w:cs="Arial"/>
                <w:color w:val="000000"/>
                <w:sz w:val="16"/>
                <w:szCs w:val="16"/>
              </w:rPr>
              <w:t>1,904</w:t>
            </w:r>
          </w:p>
        </w:tc>
        <w:tc>
          <w:tcPr>
            <w:tcW w:w="1001" w:type="dxa"/>
            <w:tcBorders>
              <w:top w:val="nil"/>
              <w:left w:val="nil"/>
              <w:bottom w:val="nil"/>
              <w:right w:val="nil"/>
            </w:tcBorders>
            <w:shd w:val="clear" w:color="000000" w:fill="FFFFE1"/>
            <w:noWrap/>
            <w:vAlign w:val="center"/>
            <w:hideMark/>
          </w:tcPr>
          <w:p w:rsidR="003C459D" w:rsidRPr="003A2B9C" w:rsidRDefault="003C459D" w:rsidP="00E56B71">
            <w:pPr>
              <w:jc w:val="center"/>
              <w:rPr>
                <w:rFonts w:ascii="Arial" w:hAnsi="Arial" w:cs="Arial"/>
                <w:color w:val="000000"/>
                <w:sz w:val="16"/>
                <w:szCs w:val="16"/>
              </w:rPr>
            </w:pPr>
            <w:r w:rsidRPr="003A2B9C">
              <w:rPr>
                <w:rFonts w:ascii="Arial" w:hAnsi="Arial" w:cs="Arial"/>
                <w:color w:val="000000"/>
                <w:sz w:val="16"/>
                <w:szCs w:val="16"/>
              </w:rPr>
              <w:t>1</w:t>
            </w:r>
            <w:r>
              <w:rPr>
                <w:rFonts w:ascii="Arial" w:hAnsi="Arial" w:cs="Arial"/>
                <w:color w:val="000000"/>
                <w:sz w:val="16"/>
                <w:szCs w:val="16"/>
              </w:rPr>
              <w:t>,</w:t>
            </w:r>
            <w:r w:rsidRPr="003A2B9C">
              <w:rPr>
                <w:rFonts w:ascii="Arial" w:hAnsi="Arial" w:cs="Arial"/>
                <w:color w:val="000000"/>
                <w:sz w:val="16"/>
                <w:szCs w:val="16"/>
              </w:rPr>
              <w:t>579</w:t>
            </w:r>
          </w:p>
        </w:tc>
        <w:tc>
          <w:tcPr>
            <w:tcW w:w="1232" w:type="dxa"/>
            <w:gridSpan w:val="3"/>
            <w:tcBorders>
              <w:top w:val="nil"/>
              <w:left w:val="nil"/>
              <w:bottom w:val="nil"/>
              <w:right w:val="nil"/>
            </w:tcBorders>
            <w:shd w:val="clear" w:color="000000" w:fill="FFFFE1"/>
            <w:noWrap/>
            <w:vAlign w:val="center"/>
            <w:hideMark/>
          </w:tcPr>
          <w:p w:rsidR="003C459D" w:rsidRPr="003A2B9C" w:rsidRDefault="003C459D" w:rsidP="00E56B71">
            <w:pPr>
              <w:jc w:val="center"/>
              <w:rPr>
                <w:rFonts w:ascii="Arial" w:hAnsi="Arial" w:cs="Arial"/>
                <w:color w:val="000000"/>
                <w:sz w:val="16"/>
                <w:szCs w:val="16"/>
              </w:rPr>
            </w:pPr>
            <w:r w:rsidRPr="003A2B9C">
              <w:rPr>
                <w:rFonts w:ascii="Arial" w:hAnsi="Arial" w:cs="Arial"/>
                <w:color w:val="000000"/>
                <w:sz w:val="16"/>
                <w:szCs w:val="16"/>
              </w:rPr>
              <w:t>584</w:t>
            </w:r>
          </w:p>
        </w:tc>
        <w:tc>
          <w:tcPr>
            <w:tcW w:w="617" w:type="dxa"/>
            <w:gridSpan w:val="2"/>
            <w:tcBorders>
              <w:top w:val="nil"/>
              <w:left w:val="dotted" w:sz="4" w:space="0" w:color="009900"/>
              <w:bottom w:val="nil"/>
              <w:right w:val="dotted" w:sz="4" w:space="0" w:color="009900"/>
            </w:tcBorders>
            <w:shd w:val="clear" w:color="000000" w:fill="FFFFE1"/>
            <w:noWrap/>
            <w:vAlign w:val="center"/>
            <w:hideMark/>
          </w:tcPr>
          <w:p w:rsidR="003C459D" w:rsidRPr="003A2B9C" w:rsidRDefault="003C459D" w:rsidP="00E56B71">
            <w:pPr>
              <w:jc w:val="center"/>
              <w:rPr>
                <w:rFonts w:ascii="Arial" w:hAnsi="Arial" w:cs="Arial"/>
                <w:color w:val="000000"/>
                <w:sz w:val="16"/>
                <w:szCs w:val="16"/>
              </w:rPr>
            </w:pPr>
            <w:r w:rsidRPr="003A2B9C">
              <w:rPr>
                <w:rFonts w:ascii="Arial" w:hAnsi="Arial" w:cs="Arial"/>
                <w:color w:val="000000"/>
                <w:sz w:val="16"/>
                <w:szCs w:val="16"/>
              </w:rPr>
              <w:t>2</w:t>
            </w:r>
            <w:r>
              <w:rPr>
                <w:rFonts w:ascii="Arial" w:hAnsi="Arial" w:cs="Arial"/>
                <w:color w:val="000000"/>
                <w:sz w:val="16"/>
                <w:szCs w:val="16"/>
              </w:rPr>
              <w:t>,</w:t>
            </w:r>
            <w:r w:rsidRPr="003A2B9C">
              <w:rPr>
                <w:rFonts w:ascii="Arial" w:hAnsi="Arial" w:cs="Arial"/>
                <w:color w:val="000000"/>
                <w:sz w:val="16"/>
                <w:szCs w:val="16"/>
              </w:rPr>
              <w:t>163</w:t>
            </w:r>
          </w:p>
        </w:tc>
        <w:tc>
          <w:tcPr>
            <w:tcW w:w="1001" w:type="dxa"/>
            <w:tcBorders>
              <w:top w:val="nil"/>
              <w:left w:val="nil"/>
              <w:bottom w:val="nil"/>
              <w:right w:val="nil"/>
            </w:tcBorders>
            <w:shd w:val="clear" w:color="000000" w:fill="FFFFE1"/>
            <w:noWrap/>
            <w:vAlign w:val="center"/>
            <w:hideMark/>
          </w:tcPr>
          <w:p w:rsidR="003C459D" w:rsidRPr="003A2B9C" w:rsidRDefault="003C459D" w:rsidP="00E56B71">
            <w:pPr>
              <w:jc w:val="center"/>
              <w:rPr>
                <w:rFonts w:ascii="Arial" w:hAnsi="Arial" w:cs="Arial"/>
                <w:color w:val="000000"/>
                <w:sz w:val="16"/>
                <w:szCs w:val="16"/>
              </w:rPr>
            </w:pPr>
            <w:r w:rsidRPr="003A2B9C">
              <w:rPr>
                <w:rFonts w:ascii="Arial" w:hAnsi="Arial" w:cs="Arial"/>
                <w:color w:val="000000"/>
                <w:sz w:val="16"/>
                <w:szCs w:val="16"/>
              </w:rPr>
              <w:t>1</w:t>
            </w:r>
            <w:r>
              <w:rPr>
                <w:rFonts w:ascii="Arial" w:hAnsi="Arial" w:cs="Arial"/>
                <w:color w:val="000000"/>
                <w:sz w:val="16"/>
                <w:szCs w:val="16"/>
              </w:rPr>
              <w:t>,</w:t>
            </w:r>
            <w:r w:rsidRPr="003A2B9C">
              <w:rPr>
                <w:rFonts w:ascii="Arial" w:hAnsi="Arial" w:cs="Arial"/>
                <w:color w:val="000000"/>
                <w:sz w:val="16"/>
                <w:szCs w:val="16"/>
              </w:rPr>
              <w:t>298</w:t>
            </w:r>
          </w:p>
        </w:tc>
        <w:tc>
          <w:tcPr>
            <w:tcW w:w="1232" w:type="dxa"/>
            <w:gridSpan w:val="3"/>
            <w:tcBorders>
              <w:top w:val="nil"/>
              <w:left w:val="nil"/>
              <w:bottom w:val="nil"/>
              <w:right w:val="nil"/>
            </w:tcBorders>
            <w:shd w:val="clear" w:color="000000" w:fill="FFFFE1"/>
            <w:noWrap/>
            <w:vAlign w:val="center"/>
            <w:hideMark/>
          </w:tcPr>
          <w:p w:rsidR="003C459D" w:rsidRPr="003A2B9C" w:rsidRDefault="003C459D" w:rsidP="00E56B71">
            <w:pPr>
              <w:jc w:val="center"/>
              <w:rPr>
                <w:rFonts w:ascii="Arial" w:hAnsi="Arial" w:cs="Arial"/>
                <w:color w:val="000000"/>
                <w:sz w:val="16"/>
                <w:szCs w:val="16"/>
              </w:rPr>
            </w:pPr>
            <w:r w:rsidRPr="003A2B9C">
              <w:rPr>
                <w:rFonts w:ascii="Arial" w:hAnsi="Arial" w:cs="Arial"/>
                <w:color w:val="000000"/>
                <w:sz w:val="16"/>
                <w:szCs w:val="16"/>
              </w:rPr>
              <w:t>250</w:t>
            </w:r>
          </w:p>
        </w:tc>
        <w:tc>
          <w:tcPr>
            <w:tcW w:w="617" w:type="dxa"/>
            <w:tcBorders>
              <w:top w:val="nil"/>
              <w:left w:val="dotted" w:sz="4" w:space="0" w:color="009900"/>
              <w:bottom w:val="nil"/>
              <w:right w:val="single" w:sz="8" w:space="0" w:color="009900"/>
            </w:tcBorders>
            <w:shd w:val="clear" w:color="000000" w:fill="FFFFE1"/>
            <w:noWrap/>
            <w:vAlign w:val="center"/>
            <w:hideMark/>
          </w:tcPr>
          <w:p w:rsidR="003C459D" w:rsidRPr="003A2B9C" w:rsidRDefault="003C459D" w:rsidP="00E56B71">
            <w:pPr>
              <w:jc w:val="center"/>
              <w:rPr>
                <w:rFonts w:ascii="Arial" w:hAnsi="Arial" w:cs="Arial"/>
                <w:color w:val="000000"/>
                <w:sz w:val="16"/>
                <w:szCs w:val="16"/>
              </w:rPr>
            </w:pPr>
            <w:r w:rsidRPr="003A2B9C">
              <w:rPr>
                <w:rFonts w:ascii="Arial" w:hAnsi="Arial" w:cs="Arial"/>
                <w:color w:val="000000"/>
                <w:sz w:val="16"/>
                <w:szCs w:val="16"/>
              </w:rPr>
              <w:t>1548</w:t>
            </w:r>
          </w:p>
        </w:tc>
      </w:tr>
      <w:tr w:rsidR="003C459D" w:rsidRPr="003A2B9C" w:rsidTr="00D20353">
        <w:trPr>
          <w:gridBefore w:val="1"/>
          <w:gridAfter w:val="2"/>
          <w:wBefore w:w="375" w:type="dxa"/>
          <w:wAfter w:w="1060" w:type="dxa"/>
          <w:trHeight w:val="342"/>
          <w:jc w:val="center"/>
        </w:trPr>
        <w:tc>
          <w:tcPr>
            <w:tcW w:w="3338" w:type="dxa"/>
            <w:gridSpan w:val="4"/>
            <w:tcBorders>
              <w:top w:val="nil"/>
              <w:left w:val="single" w:sz="8" w:space="0" w:color="009900"/>
              <w:bottom w:val="nil"/>
              <w:right w:val="nil"/>
            </w:tcBorders>
            <w:shd w:val="clear" w:color="000000" w:fill="FFFFE1"/>
            <w:vAlign w:val="center"/>
            <w:hideMark/>
          </w:tcPr>
          <w:p w:rsidR="003C459D" w:rsidRPr="003A2B9C" w:rsidRDefault="003C459D" w:rsidP="00897F09">
            <w:pPr>
              <w:rPr>
                <w:rFonts w:ascii="Arial" w:hAnsi="Arial" w:cs="Arial"/>
                <w:color w:val="000000"/>
                <w:sz w:val="16"/>
                <w:szCs w:val="16"/>
              </w:rPr>
            </w:pPr>
            <w:r>
              <w:rPr>
                <w:rFonts w:ascii="Arial" w:hAnsi="Arial" w:cs="Arial"/>
                <w:color w:val="000000"/>
                <w:sz w:val="16"/>
                <w:szCs w:val="16"/>
              </w:rPr>
              <w:t xml:space="preserve">Persons in Households without </w:t>
            </w:r>
            <w:r w:rsidRPr="003A2B9C">
              <w:rPr>
                <w:rFonts w:ascii="Arial" w:hAnsi="Arial" w:cs="Arial"/>
                <w:color w:val="000000"/>
                <w:sz w:val="16"/>
                <w:szCs w:val="16"/>
              </w:rPr>
              <w:t xml:space="preserve"> children</w:t>
            </w:r>
            <w:r w:rsidR="00897F09">
              <w:rPr>
                <w:rStyle w:val="FootnoteReference"/>
                <w:rFonts w:ascii="Arial" w:hAnsi="Arial" w:cs="Arial"/>
                <w:color w:val="000000"/>
                <w:sz w:val="16"/>
                <w:szCs w:val="16"/>
              </w:rPr>
              <w:footnoteReference w:id="51"/>
            </w:r>
          </w:p>
        </w:tc>
        <w:tc>
          <w:tcPr>
            <w:tcW w:w="1057" w:type="dxa"/>
            <w:gridSpan w:val="2"/>
            <w:tcBorders>
              <w:top w:val="nil"/>
              <w:left w:val="dotted" w:sz="4" w:space="0" w:color="009900"/>
              <w:bottom w:val="nil"/>
              <w:right w:val="nil"/>
            </w:tcBorders>
            <w:shd w:val="clear" w:color="000000" w:fill="FFFFE1"/>
            <w:noWrap/>
            <w:vAlign w:val="center"/>
            <w:hideMark/>
          </w:tcPr>
          <w:p w:rsidR="003C459D" w:rsidRPr="003A2B9C" w:rsidRDefault="003C459D" w:rsidP="00E56B71">
            <w:pPr>
              <w:jc w:val="center"/>
              <w:rPr>
                <w:rFonts w:ascii="Arial" w:hAnsi="Arial" w:cs="Arial"/>
                <w:color w:val="000000"/>
                <w:sz w:val="16"/>
                <w:szCs w:val="16"/>
              </w:rPr>
            </w:pPr>
            <w:r w:rsidRPr="003A2B9C">
              <w:rPr>
                <w:rFonts w:ascii="Arial" w:hAnsi="Arial" w:cs="Arial"/>
                <w:color w:val="000000"/>
                <w:sz w:val="16"/>
                <w:szCs w:val="16"/>
              </w:rPr>
              <w:t>1</w:t>
            </w:r>
            <w:r>
              <w:rPr>
                <w:rFonts w:ascii="Arial" w:hAnsi="Arial" w:cs="Arial"/>
                <w:color w:val="000000"/>
                <w:sz w:val="16"/>
                <w:szCs w:val="16"/>
              </w:rPr>
              <w:t>,</w:t>
            </w:r>
            <w:r w:rsidRPr="003A2B9C">
              <w:rPr>
                <w:rFonts w:ascii="Arial" w:hAnsi="Arial" w:cs="Arial"/>
                <w:color w:val="000000"/>
                <w:sz w:val="16"/>
                <w:szCs w:val="16"/>
              </w:rPr>
              <w:t>152</w:t>
            </w:r>
          </w:p>
        </w:tc>
        <w:tc>
          <w:tcPr>
            <w:tcW w:w="1232" w:type="dxa"/>
            <w:gridSpan w:val="2"/>
            <w:tcBorders>
              <w:top w:val="nil"/>
              <w:left w:val="nil"/>
              <w:bottom w:val="nil"/>
              <w:right w:val="nil"/>
            </w:tcBorders>
            <w:shd w:val="clear" w:color="000000" w:fill="FFFFE1"/>
            <w:noWrap/>
            <w:vAlign w:val="center"/>
            <w:hideMark/>
          </w:tcPr>
          <w:p w:rsidR="003C459D" w:rsidRPr="003A2B9C" w:rsidRDefault="003C459D" w:rsidP="00E56B71">
            <w:pPr>
              <w:jc w:val="center"/>
              <w:rPr>
                <w:rFonts w:ascii="Arial" w:hAnsi="Arial" w:cs="Arial"/>
                <w:color w:val="000000"/>
                <w:sz w:val="16"/>
                <w:szCs w:val="16"/>
              </w:rPr>
            </w:pPr>
            <w:r w:rsidRPr="003A2B9C">
              <w:rPr>
                <w:rFonts w:ascii="Arial" w:hAnsi="Arial" w:cs="Arial"/>
                <w:color w:val="000000"/>
                <w:sz w:val="16"/>
                <w:szCs w:val="16"/>
              </w:rPr>
              <w:t>1</w:t>
            </w:r>
            <w:r>
              <w:rPr>
                <w:rFonts w:ascii="Arial" w:hAnsi="Arial" w:cs="Arial"/>
                <w:color w:val="000000"/>
                <w:sz w:val="16"/>
                <w:szCs w:val="16"/>
              </w:rPr>
              <w:t>,</w:t>
            </w:r>
            <w:r w:rsidRPr="003A2B9C">
              <w:rPr>
                <w:rFonts w:ascii="Arial" w:hAnsi="Arial" w:cs="Arial"/>
                <w:color w:val="000000"/>
                <w:sz w:val="16"/>
                <w:szCs w:val="16"/>
              </w:rPr>
              <w:t>241</w:t>
            </w:r>
          </w:p>
        </w:tc>
        <w:tc>
          <w:tcPr>
            <w:tcW w:w="617" w:type="dxa"/>
            <w:gridSpan w:val="2"/>
            <w:tcBorders>
              <w:top w:val="nil"/>
              <w:left w:val="dotted" w:sz="4" w:space="0" w:color="009900"/>
              <w:bottom w:val="nil"/>
              <w:right w:val="dotted" w:sz="4" w:space="0" w:color="009900"/>
            </w:tcBorders>
            <w:shd w:val="clear" w:color="000000" w:fill="FFFFE1"/>
            <w:noWrap/>
            <w:vAlign w:val="center"/>
            <w:hideMark/>
          </w:tcPr>
          <w:p w:rsidR="003C459D" w:rsidRPr="003A2B9C" w:rsidRDefault="003C459D" w:rsidP="00E56B71">
            <w:pPr>
              <w:jc w:val="center"/>
              <w:rPr>
                <w:rFonts w:ascii="Arial" w:hAnsi="Arial" w:cs="Arial"/>
                <w:color w:val="000000"/>
                <w:sz w:val="16"/>
                <w:szCs w:val="16"/>
              </w:rPr>
            </w:pPr>
            <w:r w:rsidRPr="003A2B9C">
              <w:rPr>
                <w:rFonts w:ascii="Arial" w:hAnsi="Arial" w:cs="Arial"/>
                <w:color w:val="000000"/>
                <w:sz w:val="16"/>
                <w:szCs w:val="16"/>
              </w:rPr>
              <w:t>2,393</w:t>
            </w:r>
          </w:p>
        </w:tc>
        <w:tc>
          <w:tcPr>
            <w:tcW w:w="1001" w:type="dxa"/>
            <w:tcBorders>
              <w:top w:val="nil"/>
              <w:left w:val="nil"/>
              <w:bottom w:val="nil"/>
              <w:right w:val="nil"/>
            </w:tcBorders>
            <w:shd w:val="clear" w:color="000000" w:fill="FFFFE1"/>
            <w:noWrap/>
            <w:vAlign w:val="center"/>
            <w:hideMark/>
          </w:tcPr>
          <w:p w:rsidR="003C459D" w:rsidRPr="003A2B9C" w:rsidRDefault="003C459D" w:rsidP="00E56B71">
            <w:pPr>
              <w:jc w:val="center"/>
              <w:rPr>
                <w:rFonts w:ascii="Arial" w:hAnsi="Arial" w:cs="Arial"/>
                <w:color w:val="000000"/>
                <w:sz w:val="16"/>
                <w:szCs w:val="16"/>
              </w:rPr>
            </w:pPr>
            <w:r w:rsidRPr="003A2B9C">
              <w:rPr>
                <w:rFonts w:ascii="Arial" w:hAnsi="Arial" w:cs="Arial"/>
                <w:color w:val="000000"/>
                <w:sz w:val="16"/>
                <w:szCs w:val="16"/>
              </w:rPr>
              <w:t>1</w:t>
            </w:r>
            <w:r>
              <w:rPr>
                <w:rFonts w:ascii="Arial" w:hAnsi="Arial" w:cs="Arial"/>
                <w:color w:val="000000"/>
                <w:sz w:val="16"/>
                <w:szCs w:val="16"/>
              </w:rPr>
              <w:t>,</w:t>
            </w:r>
            <w:r w:rsidRPr="003A2B9C">
              <w:rPr>
                <w:rFonts w:ascii="Arial" w:hAnsi="Arial" w:cs="Arial"/>
                <w:color w:val="000000"/>
                <w:sz w:val="16"/>
                <w:szCs w:val="16"/>
              </w:rPr>
              <w:t>581</w:t>
            </w:r>
          </w:p>
        </w:tc>
        <w:tc>
          <w:tcPr>
            <w:tcW w:w="1232" w:type="dxa"/>
            <w:gridSpan w:val="3"/>
            <w:tcBorders>
              <w:top w:val="nil"/>
              <w:left w:val="nil"/>
              <w:bottom w:val="nil"/>
              <w:right w:val="nil"/>
            </w:tcBorders>
            <w:shd w:val="clear" w:color="000000" w:fill="FFFFE1"/>
            <w:noWrap/>
            <w:vAlign w:val="center"/>
            <w:hideMark/>
          </w:tcPr>
          <w:p w:rsidR="003C459D" w:rsidRPr="003A2B9C" w:rsidRDefault="003C459D" w:rsidP="00E56B71">
            <w:pPr>
              <w:jc w:val="center"/>
              <w:rPr>
                <w:rFonts w:ascii="Arial" w:hAnsi="Arial" w:cs="Arial"/>
                <w:color w:val="000000"/>
                <w:sz w:val="16"/>
                <w:szCs w:val="16"/>
              </w:rPr>
            </w:pPr>
            <w:r w:rsidRPr="003A2B9C">
              <w:rPr>
                <w:rFonts w:ascii="Arial" w:hAnsi="Arial" w:cs="Arial"/>
                <w:color w:val="000000"/>
                <w:sz w:val="16"/>
                <w:szCs w:val="16"/>
              </w:rPr>
              <w:t>665</w:t>
            </w:r>
          </w:p>
        </w:tc>
        <w:tc>
          <w:tcPr>
            <w:tcW w:w="617" w:type="dxa"/>
            <w:gridSpan w:val="2"/>
            <w:tcBorders>
              <w:top w:val="nil"/>
              <w:left w:val="dotted" w:sz="4" w:space="0" w:color="009900"/>
              <w:bottom w:val="nil"/>
              <w:right w:val="dotted" w:sz="4" w:space="0" w:color="009900"/>
            </w:tcBorders>
            <w:shd w:val="clear" w:color="000000" w:fill="FFFFE1"/>
            <w:noWrap/>
            <w:vAlign w:val="center"/>
            <w:hideMark/>
          </w:tcPr>
          <w:p w:rsidR="003C459D" w:rsidRPr="003A2B9C" w:rsidRDefault="003C459D" w:rsidP="00E56B71">
            <w:pPr>
              <w:jc w:val="center"/>
              <w:rPr>
                <w:rFonts w:ascii="Arial" w:hAnsi="Arial" w:cs="Arial"/>
                <w:color w:val="000000"/>
                <w:sz w:val="16"/>
                <w:szCs w:val="16"/>
              </w:rPr>
            </w:pPr>
            <w:r w:rsidRPr="003A2B9C">
              <w:rPr>
                <w:rFonts w:ascii="Arial" w:hAnsi="Arial" w:cs="Arial"/>
                <w:color w:val="000000"/>
                <w:sz w:val="16"/>
                <w:szCs w:val="16"/>
              </w:rPr>
              <w:t>2,246</w:t>
            </w:r>
          </w:p>
        </w:tc>
        <w:tc>
          <w:tcPr>
            <w:tcW w:w="1001" w:type="dxa"/>
            <w:tcBorders>
              <w:top w:val="nil"/>
              <w:left w:val="nil"/>
              <w:bottom w:val="nil"/>
              <w:right w:val="nil"/>
            </w:tcBorders>
            <w:shd w:val="clear" w:color="000000" w:fill="FFFFE1"/>
            <w:noWrap/>
            <w:vAlign w:val="center"/>
            <w:hideMark/>
          </w:tcPr>
          <w:p w:rsidR="003C459D" w:rsidRPr="003A2B9C" w:rsidRDefault="003C459D" w:rsidP="00E56B71">
            <w:pPr>
              <w:jc w:val="center"/>
              <w:rPr>
                <w:rFonts w:ascii="Arial" w:hAnsi="Arial" w:cs="Arial"/>
                <w:color w:val="000000"/>
                <w:sz w:val="16"/>
                <w:szCs w:val="16"/>
              </w:rPr>
            </w:pPr>
            <w:r w:rsidRPr="003A2B9C">
              <w:rPr>
                <w:rFonts w:ascii="Arial" w:hAnsi="Arial" w:cs="Arial"/>
                <w:color w:val="000000"/>
                <w:sz w:val="16"/>
                <w:szCs w:val="16"/>
              </w:rPr>
              <w:t>1</w:t>
            </w:r>
            <w:r>
              <w:rPr>
                <w:rFonts w:ascii="Arial" w:hAnsi="Arial" w:cs="Arial"/>
                <w:color w:val="000000"/>
                <w:sz w:val="16"/>
                <w:szCs w:val="16"/>
              </w:rPr>
              <w:t>,</w:t>
            </w:r>
            <w:r w:rsidRPr="003A2B9C">
              <w:rPr>
                <w:rFonts w:ascii="Arial" w:hAnsi="Arial" w:cs="Arial"/>
                <w:color w:val="000000"/>
                <w:sz w:val="16"/>
                <w:szCs w:val="16"/>
              </w:rPr>
              <w:t>350</w:t>
            </w:r>
          </w:p>
        </w:tc>
        <w:tc>
          <w:tcPr>
            <w:tcW w:w="1232" w:type="dxa"/>
            <w:gridSpan w:val="3"/>
            <w:tcBorders>
              <w:top w:val="nil"/>
              <w:left w:val="nil"/>
              <w:bottom w:val="nil"/>
              <w:right w:val="nil"/>
            </w:tcBorders>
            <w:shd w:val="clear" w:color="000000" w:fill="FFFFE1"/>
            <w:noWrap/>
            <w:vAlign w:val="center"/>
            <w:hideMark/>
          </w:tcPr>
          <w:p w:rsidR="003C459D" w:rsidRPr="003A2B9C" w:rsidRDefault="003C459D" w:rsidP="00E56B71">
            <w:pPr>
              <w:jc w:val="center"/>
              <w:rPr>
                <w:rFonts w:ascii="Arial" w:hAnsi="Arial" w:cs="Arial"/>
                <w:color w:val="000000"/>
                <w:sz w:val="16"/>
                <w:szCs w:val="16"/>
              </w:rPr>
            </w:pPr>
            <w:r w:rsidRPr="003A2B9C">
              <w:rPr>
                <w:rFonts w:ascii="Arial" w:hAnsi="Arial" w:cs="Arial"/>
                <w:color w:val="000000"/>
                <w:sz w:val="16"/>
                <w:szCs w:val="16"/>
              </w:rPr>
              <w:t>355</w:t>
            </w:r>
          </w:p>
        </w:tc>
        <w:tc>
          <w:tcPr>
            <w:tcW w:w="617" w:type="dxa"/>
            <w:tcBorders>
              <w:top w:val="nil"/>
              <w:left w:val="dotted" w:sz="4" w:space="0" w:color="009900"/>
              <w:bottom w:val="nil"/>
              <w:right w:val="single" w:sz="8" w:space="0" w:color="009900"/>
            </w:tcBorders>
            <w:shd w:val="clear" w:color="000000" w:fill="FFFFE1"/>
            <w:noWrap/>
            <w:vAlign w:val="center"/>
            <w:hideMark/>
          </w:tcPr>
          <w:p w:rsidR="003C459D" w:rsidRPr="003A2B9C" w:rsidRDefault="003C459D" w:rsidP="00E56B71">
            <w:pPr>
              <w:jc w:val="center"/>
              <w:rPr>
                <w:rFonts w:ascii="Arial" w:hAnsi="Arial" w:cs="Arial"/>
                <w:color w:val="000000"/>
                <w:sz w:val="16"/>
                <w:szCs w:val="16"/>
              </w:rPr>
            </w:pPr>
            <w:r w:rsidRPr="003A2B9C">
              <w:rPr>
                <w:rFonts w:ascii="Arial" w:hAnsi="Arial" w:cs="Arial"/>
                <w:color w:val="000000"/>
                <w:sz w:val="16"/>
                <w:szCs w:val="16"/>
              </w:rPr>
              <w:t>1</w:t>
            </w:r>
            <w:r>
              <w:rPr>
                <w:rFonts w:ascii="Arial" w:hAnsi="Arial" w:cs="Arial"/>
                <w:color w:val="000000"/>
                <w:sz w:val="16"/>
                <w:szCs w:val="16"/>
              </w:rPr>
              <w:t>,</w:t>
            </w:r>
            <w:r w:rsidRPr="003A2B9C">
              <w:rPr>
                <w:rFonts w:ascii="Arial" w:hAnsi="Arial" w:cs="Arial"/>
                <w:color w:val="000000"/>
                <w:sz w:val="16"/>
                <w:szCs w:val="16"/>
              </w:rPr>
              <w:t>705</w:t>
            </w:r>
          </w:p>
        </w:tc>
      </w:tr>
      <w:tr w:rsidR="003C459D" w:rsidRPr="003A2B9C" w:rsidTr="00D20353">
        <w:trPr>
          <w:gridBefore w:val="1"/>
          <w:gridAfter w:val="2"/>
          <w:wBefore w:w="375" w:type="dxa"/>
          <w:wAfter w:w="1060" w:type="dxa"/>
          <w:trHeight w:val="300"/>
          <w:jc w:val="center"/>
        </w:trPr>
        <w:tc>
          <w:tcPr>
            <w:tcW w:w="3338" w:type="dxa"/>
            <w:gridSpan w:val="4"/>
            <w:tcBorders>
              <w:top w:val="single" w:sz="8" w:space="0" w:color="009900"/>
              <w:left w:val="single" w:sz="8" w:space="0" w:color="009900"/>
              <w:bottom w:val="nil"/>
              <w:right w:val="nil"/>
            </w:tcBorders>
            <w:shd w:val="clear" w:color="000000" w:fill="FFFFE1"/>
            <w:noWrap/>
            <w:vAlign w:val="center"/>
            <w:hideMark/>
          </w:tcPr>
          <w:p w:rsidR="003C459D" w:rsidRPr="003A2B9C" w:rsidRDefault="003C459D" w:rsidP="00E56B71">
            <w:pPr>
              <w:rPr>
                <w:rFonts w:ascii="Arial" w:hAnsi="Arial" w:cs="Arial"/>
                <w:color w:val="000000"/>
                <w:sz w:val="16"/>
                <w:szCs w:val="16"/>
              </w:rPr>
            </w:pPr>
            <w:r w:rsidRPr="003A2B9C">
              <w:rPr>
                <w:rFonts w:ascii="Arial" w:hAnsi="Arial" w:cs="Arial"/>
                <w:color w:val="000000"/>
                <w:sz w:val="16"/>
                <w:szCs w:val="16"/>
              </w:rPr>
              <w:t>Households with Children</w:t>
            </w:r>
          </w:p>
        </w:tc>
        <w:tc>
          <w:tcPr>
            <w:tcW w:w="1057" w:type="dxa"/>
            <w:gridSpan w:val="2"/>
            <w:tcBorders>
              <w:top w:val="single" w:sz="8" w:space="0" w:color="009900"/>
              <w:left w:val="dotted" w:sz="4" w:space="0" w:color="009900"/>
              <w:bottom w:val="nil"/>
              <w:right w:val="nil"/>
            </w:tcBorders>
            <w:shd w:val="clear" w:color="000000" w:fill="FFFFE1"/>
            <w:noWrap/>
            <w:vAlign w:val="center"/>
            <w:hideMark/>
          </w:tcPr>
          <w:p w:rsidR="003C459D" w:rsidRPr="003A2B9C" w:rsidRDefault="003C459D" w:rsidP="00E56B71">
            <w:pPr>
              <w:jc w:val="center"/>
              <w:rPr>
                <w:rFonts w:ascii="Arial" w:hAnsi="Arial" w:cs="Arial"/>
                <w:color w:val="000000"/>
                <w:sz w:val="16"/>
                <w:szCs w:val="16"/>
              </w:rPr>
            </w:pPr>
            <w:r w:rsidRPr="003A2B9C">
              <w:rPr>
                <w:rFonts w:ascii="Arial" w:hAnsi="Arial" w:cs="Arial"/>
                <w:color w:val="000000"/>
                <w:sz w:val="16"/>
                <w:szCs w:val="16"/>
              </w:rPr>
              <w:t>252</w:t>
            </w:r>
          </w:p>
        </w:tc>
        <w:tc>
          <w:tcPr>
            <w:tcW w:w="1232" w:type="dxa"/>
            <w:gridSpan w:val="2"/>
            <w:tcBorders>
              <w:top w:val="single" w:sz="8" w:space="0" w:color="009900"/>
              <w:left w:val="nil"/>
              <w:bottom w:val="nil"/>
              <w:right w:val="nil"/>
            </w:tcBorders>
            <w:shd w:val="clear" w:color="000000" w:fill="FFFFE1"/>
            <w:noWrap/>
            <w:vAlign w:val="center"/>
            <w:hideMark/>
          </w:tcPr>
          <w:p w:rsidR="003C459D" w:rsidRPr="003A2B9C" w:rsidRDefault="003C459D" w:rsidP="00E56B71">
            <w:pPr>
              <w:jc w:val="center"/>
              <w:rPr>
                <w:rFonts w:ascii="Arial" w:hAnsi="Arial" w:cs="Arial"/>
                <w:color w:val="000000"/>
                <w:sz w:val="16"/>
                <w:szCs w:val="16"/>
              </w:rPr>
            </w:pPr>
            <w:r w:rsidRPr="003A2B9C">
              <w:rPr>
                <w:rFonts w:ascii="Arial" w:hAnsi="Arial" w:cs="Arial"/>
                <w:color w:val="000000"/>
                <w:sz w:val="16"/>
                <w:szCs w:val="16"/>
              </w:rPr>
              <w:t>52</w:t>
            </w:r>
          </w:p>
        </w:tc>
        <w:tc>
          <w:tcPr>
            <w:tcW w:w="617" w:type="dxa"/>
            <w:gridSpan w:val="2"/>
            <w:tcBorders>
              <w:top w:val="single" w:sz="8" w:space="0" w:color="009900"/>
              <w:left w:val="dotted" w:sz="4" w:space="0" w:color="009900"/>
              <w:bottom w:val="nil"/>
              <w:right w:val="dotted" w:sz="4" w:space="0" w:color="009900"/>
            </w:tcBorders>
            <w:shd w:val="clear" w:color="000000" w:fill="FFFFE1"/>
            <w:noWrap/>
            <w:vAlign w:val="center"/>
            <w:hideMark/>
          </w:tcPr>
          <w:p w:rsidR="003C459D" w:rsidRPr="003A2B9C" w:rsidRDefault="003C459D" w:rsidP="00E56B71">
            <w:pPr>
              <w:jc w:val="center"/>
              <w:rPr>
                <w:rFonts w:ascii="Arial" w:hAnsi="Arial" w:cs="Arial"/>
                <w:color w:val="000000"/>
                <w:sz w:val="16"/>
                <w:szCs w:val="16"/>
              </w:rPr>
            </w:pPr>
            <w:r w:rsidRPr="003A2B9C">
              <w:rPr>
                <w:rFonts w:ascii="Arial" w:hAnsi="Arial" w:cs="Arial"/>
                <w:color w:val="000000"/>
                <w:sz w:val="16"/>
                <w:szCs w:val="16"/>
              </w:rPr>
              <w:t>304</w:t>
            </w:r>
          </w:p>
        </w:tc>
        <w:tc>
          <w:tcPr>
            <w:tcW w:w="1001" w:type="dxa"/>
            <w:tcBorders>
              <w:top w:val="single" w:sz="8" w:space="0" w:color="009900"/>
              <w:left w:val="nil"/>
              <w:bottom w:val="nil"/>
              <w:right w:val="nil"/>
            </w:tcBorders>
            <w:shd w:val="clear" w:color="000000" w:fill="FFFFE1"/>
            <w:noWrap/>
            <w:vAlign w:val="center"/>
            <w:hideMark/>
          </w:tcPr>
          <w:p w:rsidR="003C459D" w:rsidRPr="003A2B9C" w:rsidRDefault="003C459D" w:rsidP="00E56B71">
            <w:pPr>
              <w:jc w:val="center"/>
              <w:rPr>
                <w:rFonts w:ascii="Arial" w:hAnsi="Arial" w:cs="Arial"/>
                <w:color w:val="000000"/>
                <w:sz w:val="16"/>
                <w:szCs w:val="16"/>
              </w:rPr>
            </w:pPr>
            <w:r w:rsidRPr="003A2B9C">
              <w:rPr>
                <w:rFonts w:ascii="Arial" w:hAnsi="Arial" w:cs="Arial"/>
                <w:color w:val="000000"/>
                <w:sz w:val="16"/>
                <w:szCs w:val="16"/>
              </w:rPr>
              <w:t>371</w:t>
            </w:r>
          </w:p>
        </w:tc>
        <w:tc>
          <w:tcPr>
            <w:tcW w:w="1232" w:type="dxa"/>
            <w:gridSpan w:val="3"/>
            <w:tcBorders>
              <w:top w:val="single" w:sz="8" w:space="0" w:color="009900"/>
              <w:left w:val="nil"/>
              <w:bottom w:val="nil"/>
              <w:right w:val="nil"/>
            </w:tcBorders>
            <w:shd w:val="clear" w:color="000000" w:fill="FFFFE1"/>
            <w:noWrap/>
            <w:vAlign w:val="center"/>
            <w:hideMark/>
          </w:tcPr>
          <w:p w:rsidR="003C459D" w:rsidRPr="003A2B9C" w:rsidRDefault="003C459D" w:rsidP="00E56B71">
            <w:pPr>
              <w:jc w:val="center"/>
              <w:rPr>
                <w:rFonts w:ascii="Arial" w:hAnsi="Arial" w:cs="Arial"/>
                <w:color w:val="000000"/>
                <w:sz w:val="16"/>
                <w:szCs w:val="16"/>
              </w:rPr>
            </w:pPr>
            <w:r w:rsidRPr="003A2B9C">
              <w:rPr>
                <w:rFonts w:ascii="Arial" w:hAnsi="Arial" w:cs="Arial"/>
                <w:color w:val="000000"/>
                <w:sz w:val="16"/>
                <w:szCs w:val="16"/>
              </w:rPr>
              <w:t>59</w:t>
            </w:r>
          </w:p>
        </w:tc>
        <w:tc>
          <w:tcPr>
            <w:tcW w:w="617" w:type="dxa"/>
            <w:gridSpan w:val="2"/>
            <w:tcBorders>
              <w:top w:val="single" w:sz="8" w:space="0" w:color="009900"/>
              <w:left w:val="dotted" w:sz="4" w:space="0" w:color="009900"/>
              <w:bottom w:val="nil"/>
              <w:right w:val="dotted" w:sz="4" w:space="0" w:color="009900"/>
            </w:tcBorders>
            <w:shd w:val="clear" w:color="000000" w:fill="FFFFE1"/>
            <w:noWrap/>
            <w:vAlign w:val="center"/>
            <w:hideMark/>
          </w:tcPr>
          <w:p w:rsidR="003C459D" w:rsidRPr="003A2B9C" w:rsidRDefault="003C459D" w:rsidP="00E56B71">
            <w:pPr>
              <w:jc w:val="center"/>
              <w:rPr>
                <w:rFonts w:ascii="Arial" w:hAnsi="Arial" w:cs="Arial"/>
                <w:color w:val="000000"/>
                <w:sz w:val="16"/>
                <w:szCs w:val="16"/>
              </w:rPr>
            </w:pPr>
            <w:r w:rsidRPr="003A2B9C">
              <w:rPr>
                <w:rFonts w:ascii="Arial" w:hAnsi="Arial" w:cs="Arial"/>
                <w:color w:val="000000"/>
                <w:sz w:val="16"/>
                <w:szCs w:val="16"/>
              </w:rPr>
              <w:t>430</w:t>
            </w:r>
          </w:p>
        </w:tc>
        <w:tc>
          <w:tcPr>
            <w:tcW w:w="1001" w:type="dxa"/>
            <w:tcBorders>
              <w:top w:val="single" w:sz="8" w:space="0" w:color="009900"/>
              <w:left w:val="nil"/>
              <w:bottom w:val="nil"/>
              <w:right w:val="nil"/>
            </w:tcBorders>
            <w:shd w:val="clear" w:color="000000" w:fill="FFFFE1"/>
            <w:noWrap/>
            <w:vAlign w:val="center"/>
            <w:hideMark/>
          </w:tcPr>
          <w:p w:rsidR="003C459D" w:rsidRPr="003A2B9C" w:rsidRDefault="003C459D" w:rsidP="00E56B71">
            <w:pPr>
              <w:jc w:val="center"/>
              <w:rPr>
                <w:rFonts w:ascii="Arial" w:hAnsi="Arial" w:cs="Arial"/>
                <w:color w:val="000000"/>
                <w:sz w:val="16"/>
                <w:szCs w:val="16"/>
              </w:rPr>
            </w:pPr>
            <w:r w:rsidRPr="003A2B9C">
              <w:rPr>
                <w:rFonts w:ascii="Arial" w:hAnsi="Arial" w:cs="Arial"/>
                <w:color w:val="000000"/>
                <w:sz w:val="16"/>
                <w:szCs w:val="16"/>
              </w:rPr>
              <w:t>304</w:t>
            </w:r>
          </w:p>
        </w:tc>
        <w:tc>
          <w:tcPr>
            <w:tcW w:w="1232" w:type="dxa"/>
            <w:gridSpan w:val="3"/>
            <w:tcBorders>
              <w:top w:val="single" w:sz="8" w:space="0" w:color="009900"/>
              <w:left w:val="nil"/>
              <w:bottom w:val="nil"/>
              <w:right w:val="nil"/>
            </w:tcBorders>
            <w:shd w:val="clear" w:color="000000" w:fill="FFFFE1"/>
            <w:noWrap/>
            <w:vAlign w:val="center"/>
            <w:hideMark/>
          </w:tcPr>
          <w:p w:rsidR="003C459D" w:rsidRPr="003A2B9C" w:rsidRDefault="003C459D" w:rsidP="00E56B71">
            <w:pPr>
              <w:jc w:val="center"/>
              <w:rPr>
                <w:rFonts w:ascii="Arial" w:hAnsi="Arial" w:cs="Arial"/>
                <w:color w:val="000000"/>
                <w:sz w:val="16"/>
                <w:szCs w:val="16"/>
              </w:rPr>
            </w:pPr>
            <w:r w:rsidRPr="003A2B9C">
              <w:rPr>
                <w:rFonts w:ascii="Arial" w:hAnsi="Arial" w:cs="Arial"/>
                <w:color w:val="000000"/>
                <w:sz w:val="16"/>
                <w:szCs w:val="16"/>
              </w:rPr>
              <w:t>19</w:t>
            </w:r>
          </w:p>
        </w:tc>
        <w:tc>
          <w:tcPr>
            <w:tcW w:w="617" w:type="dxa"/>
            <w:tcBorders>
              <w:top w:val="single" w:sz="8" w:space="0" w:color="009900"/>
              <w:left w:val="dotted" w:sz="4" w:space="0" w:color="009900"/>
              <w:bottom w:val="nil"/>
              <w:right w:val="single" w:sz="8" w:space="0" w:color="009900"/>
            </w:tcBorders>
            <w:shd w:val="clear" w:color="000000" w:fill="FFFFE1"/>
            <w:noWrap/>
            <w:vAlign w:val="center"/>
            <w:hideMark/>
          </w:tcPr>
          <w:p w:rsidR="003C459D" w:rsidRPr="003A2B9C" w:rsidRDefault="003C459D" w:rsidP="00E56B71">
            <w:pPr>
              <w:jc w:val="center"/>
              <w:rPr>
                <w:rFonts w:ascii="Arial" w:hAnsi="Arial" w:cs="Arial"/>
                <w:color w:val="000000"/>
                <w:sz w:val="16"/>
                <w:szCs w:val="16"/>
              </w:rPr>
            </w:pPr>
            <w:r w:rsidRPr="003A2B9C">
              <w:rPr>
                <w:rFonts w:ascii="Arial" w:hAnsi="Arial" w:cs="Arial"/>
                <w:color w:val="000000"/>
                <w:sz w:val="16"/>
                <w:szCs w:val="16"/>
              </w:rPr>
              <w:t>323</w:t>
            </w:r>
          </w:p>
        </w:tc>
      </w:tr>
      <w:tr w:rsidR="003C459D" w:rsidRPr="003A2B9C" w:rsidTr="00D20353">
        <w:trPr>
          <w:gridBefore w:val="1"/>
          <w:gridAfter w:val="2"/>
          <w:wBefore w:w="375" w:type="dxa"/>
          <w:wAfter w:w="1060" w:type="dxa"/>
          <w:trHeight w:val="315"/>
          <w:jc w:val="center"/>
        </w:trPr>
        <w:tc>
          <w:tcPr>
            <w:tcW w:w="3338" w:type="dxa"/>
            <w:gridSpan w:val="4"/>
            <w:tcBorders>
              <w:top w:val="nil"/>
              <w:left w:val="single" w:sz="8" w:space="0" w:color="009900"/>
              <w:bottom w:val="nil"/>
              <w:right w:val="nil"/>
            </w:tcBorders>
            <w:shd w:val="clear" w:color="000000" w:fill="FFFFE1"/>
            <w:vAlign w:val="center"/>
            <w:hideMark/>
          </w:tcPr>
          <w:p w:rsidR="003C459D" w:rsidRPr="003A2B9C" w:rsidRDefault="003C459D" w:rsidP="00E56B71">
            <w:pPr>
              <w:rPr>
                <w:rFonts w:ascii="Arial" w:hAnsi="Arial" w:cs="Arial"/>
                <w:color w:val="000000"/>
                <w:sz w:val="16"/>
                <w:szCs w:val="16"/>
              </w:rPr>
            </w:pPr>
            <w:r w:rsidRPr="003A2B9C">
              <w:rPr>
                <w:rFonts w:ascii="Arial" w:hAnsi="Arial" w:cs="Arial"/>
                <w:color w:val="000000"/>
                <w:sz w:val="16"/>
                <w:szCs w:val="16"/>
              </w:rPr>
              <w:t xml:space="preserve">Persons is Households with </w:t>
            </w:r>
            <w:r>
              <w:rPr>
                <w:rFonts w:ascii="Arial" w:hAnsi="Arial" w:cs="Arial"/>
                <w:color w:val="000000"/>
                <w:sz w:val="16"/>
                <w:szCs w:val="16"/>
              </w:rPr>
              <w:t>at least one adult and one child</w:t>
            </w:r>
          </w:p>
        </w:tc>
        <w:tc>
          <w:tcPr>
            <w:tcW w:w="1057" w:type="dxa"/>
            <w:gridSpan w:val="2"/>
            <w:tcBorders>
              <w:top w:val="nil"/>
              <w:left w:val="dotted" w:sz="4" w:space="0" w:color="009900"/>
              <w:bottom w:val="nil"/>
              <w:right w:val="nil"/>
            </w:tcBorders>
            <w:shd w:val="clear" w:color="000000" w:fill="FFFFE1"/>
            <w:noWrap/>
            <w:vAlign w:val="center"/>
            <w:hideMark/>
          </w:tcPr>
          <w:p w:rsidR="003C459D" w:rsidRPr="003A2B9C" w:rsidRDefault="003C459D" w:rsidP="00E56B71">
            <w:pPr>
              <w:jc w:val="center"/>
              <w:rPr>
                <w:rFonts w:ascii="Arial" w:hAnsi="Arial" w:cs="Arial"/>
                <w:color w:val="000000"/>
                <w:sz w:val="16"/>
                <w:szCs w:val="16"/>
              </w:rPr>
            </w:pPr>
            <w:r w:rsidRPr="003A2B9C">
              <w:rPr>
                <w:rFonts w:ascii="Arial" w:hAnsi="Arial" w:cs="Arial"/>
                <w:color w:val="000000"/>
                <w:sz w:val="16"/>
                <w:szCs w:val="16"/>
              </w:rPr>
              <w:t>1</w:t>
            </w:r>
            <w:r>
              <w:rPr>
                <w:rFonts w:ascii="Arial" w:hAnsi="Arial" w:cs="Arial"/>
                <w:color w:val="000000"/>
                <w:sz w:val="16"/>
                <w:szCs w:val="16"/>
              </w:rPr>
              <w:t>,</w:t>
            </w:r>
            <w:r w:rsidRPr="003A2B9C">
              <w:rPr>
                <w:rFonts w:ascii="Arial" w:hAnsi="Arial" w:cs="Arial"/>
                <w:color w:val="000000"/>
                <w:sz w:val="16"/>
                <w:szCs w:val="16"/>
              </w:rPr>
              <w:t>006</w:t>
            </w:r>
          </w:p>
        </w:tc>
        <w:tc>
          <w:tcPr>
            <w:tcW w:w="1232" w:type="dxa"/>
            <w:gridSpan w:val="2"/>
            <w:tcBorders>
              <w:top w:val="nil"/>
              <w:left w:val="nil"/>
              <w:bottom w:val="nil"/>
              <w:right w:val="nil"/>
            </w:tcBorders>
            <w:shd w:val="clear" w:color="000000" w:fill="FFFFE1"/>
            <w:noWrap/>
            <w:vAlign w:val="center"/>
            <w:hideMark/>
          </w:tcPr>
          <w:p w:rsidR="003C459D" w:rsidRPr="003A2B9C" w:rsidRDefault="003C459D" w:rsidP="00E56B71">
            <w:pPr>
              <w:jc w:val="center"/>
              <w:rPr>
                <w:rFonts w:ascii="Arial" w:hAnsi="Arial" w:cs="Arial"/>
                <w:color w:val="000000"/>
                <w:sz w:val="16"/>
                <w:szCs w:val="16"/>
              </w:rPr>
            </w:pPr>
            <w:r w:rsidRPr="003A2B9C">
              <w:rPr>
                <w:rFonts w:ascii="Arial" w:hAnsi="Arial" w:cs="Arial"/>
                <w:color w:val="000000"/>
                <w:sz w:val="16"/>
                <w:szCs w:val="16"/>
              </w:rPr>
              <w:t>126</w:t>
            </w:r>
          </w:p>
        </w:tc>
        <w:tc>
          <w:tcPr>
            <w:tcW w:w="617" w:type="dxa"/>
            <w:gridSpan w:val="2"/>
            <w:tcBorders>
              <w:top w:val="nil"/>
              <w:left w:val="dotted" w:sz="4" w:space="0" w:color="009900"/>
              <w:bottom w:val="nil"/>
              <w:right w:val="dotted" w:sz="4" w:space="0" w:color="009900"/>
            </w:tcBorders>
            <w:shd w:val="clear" w:color="000000" w:fill="FFFFE1"/>
            <w:noWrap/>
            <w:vAlign w:val="center"/>
            <w:hideMark/>
          </w:tcPr>
          <w:p w:rsidR="003C459D" w:rsidRPr="003A2B9C" w:rsidRDefault="003C459D" w:rsidP="00E56B71">
            <w:pPr>
              <w:jc w:val="center"/>
              <w:rPr>
                <w:rFonts w:ascii="Arial" w:hAnsi="Arial" w:cs="Arial"/>
                <w:color w:val="000000"/>
                <w:sz w:val="16"/>
                <w:szCs w:val="16"/>
              </w:rPr>
            </w:pPr>
            <w:r w:rsidRPr="003A2B9C">
              <w:rPr>
                <w:rFonts w:ascii="Arial" w:hAnsi="Arial" w:cs="Arial"/>
                <w:color w:val="000000"/>
                <w:sz w:val="16"/>
                <w:szCs w:val="16"/>
              </w:rPr>
              <w:t>1</w:t>
            </w:r>
            <w:r>
              <w:rPr>
                <w:rFonts w:ascii="Arial" w:hAnsi="Arial" w:cs="Arial"/>
                <w:color w:val="000000"/>
                <w:sz w:val="16"/>
                <w:szCs w:val="16"/>
              </w:rPr>
              <w:t>,</w:t>
            </w:r>
            <w:r w:rsidRPr="003A2B9C">
              <w:rPr>
                <w:rFonts w:ascii="Arial" w:hAnsi="Arial" w:cs="Arial"/>
                <w:color w:val="000000"/>
                <w:sz w:val="16"/>
                <w:szCs w:val="16"/>
              </w:rPr>
              <w:t>132</w:t>
            </w:r>
          </w:p>
        </w:tc>
        <w:tc>
          <w:tcPr>
            <w:tcW w:w="1001" w:type="dxa"/>
            <w:tcBorders>
              <w:top w:val="nil"/>
              <w:left w:val="nil"/>
              <w:bottom w:val="nil"/>
              <w:right w:val="nil"/>
            </w:tcBorders>
            <w:shd w:val="clear" w:color="000000" w:fill="FFFFE1"/>
            <w:noWrap/>
            <w:vAlign w:val="center"/>
            <w:hideMark/>
          </w:tcPr>
          <w:p w:rsidR="003C459D" w:rsidRPr="003A2B9C" w:rsidRDefault="003C459D" w:rsidP="00E56B71">
            <w:pPr>
              <w:jc w:val="center"/>
              <w:rPr>
                <w:rFonts w:ascii="Arial" w:hAnsi="Arial" w:cs="Arial"/>
                <w:color w:val="000000"/>
                <w:sz w:val="16"/>
                <w:szCs w:val="16"/>
              </w:rPr>
            </w:pPr>
            <w:r w:rsidRPr="003A2B9C">
              <w:rPr>
                <w:rFonts w:ascii="Arial" w:hAnsi="Arial" w:cs="Arial"/>
                <w:color w:val="000000"/>
                <w:sz w:val="16"/>
                <w:szCs w:val="16"/>
              </w:rPr>
              <w:t>1</w:t>
            </w:r>
            <w:r>
              <w:rPr>
                <w:rFonts w:ascii="Arial" w:hAnsi="Arial" w:cs="Arial"/>
                <w:color w:val="000000"/>
                <w:sz w:val="16"/>
                <w:szCs w:val="16"/>
              </w:rPr>
              <w:t>,</w:t>
            </w:r>
            <w:r w:rsidRPr="003A2B9C">
              <w:rPr>
                <w:rFonts w:ascii="Arial" w:hAnsi="Arial" w:cs="Arial"/>
                <w:color w:val="000000"/>
                <w:sz w:val="16"/>
                <w:szCs w:val="16"/>
              </w:rPr>
              <w:t>172</w:t>
            </w:r>
          </w:p>
        </w:tc>
        <w:tc>
          <w:tcPr>
            <w:tcW w:w="1232" w:type="dxa"/>
            <w:gridSpan w:val="3"/>
            <w:tcBorders>
              <w:top w:val="nil"/>
              <w:left w:val="nil"/>
              <w:bottom w:val="nil"/>
              <w:right w:val="nil"/>
            </w:tcBorders>
            <w:shd w:val="clear" w:color="000000" w:fill="FFFFE1"/>
            <w:noWrap/>
            <w:vAlign w:val="center"/>
            <w:hideMark/>
          </w:tcPr>
          <w:p w:rsidR="003C459D" w:rsidRPr="003A2B9C" w:rsidRDefault="003C459D" w:rsidP="00E56B71">
            <w:pPr>
              <w:jc w:val="center"/>
              <w:rPr>
                <w:rFonts w:ascii="Arial" w:hAnsi="Arial" w:cs="Arial"/>
                <w:color w:val="000000"/>
                <w:sz w:val="16"/>
                <w:szCs w:val="16"/>
              </w:rPr>
            </w:pPr>
            <w:r w:rsidRPr="003A2B9C">
              <w:rPr>
                <w:rFonts w:ascii="Arial" w:hAnsi="Arial" w:cs="Arial"/>
                <w:color w:val="000000"/>
                <w:sz w:val="16"/>
                <w:szCs w:val="16"/>
              </w:rPr>
              <w:t>183</w:t>
            </w:r>
          </w:p>
        </w:tc>
        <w:tc>
          <w:tcPr>
            <w:tcW w:w="617" w:type="dxa"/>
            <w:gridSpan w:val="2"/>
            <w:tcBorders>
              <w:top w:val="nil"/>
              <w:left w:val="dotted" w:sz="4" w:space="0" w:color="009900"/>
              <w:bottom w:val="nil"/>
              <w:right w:val="dotted" w:sz="4" w:space="0" w:color="009900"/>
            </w:tcBorders>
            <w:shd w:val="clear" w:color="000000" w:fill="FFFFE1"/>
            <w:noWrap/>
            <w:vAlign w:val="center"/>
            <w:hideMark/>
          </w:tcPr>
          <w:p w:rsidR="003C459D" w:rsidRPr="003A2B9C" w:rsidRDefault="003C459D" w:rsidP="00E56B71">
            <w:pPr>
              <w:jc w:val="center"/>
              <w:rPr>
                <w:rFonts w:ascii="Arial" w:hAnsi="Arial" w:cs="Arial"/>
                <w:color w:val="000000"/>
                <w:sz w:val="16"/>
                <w:szCs w:val="16"/>
              </w:rPr>
            </w:pPr>
            <w:r w:rsidRPr="003A2B9C">
              <w:rPr>
                <w:rFonts w:ascii="Arial" w:hAnsi="Arial" w:cs="Arial"/>
                <w:color w:val="000000"/>
                <w:sz w:val="16"/>
                <w:szCs w:val="16"/>
              </w:rPr>
              <w:t>1</w:t>
            </w:r>
            <w:r>
              <w:rPr>
                <w:rFonts w:ascii="Arial" w:hAnsi="Arial" w:cs="Arial"/>
                <w:color w:val="000000"/>
                <w:sz w:val="16"/>
                <w:szCs w:val="16"/>
              </w:rPr>
              <w:t>,</w:t>
            </w:r>
            <w:r w:rsidRPr="003A2B9C">
              <w:rPr>
                <w:rFonts w:ascii="Arial" w:hAnsi="Arial" w:cs="Arial"/>
                <w:color w:val="000000"/>
                <w:sz w:val="16"/>
                <w:szCs w:val="16"/>
              </w:rPr>
              <w:t>355</w:t>
            </w:r>
          </w:p>
        </w:tc>
        <w:tc>
          <w:tcPr>
            <w:tcW w:w="1001" w:type="dxa"/>
            <w:tcBorders>
              <w:top w:val="nil"/>
              <w:left w:val="nil"/>
              <w:bottom w:val="nil"/>
              <w:right w:val="nil"/>
            </w:tcBorders>
            <w:shd w:val="clear" w:color="000000" w:fill="FFFFE1"/>
            <w:noWrap/>
            <w:vAlign w:val="center"/>
            <w:hideMark/>
          </w:tcPr>
          <w:p w:rsidR="003C459D" w:rsidRPr="003A2B9C" w:rsidRDefault="003C459D" w:rsidP="00E56B71">
            <w:pPr>
              <w:jc w:val="center"/>
              <w:rPr>
                <w:rFonts w:ascii="Arial" w:hAnsi="Arial" w:cs="Arial"/>
                <w:color w:val="000000"/>
                <w:sz w:val="16"/>
                <w:szCs w:val="16"/>
              </w:rPr>
            </w:pPr>
            <w:r w:rsidRPr="003A2B9C">
              <w:rPr>
                <w:rFonts w:ascii="Arial" w:hAnsi="Arial" w:cs="Arial"/>
                <w:color w:val="000000"/>
                <w:sz w:val="16"/>
                <w:szCs w:val="16"/>
              </w:rPr>
              <w:t>980</w:t>
            </w:r>
          </w:p>
        </w:tc>
        <w:tc>
          <w:tcPr>
            <w:tcW w:w="1232" w:type="dxa"/>
            <w:gridSpan w:val="3"/>
            <w:tcBorders>
              <w:top w:val="nil"/>
              <w:left w:val="nil"/>
              <w:bottom w:val="nil"/>
              <w:right w:val="nil"/>
            </w:tcBorders>
            <w:shd w:val="clear" w:color="000000" w:fill="FFFFE1"/>
            <w:noWrap/>
            <w:vAlign w:val="center"/>
            <w:hideMark/>
          </w:tcPr>
          <w:p w:rsidR="003C459D" w:rsidRPr="003A2B9C" w:rsidRDefault="003C459D" w:rsidP="00E56B71">
            <w:pPr>
              <w:jc w:val="center"/>
              <w:rPr>
                <w:rFonts w:ascii="Arial" w:hAnsi="Arial" w:cs="Arial"/>
                <w:color w:val="000000"/>
                <w:sz w:val="16"/>
                <w:szCs w:val="16"/>
              </w:rPr>
            </w:pPr>
            <w:r w:rsidRPr="003A2B9C">
              <w:rPr>
                <w:rFonts w:ascii="Arial" w:hAnsi="Arial" w:cs="Arial"/>
                <w:color w:val="000000"/>
                <w:sz w:val="16"/>
                <w:szCs w:val="16"/>
              </w:rPr>
              <w:t>53</w:t>
            </w:r>
          </w:p>
        </w:tc>
        <w:tc>
          <w:tcPr>
            <w:tcW w:w="617" w:type="dxa"/>
            <w:tcBorders>
              <w:top w:val="nil"/>
              <w:left w:val="dotted" w:sz="4" w:space="0" w:color="009900"/>
              <w:bottom w:val="nil"/>
              <w:right w:val="single" w:sz="8" w:space="0" w:color="009900"/>
            </w:tcBorders>
            <w:shd w:val="clear" w:color="000000" w:fill="FFFFE1"/>
            <w:noWrap/>
            <w:vAlign w:val="center"/>
            <w:hideMark/>
          </w:tcPr>
          <w:p w:rsidR="003C459D" w:rsidRPr="003A2B9C" w:rsidRDefault="003C459D" w:rsidP="00E56B71">
            <w:pPr>
              <w:jc w:val="center"/>
              <w:rPr>
                <w:rFonts w:ascii="Arial" w:hAnsi="Arial" w:cs="Arial"/>
                <w:color w:val="000000"/>
                <w:sz w:val="16"/>
                <w:szCs w:val="16"/>
              </w:rPr>
            </w:pPr>
            <w:r w:rsidRPr="003A2B9C">
              <w:rPr>
                <w:rFonts w:ascii="Arial" w:hAnsi="Arial" w:cs="Arial"/>
                <w:color w:val="000000"/>
                <w:sz w:val="16"/>
                <w:szCs w:val="16"/>
              </w:rPr>
              <w:t>1</w:t>
            </w:r>
            <w:r>
              <w:rPr>
                <w:rFonts w:ascii="Arial" w:hAnsi="Arial" w:cs="Arial"/>
                <w:color w:val="000000"/>
                <w:sz w:val="16"/>
                <w:szCs w:val="16"/>
              </w:rPr>
              <w:t>,</w:t>
            </w:r>
            <w:r w:rsidRPr="003A2B9C">
              <w:rPr>
                <w:rFonts w:ascii="Arial" w:hAnsi="Arial" w:cs="Arial"/>
                <w:color w:val="000000"/>
                <w:sz w:val="16"/>
                <w:szCs w:val="16"/>
              </w:rPr>
              <w:t>033</w:t>
            </w:r>
          </w:p>
        </w:tc>
      </w:tr>
      <w:tr w:rsidR="003C459D" w:rsidRPr="003A2B9C" w:rsidTr="00D20353">
        <w:trPr>
          <w:gridBefore w:val="1"/>
          <w:gridAfter w:val="2"/>
          <w:wBefore w:w="375" w:type="dxa"/>
          <w:wAfter w:w="1060" w:type="dxa"/>
          <w:trHeight w:val="300"/>
          <w:jc w:val="center"/>
        </w:trPr>
        <w:tc>
          <w:tcPr>
            <w:tcW w:w="3338" w:type="dxa"/>
            <w:gridSpan w:val="4"/>
            <w:tcBorders>
              <w:top w:val="single" w:sz="8" w:space="0" w:color="009900"/>
              <w:left w:val="single" w:sz="8" w:space="0" w:color="009900"/>
              <w:bottom w:val="nil"/>
              <w:right w:val="nil"/>
            </w:tcBorders>
            <w:shd w:val="clear" w:color="000000" w:fill="FFFFE1"/>
            <w:vAlign w:val="center"/>
            <w:hideMark/>
          </w:tcPr>
          <w:p w:rsidR="003C459D" w:rsidRPr="003A2B9C" w:rsidRDefault="003C459D" w:rsidP="00E56B71">
            <w:pPr>
              <w:rPr>
                <w:rFonts w:ascii="Arial" w:hAnsi="Arial" w:cs="Arial"/>
                <w:color w:val="000000"/>
                <w:sz w:val="16"/>
                <w:szCs w:val="16"/>
              </w:rPr>
            </w:pPr>
            <w:r w:rsidRPr="003A2B9C">
              <w:rPr>
                <w:rFonts w:ascii="Arial" w:hAnsi="Arial" w:cs="Arial"/>
                <w:color w:val="000000"/>
                <w:sz w:val="16"/>
                <w:szCs w:val="16"/>
              </w:rPr>
              <w:t>Households with Only Children</w:t>
            </w:r>
          </w:p>
        </w:tc>
        <w:tc>
          <w:tcPr>
            <w:tcW w:w="1057" w:type="dxa"/>
            <w:gridSpan w:val="2"/>
            <w:tcBorders>
              <w:top w:val="single" w:sz="8" w:space="0" w:color="009900"/>
              <w:left w:val="dotted" w:sz="4" w:space="0" w:color="009900"/>
              <w:bottom w:val="nil"/>
              <w:right w:val="nil"/>
            </w:tcBorders>
            <w:shd w:val="clear" w:color="000000" w:fill="FFFFE1"/>
            <w:noWrap/>
            <w:vAlign w:val="center"/>
            <w:hideMark/>
          </w:tcPr>
          <w:p w:rsidR="003C459D" w:rsidRPr="003A2B9C" w:rsidRDefault="003C459D" w:rsidP="00E56B71">
            <w:pPr>
              <w:jc w:val="center"/>
              <w:rPr>
                <w:rFonts w:ascii="Arial" w:hAnsi="Arial" w:cs="Arial"/>
                <w:b/>
                <w:bCs/>
                <w:color w:val="000000"/>
                <w:sz w:val="16"/>
                <w:szCs w:val="16"/>
              </w:rPr>
            </w:pPr>
            <w:r w:rsidRPr="003A2B9C">
              <w:rPr>
                <w:rFonts w:ascii="Arial" w:hAnsi="Arial" w:cs="Arial"/>
                <w:b/>
                <w:bCs/>
                <w:color w:val="000000"/>
                <w:sz w:val="16"/>
                <w:szCs w:val="16"/>
              </w:rPr>
              <w:t>.</w:t>
            </w:r>
          </w:p>
        </w:tc>
        <w:tc>
          <w:tcPr>
            <w:tcW w:w="1232" w:type="dxa"/>
            <w:gridSpan w:val="2"/>
            <w:tcBorders>
              <w:top w:val="single" w:sz="8" w:space="0" w:color="009900"/>
              <w:left w:val="nil"/>
              <w:bottom w:val="nil"/>
              <w:right w:val="nil"/>
            </w:tcBorders>
            <w:shd w:val="clear" w:color="000000" w:fill="FFFFE1"/>
            <w:noWrap/>
            <w:vAlign w:val="center"/>
            <w:hideMark/>
          </w:tcPr>
          <w:p w:rsidR="003C459D" w:rsidRPr="003A2B9C" w:rsidRDefault="003C459D" w:rsidP="00E56B71">
            <w:pPr>
              <w:jc w:val="center"/>
              <w:rPr>
                <w:rFonts w:ascii="Arial" w:hAnsi="Arial" w:cs="Arial"/>
                <w:b/>
                <w:bCs/>
                <w:color w:val="000000"/>
                <w:sz w:val="16"/>
                <w:szCs w:val="16"/>
              </w:rPr>
            </w:pPr>
            <w:r w:rsidRPr="003A2B9C">
              <w:rPr>
                <w:rFonts w:ascii="Arial" w:hAnsi="Arial" w:cs="Arial"/>
                <w:b/>
                <w:bCs/>
                <w:color w:val="000000"/>
                <w:sz w:val="16"/>
                <w:szCs w:val="16"/>
              </w:rPr>
              <w:t>.</w:t>
            </w:r>
          </w:p>
        </w:tc>
        <w:tc>
          <w:tcPr>
            <w:tcW w:w="617" w:type="dxa"/>
            <w:gridSpan w:val="2"/>
            <w:tcBorders>
              <w:top w:val="single" w:sz="8" w:space="0" w:color="009900"/>
              <w:left w:val="dotted" w:sz="4" w:space="0" w:color="009900"/>
              <w:bottom w:val="nil"/>
              <w:right w:val="dotted" w:sz="4" w:space="0" w:color="009900"/>
            </w:tcBorders>
            <w:shd w:val="clear" w:color="000000" w:fill="FFFFE1"/>
            <w:noWrap/>
            <w:vAlign w:val="center"/>
            <w:hideMark/>
          </w:tcPr>
          <w:p w:rsidR="003C459D" w:rsidRPr="003A2B9C" w:rsidRDefault="003C459D" w:rsidP="00E56B71">
            <w:pPr>
              <w:jc w:val="center"/>
              <w:rPr>
                <w:rFonts w:ascii="Arial" w:hAnsi="Arial" w:cs="Arial"/>
                <w:b/>
                <w:bCs/>
                <w:color w:val="000000"/>
                <w:sz w:val="16"/>
                <w:szCs w:val="16"/>
              </w:rPr>
            </w:pPr>
            <w:r w:rsidRPr="003A2B9C">
              <w:rPr>
                <w:rFonts w:ascii="Arial" w:hAnsi="Arial" w:cs="Arial"/>
                <w:b/>
                <w:bCs/>
                <w:color w:val="000000"/>
                <w:sz w:val="16"/>
                <w:szCs w:val="16"/>
              </w:rPr>
              <w:t>.</w:t>
            </w:r>
          </w:p>
        </w:tc>
        <w:tc>
          <w:tcPr>
            <w:tcW w:w="1001" w:type="dxa"/>
            <w:tcBorders>
              <w:top w:val="single" w:sz="8" w:space="0" w:color="009900"/>
              <w:left w:val="nil"/>
              <w:bottom w:val="nil"/>
              <w:right w:val="nil"/>
            </w:tcBorders>
            <w:shd w:val="clear" w:color="000000" w:fill="FFFFE1"/>
            <w:noWrap/>
            <w:vAlign w:val="center"/>
            <w:hideMark/>
          </w:tcPr>
          <w:p w:rsidR="003C459D" w:rsidRPr="003A2B9C" w:rsidRDefault="003C459D" w:rsidP="00E56B71">
            <w:pPr>
              <w:jc w:val="center"/>
              <w:rPr>
                <w:rFonts w:ascii="Arial" w:hAnsi="Arial" w:cs="Arial"/>
                <w:b/>
                <w:bCs/>
                <w:color w:val="000000"/>
                <w:sz w:val="16"/>
                <w:szCs w:val="16"/>
              </w:rPr>
            </w:pPr>
            <w:r w:rsidRPr="003A2B9C">
              <w:rPr>
                <w:rFonts w:ascii="Arial" w:hAnsi="Arial" w:cs="Arial"/>
                <w:b/>
                <w:bCs/>
                <w:color w:val="000000"/>
                <w:sz w:val="16"/>
                <w:szCs w:val="16"/>
              </w:rPr>
              <w:t>.</w:t>
            </w:r>
          </w:p>
        </w:tc>
        <w:tc>
          <w:tcPr>
            <w:tcW w:w="1232" w:type="dxa"/>
            <w:gridSpan w:val="3"/>
            <w:tcBorders>
              <w:top w:val="single" w:sz="8" w:space="0" w:color="009900"/>
              <w:left w:val="nil"/>
              <w:bottom w:val="nil"/>
              <w:right w:val="nil"/>
            </w:tcBorders>
            <w:shd w:val="clear" w:color="000000" w:fill="FFFFE1"/>
            <w:noWrap/>
            <w:vAlign w:val="center"/>
            <w:hideMark/>
          </w:tcPr>
          <w:p w:rsidR="003C459D" w:rsidRPr="003A2B9C" w:rsidRDefault="003C459D" w:rsidP="00E56B71">
            <w:pPr>
              <w:jc w:val="center"/>
              <w:rPr>
                <w:rFonts w:ascii="Arial" w:hAnsi="Arial" w:cs="Arial"/>
                <w:b/>
                <w:bCs/>
                <w:color w:val="000000"/>
                <w:sz w:val="16"/>
                <w:szCs w:val="16"/>
              </w:rPr>
            </w:pPr>
            <w:r w:rsidRPr="003A2B9C">
              <w:rPr>
                <w:rFonts w:ascii="Arial" w:hAnsi="Arial" w:cs="Arial"/>
                <w:b/>
                <w:bCs/>
                <w:color w:val="000000"/>
                <w:sz w:val="16"/>
                <w:szCs w:val="16"/>
              </w:rPr>
              <w:t>.</w:t>
            </w:r>
          </w:p>
        </w:tc>
        <w:tc>
          <w:tcPr>
            <w:tcW w:w="617" w:type="dxa"/>
            <w:gridSpan w:val="2"/>
            <w:tcBorders>
              <w:top w:val="single" w:sz="8" w:space="0" w:color="009900"/>
              <w:left w:val="dotted" w:sz="4" w:space="0" w:color="009900"/>
              <w:bottom w:val="nil"/>
              <w:right w:val="dotted" w:sz="4" w:space="0" w:color="009900"/>
            </w:tcBorders>
            <w:shd w:val="clear" w:color="000000" w:fill="FFFFE1"/>
            <w:noWrap/>
            <w:vAlign w:val="center"/>
            <w:hideMark/>
          </w:tcPr>
          <w:p w:rsidR="003C459D" w:rsidRPr="003A2B9C" w:rsidRDefault="003C459D" w:rsidP="00E56B71">
            <w:pPr>
              <w:jc w:val="center"/>
              <w:rPr>
                <w:rFonts w:ascii="Arial" w:hAnsi="Arial" w:cs="Arial"/>
                <w:b/>
                <w:bCs/>
                <w:color w:val="000000"/>
                <w:sz w:val="16"/>
                <w:szCs w:val="16"/>
              </w:rPr>
            </w:pPr>
            <w:r w:rsidRPr="003A2B9C">
              <w:rPr>
                <w:rFonts w:ascii="Arial" w:hAnsi="Arial" w:cs="Arial"/>
                <w:b/>
                <w:bCs/>
                <w:color w:val="000000"/>
                <w:sz w:val="16"/>
                <w:szCs w:val="16"/>
              </w:rPr>
              <w:t>.</w:t>
            </w:r>
          </w:p>
        </w:tc>
        <w:tc>
          <w:tcPr>
            <w:tcW w:w="1001" w:type="dxa"/>
            <w:tcBorders>
              <w:top w:val="single" w:sz="8" w:space="0" w:color="009900"/>
              <w:left w:val="nil"/>
              <w:bottom w:val="nil"/>
              <w:right w:val="nil"/>
            </w:tcBorders>
            <w:shd w:val="clear" w:color="000000" w:fill="FFFFE1"/>
            <w:noWrap/>
            <w:vAlign w:val="center"/>
            <w:hideMark/>
          </w:tcPr>
          <w:p w:rsidR="003C459D" w:rsidRPr="003A2B9C" w:rsidRDefault="003C459D" w:rsidP="00E56B71">
            <w:pPr>
              <w:jc w:val="center"/>
              <w:rPr>
                <w:rFonts w:ascii="Arial" w:hAnsi="Arial" w:cs="Arial"/>
                <w:color w:val="000000"/>
                <w:sz w:val="16"/>
                <w:szCs w:val="16"/>
              </w:rPr>
            </w:pPr>
            <w:r w:rsidRPr="003A2B9C">
              <w:rPr>
                <w:rFonts w:ascii="Arial" w:hAnsi="Arial" w:cs="Arial"/>
                <w:color w:val="000000"/>
                <w:sz w:val="16"/>
                <w:szCs w:val="16"/>
              </w:rPr>
              <w:t>61</w:t>
            </w:r>
          </w:p>
        </w:tc>
        <w:tc>
          <w:tcPr>
            <w:tcW w:w="1232" w:type="dxa"/>
            <w:gridSpan w:val="3"/>
            <w:tcBorders>
              <w:top w:val="single" w:sz="8" w:space="0" w:color="009900"/>
              <w:left w:val="nil"/>
              <w:bottom w:val="nil"/>
              <w:right w:val="nil"/>
            </w:tcBorders>
            <w:shd w:val="clear" w:color="000000" w:fill="FFFFE1"/>
            <w:noWrap/>
            <w:vAlign w:val="center"/>
            <w:hideMark/>
          </w:tcPr>
          <w:p w:rsidR="003C459D" w:rsidRPr="003A2B9C" w:rsidRDefault="003C459D" w:rsidP="00E56B71">
            <w:pPr>
              <w:jc w:val="center"/>
              <w:rPr>
                <w:rFonts w:ascii="Arial" w:hAnsi="Arial" w:cs="Arial"/>
                <w:color w:val="000000"/>
                <w:sz w:val="16"/>
                <w:szCs w:val="16"/>
              </w:rPr>
            </w:pPr>
            <w:r w:rsidRPr="003A2B9C">
              <w:rPr>
                <w:rFonts w:ascii="Arial" w:hAnsi="Arial" w:cs="Arial"/>
                <w:color w:val="000000"/>
                <w:sz w:val="16"/>
                <w:szCs w:val="16"/>
              </w:rPr>
              <w:t>20</w:t>
            </w:r>
          </w:p>
        </w:tc>
        <w:tc>
          <w:tcPr>
            <w:tcW w:w="617" w:type="dxa"/>
            <w:tcBorders>
              <w:top w:val="single" w:sz="8" w:space="0" w:color="009900"/>
              <w:left w:val="dotted" w:sz="4" w:space="0" w:color="009900"/>
              <w:bottom w:val="nil"/>
              <w:right w:val="single" w:sz="8" w:space="0" w:color="009900"/>
            </w:tcBorders>
            <w:shd w:val="clear" w:color="000000" w:fill="FFFFE1"/>
            <w:noWrap/>
            <w:vAlign w:val="center"/>
            <w:hideMark/>
          </w:tcPr>
          <w:p w:rsidR="003C459D" w:rsidRPr="003A2B9C" w:rsidRDefault="003C459D" w:rsidP="00E56B71">
            <w:pPr>
              <w:jc w:val="center"/>
              <w:rPr>
                <w:rFonts w:ascii="Arial" w:hAnsi="Arial" w:cs="Arial"/>
                <w:color w:val="000000"/>
                <w:sz w:val="16"/>
                <w:szCs w:val="16"/>
              </w:rPr>
            </w:pPr>
            <w:r w:rsidRPr="003A2B9C">
              <w:rPr>
                <w:rFonts w:ascii="Arial" w:hAnsi="Arial" w:cs="Arial"/>
                <w:color w:val="000000"/>
                <w:sz w:val="16"/>
                <w:szCs w:val="16"/>
              </w:rPr>
              <w:t>81</w:t>
            </w:r>
          </w:p>
        </w:tc>
      </w:tr>
      <w:tr w:rsidR="003C459D" w:rsidRPr="003A2B9C" w:rsidTr="00D20353">
        <w:trPr>
          <w:gridBefore w:val="1"/>
          <w:gridAfter w:val="2"/>
          <w:wBefore w:w="375" w:type="dxa"/>
          <w:wAfter w:w="1060" w:type="dxa"/>
          <w:trHeight w:val="297"/>
          <w:jc w:val="center"/>
        </w:trPr>
        <w:tc>
          <w:tcPr>
            <w:tcW w:w="3338" w:type="dxa"/>
            <w:gridSpan w:val="4"/>
            <w:tcBorders>
              <w:top w:val="nil"/>
              <w:left w:val="single" w:sz="8" w:space="0" w:color="009900"/>
              <w:bottom w:val="nil"/>
              <w:right w:val="nil"/>
            </w:tcBorders>
            <w:shd w:val="clear" w:color="000000" w:fill="FFFFE1"/>
            <w:vAlign w:val="center"/>
            <w:hideMark/>
          </w:tcPr>
          <w:p w:rsidR="003C459D" w:rsidRPr="003A2B9C" w:rsidRDefault="003C459D" w:rsidP="00E56B71">
            <w:pPr>
              <w:rPr>
                <w:rFonts w:ascii="Arial" w:hAnsi="Arial" w:cs="Arial"/>
                <w:color w:val="000000"/>
                <w:sz w:val="16"/>
                <w:szCs w:val="16"/>
              </w:rPr>
            </w:pPr>
            <w:r w:rsidRPr="003A2B9C">
              <w:rPr>
                <w:rFonts w:ascii="Arial" w:hAnsi="Arial" w:cs="Arial"/>
                <w:color w:val="000000"/>
                <w:sz w:val="16"/>
                <w:szCs w:val="16"/>
              </w:rPr>
              <w:t>Persons in Households with Only Children</w:t>
            </w:r>
          </w:p>
        </w:tc>
        <w:tc>
          <w:tcPr>
            <w:tcW w:w="1057" w:type="dxa"/>
            <w:gridSpan w:val="2"/>
            <w:tcBorders>
              <w:top w:val="nil"/>
              <w:left w:val="dotted" w:sz="4" w:space="0" w:color="009900"/>
              <w:bottom w:val="nil"/>
              <w:right w:val="nil"/>
            </w:tcBorders>
            <w:shd w:val="clear" w:color="000000" w:fill="FFFFE1"/>
            <w:noWrap/>
            <w:vAlign w:val="center"/>
            <w:hideMark/>
          </w:tcPr>
          <w:p w:rsidR="003C459D" w:rsidRPr="003A2B9C" w:rsidRDefault="003C459D" w:rsidP="00E56B71">
            <w:pPr>
              <w:jc w:val="center"/>
              <w:rPr>
                <w:rFonts w:ascii="Arial" w:hAnsi="Arial" w:cs="Arial"/>
                <w:b/>
                <w:bCs/>
                <w:color w:val="000000"/>
                <w:sz w:val="16"/>
                <w:szCs w:val="16"/>
              </w:rPr>
            </w:pPr>
            <w:r w:rsidRPr="003A2B9C">
              <w:rPr>
                <w:rFonts w:ascii="Arial" w:hAnsi="Arial" w:cs="Arial"/>
                <w:b/>
                <w:bCs/>
                <w:color w:val="000000"/>
                <w:sz w:val="16"/>
                <w:szCs w:val="16"/>
              </w:rPr>
              <w:t>.</w:t>
            </w:r>
          </w:p>
        </w:tc>
        <w:tc>
          <w:tcPr>
            <w:tcW w:w="1232" w:type="dxa"/>
            <w:gridSpan w:val="2"/>
            <w:tcBorders>
              <w:top w:val="nil"/>
              <w:left w:val="nil"/>
              <w:bottom w:val="nil"/>
              <w:right w:val="nil"/>
            </w:tcBorders>
            <w:shd w:val="clear" w:color="000000" w:fill="FFFFE1"/>
            <w:noWrap/>
            <w:vAlign w:val="center"/>
            <w:hideMark/>
          </w:tcPr>
          <w:p w:rsidR="003C459D" w:rsidRPr="003A2B9C" w:rsidRDefault="003C459D" w:rsidP="00E56B71">
            <w:pPr>
              <w:jc w:val="center"/>
              <w:rPr>
                <w:rFonts w:ascii="Arial" w:hAnsi="Arial" w:cs="Arial"/>
                <w:b/>
                <w:bCs/>
                <w:color w:val="000000"/>
                <w:sz w:val="16"/>
                <w:szCs w:val="16"/>
              </w:rPr>
            </w:pPr>
            <w:r w:rsidRPr="003A2B9C">
              <w:rPr>
                <w:rFonts w:ascii="Arial" w:hAnsi="Arial" w:cs="Arial"/>
                <w:b/>
                <w:bCs/>
                <w:color w:val="000000"/>
                <w:sz w:val="16"/>
                <w:szCs w:val="16"/>
              </w:rPr>
              <w:t>.</w:t>
            </w:r>
          </w:p>
        </w:tc>
        <w:tc>
          <w:tcPr>
            <w:tcW w:w="617" w:type="dxa"/>
            <w:gridSpan w:val="2"/>
            <w:tcBorders>
              <w:top w:val="nil"/>
              <w:left w:val="dotted" w:sz="4" w:space="0" w:color="009900"/>
              <w:bottom w:val="nil"/>
              <w:right w:val="dotted" w:sz="4" w:space="0" w:color="009900"/>
            </w:tcBorders>
            <w:shd w:val="clear" w:color="000000" w:fill="FFFFE1"/>
            <w:noWrap/>
            <w:vAlign w:val="center"/>
            <w:hideMark/>
          </w:tcPr>
          <w:p w:rsidR="003C459D" w:rsidRPr="003A2B9C" w:rsidRDefault="003C459D" w:rsidP="00E56B71">
            <w:pPr>
              <w:jc w:val="center"/>
              <w:rPr>
                <w:rFonts w:ascii="Arial" w:hAnsi="Arial" w:cs="Arial"/>
                <w:b/>
                <w:bCs/>
                <w:color w:val="000000"/>
                <w:sz w:val="16"/>
                <w:szCs w:val="16"/>
              </w:rPr>
            </w:pPr>
            <w:r w:rsidRPr="003A2B9C">
              <w:rPr>
                <w:rFonts w:ascii="Arial" w:hAnsi="Arial" w:cs="Arial"/>
                <w:b/>
                <w:bCs/>
                <w:color w:val="000000"/>
                <w:sz w:val="16"/>
                <w:szCs w:val="16"/>
              </w:rPr>
              <w:t>.</w:t>
            </w:r>
          </w:p>
        </w:tc>
        <w:tc>
          <w:tcPr>
            <w:tcW w:w="1001" w:type="dxa"/>
            <w:tcBorders>
              <w:top w:val="nil"/>
              <w:left w:val="nil"/>
              <w:bottom w:val="nil"/>
              <w:right w:val="nil"/>
            </w:tcBorders>
            <w:shd w:val="clear" w:color="000000" w:fill="FFFFE1"/>
            <w:noWrap/>
            <w:vAlign w:val="center"/>
            <w:hideMark/>
          </w:tcPr>
          <w:p w:rsidR="003C459D" w:rsidRPr="003A2B9C" w:rsidRDefault="003C459D" w:rsidP="00E56B71">
            <w:pPr>
              <w:jc w:val="center"/>
              <w:rPr>
                <w:rFonts w:ascii="Arial" w:hAnsi="Arial" w:cs="Arial"/>
                <w:b/>
                <w:bCs/>
                <w:color w:val="000000"/>
                <w:sz w:val="16"/>
                <w:szCs w:val="16"/>
              </w:rPr>
            </w:pPr>
            <w:r w:rsidRPr="003A2B9C">
              <w:rPr>
                <w:rFonts w:ascii="Arial" w:hAnsi="Arial" w:cs="Arial"/>
                <w:b/>
                <w:bCs/>
                <w:color w:val="000000"/>
                <w:sz w:val="16"/>
                <w:szCs w:val="16"/>
              </w:rPr>
              <w:t>.</w:t>
            </w:r>
          </w:p>
        </w:tc>
        <w:tc>
          <w:tcPr>
            <w:tcW w:w="1232" w:type="dxa"/>
            <w:gridSpan w:val="3"/>
            <w:tcBorders>
              <w:top w:val="nil"/>
              <w:left w:val="nil"/>
              <w:bottom w:val="nil"/>
              <w:right w:val="nil"/>
            </w:tcBorders>
            <w:shd w:val="clear" w:color="000000" w:fill="FFFFE1"/>
            <w:noWrap/>
            <w:vAlign w:val="center"/>
            <w:hideMark/>
          </w:tcPr>
          <w:p w:rsidR="003C459D" w:rsidRPr="003A2B9C" w:rsidRDefault="003C459D" w:rsidP="00E56B71">
            <w:pPr>
              <w:jc w:val="center"/>
              <w:rPr>
                <w:rFonts w:ascii="Arial" w:hAnsi="Arial" w:cs="Arial"/>
                <w:b/>
                <w:bCs/>
                <w:color w:val="000000"/>
                <w:sz w:val="16"/>
                <w:szCs w:val="16"/>
              </w:rPr>
            </w:pPr>
            <w:r w:rsidRPr="003A2B9C">
              <w:rPr>
                <w:rFonts w:ascii="Arial" w:hAnsi="Arial" w:cs="Arial"/>
                <w:b/>
                <w:bCs/>
                <w:color w:val="000000"/>
                <w:sz w:val="16"/>
                <w:szCs w:val="16"/>
              </w:rPr>
              <w:t>.</w:t>
            </w:r>
          </w:p>
        </w:tc>
        <w:tc>
          <w:tcPr>
            <w:tcW w:w="617" w:type="dxa"/>
            <w:gridSpan w:val="2"/>
            <w:tcBorders>
              <w:top w:val="nil"/>
              <w:left w:val="dotted" w:sz="4" w:space="0" w:color="009900"/>
              <w:bottom w:val="nil"/>
              <w:right w:val="dotted" w:sz="4" w:space="0" w:color="009900"/>
            </w:tcBorders>
            <w:shd w:val="clear" w:color="000000" w:fill="FFFFE1"/>
            <w:noWrap/>
            <w:vAlign w:val="center"/>
            <w:hideMark/>
          </w:tcPr>
          <w:p w:rsidR="003C459D" w:rsidRPr="003A2B9C" w:rsidRDefault="003C459D" w:rsidP="00E56B71">
            <w:pPr>
              <w:jc w:val="center"/>
              <w:rPr>
                <w:rFonts w:ascii="Arial" w:hAnsi="Arial" w:cs="Arial"/>
                <w:b/>
                <w:bCs/>
                <w:color w:val="000000"/>
                <w:sz w:val="16"/>
                <w:szCs w:val="16"/>
              </w:rPr>
            </w:pPr>
            <w:r w:rsidRPr="003A2B9C">
              <w:rPr>
                <w:rFonts w:ascii="Arial" w:hAnsi="Arial" w:cs="Arial"/>
                <w:b/>
                <w:bCs/>
                <w:color w:val="000000"/>
                <w:sz w:val="16"/>
                <w:szCs w:val="16"/>
              </w:rPr>
              <w:t>.</w:t>
            </w:r>
          </w:p>
        </w:tc>
        <w:tc>
          <w:tcPr>
            <w:tcW w:w="1001" w:type="dxa"/>
            <w:tcBorders>
              <w:top w:val="nil"/>
              <w:left w:val="nil"/>
              <w:bottom w:val="nil"/>
              <w:right w:val="nil"/>
            </w:tcBorders>
            <w:shd w:val="clear" w:color="000000" w:fill="FFFFE1"/>
            <w:noWrap/>
            <w:vAlign w:val="center"/>
            <w:hideMark/>
          </w:tcPr>
          <w:p w:rsidR="003C459D" w:rsidRPr="003A2B9C" w:rsidRDefault="003C459D" w:rsidP="00E56B71">
            <w:pPr>
              <w:jc w:val="center"/>
              <w:rPr>
                <w:rFonts w:ascii="Arial" w:hAnsi="Arial" w:cs="Arial"/>
                <w:color w:val="000000"/>
                <w:sz w:val="16"/>
                <w:szCs w:val="16"/>
              </w:rPr>
            </w:pPr>
            <w:r w:rsidRPr="003A2B9C">
              <w:rPr>
                <w:rFonts w:ascii="Arial" w:hAnsi="Arial" w:cs="Arial"/>
                <w:color w:val="000000"/>
                <w:sz w:val="16"/>
                <w:szCs w:val="16"/>
              </w:rPr>
              <w:t>61</w:t>
            </w:r>
          </w:p>
        </w:tc>
        <w:tc>
          <w:tcPr>
            <w:tcW w:w="1232" w:type="dxa"/>
            <w:gridSpan w:val="3"/>
            <w:tcBorders>
              <w:top w:val="nil"/>
              <w:left w:val="nil"/>
              <w:bottom w:val="nil"/>
              <w:right w:val="nil"/>
            </w:tcBorders>
            <w:shd w:val="clear" w:color="000000" w:fill="FFFFE1"/>
            <w:noWrap/>
            <w:vAlign w:val="center"/>
            <w:hideMark/>
          </w:tcPr>
          <w:p w:rsidR="003C459D" w:rsidRPr="003A2B9C" w:rsidRDefault="003C459D" w:rsidP="00E56B71">
            <w:pPr>
              <w:jc w:val="center"/>
              <w:rPr>
                <w:rFonts w:ascii="Arial" w:hAnsi="Arial" w:cs="Arial"/>
                <w:color w:val="000000"/>
                <w:sz w:val="16"/>
                <w:szCs w:val="16"/>
              </w:rPr>
            </w:pPr>
            <w:r w:rsidRPr="003A2B9C">
              <w:rPr>
                <w:rFonts w:ascii="Arial" w:hAnsi="Arial" w:cs="Arial"/>
                <w:color w:val="000000"/>
                <w:sz w:val="16"/>
                <w:szCs w:val="16"/>
              </w:rPr>
              <w:t>20</w:t>
            </w:r>
          </w:p>
        </w:tc>
        <w:tc>
          <w:tcPr>
            <w:tcW w:w="617" w:type="dxa"/>
            <w:tcBorders>
              <w:top w:val="nil"/>
              <w:left w:val="dotted" w:sz="4" w:space="0" w:color="009900"/>
              <w:bottom w:val="nil"/>
              <w:right w:val="single" w:sz="8" w:space="0" w:color="009900"/>
            </w:tcBorders>
            <w:shd w:val="clear" w:color="000000" w:fill="FFFFE1"/>
            <w:noWrap/>
            <w:vAlign w:val="center"/>
            <w:hideMark/>
          </w:tcPr>
          <w:p w:rsidR="003C459D" w:rsidRPr="003A2B9C" w:rsidRDefault="003C459D" w:rsidP="00E56B71">
            <w:pPr>
              <w:jc w:val="center"/>
              <w:rPr>
                <w:rFonts w:ascii="Arial" w:hAnsi="Arial" w:cs="Arial"/>
                <w:color w:val="000000"/>
                <w:sz w:val="16"/>
                <w:szCs w:val="16"/>
              </w:rPr>
            </w:pPr>
            <w:r w:rsidRPr="003A2B9C">
              <w:rPr>
                <w:rFonts w:ascii="Arial" w:hAnsi="Arial" w:cs="Arial"/>
                <w:color w:val="000000"/>
                <w:sz w:val="16"/>
                <w:szCs w:val="16"/>
              </w:rPr>
              <w:t>81</w:t>
            </w:r>
          </w:p>
        </w:tc>
      </w:tr>
      <w:tr w:rsidR="003C459D" w:rsidRPr="003A2B9C" w:rsidTr="00D20353">
        <w:trPr>
          <w:gridBefore w:val="1"/>
          <w:gridAfter w:val="2"/>
          <w:wBefore w:w="375" w:type="dxa"/>
          <w:wAfter w:w="1060" w:type="dxa"/>
          <w:trHeight w:val="375"/>
          <w:jc w:val="center"/>
        </w:trPr>
        <w:tc>
          <w:tcPr>
            <w:tcW w:w="3338" w:type="dxa"/>
            <w:gridSpan w:val="4"/>
            <w:tcBorders>
              <w:top w:val="double" w:sz="6" w:space="0" w:color="009900"/>
              <w:left w:val="single" w:sz="8" w:space="0" w:color="009900"/>
              <w:bottom w:val="single" w:sz="8" w:space="0" w:color="009900"/>
              <w:right w:val="nil"/>
            </w:tcBorders>
            <w:shd w:val="clear" w:color="000000" w:fill="FFFFE1"/>
            <w:vAlign w:val="center"/>
            <w:hideMark/>
          </w:tcPr>
          <w:p w:rsidR="003C459D" w:rsidRPr="003A2B9C" w:rsidRDefault="003C459D" w:rsidP="00E56B71">
            <w:pPr>
              <w:rPr>
                <w:rFonts w:ascii="Arial" w:hAnsi="Arial" w:cs="Arial"/>
                <w:b/>
                <w:bCs/>
                <w:color w:val="000000"/>
                <w:sz w:val="16"/>
                <w:szCs w:val="16"/>
              </w:rPr>
            </w:pPr>
            <w:r w:rsidRPr="003A2B9C">
              <w:rPr>
                <w:rFonts w:ascii="Arial" w:hAnsi="Arial" w:cs="Arial"/>
                <w:b/>
                <w:bCs/>
                <w:color w:val="000000"/>
                <w:sz w:val="16"/>
                <w:szCs w:val="16"/>
              </w:rPr>
              <w:t>Total Number of Persons</w:t>
            </w:r>
          </w:p>
        </w:tc>
        <w:tc>
          <w:tcPr>
            <w:tcW w:w="1057" w:type="dxa"/>
            <w:gridSpan w:val="2"/>
            <w:tcBorders>
              <w:top w:val="double" w:sz="6" w:space="0" w:color="009900"/>
              <w:left w:val="dotted" w:sz="4" w:space="0" w:color="009900"/>
              <w:bottom w:val="single" w:sz="8" w:space="0" w:color="009900"/>
              <w:right w:val="nil"/>
            </w:tcBorders>
            <w:shd w:val="clear" w:color="000000" w:fill="FFFFE1"/>
            <w:noWrap/>
            <w:vAlign w:val="center"/>
            <w:hideMark/>
          </w:tcPr>
          <w:p w:rsidR="003C459D" w:rsidRPr="003A2B9C" w:rsidRDefault="003C459D" w:rsidP="00E56B71">
            <w:pPr>
              <w:jc w:val="center"/>
              <w:rPr>
                <w:rFonts w:ascii="Arial" w:hAnsi="Arial" w:cs="Arial"/>
                <w:b/>
                <w:bCs/>
                <w:color w:val="000000"/>
                <w:sz w:val="16"/>
                <w:szCs w:val="16"/>
              </w:rPr>
            </w:pPr>
            <w:r w:rsidRPr="003A2B9C">
              <w:rPr>
                <w:rFonts w:ascii="Arial" w:hAnsi="Arial" w:cs="Arial"/>
                <w:b/>
                <w:bCs/>
                <w:color w:val="000000"/>
                <w:sz w:val="16"/>
                <w:szCs w:val="16"/>
              </w:rPr>
              <w:t>2,158</w:t>
            </w:r>
          </w:p>
        </w:tc>
        <w:tc>
          <w:tcPr>
            <w:tcW w:w="1232" w:type="dxa"/>
            <w:gridSpan w:val="2"/>
            <w:tcBorders>
              <w:top w:val="double" w:sz="6" w:space="0" w:color="009900"/>
              <w:left w:val="nil"/>
              <w:bottom w:val="single" w:sz="8" w:space="0" w:color="009900"/>
              <w:right w:val="nil"/>
            </w:tcBorders>
            <w:shd w:val="clear" w:color="000000" w:fill="FFFFE1"/>
            <w:noWrap/>
            <w:vAlign w:val="center"/>
            <w:hideMark/>
          </w:tcPr>
          <w:p w:rsidR="003C459D" w:rsidRPr="003A2B9C" w:rsidRDefault="003C459D" w:rsidP="00E56B71">
            <w:pPr>
              <w:jc w:val="center"/>
              <w:rPr>
                <w:rFonts w:ascii="Arial" w:hAnsi="Arial" w:cs="Arial"/>
                <w:b/>
                <w:bCs/>
                <w:color w:val="000000"/>
                <w:sz w:val="16"/>
                <w:szCs w:val="16"/>
              </w:rPr>
            </w:pPr>
            <w:r w:rsidRPr="003A2B9C">
              <w:rPr>
                <w:rFonts w:ascii="Arial" w:hAnsi="Arial" w:cs="Arial"/>
                <w:b/>
                <w:bCs/>
                <w:color w:val="000000"/>
                <w:sz w:val="16"/>
                <w:szCs w:val="16"/>
              </w:rPr>
              <w:t>1</w:t>
            </w:r>
            <w:r>
              <w:rPr>
                <w:rFonts w:ascii="Arial" w:hAnsi="Arial" w:cs="Arial"/>
                <w:b/>
                <w:bCs/>
                <w:color w:val="000000"/>
                <w:sz w:val="16"/>
                <w:szCs w:val="16"/>
              </w:rPr>
              <w:t>,</w:t>
            </w:r>
            <w:r w:rsidRPr="003A2B9C">
              <w:rPr>
                <w:rFonts w:ascii="Arial" w:hAnsi="Arial" w:cs="Arial"/>
                <w:b/>
                <w:bCs/>
                <w:color w:val="000000"/>
                <w:sz w:val="16"/>
                <w:szCs w:val="16"/>
              </w:rPr>
              <w:t>367</w:t>
            </w:r>
          </w:p>
        </w:tc>
        <w:tc>
          <w:tcPr>
            <w:tcW w:w="617" w:type="dxa"/>
            <w:gridSpan w:val="2"/>
            <w:tcBorders>
              <w:top w:val="double" w:sz="6" w:space="0" w:color="009900"/>
              <w:left w:val="dotted" w:sz="4" w:space="0" w:color="009900"/>
              <w:bottom w:val="single" w:sz="8" w:space="0" w:color="009900"/>
              <w:right w:val="dotted" w:sz="4" w:space="0" w:color="009900"/>
            </w:tcBorders>
            <w:shd w:val="clear" w:color="000000" w:fill="FFFFE1"/>
            <w:noWrap/>
            <w:vAlign w:val="center"/>
            <w:hideMark/>
          </w:tcPr>
          <w:p w:rsidR="003C459D" w:rsidRPr="003A2B9C" w:rsidRDefault="003C459D" w:rsidP="00E56B71">
            <w:pPr>
              <w:jc w:val="center"/>
              <w:rPr>
                <w:rFonts w:ascii="Arial" w:hAnsi="Arial" w:cs="Arial"/>
                <w:b/>
                <w:bCs/>
                <w:color w:val="000000"/>
                <w:sz w:val="16"/>
                <w:szCs w:val="16"/>
              </w:rPr>
            </w:pPr>
            <w:r w:rsidRPr="003A2B9C">
              <w:rPr>
                <w:rFonts w:ascii="Arial" w:hAnsi="Arial" w:cs="Arial"/>
                <w:b/>
                <w:bCs/>
                <w:color w:val="000000"/>
                <w:sz w:val="16"/>
                <w:szCs w:val="16"/>
              </w:rPr>
              <w:t>3,525</w:t>
            </w:r>
          </w:p>
        </w:tc>
        <w:tc>
          <w:tcPr>
            <w:tcW w:w="1001" w:type="dxa"/>
            <w:tcBorders>
              <w:top w:val="double" w:sz="6" w:space="0" w:color="009900"/>
              <w:left w:val="nil"/>
              <w:bottom w:val="single" w:sz="8" w:space="0" w:color="009900"/>
              <w:right w:val="nil"/>
            </w:tcBorders>
            <w:shd w:val="clear" w:color="000000" w:fill="FFFFE1"/>
            <w:noWrap/>
            <w:vAlign w:val="center"/>
            <w:hideMark/>
          </w:tcPr>
          <w:p w:rsidR="003C459D" w:rsidRPr="003A2B9C" w:rsidRDefault="003C459D" w:rsidP="00E56B71">
            <w:pPr>
              <w:jc w:val="center"/>
              <w:rPr>
                <w:rFonts w:ascii="Arial" w:hAnsi="Arial" w:cs="Arial"/>
                <w:b/>
                <w:bCs/>
                <w:color w:val="000000"/>
                <w:sz w:val="16"/>
                <w:szCs w:val="16"/>
              </w:rPr>
            </w:pPr>
            <w:r w:rsidRPr="003A2B9C">
              <w:rPr>
                <w:rFonts w:ascii="Arial" w:hAnsi="Arial" w:cs="Arial"/>
                <w:b/>
                <w:bCs/>
                <w:color w:val="000000"/>
                <w:sz w:val="16"/>
                <w:szCs w:val="16"/>
              </w:rPr>
              <w:t>2,753</w:t>
            </w:r>
          </w:p>
        </w:tc>
        <w:tc>
          <w:tcPr>
            <w:tcW w:w="1232" w:type="dxa"/>
            <w:gridSpan w:val="3"/>
            <w:tcBorders>
              <w:top w:val="double" w:sz="6" w:space="0" w:color="009900"/>
              <w:left w:val="nil"/>
              <w:bottom w:val="single" w:sz="8" w:space="0" w:color="009900"/>
              <w:right w:val="nil"/>
            </w:tcBorders>
            <w:shd w:val="clear" w:color="000000" w:fill="FFFFE1"/>
            <w:noWrap/>
            <w:vAlign w:val="center"/>
            <w:hideMark/>
          </w:tcPr>
          <w:p w:rsidR="003C459D" w:rsidRPr="003A2B9C" w:rsidRDefault="003C459D" w:rsidP="00E56B71">
            <w:pPr>
              <w:jc w:val="center"/>
              <w:rPr>
                <w:rFonts w:ascii="Arial" w:hAnsi="Arial" w:cs="Arial"/>
                <w:b/>
                <w:bCs/>
                <w:color w:val="000000"/>
                <w:sz w:val="16"/>
                <w:szCs w:val="16"/>
              </w:rPr>
            </w:pPr>
            <w:r w:rsidRPr="003A2B9C">
              <w:rPr>
                <w:rFonts w:ascii="Arial" w:hAnsi="Arial" w:cs="Arial"/>
                <w:b/>
                <w:bCs/>
                <w:color w:val="000000"/>
                <w:sz w:val="16"/>
                <w:szCs w:val="16"/>
              </w:rPr>
              <w:t>848</w:t>
            </w:r>
          </w:p>
        </w:tc>
        <w:tc>
          <w:tcPr>
            <w:tcW w:w="617" w:type="dxa"/>
            <w:gridSpan w:val="2"/>
            <w:tcBorders>
              <w:top w:val="double" w:sz="6" w:space="0" w:color="009900"/>
              <w:left w:val="dotted" w:sz="4" w:space="0" w:color="009900"/>
              <w:bottom w:val="single" w:sz="8" w:space="0" w:color="009900"/>
              <w:right w:val="dotted" w:sz="4" w:space="0" w:color="009900"/>
            </w:tcBorders>
            <w:shd w:val="clear" w:color="000000" w:fill="FFFFE1"/>
            <w:noWrap/>
            <w:vAlign w:val="center"/>
            <w:hideMark/>
          </w:tcPr>
          <w:p w:rsidR="003C459D" w:rsidRPr="003A2B9C" w:rsidRDefault="003C459D" w:rsidP="00E56B71">
            <w:pPr>
              <w:jc w:val="center"/>
              <w:rPr>
                <w:rFonts w:ascii="Arial" w:hAnsi="Arial" w:cs="Arial"/>
                <w:b/>
                <w:bCs/>
                <w:color w:val="000000"/>
                <w:sz w:val="16"/>
                <w:szCs w:val="16"/>
              </w:rPr>
            </w:pPr>
            <w:r w:rsidRPr="003A2B9C">
              <w:rPr>
                <w:rFonts w:ascii="Arial" w:hAnsi="Arial" w:cs="Arial"/>
                <w:b/>
                <w:bCs/>
                <w:color w:val="000000"/>
                <w:sz w:val="16"/>
                <w:szCs w:val="16"/>
              </w:rPr>
              <w:t>3,601</w:t>
            </w:r>
          </w:p>
        </w:tc>
        <w:tc>
          <w:tcPr>
            <w:tcW w:w="1001" w:type="dxa"/>
            <w:tcBorders>
              <w:top w:val="double" w:sz="6" w:space="0" w:color="009900"/>
              <w:left w:val="nil"/>
              <w:bottom w:val="single" w:sz="8" w:space="0" w:color="009900"/>
              <w:right w:val="nil"/>
            </w:tcBorders>
            <w:shd w:val="clear" w:color="000000" w:fill="FFFFE1"/>
            <w:noWrap/>
            <w:vAlign w:val="center"/>
            <w:hideMark/>
          </w:tcPr>
          <w:p w:rsidR="003C459D" w:rsidRPr="003A2B9C" w:rsidRDefault="003C459D" w:rsidP="00E56B71">
            <w:pPr>
              <w:jc w:val="center"/>
              <w:rPr>
                <w:rFonts w:ascii="Arial" w:hAnsi="Arial" w:cs="Arial"/>
                <w:b/>
                <w:bCs/>
                <w:color w:val="000000"/>
                <w:sz w:val="16"/>
                <w:szCs w:val="16"/>
              </w:rPr>
            </w:pPr>
            <w:r w:rsidRPr="003A2B9C">
              <w:rPr>
                <w:rFonts w:ascii="Arial" w:hAnsi="Arial" w:cs="Arial"/>
                <w:b/>
                <w:bCs/>
                <w:color w:val="000000"/>
                <w:sz w:val="16"/>
                <w:szCs w:val="16"/>
              </w:rPr>
              <w:t>2,391</w:t>
            </w:r>
          </w:p>
        </w:tc>
        <w:tc>
          <w:tcPr>
            <w:tcW w:w="1232" w:type="dxa"/>
            <w:gridSpan w:val="3"/>
            <w:tcBorders>
              <w:top w:val="double" w:sz="6" w:space="0" w:color="009900"/>
              <w:left w:val="nil"/>
              <w:bottom w:val="single" w:sz="8" w:space="0" w:color="009900"/>
              <w:right w:val="nil"/>
            </w:tcBorders>
            <w:shd w:val="clear" w:color="000000" w:fill="FFFFE1"/>
            <w:noWrap/>
            <w:vAlign w:val="center"/>
            <w:hideMark/>
          </w:tcPr>
          <w:p w:rsidR="003C459D" w:rsidRPr="003A2B9C" w:rsidRDefault="003C459D" w:rsidP="00E56B71">
            <w:pPr>
              <w:jc w:val="center"/>
              <w:rPr>
                <w:rFonts w:ascii="Arial" w:hAnsi="Arial" w:cs="Arial"/>
                <w:b/>
                <w:bCs/>
                <w:color w:val="000000"/>
                <w:sz w:val="16"/>
                <w:szCs w:val="16"/>
              </w:rPr>
            </w:pPr>
            <w:r w:rsidRPr="003A2B9C">
              <w:rPr>
                <w:rFonts w:ascii="Arial" w:hAnsi="Arial" w:cs="Arial"/>
                <w:b/>
                <w:bCs/>
                <w:color w:val="000000"/>
                <w:sz w:val="16"/>
                <w:szCs w:val="16"/>
              </w:rPr>
              <w:t>428</w:t>
            </w:r>
          </w:p>
        </w:tc>
        <w:tc>
          <w:tcPr>
            <w:tcW w:w="617" w:type="dxa"/>
            <w:tcBorders>
              <w:top w:val="double" w:sz="6" w:space="0" w:color="009900"/>
              <w:left w:val="dotted" w:sz="4" w:space="0" w:color="009900"/>
              <w:bottom w:val="single" w:sz="8" w:space="0" w:color="009900"/>
              <w:right w:val="single" w:sz="8" w:space="0" w:color="009900"/>
            </w:tcBorders>
            <w:shd w:val="clear" w:color="000000" w:fill="FFFFE1"/>
            <w:noWrap/>
            <w:vAlign w:val="center"/>
            <w:hideMark/>
          </w:tcPr>
          <w:p w:rsidR="003C459D" w:rsidRPr="003A2B9C" w:rsidRDefault="003C459D" w:rsidP="00E56B71">
            <w:pPr>
              <w:jc w:val="center"/>
              <w:rPr>
                <w:rFonts w:ascii="Arial" w:hAnsi="Arial" w:cs="Arial"/>
                <w:b/>
                <w:bCs/>
                <w:color w:val="000000"/>
                <w:sz w:val="16"/>
                <w:szCs w:val="16"/>
              </w:rPr>
            </w:pPr>
            <w:r w:rsidRPr="003A2B9C">
              <w:rPr>
                <w:rFonts w:ascii="Arial" w:hAnsi="Arial" w:cs="Arial"/>
                <w:b/>
                <w:bCs/>
                <w:color w:val="000000"/>
                <w:sz w:val="16"/>
                <w:szCs w:val="16"/>
              </w:rPr>
              <w:t>2,819</w:t>
            </w:r>
          </w:p>
        </w:tc>
      </w:tr>
      <w:tr w:rsidR="003C459D" w:rsidRPr="00101C40" w:rsidTr="00D20353">
        <w:trPr>
          <w:trHeight w:val="945"/>
          <w:jc w:val="center"/>
        </w:trPr>
        <w:tc>
          <w:tcPr>
            <w:tcW w:w="13379" w:type="dxa"/>
            <w:gridSpan w:val="24"/>
            <w:tcBorders>
              <w:top w:val="nil"/>
              <w:left w:val="nil"/>
              <w:bottom w:val="single" w:sz="4" w:space="0" w:color="009900"/>
              <w:right w:val="nil"/>
            </w:tcBorders>
            <w:shd w:val="clear" w:color="auto" w:fill="auto"/>
            <w:noWrap/>
            <w:vAlign w:val="center"/>
            <w:hideMark/>
          </w:tcPr>
          <w:p w:rsidR="003C459D" w:rsidRDefault="003C459D" w:rsidP="00E56B71">
            <w:pPr>
              <w:jc w:val="center"/>
              <w:rPr>
                <w:rFonts w:ascii="Arial" w:hAnsi="Arial" w:cs="Arial"/>
                <w:b/>
                <w:bCs/>
                <w:color w:val="000000"/>
              </w:rPr>
            </w:pPr>
          </w:p>
          <w:p w:rsidR="003C459D" w:rsidRPr="00101C40" w:rsidRDefault="003C459D" w:rsidP="00E56B71">
            <w:pPr>
              <w:jc w:val="center"/>
              <w:rPr>
                <w:rFonts w:ascii="Arial" w:hAnsi="Arial" w:cs="Arial"/>
                <w:b/>
                <w:bCs/>
                <w:color w:val="000000"/>
              </w:rPr>
            </w:pPr>
            <w:r w:rsidRPr="00101C40">
              <w:rPr>
                <w:rFonts w:ascii="Arial" w:hAnsi="Arial" w:cs="Arial"/>
                <w:b/>
                <w:bCs/>
                <w:color w:val="000000"/>
              </w:rPr>
              <w:t>Table</w:t>
            </w:r>
            <w:r w:rsidR="00832AB3">
              <w:rPr>
                <w:rFonts w:ascii="Arial" w:hAnsi="Arial" w:cs="Arial"/>
                <w:b/>
                <w:bCs/>
                <w:color w:val="000000"/>
              </w:rPr>
              <w:t xml:space="preserve"> V.</w:t>
            </w:r>
            <w:r w:rsidR="000155B6">
              <w:rPr>
                <w:rFonts w:ascii="Arial" w:hAnsi="Arial" w:cs="Arial"/>
                <w:b/>
                <w:bCs/>
                <w:color w:val="000000"/>
              </w:rPr>
              <w:t>9</w:t>
            </w:r>
          </w:p>
          <w:p w:rsidR="003C459D" w:rsidRPr="00101C40" w:rsidRDefault="003C459D" w:rsidP="00E56B71">
            <w:pPr>
              <w:jc w:val="center"/>
              <w:rPr>
                <w:rFonts w:ascii="Arial" w:hAnsi="Arial" w:cs="Arial"/>
                <w:b/>
                <w:bCs/>
                <w:color w:val="000000"/>
                <w:sz w:val="20"/>
                <w:szCs w:val="20"/>
              </w:rPr>
            </w:pPr>
            <w:r w:rsidRPr="00101C40">
              <w:rPr>
                <w:rFonts w:ascii="Arial" w:hAnsi="Arial" w:cs="Arial"/>
                <w:b/>
                <w:bCs/>
                <w:color w:val="000000"/>
                <w:sz w:val="20"/>
                <w:szCs w:val="20"/>
              </w:rPr>
              <w:t>Total Households and Persons</w:t>
            </w:r>
          </w:p>
          <w:p w:rsidR="003C459D" w:rsidRPr="00101C40" w:rsidRDefault="003C459D" w:rsidP="00E56B71">
            <w:pPr>
              <w:jc w:val="center"/>
              <w:rPr>
                <w:rFonts w:ascii="Arial" w:hAnsi="Arial" w:cs="Arial"/>
                <w:color w:val="000000"/>
                <w:sz w:val="16"/>
                <w:szCs w:val="16"/>
              </w:rPr>
            </w:pPr>
            <w:r>
              <w:rPr>
                <w:rFonts w:ascii="Arial" w:hAnsi="Arial" w:cs="Arial"/>
                <w:color w:val="000000"/>
                <w:sz w:val="16"/>
                <w:szCs w:val="16"/>
              </w:rPr>
              <w:t>City of Albuquerque CoC</w:t>
            </w:r>
          </w:p>
          <w:p w:rsidR="003C459D" w:rsidRPr="00101C40" w:rsidRDefault="003C459D" w:rsidP="00E56B71">
            <w:pPr>
              <w:jc w:val="center"/>
              <w:rPr>
                <w:rFonts w:ascii="Arial" w:hAnsi="Arial" w:cs="Arial"/>
                <w:b/>
                <w:bCs/>
                <w:color w:val="000000"/>
              </w:rPr>
            </w:pPr>
            <w:r w:rsidRPr="00101C40">
              <w:rPr>
                <w:rFonts w:ascii="Arial" w:hAnsi="Arial" w:cs="Arial"/>
                <w:color w:val="000000"/>
                <w:sz w:val="16"/>
                <w:szCs w:val="16"/>
              </w:rPr>
              <w:t>Point In Time Summary For NM-500 - Albuquerque CoC</w:t>
            </w:r>
          </w:p>
        </w:tc>
      </w:tr>
      <w:tr w:rsidR="003C459D" w:rsidRPr="00101C40" w:rsidTr="00D20353">
        <w:trPr>
          <w:trHeight w:val="225"/>
          <w:jc w:val="center"/>
        </w:trPr>
        <w:tc>
          <w:tcPr>
            <w:tcW w:w="1365" w:type="dxa"/>
            <w:gridSpan w:val="2"/>
            <w:vMerge w:val="restart"/>
            <w:tcBorders>
              <w:top w:val="single" w:sz="4" w:space="0" w:color="009900"/>
              <w:left w:val="single" w:sz="4" w:space="0" w:color="009900"/>
              <w:bottom w:val="single" w:sz="4" w:space="0" w:color="009900"/>
              <w:right w:val="nil"/>
            </w:tcBorders>
            <w:shd w:val="clear" w:color="000000" w:fill="FFFFE1"/>
            <w:noWrap/>
            <w:vAlign w:val="center"/>
            <w:hideMark/>
          </w:tcPr>
          <w:p w:rsidR="003C459D" w:rsidRPr="00101C40" w:rsidRDefault="003C459D" w:rsidP="00E56B71">
            <w:pPr>
              <w:rPr>
                <w:rFonts w:ascii="Arial" w:hAnsi="Arial" w:cs="Arial"/>
                <w:b/>
                <w:bCs/>
                <w:color w:val="000000"/>
                <w:sz w:val="16"/>
                <w:szCs w:val="16"/>
              </w:rPr>
            </w:pPr>
            <w:r w:rsidRPr="00101C40">
              <w:rPr>
                <w:rFonts w:ascii="Arial" w:hAnsi="Arial" w:cs="Arial"/>
                <w:b/>
                <w:bCs/>
                <w:color w:val="000000"/>
                <w:sz w:val="16"/>
                <w:szCs w:val="16"/>
              </w:rPr>
              <w:t>Persons</w:t>
            </w:r>
          </w:p>
        </w:tc>
        <w:tc>
          <w:tcPr>
            <w:tcW w:w="3960" w:type="dxa"/>
            <w:gridSpan w:val="6"/>
            <w:tcBorders>
              <w:top w:val="single" w:sz="4" w:space="0" w:color="009900"/>
              <w:left w:val="nil"/>
              <w:bottom w:val="dotted" w:sz="4" w:space="0" w:color="009900"/>
              <w:right w:val="dotted" w:sz="4" w:space="0" w:color="009900"/>
            </w:tcBorders>
            <w:shd w:val="clear" w:color="000000" w:fill="FFFFE1"/>
            <w:noWrap/>
            <w:vAlign w:val="bottom"/>
            <w:hideMark/>
          </w:tcPr>
          <w:p w:rsidR="003C459D" w:rsidRPr="00101C40" w:rsidRDefault="003C459D" w:rsidP="00E56B71">
            <w:pPr>
              <w:jc w:val="center"/>
              <w:rPr>
                <w:rFonts w:ascii="Arial" w:hAnsi="Arial" w:cs="Arial"/>
                <w:b/>
                <w:bCs/>
                <w:color w:val="000000"/>
                <w:sz w:val="16"/>
                <w:szCs w:val="16"/>
              </w:rPr>
            </w:pPr>
            <w:r w:rsidRPr="00101C40">
              <w:rPr>
                <w:rFonts w:ascii="Arial" w:hAnsi="Arial" w:cs="Arial"/>
                <w:b/>
                <w:bCs/>
                <w:color w:val="000000"/>
                <w:sz w:val="16"/>
                <w:szCs w:val="16"/>
              </w:rPr>
              <w:t>2009</w:t>
            </w:r>
          </w:p>
        </w:tc>
        <w:tc>
          <w:tcPr>
            <w:tcW w:w="4094" w:type="dxa"/>
            <w:gridSpan w:val="8"/>
            <w:tcBorders>
              <w:top w:val="single" w:sz="4" w:space="0" w:color="009900"/>
              <w:left w:val="nil"/>
              <w:bottom w:val="dotted" w:sz="4" w:space="0" w:color="009900"/>
              <w:right w:val="dotted" w:sz="4" w:space="0" w:color="009900"/>
            </w:tcBorders>
            <w:shd w:val="clear" w:color="000000" w:fill="FFFFE1"/>
            <w:noWrap/>
            <w:vAlign w:val="bottom"/>
            <w:hideMark/>
          </w:tcPr>
          <w:p w:rsidR="003C459D" w:rsidRPr="00101C40" w:rsidRDefault="003C459D" w:rsidP="00E56B71">
            <w:pPr>
              <w:jc w:val="center"/>
              <w:rPr>
                <w:rFonts w:ascii="Arial" w:hAnsi="Arial" w:cs="Arial"/>
                <w:b/>
                <w:bCs/>
                <w:color w:val="000000"/>
                <w:sz w:val="16"/>
                <w:szCs w:val="16"/>
              </w:rPr>
            </w:pPr>
            <w:r w:rsidRPr="00101C40">
              <w:rPr>
                <w:rFonts w:ascii="Arial" w:hAnsi="Arial" w:cs="Arial"/>
                <w:b/>
                <w:bCs/>
                <w:color w:val="000000"/>
                <w:sz w:val="16"/>
                <w:szCs w:val="16"/>
              </w:rPr>
              <w:t>2011</w:t>
            </w:r>
          </w:p>
        </w:tc>
        <w:tc>
          <w:tcPr>
            <w:tcW w:w="3960" w:type="dxa"/>
            <w:gridSpan w:val="8"/>
            <w:tcBorders>
              <w:top w:val="single" w:sz="4" w:space="0" w:color="009900"/>
              <w:left w:val="nil"/>
              <w:bottom w:val="dotted" w:sz="4" w:space="0" w:color="009900"/>
              <w:right w:val="single" w:sz="4" w:space="0" w:color="009900"/>
            </w:tcBorders>
            <w:shd w:val="clear" w:color="000000" w:fill="FFFFE1"/>
            <w:noWrap/>
            <w:vAlign w:val="bottom"/>
            <w:hideMark/>
          </w:tcPr>
          <w:p w:rsidR="003C459D" w:rsidRPr="00101C40" w:rsidRDefault="003C459D" w:rsidP="00E56B71">
            <w:pPr>
              <w:jc w:val="center"/>
              <w:rPr>
                <w:rFonts w:ascii="Arial" w:hAnsi="Arial" w:cs="Arial"/>
                <w:b/>
                <w:bCs/>
                <w:color w:val="000000"/>
                <w:sz w:val="16"/>
                <w:szCs w:val="16"/>
              </w:rPr>
            </w:pPr>
            <w:r w:rsidRPr="00101C40">
              <w:rPr>
                <w:rFonts w:ascii="Arial" w:hAnsi="Arial" w:cs="Arial"/>
                <w:b/>
                <w:bCs/>
                <w:color w:val="000000"/>
                <w:sz w:val="16"/>
                <w:szCs w:val="16"/>
              </w:rPr>
              <w:t>2013</w:t>
            </w:r>
          </w:p>
        </w:tc>
      </w:tr>
      <w:tr w:rsidR="003C459D" w:rsidRPr="00101C40" w:rsidTr="00D20353">
        <w:trPr>
          <w:trHeight w:val="225"/>
          <w:jc w:val="center"/>
        </w:trPr>
        <w:tc>
          <w:tcPr>
            <w:tcW w:w="1365" w:type="dxa"/>
            <w:gridSpan w:val="2"/>
            <w:vMerge/>
            <w:tcBorders>
              <w:top w:val="nil"/>
              <w:left w:val="single" w:sz="4" w:space="0" w:color="009900"/>
              <w:bottom w:val="single" w:sz="4" w:space="0" w:color="009900"/>
              <w:right w:val="nil"/>
            </w:tcBorders>
            <w:vAlign w:val="center"/>
            <w:hideMark/>
          </w:tcPr>
          <w:p w:rsidR="003C459D" w:rsidRPr="00101C40" w:rsidRDefault="003C459D" w:rsidP="00E56B71">
            <w:pPr>
              <w:rPr>
                <w:rFonts w:ascii="Arial" w:hAnsi="Arial" w:cs="Arial"/>
                <w:b/>
                <w:bCs/>
                <w:color w:val="000000"/>
                <w:sz w:val="16"/>
                <w:szCs w:val="16"/>
              </w:rPr>
            </w:pPr>
          </w:p>
        </w:tc>
        <w:tc>
          <w:tcPr>
            <w:tcW w:w="1079" w:type="dxa"/>
            <w:tcBorders>
              <w:top w:val="nil"/>
              <w:left w:val="nil"/>
              <w:bottom w:val="single" w:sz="4" w:space="0" w:color="009900"/>
              <w:right w:val="nil"/>
            </w:tcBorders>
            <w:shd w:val="clear" w:color="000000" w:fill="FFFFE1"/>
            <w:noWrap/>
            <w:vAlign w:val="bottom"/>
            <w:hideMark/>
          </w:tcPr>
          <w:p w:rsidR="003C459D" w:rsidRPr="00101C40" w:rsidRDefault="003C459D" w:rsidP="00E56B71">
            <w:pPr>
              <w:jc w:val="center"/>
              <w:rPr>
                <w:rFonts w:ascii="Arial" w:hAnsi="Arial" w:cs="Arial"/>
                <w:b/>
                <w:bCs/>
                <w:color w:val="000000"/>
                <w:sz w:val="16"/>
                <w:szCs w:val="16"/>
              </w:rPr>
            </w:pPr>
            <w:r w:rsidRPr="00101C40">
              <w:rPr>
                <w:rFonts w:ascii="Arial" w:hAnsi="Arial" w:cs="Arial"/>
                <w:b/>
                <w:bCs/>
                <w:color w:val="000000"/>
                <w:sz w:val="16"/>
                <w:szCs w:val="16"/>
              </w:rPr>
              <w:t>Emergency</w:t>
            </w:r>
          </w:p>
        </w:tc>
        <w:tc>
          <w:tcPr>
            <w:tcW w:w="1123" w:type="dxa"/>
            <w:tcBorders>
              <w:top w:val="nil"/>
              <w:left w:val="nil"/>
              <w:bottom w:val="single" w:sz="4" w:space="0" w:color="009900"/>
              <w:right w:val="nil"/>
            </w:tcBorders>
            <w:shd w:val="clear" w:color="000000" w:fill="FFFFE1"/>
            <w:noWrap/>
            <w:vAlign w:val="bottom"/>
            <w:hideMark/>
          </w:tcPr>
          <w:p w:rsidR="003C459D" w:rsidRPr="00101C40" w:rsidRDefault="003C459D" w:rsidP="00E56B71">
            <w:pPr>
              <w:jc w:val="center"/>
              <w:rPr>
                <w:rFonts w:ascii="Arial" w:hAnsi="Arial" w:cs="Arial"/>
                <w:b/>
                <w:bCs/>
                <w:color w:val="000000"/>
                <w:sz w:val="16"/>
                <w:szCs w:val="16"/>
              </w:rPr>
            </w:pPr>
            <w:r w:rsidRPr="00101C40">
              <w:rPr>
                <w:rFonts w:ascii="Arial" w:hAnsi="Arial" w:cs="Arial"/>
                <w:b/>
                <w:bCs/>
                <w:color w:val="000000"/>
                <w:sz w:val="16"/>
                <w:szCs w:val="16"/>
              </w:rPr>
              <w:t>Transitional</w:t>
            </w:r>
          </w:p>
        </w:tc>
        <w:tc>
          <w:tcPr>
            <w:tcW w:w="1141" w:type="dxa"/>
            <w:gridSpan w:val="2"/>
            <w:tcBorders>
              <w:top w:val="nil"/>
              <w:left w:val="nil"/>
              <w:bottom w:val="single" w:sz="4" w:space="0" w:color="009900"/>
              <w:right w:val="nil"/>
            </w:tcBorders>
            <w:shd w:val="clear" w:color="000000" w:fill="FFFFE1"/>
            <w:noWrap/>
            <w:vAlign w:val="bottom"/>
            <w:hideMark/>
          </w:tcPr>
          <w:p w:rsidR="003C459D" w:rsidRPr="00101C40" w:rsidRDefault="003C459D" w:rsidP="00E56B71">
            <w:pPr>
              <w:jc w:val="center"/>
              <w:rPr>
                <w:rFonts w:ascii="Arial" w:hAnsi="Arial" w:cs="Arial"/>
                <w:b/>
                <w:bCs/>
                <w:color w:val="000000"/>
                <w:sz w:val="16"/>
                <w:szCs w:val="16"/>
              </w:rPr>
            </w:pPr>
            <w:r w:rsidRPr="00101C40">
              <w:rPr>
                <w:rFonts w:ascii="Arial" w:hAnsi="Arial" w:cs="Arial"/>
                <w:b/>
                <w:bCs/>
                <w:color w:val="000000"/>
                <w:sz w:val="16"/>
                <w:szCs w:val="16"/>
              </w:rPr>
              <w:t>Unsheltered</w:t>
            </w:r>
          </w:p>
        </w:tc>
        <w:tc>
          <w:tcPr>
            <w:tcW w:w="617" w:type="dxa"/>
            <w:gridSpan w:val="2"/>
            <w:tcBorders>
              <w:top w:val="nil"/>
              <w:left w:val="dotted" w:sz="4" w:space="0" w:color="009900"/>
              <w:bottom w:val="single" w:sz="4" w:space="0" w:color="009900"/>
              <w:right w:val="dotted" w:sz="4" w:space="0" w:color="009900"/>
            </w:tcBorders>
            <w:shd w:val="clear" w:color="000000" w:fill="FFFFE1"/>
            <w:noWrap/>
            <w:vAlign w:val="bottom"/>
            <w:hideMark/>
          </w:tcPr>
          <w:p w:rsidR="003C459D" w:rsidRPr="00101C40" w:rsidRDefault="003C459D" w:rsidP="00E56B71">
            <w:pPr>
              <w:jc w:val="center"/>
              <w:rPr>
                <w:rFonts w:ascii="Arial" w:hAnsi="Arial" w:cs="Arial"/>
                <w:b/>
                <w:bCs/>
                <w:color w:val="000000"/>
                <w:sz w:val="16"/>
                <w:szCs w:val="16"/>
              </w:rPr>
            </w:pPr>
            <w:r w:rsidRPr="00101C40">
              <w:rPr>
                <w:rFonts w:ascii="Arial" w:hAnsi="Arial" w:cs="Arial"/>
                <w:b/>
                <w:bCs/>
                <w:color w:val="000000"/>
                <w:sz w:val="16"/>
                <w:szCs w:val="16"/>
              </w:rPr>
              <w:t>Total</w:t>
            </w:r>
          </w:p>
        </w:tc>
        <w:tc>
          <w:tcPr>
            <w:tcW w:w="1213" w:type="dxa"/>
            <w:gridSpan w:val="2"/>
            <w:tcBorders>
              <w:top w:val="nil"/>
              <w:left w:val="nil"/>
              <w:bottom w:val="single" w:sz="4" w:space="0" w:color="009900"/>
              <w:right w:val="nil"/>
            </w:tcBorders>
            <w:shd w:val="clear" w:color="000000" w:fill="FFFFE1"/>
            <w:noWrap/>
            <w:vAlign w:val="bottom"/>
            <w:hideMark/>
          </w:tcPr>
          <w:p w:rsidR="003C459D" w:rsidRPr="00101C40" w:rsidRDefault="003C459D" w:rsidP="00E56B71">
            <w:pPr>
              <w:jc w:val="center"/>
              <w:rPr>
                <w:rFonts w:ascii="Arial" w:hAnsi="Arial" w:cs="Arial"/>
                <w:b/>
                <w:bCs/>
                <w:color w:val="000000"/>
                <w:sz w:val="16"/>
                <w:szCs w:val="16"/>
              </w:rPr>
            </w:pPr>
            <w:r w:rsidRPr="00101C40">
              <w:rPr>
                <w:rFonts w:ascii="Arial" w:hAnsi="Arial" w:cs="Arial"/>
                <w:b/>
                <w:bCs/>
                <w:color w:val="000000"/>
                <w:sz w:val="16"/>
                <w:szCs w:val="16"/>
              </w:rPr>
              <w:t>Emergency</w:t>
            </w:r>
          </w:p>
        </w:tc>
        <w:tc>
          <w:tcPr>
            <w:tcW w:w="1123" w:type="dxa"/>
            <w:gridSpan w:val="3"/>
            <w:tcBorders>
              <w:top w:val="nil"/>
              <w:left w:val="nil"/>
              <w:bottom w:val="single" w:sz="4" w:space="0" w:color="009900"/>
              <w:right w:val="nil"/>
            </w:tcBorders>
            <w:shd w:val="clear" w:color="000000" w:fill="FFFFE1"/>
            <w:noWrap/>
            <w:vAlign w:val="bottom"/>
            <w:hideMark/>
          </w:tcPr>
          <w:p w:rsidR="003C459D" w:rsidRPr="00101C40" w:rsidRDefault="003C459D" w:rsidP="00E56B71">
            <w:pPr>
              <w:jc w:val="center"/>
              <w:rPr>
                <w:rFonts w:ascii="Arial" w:hAnsi="Arial" w:cs="Arial"/>
                <w:b/>
                <w:bCs/>
                <w:color w:val="000000"/>
                <w:sz w:val="16"/>
                <w:szCs w:val="16"/>
              </w:rPr>
            </w:pPr>
            <w:r w:rsidRPr="00101C40">
              <w:rPr>
                <w:rFonts w:ascii="Arial" w:hAnsi="Arial" w:cs="Arial"/>
                <w:b/>
                <w:bCs/>
                <w:color w:val="000000"/>
                <w:sz w:val="16"/>
                <w:szCs w:val="16"/>
              </w:rPr>
              <w:t>Transitional</w:t>
            </w:r>
          </w:p>
        </w:tc>
        <w:tc>
          <w:tcPr>
            <w:tcW w:w="1141" w:type="dxa"/>
            <w:tcBorders>
              <w:top w:val="nil"/>
              <w:left w:val="nil"/>
              <w:bottom w:val="single" w:sz="4" w:space="0" w:color="009900"/>
              <w:right w:val="nil"/>
            </w:tcBorders>
            <w:shd w:val="clear" w:color="000000" w:fill="FFFFE1"/>
            <w:noWrap/>
            <w:vAlign w:val="bottom"/>
            <w:hideMark/>
          </w:tcPr>
          <w:p w:rsidR="003C459D" w:rsidRPr="00101C40" w:rsidRDefault="003C459D" w:rsidP="00E56B71">
            <w:pPr>
              <w:jc w:val="center"/>
              <w:rPr>
                <w:rFonts w:ascii="Arial" w:hAnsi="Arial" w:cs="Arial"/>
                <w:b/>
                <w:bCs/>
                <w:color w:val="000000"/>
                <w:sz w:val="16"/>
                <w:szCs w:val="16"/>
              </w:rPr>
            </w:pPr>
            <w:r w:rsidRPr="00101C40">
              <w:rPr>
                <w:rFonts w:ascii="Arial" w:hAnsi="Arial" w:cs="Arial"/>
                <w:b/>
                <w:bCs/>
                <w:color w:val="000000"/>
                <w:sz w:val="16"/>
                <w:szCs w:val="16"/>
              </w:rPr>
              <w:t>Unsheltered</w:t>
            </w:r>
          </w:p>
        </w:tc>
        <w:tc>
          <w:tcPr>
            <w:tcW w:w="617" w:type="dxa"/>
            <w:gridSpan w:val="2"/>
            <w:tcBorders>
              <w:top w:val="nil"/>
              <w:left w:val="dotted" w:sz="4" w:space="0" w:color="009900"/>
              <w:bottom w:val="single" w:sz="4" w:space="0" w:color="009900"/>
              <w:right w:val="dotted" w:sz="4" w:space="0" w:color="009900"/>
            </w:tcBorders>
            <w:shd w:val="clear" w:color="000000" w:fill="FFFFE1"/>
            <w:noWrap/>
            <w:vAlign w:val="bottom"/>
            <w:hideMark/>
          </w:tcPr>
          <w:p w:rsidR="003C459D" w:rsidRPr="00101C40" w:rsidRDefault="003C459D" w:rsidP="00E56B71">
            <w:pPr>
              <w:jc w:val="center"/>
              <w:rPr>
                <w:rFonts w:ascii="Arial" w:hAnsi="Arial" w:cs="Arial"/>
                <w:b/>
                <w:bCs/>
                <w:color w:val="000000"/>
                <w:sz w:val="16"/>
                <w:szCs w:val="16"/>
              </w:rPr>
            </w:pPr>
            <w:r w:rsidRPr="00101C40">
              <w:rPr>
                <w:rFonts w:ascii="Arial" w:hAnsi="Arial" w:cs="Arial"/>
                <w:b/>
                <w:bCs/>
                <w:color w:val="000000"/>
                <w:sz w:val="16"/>
                <w:szCs w:val="16"/>
              </w:rPr>
              <w:t>Total</w:t>
            </w:r>
          </w:p>
        </w:tc>
        <w:tc>
          <w:tcPr>
            <w:tcW w:w="1079" w:type="dxa"/>
            <w:gridSpan w:val="3"/>
            <w:tcBorders>
              <w:top w:val="nil"/>
              <w:left w:val="nil"/>
              <w:bottom w:val="single" w:sz="4" w:space="0" w:color="009900"/>
              <w:right w:val="nil"/>
            </w:tcBorders>
            <w:shd w:val="clear" w:color="000000" w:fill="FFFFE1"/>
            <w:noWrap/>
            <w:vAlign w:val="bottom"/>
            <w:hideMark/>
          </w:tcPr>
          <w:p w:rsidR="003C459D" w:rsidRPr="00101C40" w:rsidRDefault="003C459D" w:rsidP="00E56B71">
            <w:pPr>
              <w:jc w:val="center"/>
              <w:rPr>
                <w:rFonts w:ascii="Arial" w:hAnsi="Arial" w:cs="Arial"/>
                <w:b/>
                <w:bCs/>
                <w:color w:val="000000"/>
                <w:sz w:val="16"/>
                <w:szCs w:val="16"/>
              </w:rPr>
            </w:pPr>
            <w:r w:rsidRPr="00101C40">
              <w:rPr>
                <w:rFonts w:ascii="Arial" w:hAnsi="Arial" w:cs="Arial"/>
                <w:b/>
                <w:bCs/>
                <w:color w:val="000000"/>
                <w:sz w:val="16"/>
                <w:szCs w:val="16"/>
              </w:rPr>
              <w:t>Emergency</w:t>
            </w:r>
          </w:p>
        </w:tc>
        <w:tc>
          <w:tcPr>
            <w:tcW w:w="1123" w:type="dxa"/>
            <w:tcBorders>
              <w:top w:val="nil"/>
              <w:left w:val="nil"/>
              <w:bottom w:val="single" w:sz="4" w:space="0" w:color="009900"/>
              <w:right w:val="nil"/>
            </w:tcBorders>
            <w:shd w:val="clear" w:color="000000" w:fill="FFFFE1"/>
            <w:noWrap/>
            <w:vAlign w:val="bottom"/>
            <w:hideMark/>
          </w:tcPr>
          <w:p w:rsidR="003C459D" w:rsidRPr="00101C40" w:rsidRDefault="003C459D" w:rsidP="00E56B71">
            <w:pPr>
              <w:jc w:val="center"/>
              <w:rPr>
                <w:rFonts w:ascii="Arial" w:hAnsi="Arial" w:cs="Arial"/>
                <w:b/>
                <w:bCs/>
                <w:color w:val="000000"/>
                <w:sz w:val="16"/>
                <w:szCs w:val="16"/>
              </w:rPr>
            </w:pPr>
            <w:r w:rsidRPr="00101C40">
              <w:rPr>
                <w:rFonts w:ascii="Arial" w:hAnsi="Arial" w:cs="Arial"/>
                <w:b/>
                <w:bCs/>
                <w:color w:val="000000"/>
                <w:sz w:val="16"/>
                <w:szCs w:val="16"/>
              </w:rPr>
              <w:t>Transitional</w:t>
            </w:r>
          </w:p>
        </w:tc>
        <w:tc>
          <w:tcPr>
            <w:tcW w:w="1141" w:type="dxa"/>
            <w:gridSpan w:val="3"/>
            <w:tcBorders>
              <w:top w:val="nil"/>
              <w:left w:val="nil"/>
              <w:bottom w:val="single" w:sz="4" w:space="0" w:color="009900"/>
              <w:right w:val="nil"/>
            </w:tcBorders>
            <w:shd w:val="clear" w:color="000000" w:fill="FFFFE1"/>
            <w:noWrap/>
            <w:vAlign w:val="bottom"/>
            <w:hideMark/>
          </w:tcPr>
          <w:p w:rsidR="003C459D" w:rsidRPr="00101C40" w:rsidRDefault="003C459D" w:rsidP="00E56B71">
            <w:pPr>
              <w:jc w:val="center"/>
              <w:rPr>
                <w:rFonts w:ascii="Arial" w:hAnsi="Arial" w:cs="Arial"/>
                <w:b/>
                <w:bCs/>
                <w:color w:val="000000"/>
                <w:sz w:val="16"/>
                <w:szCs w:val="16"/>
              </w:rPr>
            </w:pPr>
            <w:r w:rsidRPr="00101C40">
              <w:rPr>
                <w:rFonts w:ascii="Arial" w:hAnsi="Arial" w:cs="Arial"/>
                <w:b/>
                <w:bCs/>
                <w:color w:val="000000"/>
                <w:sz w:val="16"/>
                <w:szCs w:val="16"/>
              </w:rPr>
              <w:t>Unsheltered</w:t>
            </w:r>
          </w:p>
        </w:tc>
        <w:tc>
          <w:tcPr>
            <w:tcW w:w="617" w:type="dxa"/>
            <w:tcBorders>
              <w:top w:val="nil"/>
              <w:left w:val="dotted" w:sz="4" w:space="0" w:color="009900"/>
              <w:bottom w:val="single" w:sz="4" w:space="0" w:color="009900"/>
              <w:right w:val="single" w:sz="4" w:space="0" w:color="009900"/>
            </w:tcBorders>
            <w:shd w:val="clear" w:color="000000" w:fill="FFFFE1"/>
            <w:noWrap/>
            <w:vAlign w:val="center"/>
            <w:hideMark/>
          </w:tcPr>
          <w:p w:rsidR="003C459D" w:rsidRPr="00101C40" w:rsidRDefault="003C459D" w:rsidP="00E56B71">
            <w:pPr>
              <w:jc w:val="center"/>
              <w:rPr>
                <w:rFonts w:ascii="Arial" w:hAnsi="Arial" w:cs="Arial"/>
                <w:b/>
                <w:bCs/>
                <w:color w:val="000000"/>
                <w:sz w:val="16"/>
                <w:szCs w:val="16"/>
              </w:rPr>
            </w:pPr>
            <w:r w:rsidRPr="00101C40">
              <w:rPr>
                <w:rFonts w:ascii="Arial" w:hAnsi="Arial" w:cs="Arial"/>
                <w:b/>
                <w:bCs/>
                <w:color w:val="000000"/>
                <w:sz w:val="16"/>
                <w:szCs w:val="16"/>
              </w:rPr>
              <w:t>Total</w:t>
            </w:r>
          </w:p>
        </w:tc>
      </w:tr>
      <w:tr w:rsidR="003C459D" w:rsidRPr="00101C40" w:rsidTr="00D20353">
        <w:trPr>
          <w:trHeight w:val="225"/>
          <w:jc w:val="center"/>
        </w:trPr>
        <w:tc>
          <w:tcPr>
            <w:tcW w:w="1365" w:type="dxa"/>
            <w:gridSpan w:val="2"/>
            <w:tcBorders>
              <w:top w:val="nil"/>
              <w:left w:val="single" w:sz="4" w:space="0" w:color="009900"/>
              <w:bottom w:val="nil"/>
              <w:right w:val="nil"/>
            </w:tcBorders>
            <w:shd w:val="clear" w:color="000000" w:fill="FFFFE1"/>
            <w:noWrap/>
            <w:vAlign w:val="bottom"/>
            <w:hideMark/>
          </w:tcPr>
          <w:p w:rsidR="003C459D" w:rsidRPr="00101C40" w:rsidRDefault="003C459D" w:rsidP="00E56B71">
            <w:pPr>
              <w:rPr>
                <w:rFonts w:ascii="Arial" w:hAnsi="Arial" w:cs="Arial"/>
                <w:color w:val="000000"/>
                <w:sz w:val="16"/>
                <w:szCs w:val="16"/>
              </w:rPr>
            </w:pPr>
            <w:r w:rsidRPr="00101C40">
              <w:rPr>
                <w:rFonts w:ascii="Arial" w:hAnsi="Arial" w:cs="Arial"/>
                <w:color w:val="000000"/>
                <w:sz w:val="16"/>
                <w:szCs w:val="16"/>
              </w:rPr>
              <w:t>Under Age 18</w:t>
            </w:r>
          </w:p>
        </w:tc>
        <w:tc>
          <w:tcPr>
            <w:tcW w:w="1079" w:type="dxa"/>
            <w:tcBorders>
              <w:top w:val="nil"/>
              <w:left w:val="nil"/>
              <w:bottom w:val="nil"/>
              <w:right w:val="nil"/>
            </w:tcBorders>
            <w:shd w:val="clear" w:color="000000" w:fill="FFFFE1"/>
            <w:noWrap/>
            <w:vAlign w:val="bottom"/>
            <w:hideMark/>
          </w:tcPr>
          <w:p w:rsidR="003C459D" w:rsidRPr="00101C40" w:rsidRDefault="003C459D" w:rsidP="00E56B71">
            <w:pPr>
              <w:jc w:val="center"/>
              <w:rPr>
                <w:rFonts w:ascii="Arial" w:hAnsi="Arial" w:cs="Arial"/>
                <w:b/>
                <w:bCs/>
                <w:color w:val="000000"/>
                <w:sz w:val="16"/>
                <w:szCs w:val="16"/>
              </w:rPr>
            </w:pPr>
            <w:r w:rsidRPr="00101C40">
              <w:rPr>
                <w:rFonts w:ascii="Arial" w:hAnsi="Arial" w:cs="Arial"/>
                <w:b/>
                <w:bCs/>
                <w:color w:val="000000"/>
                <w:sz w:val="16"/>
                <w:szCs w:val="16"/>
              </w:rPr>
              <w:t>.</w:t>
            </w:r>
          </w:p>
        </w:tc>
        <w:tc>
          <w:tcPr>
            <w:tcW w:w="1123" w:type="dxa"/>
            <w:tcBorders>
              <w:top w:val="nil"/>
              <w:left w:val="nil"/>
              <w:bottom w:val="nil"/>
              <w:right w:val="nil"/>
            </w:tcBorders>
            <w:shd w:val="clear" w:color="000000" w:fill="FFFFE1"/>
            <w:noWrap/>
            <w:vAlign w:val="bottom"/>
            <w:hideMark/>
          </w:tcPr>
          <w:p w:rsidR="003C459D" w:rsidRPr="00101C40" w:rsidRDefault="003C459D" w:rsidP="00E56B71">
            <w:pPr>
              <w:jc w:val="center"/>
              <w:rPr>
                <w:rFonts w:ascii="Arial" w:hAnsi="Arial" w:cs="Arial"/>
                <w:b/>
                <w:bCs/>
                <w:color w:val="000000"/>
                <w:sz w:val="16"/>
                <w:szCs w:val="16"/>
              </w:rPr>
            </w:pPr>
            <w:r w:rsidRPr="00101C40">
              <w:rPr>
                <w:rFonts w:ascii="Arial" w:hAnsi="Arial" w:cs="Arial"/>
                <w:b/>
                <w:bCs/>
                <w:color w:val="000000"/>
                <w:sz w:val="16"/>
                <w:szCs w:val="16"/>
              </w:rPr>
              <w:t>.</w:t>
            </w:r>
          </w:p>
        </w:tc>
        <w:tc>
          <w:tcPr>
            <w:tcW w:w="1141" w:type="dxa"/>
            <w:gridSpan w:val="2"/>
            <w:tcBorders>
              <w:top w:val="nil"/>
              <w:left w:val="nil"/>
              <w:bottom w:val="nil"/>
              <w:right w:val="nil"/>
            </w:tcBorders>
            <w:shd w:val="clear" w:color="000000" w:fill="FFFFE1"/>
            <w:noWrap/>
            <w:vAlign w:val="bottom"/>
            <w:hideMark/>
          </w:tcPr>
          <w:p w:rsidR="003C459D" w:rsidRPr="00101C40" w:rsidRDefault="003C459D" w:rsidP="00E56B71">
            <w:pPr>
              <w:jc w:val="center"/>
              <w:rPr>
                <w:rFonts w:ascii="Arial" w:hAnsi="Arial" w:cs="Arial"/>
                <w:b/>
                <w:bCs/>
                <w:color w:val="000000"/>
                <w:sz w:val="16"/>
                <w:szCs w:val="16"/>
              </w:rPr>
            </w:pPr>
            <w:r w:rsidRPr="00101C40">
              <w:rPr>
                <w:rFonts w:ascii="Arial" w:hAnsi="Arial" w:cs="Arial"/>
                <w:b/>
                <w:bCs/>
                <w:color w:val="000000"/>
                <w:sz w:val="16"/>
                <w:szCs w:val="16"/>
              </w:rPr>
              <w:t>.</w:t>
            </w:r>
          </w:p>
        </w:tc>
        <w:tc>
          <w:tcPr>
            <w:tcW w:w="617" w:type="dxa"/>
            <w:gridSpan w:val="2"/>
            <w:tcBorders>
              <w:top w:val="nil"/>
              <w:left w:val="dotted" w:sz="4" w:space="0" w:color="009900"/>
              <w:bottom w:val="nil"/>
              <w:right w:val="dotted" w:sz="4" w:space="0" w:color="009900"/>
            </w:tcBorders>
            <w:shd w:val="clear" w:color="000000" w:fill="FFFFE1"/>
            <w:noWrap/>
            <w:vAlign w:val="bottom"/>
            <w:hideMark/>
          </w:tcPr>
          <w:p w:rsidR="003C459D" w:rsidRPr="00101C40" w:rsidRDefault="003C459D" w:rsidP="00E56B71">
            <w:pPr>
              <w:jc w:val="center"/>
              <w:rPr>
                <w:rFonts w:ascii="Arial" w:hAnsi="Arial" w:cs="Arial"/>
                <w:b/>
                <w:bCs/>
                <w:color w:val="000000"/>
                <w:sz w:val="16"/>
                <w:szCs w:val="16"/>
              </w:rPr>
            </w:pPr>
            <w:r w:rsidRPr="00101C40">
              <w:rPr>
                <w:rFonts w:ascii="Arial" w:hAnsi="Arial" w:cs="Arial"/>
                <w:b/>
                <w:bCs/>
                <w:color w:val="000000"/>
                <w:sz w:val="16"/>
                <w:szCs w:val="16"/>
              </w:rPr>
              <w:t>.</w:t>
            </w:r>
          </w:p>
        </w:tc>
        <w:tc>
          <w:tcPr>
            <w:tcW w:w="1213" w:type="dxa"/>
            <w:gridSpan w:val="2"/>
            <w:tcBorders>
              <w:top w:val="nil"/>
              <w:left w:val="nil"/>
              <w:bottom w:val="nil"/>
              <w:right w:val="nil"/>
            </w:tcBorders>
            <w:shd w:val="clear" w:color="000000" w:fill="FFFFE1"/>
            <w:noWrap/>
            <w:vAlign w:val="bottom"/>
            <w:hideMark/>
          </w:tcPr>
          <w:p w:rsidR="003C459D" w:rsidRPr="00101C40" w:rsidRDefault="003C459D" w:rsidP="00E56B71">
            <w:pPr>
              <w:jc w:val="center"/>
              <w:rPr>
                <w:rFonts w:ascii="Arial" w:hAnsi="Arial" w:cs="Arial"/>
                <w:b/>
                <w:bCs/>
                <w:color w:val="000000"/>
                <w:sz w:val="16"/>
                <w:szCs w:val="16"/>
              </w:rPr>
            </w:pPr>
            <w:r w:rsidRPr="00101C40">
              <w:rPr>
                <w:rFonts w:ascii="Arial" w:hAnsi="Arial" w:cs="Arial"/>
                <w:b/>
                <w:bCs/>
                <w:color w:val="000000"/>
                <w:sz w:val="16"/>
                <w:szCs w:val="16"/>
              </w:rPr>
              <w:t>.</w:t>
            </w:r>
          </w:p>
        </w:tc>
        <w:tc>
          <w:tcPr>
            <w:tcW w:w="1123" w:type="dxa"/>
            <w:gridSpan w:val="3"/>
            <w:tcBorders>
              <w:top w:val="nil"/>
              <w:left w:val="nil"/>
              <w:bottom w:val="nil"/>
              <w:right w:val="nil"/>
            </w:tcBorders>
            <w:shd w:val="clear" w:color="000000" w:fill="FFFFE1"/>
            <w:noWrap/>
            <w:vAlign w:val="bottom"/>
            <w:hideMark/>
          </w:tcPr>
          <w:p w:rsidR="003C459D" w:rsidRPr="00101C40" w:rsidRDefault="003C459D" w:rsidP="00E56B71">
            <w:pPr>
              <w:jc w:val="center"/>
              <w:rPr>
                <w:rFonts w:ascii="Arial" w:hAnsi="Arial" w:cs="Arial"/>
                <w:b/>
                <w:bCs/>
                <w:color w:val="000000"/>
                <w:sz w:val="16"/>
                <w:szCs w:val="16"/>
              </w:rPr>
            </w:pPr>
            <w:r w:rsidRPr="00101C40">
              <w:rPr>
                <w:rFonts w:ascii="Arial" w:hAnsi="Arial" w:cs="Arial"/>
                <w:b/>
                <w:bCs/>
                <w:color w:val="000000"/>
                <w:sz w:val="16"/>
                <w:szCs w:val="16"/>
              </w:rPr>
              <w:t>.</w:t>
            </w:r>
          </w:p>
        </w:tc>
        <w:tc>
          <w:tcPr>
            <w:tcW w:w="1141" w:type="dxa"/>
            <w:tcBorders>
              <w:top w:val="nil"/>
              <w:left w:val="nil"/>
              <w:bottom w:val="nil"/>
              <w:right w:val="nil"/>
            </w:tcBorders>
            <w:shd w:val="clear" w:color="000000" w:fill="FFFFE1"/>
            <w:noWrap/>
            <w:vAlign w:val="bottom"/>
            <w:hideMark/>
          </w:tcPr>
          <w:p w:rsidR="003C459D" w:rsidRPr="00101C40" w:rsidRDefault="003C459D" w:rsidP="00E56B71">
            <w:pPr>
              <w:jc w:val="center"/>
              <w:rPr>
                <w:rFonts w:ascii="Arial" w:hAnsi="Arial" w:cs="Arial"/>
                <w:b/>
                <w:bCs/>
                <w:color w:val="000000"/>
                <w:sz w:val="16"/>
                <w:szCs w:val="16"/>
              </w:rPr>
            </w:pPr>
            <w:r w:rsidRPr="00101C40">
              <w:rPr>
                <w:rFonts w:ascii="Arial" w:hAnsi="Arial" w:cs="Arial"/>
                <w:b/>
                <w:bCs/>
                <w:color w:val="000000"/>
                <w:sz w:val="16"/>
                <w:szCs w:val="16"/>
              </w:rPr>
              <w:t>.</w:t>
            </w:r>
          </w:p>
        </w:tc>
        <w:tc>
          <w:tcPr>
            <w:tcW w:w="617" w:type="dxa"/>
            <w:gridSpan w:val="2"/>
            <w:tcBorders>
              <w:top w:val="nil"/>
              <w:left w:val="dotted" w:sz="4" w:space="0" w:color="009900"/>
              <w:bottom w:val="nil"/>
              <w:right w:val="dotted" w:sz="4" w:space="0" w:color="009900"/>
            </w:tcBorders>
            <w:shd w:val="clear" w:color="000000" w:fill="FFFFE1"/>
            <w:noWrap/>
            <w:vAlign w:val="bottom"/>
            <w:hideMark/>
          </w:tcPr>
          <w:p w:rsidR="003C459D" w:rsidRPr="00101C40" w:rsidRDefault="003C459D" w:rsidP="00E56B71">
            <w:pPr>
              <w:jc w:val="center"/>
              <w:rPr>
                <w:rFonts w:ascii="Arial" w:hAnsi="Arial" w:cs="Arial"/>
                <w:b/>
                <w:bCs/>
                <w:color w:val="000000"/>
                <w:sz w:val="16"/>
                <w:szCs w:val="16"/>
              </w:rPr>
            </w:pPr>
            <w:r w:rsidRPr="00101C40">
              <w:rPr>
                <w:rFonts w:ascii="Arial" w:hAnsi="Arial" w:cs="Arial"/>
                <w:b/>
                <w:bCs/>
                <w:color w:val="000000"/>
                <w:sz w:val="16"/>
                <w:szCs w:val="16"/>
              </w:rPr>
              <w:t>.</w:t>
            </w:r>
          </w:p>
        </w:tc>
        <w:tc>
          <w:tcPr>
            <w:tcW w:w="1079" w:type="dxa"/>
            <w:gridSpan w:val="3"/>
            <w:tcBorders>
              <w:top w:val="nil"/>
              <w:left w:val="nil"/>
              <w:bottom w:val="nil"/>
              <w:right w:val="nil"/>
            </w:tcBorders>
            <w:shd w:val="clear" w:color="000000" w:fill="FFFFE1"/>
            <w:noWrap/>
            <w:vAlign w:val="bottom"/>
            <w:hideMark/>
          </w:tcPr>
          <w:p w:rsidR="003C459D" w:rsidRPr="00101C40" w:rsidRDefault="003C459D" w:rsidP="00E56B71">
            <w:pPr>
              <w:jc w:val="center"/>
              <w:rPr>
                <w:rFonts w:ascii="Arial" w:hAnsi="Arial" w:cs="Arial"/>
                <w:color w:val="000000"/>
                <w:sz w:val="16"/>
                <w:szCs w:val="16"/>
              </w:rPr>
            </w:pPr>
            <w:r w:rsidRPr="00101C40">
              <w:rPr>
                <w:rFonts w:ascii="Arial" w:hAnsi="Arial" w:cs="Arial"/>
                <w:color w:val="000000"/>
                <w:sz w:val="16"/>
                <w:szCs w:val="16"/>
              </w:rPr>
              <w:t>75</w:t>
            </w:r>
          </w:p>
        </w:tc>
        <w:tc>
          <w:tcPr>
            <w:tcW w:w="1123" w:type="dxa"/>
            <w:tcBorders>
              <w:top w:val="nil"/>
              <w:left w:val="nil"/>
              <w:bottom w:val="nil"/>
              <w:right w:val="nil"/>
            </w:tcBorders>
            <w:shd w:val="clear" w:color="000000" w:fill="FFFFE1"/>
            <w:noWrap/>
            <w:vAlign w:val="bottom"/>
            <w:hideMark/>
          </w:tcPr>
          <w:p w:rsidR="003C459D" w:rsidRPr="00101C40" w:rsidRDefault="003C459D" w:rsidP="00E56B71">
            <w:pPr>
              <w:jc w:val="center"/>
              <w:rPr>
                <w:rFonts w:ascii="Arial" w:hAnsi="Arial" w:cs="Arial"/>
                <w:color w:val="000000"/>
                <w:sz w:val="16"/>
                <w:szCs w:val="16"/>
              </w:rPr>
            </w:pPr>
            <w:r w:rsidRPr="00101C40">
              <w:rPr>
                <w:rFonts w:ascii="Arial" w:hAnsi="Arial" w:cs="Arial"/>
                <w:color w:val="000000"/>
                <w:sz w:val="16"/>
                <w:szCs w:val="16"/>
              </w:rPr>
              <w:t>143</w:t>
            </w:r>
          </w:p>
        </w:tc>
        <w:tc>
          <w:tcPr>
            <w:tcW w:w="1141" w:type="dxa"/>
            <w:gridSpan w:val="3"/>
            <w:tcBorders>
              <w:top w:val="nil"/>
              <w:left w:val="nil"/>
              <w:bottom w:val="nil"/>
              <w:right w:val="nil"/>
            </w:tcBorders>
            <w:shd w:val="clear" w:color="000000" w:fill="FFFFE1"/>
            <w:noWrap/>
            <w:vAlign w:val="bottom"/>
            <w:hideMark/>
          </w:tcPr>
          <w:p w:rsidR="003C459D" w:rsidRPr="00101C40" w:rsidRDefault="003C459D" w:rsidP="00E56B71">
            <w:pPr>
              <w:jc w:val="center"/>
              <w:rPr>
                <w:rFonts w:ascii="Arial" w:hAnsi="Arial" w:cs="Arial"/>
                <w:color w:val="000000"/>
                <w:sz w:val="16"/>
                <w:szCs w:val="16"/>
              </w:rPr>
            </w:pPr>
            <w:r w:rsidRPr="00101C40">
              <w:rPr>
                <w:rFonts w:ascii="Arial" w:hAnsi="Arial" w:cs="Arial"/>
                <w:color w:val="000000"/>
                <w:sz w:val="16"/>
                <w:szCs w:val="16"/>
              </w:rPr>
              <w:t>1</w:t>
            </w:r>
          </w:p>
        </w:tc>
        <w:tc>
          <w:tcPr>
            <w:tcW w:w="617" w:type="dxa"/>
            <w:tcBorders>
              <w:top w:val="nil"/>
              <w:left w:val="dotted" w:sz="4" w:space="0" w:color="009900"/>
              <w:bottom w:val="nil"/>
              <w:right w:val="single" w:sz="4" w:space="0" w:color="009900"/>
            </w:tcBorders>
            <w:shd w:val="clear" w:color="000000" w:fill="FFFFE1"/>
            <w:noWrap/>
            <w:vAlign w:val="bottom"/>
            <w:hideMark/>
          </w:tcPr>
          <w:p w:rsidR="003C459D" w:rsidRPr="00101C40" w:rsidRDefault="003C459D" w:rsidP="00E56B71">
            <w:pPr>
              <w:jc w:val="center"/>
              <w:rPr>
                <w:rFonts w:ascii="Arial" w:hAnsi="Arial" w:cs="Arial"/>
                <w:color w:val="000000"/>
                <w:sz w:val="16"/>
                <w:szCs w:val="16"/>
              </w:rPr>
            </w:pPr>
            <w:r w:rsidRPr="00101C40">
              <w:rPr>
                <w:rFonts w:ascii="Arial" w:hAnsi="Arial" w:cs="Arial"/>
                <w:color w:val="000000"/>
                <w:sz w:val="16"/>
                <w:szCs w:val="16"/>
              </w:rPr>
              <w:t>219</w:t>
            </w:r>
          </w:p>
        </w:tc>
      </w:tr>
      <w:tr w:rsidR="003C459D" w:rsidRPr="00101C40" w:rsidTr="00D20353">
        <w:trPr>
          <w:trHeight w:val="225"/>
          <w:jc w:val="center"/>
        </w:trPr>
        <w:tc>
          <w:tcPr>
            <w:tcW w:w="1365" w:type="dxa"/>
            <w:gridSpan w:val="2"/>
            <w:tcBorders>
              <w:top w:val="nil"/>
              <w:left w:val="single" w:sz="4" w:space="0" w:color="009900"/>
              <w:bottom w:val="nil"/>
              <w:right w:val="nil"/>
            </w:tcBorders>
            <w:shd w:val="clear" w:color="000000" w:fill="FFFFE1"/>
            <w:noWrap/>
            <w:vAlign w:val="bottom"/>
            <w:hideMark/>
          </w:tcPr>
          <w:p w:rsidR="003C459D" w:rsidRPr="00101C40" w:rsidRDefault="003C459D" w:rsidP="00E56B71">
            <w:pPr>
              <w:rPr>
                <w:rFonts w:ascii="Arial" w:hAnsi="Arial" w:cs="Arial"/>
                <w:color w:val="000000"/>
                <w:sz w:val="16"/>
                <w:szCs w:val="16"/>
              </w:rPr>
            </w:pPr>
            <w:r w:rsidRPr="00101C40">
              <w:rPr>
                <w:rFonts w:ascii="Arial" w:hAnsi="Arial" w:cs="Arial"/>
                <w:color w:val="000000"/>
                <w:sz w:val="16"/>
                <w:szCs w:val="16"/>
              </w:rPr>
              <w:t>Aged 18 to 24</w:t>
            </w:r>
          </w:p>
        </w:tc>
        <w:tc>
          <w:tcPr>
            <w:tcW w:w="1079" w:type="dxa"/>
            <w:tcBorders>
              <w:top w:val="nil"/>
              <w:left w:val="nil"/>
              <w:bottom w:val="nil"/>
              <w:right w:val="nil"/>
            </w:tcBorders>
            <w:shd w:val="clear" w:color="000000" w:fill="FFFFE1"/>
            <w:noWrap/>
            <w:vAlign w:val="center"/>
            <w:hideMark/>
          </w:tcPr>
          <w:p w:rsidR="003C459D" w:rsidRPr="00101C40" w:rsidRDefault="003C459D" w:rsidP="00E56B71">
            <w:pPr>
              <w:jc w:val="center"/>
              <w:rPr>
                <w:rFonts w:ascii="Arial" w:hAnsi="Arial" w:cs="Arial"/>
                <w:color w:val="000000"/>
                <w:sz w:val="16"/>
                <w:szCs w:val="16"/>
              </w:rPr>
            </w:pPr>
            <w:r w:rsidRPr="00101C40">
              <w:rPr>
                <w:rFonts w:ascii="Arial" w:hAnsi="Arial" w:cs="Arial"/>
                <w:color w:val="000000"/>
                <w:sz w:val="16"/>
                <w:szCs w:val="16"/>
              </w:rPr>
              <w:t>.</w:t>
            </w:r>
          </w:p>
        </w:tc>
        <w:tc>
          <w:tcPr>
            <w:tcW w:w="1123" w:type="dxa"/>
            <w:tcBorders>
              <w:top w:val="nil"/>
              <w:left w:val="nil"/>
              <w:bottom w:val="nil"/>
              <w:right w:val="nil"/>
            </w:tcBorders>
            <w:shd w:val="clear" w:color="000000" w:fill="FFFFE1"/>
            <w:noWrap/>
            <w:vAlign w:val="center"/>
            <w:hideMark/>
          </w:tcPr>
          <w:p w:rsidR="003C459D" w:rsidRPr="00101C40" w:rsidRDefault="003C459D" w:rsidP="00E56B71">
            <w:pPr>
              <w:jc w:val="center"/>
              <w:rPr>
                <w:rFonts w:ascii="Arial" w:hAnsi="Arial" w:cs="Arial"/>
                <w:color w:val="000000"/>
                <w:sz w:val="16"/>
                <w:szCs w:val="16"/>
              </w:rPr>
            </w:pPr>
            <w:r w:rsidRPr="00101C40">
              <w:rPr>
                <w:rFonts w:ascii="Arial" w:hAnsi="Arial" w:cs="Arial"/>
                <w:color w:val="000000"/>
                <w:sz w:val="16"/>
                <w:szCs w:val="16"/>
              </w:rPr>
              <w:t>.</w:t>
            </w:r>
          </w:p>
        </w:tc>
        <w:tc>
          <w:tcPr>
            <w:tcW w:w="1141" w:type="dxa"/>
            <w:gridSpan w:val="2"/>
            <w:tcBorders>
              <w:top w:val="nil"/>
              <w:left w:val="nil"/>
              <w:bottom w:val="nil"/>
              <w:right w:val="nil"/>
            </w:tcBorders>
            <w:shd w:val="clear" w:color="000000" w:fill="FFFFE1"/>
            <w:noWrap/>
            <w:vAlign w:val="center"/>
            <w:hideMark/>
          </w:tcPr>
          <w:p w:rsidR="003C459D" w:rsidRPr="00101C40" w:rsidRDefault="003C459D" w:rsidP="00E56B71">
            <w:pPr>
              <w:jc w:val="center"/>
              <w:rPr>
                <w:rFonts w:ascii="Arial" w:hAnsi="Arial" w:cs="Arial"/>
                <w:color w:val="000000"/>
                <w:sz w:val="16"/>
                <w:szCs w:val="16"/>
              </w:rPr>
            </w:pPr>
            <w:r w:rsidRPr="00101C40">
              <w:rPr>
                <w:rFonts w:ascii="Arial" w:hAnsi="Arial" w:cs="Arial"/>
                <w:color w:val="000000"/>
                <w:sz w:val="16"/>
                <w:szCs w:val="16"/>
              </w:rPr>
              <w:t>.</w:t>
            </w:r>
          </w:p>
        </w:tc>
        <w:tc>
          <w:tcPr>
            <w:tcW w:w="617" w:type="dxa"/>
            <w:gridSpan w:val="2"/>
            <w:tcBorders>
              <w:top w:val="nil"/>
              <w:left w:val="dotted" w:sz="4" w:space="0" w:color="009900"/>
              <w:bottom w:val="nil"/>
              <w:right w:val="dotted" w:sz="4" w:space="0" w:color="009900"/>
            </w:tcBorders>
            <w:shd w:val="clear" w:color="000000" w:fill="FFFFE1"/>
            <w:noWrap/>
            <w:vAlign w:val="center"/>
            <w:hideMark/>
          </w:tcPr>
          <w:p w:rsidR="003C459D" w:rsidRPr="00101C40" w:rsidRDefault="003C459D" w:rsidP="00E56B71">
            <w:pPr>
              <w:jc w:val="center"/>
              <w:rPr>
                <w:rFonts w:ascii="Arial" w:hAnsi="Arial" w:cs="Arial"/>
                <w:color w:val="000000"/>
                <w:sz w:val="16"/>
                <w:szCs w:val="16"/>
              </w:rPr>
            </w:pPr>
            <w:r w:rsidRPr="00101C40">
              <w:rPr>
                <w:rFonts w:ascii="Arial" w:hAnsi="Arial" w:cs="Arial"/>
                <w:color w:val="000000"/>
                <w:sz w:val="16"/>
                <w:szCs w:val="16"/>
              </w:rPr>
              <w:t>.</w:t>
            </w:r>
          </w:p>
        </w:tc>
        <w:tc>
          <w:tcPr>
            <w:tcW w:w="1213" w:type="dxa"/>
            <w:gridSpan w:val="2"/>
            <w:tcBorders>
              <w:top w:val="nil"/>
              <w:left w:val="nil"/>
              <w:bottom w:val="nil"/>
              <w:right w:val="nil"/>
            </w:tcBorders>
            <w:shd w:val="clear" w:color="000000" w:fill="FFFFE1"/>
            <w:noWrap/>
            <w:vAlign w:val="center"/>
            <w:hideMark/>
          </w:tcPr>
          <w:p w:rsidR="003C459D" w:rsidRPr="00101C40" w:rsidRDefault="003C459D" w:rsidP="00E56B71">
            <w:pPr>
              <w:jc w:val="center"/>
              <w:rPr>
                <w:rFonts w:ascii="Arial" w:hAnsi="Arial" w:cs="Arial"/>
                <w:color w:val="000000"/>
                <w:sz w:val="16"/>
                <w:szCs w:val="16"/>
              </w:rPr>
            </w:pPr>
            <w:r w:rsidRPr="00101C40">
              <w:rPr>
                <w:rFonts w:ascii="Arial" w:hAnsi="Arial" w:cs="Arial"/>
                <w:color w:val="000000"/>
                <w:sz w:val="16"/>
                <w:szCs w:val="16"/>
              </w:rPr>
              <w:t>.</w:t>
            </w:r>
          </w:p>
        </w:tc>
        <w:tc>
          <w:tcPr>
            <w:tcW w:w="1123" w:type="dxa"/>
            <w:gridSpan w:val="3"/>
            <w:tcBorders>
              <w:top w:val="nil"/>
              <w:left w:val="nil"/>
              <w:bottom w:val="nil"/>
              <w:right w:val="nil"/>
            </w:tcBorders>
            <w:shd w:val="clear" w:color="000000" w:fill="FFFFE1"/>
            <w:noWrap/>
            <w:vAlign w:val="center"/>
            <w:hideMark/>
          </w:tcPr>
          <w:p w:rsidR="003C459D" w:rsidRPr="00101C40" w:rsidRDefault="003C459D" w:rsidP="00E56B71">
            <w:pPr>
              <w:jc w:val="center"/>
              <w:rPr>
                <w:rFonts w:ascii="Arial" w:hAnsi="Arial" w:cs="Arial"/>
                <w:color w:val="000000"/>
                <w:sz w:val="16"/>
                <w:szCs w:val="16"/>
              </w:rPr>
            </w:pPr>
            <w:r w:rsidRPr="00101C40">
              <w:rPr>
                <w:rFonts w:ascii="Arial" w:hAnsi="Arial" w:cs="Arial"/>
                <w:color w:val="000000"/>
                <w:sz w:val="16"/>
                <w:szCs w:val="16"/>
              </w:rPr>
              <w:t>.</w:t>
            </w:r>
          </w:p>
        </w:tc>
        <w:tc>
          <w:tcPr>
            <w:tcW w:w="1141" w:type="dxa"/>
            <w:tcBorders>
              <w:top w:val="nil"/>
              <w:left w:val="nil"/>
              <w:bottom w:val="nil"/>
              <w:right w:val="nil"/>
            </w:tcBorders>
            <w:shd w:val="clear" w:color="000000" w:fill="FFFFE1"/>
            <w:noWrap/>
            <w:vAlign w:val="center"/>
            <w:hideMark/>
          </w:tcPr>
          <w:p w:rsidR="003C459D" w:rsidRPr="00101C40" w:rsidRDefault="003C459D" w:rsidP="00E56B71">
            <w:pPr>
              <w:jc w:val="center"/>
              <w:rPr>
                <w:rFonts w:ascii="Arial" w:hAnsi="Arial" w:cs="Arial"/>
                <w:color w:val="000000"/>
                <w:sz w:val="16"/>
                <w:szCs w:val="16"/>
              </w:rPr>
            </w:pPr>
            <w:r w:rsidRPr="00101C40">
              <w:rPr>
                <w:rFonts w:ascii="Arial" w:hAnsi="Arial" w:cs="Arial"/>
                <w:color w:val="000000"/>
                <w:sz w:val="16"/>
                <w:szCs w:val="16"/>
              </w:rPr>
              <w:t>.</w:t>
            </w:r>
          </w:p>
        </w:tc>
        <w:tc>
          <w:tcPr>
            <w:tcW w:w="617" w:type="dxa"/>
            <w:gridSpan w:val="2"/>
            <w:tcBorders>
              <w:top w:val="nil"/>
              <w:left w:val="dotted" w:sz="4" w:space="0" w:color="009900"/>
              <w:bottom w:val="nil"/>
              <w:right w:val="dotted" w:sz="4" w:space="0" w:color="009900"/>
            </w:tcBorders>
            <w:shd w:val="clear" w:color="000000" w:fill="FFFFE1"/>
            <w:noWrap/>
            <w:vAlign w:val="center"/>
            <w:hideMark/>
          </w:tcPr>
          <w:p w:rsidR="003C459D" w:rsidRPr="00101C40" w:rsidRDefault="003C459D" w:rsidP="00E56B71">
            <w:pPr>
              <w:jc w:val="center"/>
              <w:rPr>
                <w:rFonts w:ascii="Arial" w:hAnsi="Arial" w:cs="Arial"/>
                <w:color w:val="000000"/>
                <w:sz w:val="16"/>
                <w:szCs w:val="16"/>
              </w:rPr>
            </w:pPr>
            <w:r w:rsidRPr="00101C40">
              <w:rPr>
                <w:rFonts w:ascii="Arial" w:hAnsi="Arial" w:cs="Arial"/>
                <w:color w:val="000000"/>
                <w:sz w:val="16"/>
                <w:szCs w:val="16"/>
              </w:rPr>
              <w:t>.</w:t>
            </w:r>
          </w:p>
        </w:tc>
        <w:tc>
          <w:tcPr>
            <w:tcW w:w="1079" w:type="dxa"/>
            <w:gridSpan w:val="3"/>
            <w:tcBorders>
              <w:top w:val="nil"/>
              <w:left w:val="nil"/>
              <w:bottom w:val="nil"/>
              <w:right w:val="nil"/>
            </w:tcBorders>
            <w:shd w:val="clear" w:color="000000" w:fill="FFFFE1"/>
            <w:noWrap/>
            <w:vAlign w:val="center"/>
            <w:hideMark/>
          </w:tcPr>
          <w:p w:rsidR="003C459D" w:rsidRPr="00101C40" w:rsidRDefault="003C459D" w:rsidP="00E56B71">
            <w:pPr>
              <w:jc w:val="center"/>
              <w:rPr>
                <w:rFonts w:ascii="Arial" w:hAnsi="Arial" w:cs="Arial"/>
                <w:color w:val="000000"/>
                <w:sz w:val="16"/>
                <w:szCs w:val="16"/>
              </w:rPr>
            </w:pPr>
            <w:r w:rsidRPr="00101C40">
              <w:rPr>
                <w:rFonts w:ascii="Arial" w:hAnsi="Arial" w:cs="Arial"/>
                <w:color w:val="000000"/>
                <w:sz w:val="16"/>
                <w:szCs w:val="16"/>
              </w:rPr>
              <w:t>138</w:t>
            </w:r>
          </w:p>
        </w:tc>
        <w:tc>
          <w:tcPr>
            <w:tcW w:w="1123" w:type="dxa"/>
            <w:tcBorders>
              <w:top w:val="nil"/>
              <w:left w:val="nil"/>
              <w:bottom w:val="nil"/>
              <w:right w:val="nil"/>
            </w:tcBorders>
            <w:shd w:val="clear" w:color="000000" w:fill="FFFFE1"/>
            <w:noWrap/>
            <w:vAlign w:val="center"/>
            <w:hideMark/>
          </w:tcPr>
          <w:p w:rsidR="003C459D" w:rsidRPr="00101C40" w:rsidRDefault="003C459D" w:rsidP="00E56B71">
            <w:pPr>
              <w:jc w:val="center"/>
              <w:rPr>
                <w:rFonts w:ascii="Arial" w:hAnsi="Arial" w:cs="Arial"/>
                <w:color w:val="000000"/>
                <w:sz w:val="16"/>
                <w:szCs w:val="16"/>
              </w:rPr>
            </w:pPr>
            <w:r w:rsidRPr="00101C40">
              <w:rPr>
                <w:rFonts w:ascii="Arial" w:hAnsi="Arial" w:cs="Arial"/>
                <w:color w:val="000000"/>
                <w:sz w:val="16"/>
                <w:szCs w:val="16"/>
              </w:rPr>
              <w:t>21</w:t>
            </w:r>
          </w:p>
        </w:tc>
        <w:tc>
          <w:tcPr>
            <w:tcW w:w="1141" w:type="dxa"/>
            <w:gridSpan w:val="3"/>
            <w:tcBorders>
              <w:top w:val="nil"/>
              <w:left w:val="nil"/>
              <w:bottom w:val="nil"/>
              <w:right w:val="nil"/>
            </w:tcBorders>
            <w:shd w:val="clear" w:color="000000" w:fill="FFFFE1"/>
            <w:noWrap/>
            <w:vAlign w:val="center"/>
            <w:hideMark/>
          </w:tcPr>
          <w:p w:rsidR="003C459D" w:rsidRPr="00101C40" w:rsidRDefault="003C459D" w:rsidP="00E56B71">
            <w:pPr>
              <w:jc w:val="center"/>
              <w:rPr>
                <w:rFonts w:ascii="Arial" w:hAnsi="Arial" w:cs="Arial"/>
                <w:color w:val="000000"/>
                <w:sz w:val="16"/>
                <w:szCs w:val="16"/>
              </w:rPr>
            </w:pPr>
            <w:r w:rsidRPr="00101C40">
              <w:rPr>
                <w:rFonts w:ascii="Arial" w:hAnsi="Arial" w:cs="Arial"/>
                <w:color w:val="000000"/>
                <w:sz w:val="16"/>
                <w:szCs w:val="16"/>
              </w:rPr>
              <w:t>15</w:t>
            </w:r>
          </w:p>
        </w:tc>
        <w:tc>
          <w:tcPr>
            <w:tcW w:w="617" w:type="dxa"/>
            <w:tcBorders>
              <w:top w:val="nil"/>
              <w:left w:val="dotted" w:sz="4" w:space="0" w:color="009900"/>
              <w:bottom w:val="nil"/>
              <w:right w:val="single" w:sz="4" w:space="0" w:color="009900"/>
            </w:tcBorders>
            <w:shd w:val="clear" w:color="000000" w:fill="FFFFE1"/>
            <w:noWrap/>
            <w:vAlign w:val="center"/>
            <w:hideMark/>
          </w:tcPr>
          <w:p w:rsidR="003C459D" w:rsidRPr="00101C40" w:rsidRDefault="003C459D" w:rsidP="00E56B71">
            <w:pPr>
              <w:jc w:val="center"/>
              <w:rPr>
                <w:rFonts w:ascii="Arial" w:hAnsi="Arial" w:cs="Arial"/>
                <w:color w:val="000000"/>
                <w:sz w:val="16"/>
                <w:szCs w:val="16"/>
              </w:rPr>
            </w:pPr>
            <w:r w:rsidRPr="00101C40">
              <w:rPr>
                <w:rFonts w:ascii="Arial" w:hAnsi="Arial" w:cs="Arial"/>
                <w:color w:val="000000"/>
                <w:sz w:val="16"/>
                <w:szCs w:val="16"/>
              </w:rPr>
              <w:t>174</w:t>
            </w:r>
          </w:p>
        </w:tc>
      </w:tr>
      <w:tr w:rsidR="003C459D" w:rsidRPr="00101C40" w:rsidTr="00D20353">
        <w:trPr>
          <w:trHeight w:val="240"/>
          <w:jc w:val="center"/>
        </w:trPr>
        <w:tc>
          <w:tcPr>
            <w:tcW w:w="1365" w:type="dxa"/>
            <w:gridSpan w:val="2"/>
            <w:tcBorders>
              <w:top w:val="nil"/>
              <w:left w:val="single" w:sz="4" w:space="0" w:color="009900"/>
              <w:bottom w:val="nil"/>
              <w:right w:val="nil"/>
            </w:tcBorders>
            <w:shd w:val="clear" w:color="000000" w:fill="FFFFE1"/>
            <w:noWrap/>
            <w:vAlign w:val="bottom"/>
            <w:hideMark/>
          </w:tcPr>
          <w:p w:rsidR="003C459D" w:rsidRPr="00101C40" w:rsidRDefault="003C459D" w:rsidP="00E56B71">
            <w:pPr>
              <w:rPr>
                <w:rFonts w:ascii="Arial" w:hAnsi="Arial" w:cs="Arial"/>
                <w:color w:val="000000"/>
                <w:sz w:val="16"/>
                <w:szCs w:val="16"/>
              </w:rPr>
            </w:pPr>
            <w:r w:rsidRPr="00101C40">
              <w:rPr>
                <w:rFonts w:ascii="Arial" w:hAnsi="Arial" w:cs="Arial"/>
                <w:color w:val="000000"/>
                <w:sz w:val="16"/>
                <w:szCs w:val="16"/>
              </w:rPr>
              <w:t>Over age 24</w:t>
            </w:r>
          </w:p>
        </w:tc>
        <w:tc>
          <w:tcPr>
            <w:tcW w:w="1079" w:type="dxa"/>
            <w:tcBorders>
              <w:top w:val="nil"/>
              <w:left w:val="nil"/>
              <w:bottom w:val="nil"/>
              <w:right w:val="nil"/>
            </w:tcBorders>
            <w:shd w:val="clear" w:color="000000" w:fill="FFFFE1"/>
            <w:noWrap/>
            <w:vAlign w:val="center"/>
            <w:hideMark/>
          </w:tcPr>
          <w:p w:rsidR="003C459D" w:rsidRPr="00101C40" w:rsidRDefault="003C459D" w:rsidP="00E56B71">
            <w:pPr>
              <w:jc w:val="center"/>
              <w:rPr>
                <w:rFonts w:ascii="Arial" w:hAnsi="Arial" w:cs="Arial"/>
                <w:color w:val="000000"/>
                <w:sz w:val="16"/>
                <w:szCs w:val="16"/>
              </w:rPr>
            </w:pPr>
            <w:r w:rsidRPr="00101C40">
              <w:rPr>
                <w:rFonts w:ascii="Arial" w:hAnsi="Arial" w:cs="Arial"/>
                <w:color w:val="000000"/>
                <w:sz w:val="16"/>
                <w:szCs w:val="16"/>
              </w:rPr>
              <w:t>.</w:t>
            </w:r>
          </w:p>
        </w:tc>
        <w:tc>
          <w:tcPr>
            <w:tcW w:w="1123" w:type="dxa"/>
            <w:tcBorders>
              <w:top w:val="nil"/>
              <w:left w:val="nil"/>
              <w:bottom w:val="nil"/>
              <w:right w:val="nil"/>
            </w:tcBorders>
            <w:shd w:val="clear" w:color="000000" w:fill="FFFFE1"/>
            <w:noWrap/>
            <w:vAlign w:val="center"/>
            <w:hideMark/>
          </w:tcPr>
          <w:p w:rsidR="003C459D" w:rsidRPr="00101C40" w:rsidRDefault="003C459D" w:rsidP="00E56B71">
            <w:pPr>
              <w:jc w:val="center"/>
              <w:rPr>
                <w:rFonts w:ascii="Arial" w:hAnsi="Arial" w:cs="Arial"/>
                <w:color w:val="000000"/>
                <w:sz w:val="16"/>
                <w:szCs w:val="16"/>
              </w:rPr>
            </w:pPr>
            <w:r w:rsidRPr="00101C40">
              <w:rPr>
                <w:rFonts w:ascii="Arial" w:hAnsi="Arial" w:cs="Arial"/>
                <w:color w:val="000000"/>
                <w:sz w:val="16"/>
                <w:szCs w:val="16"/>
              </w:rPr>
              <w:t>.</w:t>
            </w:r>
          </w:p>
        </w:tc>
        <w:tc>
          <w:tcPr>
            <w:tcW w:w="1141" w:type="dxa"/>
            <w:gridSpan w:val="2"/>
            <w:tcBorders>
              <w:top w:val="nil"/>
              <w:left w:val="nil"/>
              <w:bottom w:val="nil"/>
              <w:right w:val="nil"/>
            </w:tcBorders>
            <w:shd w:val="clear" w:color="000000" w:fill="FFFFE1"/>
            <w:noWrap/>
            <w:vAlign w:val="center"/>
            <w:hideMark/>
          </w:tcPr>
          <w:p w:rsidR="003C459D" w:rsidRPr="00101C40" w:rsidRDefault="003C459D" w:rsidP="00E56B71">
            <w:pPr>
              <w:jc w:val="center"/>
              <w:rPr>
                <w:rFonts w:ascii="Arial" w:hAnsi="Arial" w:cs="Arial"/>
                <w:color w:val="000000"/>
                <w:sz w:val="16"/>
                <w:szCs w:val="16"/>
              </w:rPr>
            </w:pPr>
            <w:r w:rsidRPr="00101C40">
              <w:rPr>
                <w:rFonts w:ascii="Arial" w:hAnsi="Arial" w:cs="Arial"/>
                <w:color w:val="000000"/>
                <w:sz w:val="16"/>
                <w:szCs w:val="16"/>
              </w:rPr>
              <w:t>.</w:t>
            </w:r>
          </w:p>
        </w:tc>
        <w:tc>
          <w:tcPr>
            <w:tcW w:w="617" w:type="dxa"/>
            <w:gridSpan w:val="2"/>
            <w:tcBorders>
              <w:top w:val="nil"/>
              <w:left w:val="dotted" w:sz="4" w:space="0" w:color="009900"/>
              <w:bottom w:val="nil"/>
              <w:right w:val="dotted" w:sz="4" w:space="0" w:color="009900"/>
            </w:tcBorders>
            <w:shd w:val="clear" w:color="000000" w:fill="FFFFE1"/>
            <w:noWrap/>
            <w:vAlign w:val="center"/>
            <w:hideMark/>
          </w:tcPr>
          <w:p w:rsidR="003C459D" w:rsidRPr="00101C40" w:rsidRDefault="003C459D" w:rsidP="00E56B71">
            <w:pPr>
              <w:jc w:val="center"/>
              <w:rPr>
                <w:rFonts w:ascii="Arial" w:hAnsi="Arial" w:cs="Arial"/>
                <w:color w:val="000000"/>
                <w:sz w:val="16"/>
                <w:szCs w:val="16"/>
              </w:rPr>
            </w:pPr>
            <w:r w:rsidRPr="00101C40">
              <w:rPr>
                <w:rFonts w:ascii="Arial" w:hAnsi="Arial" w:cs="Arial"/>
                <w:color w:val="000000"/>
                <w:sz w:val="16"/>
                <w:szCs w:val="16"/>
              </w:rPr>
              <w:t>.</w:t>
            </w:r>
          </w:p>
        </w:tc>
        <w:tc>
          <w:tcPr>
            <w:tcW w:w="1213" w:type="dxa"/>
            <w:gridSpan w:val="2"/>
            <w:tcBorders>
              <w:top w:val="nil"/>
              <w:left w:val="nil"/>
              <w:bottom w:val="nil"/>
              <w:right w:val="nil"/>
            </w:tcBorders>
            <w:shd w:val="clear" w:color="000000" w:fill="FFFFE1"/>
            <w:noWrap/>
            <w:vAlign w:val="center"/>
            <w:hideMark/>
          </w:tcPr>
          <w:p w:rsidR="003C459D" w:rsidRPr="00101C40" w:rsidRDefault="003C459D" w:rsidP="00E56B71">
            <w:pPr>
              <w:jc w:val="center"/>
              <w:rPr>
                <w:rFonts w:ascii="Arial" w:hAnsi="Arial" w:cs="Arial"/>
                <w:color w:val="000000"/>
                <w:sz w:val="16"/>
                <w:szCs w:val="16"/>
              </w:rPr>
            </w:pPr>
            <w:r w:rsidRPr="00101C40">
              <w:rPr>
                <w:rFonts w:ascii="Arial" w:hAnsi="Arial" w:cs="Arial"/>
                <w:color w:val="000000"/>
                <w:sz w:val="16"/>
                <w:szCs w:val="16"/>
              </w:rPr>
              <w:t>.</w:t>
            </w:r>
          </w:p>
        </w:tc>
        <w:tc>
          <w:tcPr>
            <w:tcW w:w="1123" w:type="dxa"/>
            <w:gridSpan w:val="3"/>
            <w:tcBorders>
              <w:top w:val="nil"/>
              <w:left w:val="nil"/>
              <w:bottom w:val="nil"/>
              <w:right w:val="nil"/>
            </w:tcBorders>
            <w:shd w:val="clear" w:color="000000" w:fill="FFFFE1"/>
            <w:noWrap/>
            <w:vAlign w:val="center"/>
            <w:hideMark/>
          </w:tcPr>
          <w:p w:rsidR="003C459D" w:rsidRPr="00101C40" w:rsidRDefault="003C459D" w:rsidP="00E56B71">
            <w:pPr>
              <w:jc w:val="center"/>
              <w:rPr>
                <w:rFonts w:ascii="Arial" w:hAnsi="Arial" w:cs="Arial"/>
                <w:color w:val="000000"/>
                <w:sz w:val="16"/>
                <w:szCs w:val="16"/>
              </w:rPr>
            </w:pPr>
            <w:r w:rsidRPr="00101C40">
              <w:rPr>
                <w:rFonts w:ascii="Arial" w:hAnsi="Arial" w:cs="Arial"/>
                <w:color w:val="000000"/>
                <w:sz w:val="16"/>
                <w:szCs w:val="16"/>
              </w:rPr>
              <w:t>.</w:t>
            </w:r>
          </w:p>
        </w:tc>
        <w:tc>
          <w:tcPr>
            <w:tcW w:w="1141" w:type="dxa"/>
            <w:tcBorders>
              <w:top w:val="nil"/>
              <w:left w:val="nil"/>
              <w:bottom w:val="nil"/>
              <w:right w:val="nil"/>
            </w:tcBorders>
            <w:shd w:val="clear" w:color="000000" w:fill="FFFFE1"/>
            <w:noWrap/>
            <w:vAlign w:val="center"/>
            <w:hideMark/>
          </w:tcPr>
          <w:p w:rsidR="003C459D" w:rsidRPr="00101C40" w:rsidRDefault="003C459D" w:rsidP="00E56B71">
            <w:pPr>
              <w:jc w:val="center"/>
              <w:rPr>
                <w:rFonts w:ascii="Arial" w:hAnsi="Arial" w:cs="Arial"/>
                <w:color w:val="000000"/>
                <w:sz w:val="16"/>
                <w:szCs w:val="16"/>
              </w:rPr>
            </w:pPr>
            <w:r w:rsidRPr="00101C40">
              <w:rPr>
                <w:rFonts w:ascii="Arial" w:hAnsi="Arial" w:cs="Arial"/>
                <w:color w:val="000000"/>
                <w:sz w:val="16"/>
                <w:szCs w:val="16"/>
              </w:rPr>
              <w:t>.</w:t>
            </w:r>
          </w:p>
        </w:tc>
        <w:tc>
          <w:tcPr>
            <w:tcW w:w="617" w:type="dxa"/>
            <w:gridSpan w:val="2"/>
            <w:tcBorders>
              <w:top w:val="nil"/>
              <w:left w:val="dotted" w:sz="4" w:space="0" w:color="009900"/>
              <w:bottom w:val="nil"/>
              <w:right w:val="dotted" w:sz="4" w:space="0" w:color="009900"/>
            </w:tcBorders>
            <w:shd w:val="clear" w:color="000000" w:fill="FFFFE1"/>
            <w:noWrap/>
            <w:vAlign w:val="center"/>
            <w:hideMark/>
          </w:tcPr>
          <w:p w:rsidR="003C459D" w:rsidRPr="00101C40" w:rsidRDefault="003C459D" w:rsidP="00E56B71">
            <w:pPr>
              <w:jc w:val="center"/>
              <w:rPr>
                <w:rFonts w:ascii="Arial" w:hAnsi="Arial" w:cs="Arial"/>
                <w:color w:val="000000"/>
                <w:sz w:val="16"/>
                <w:szCs w:val="16"/>
              </w:rPr>
            </w:pPr>
            <w:r w:rsidRPr="00101C40">
              <w:rPr>
                <w:rFonts w:ascii="Arial" w:hAnsi="Arial" w:cs="Arial"/>
                <w:color w:val="000000"/>
                <w:sz w:val="16"/>
                <w:szCs w:val="16"/>
              </w:rPr>
              <w:t>.</w:t>
            </w:r>
          </w:p>
        </w:tc>
        <w:tc>
          <w:tcPr>
            <w:tcW w:w="1079" w:type="dxa"/>
            <w:gridSpan w:val="3"/>
            <w:tcBorders>
              <w:top w:val="nil"/>
              <w:left w:val="nil"/>
              <w:bottom w:val="nil"/>
              <w:right w:val="nil"/>
            </w:tcBorders>
            <w:shd w:val="clear" w:color="000000" w:fill="FFFFE1"/>
            <w:noWrap/>
            <w:vAlign w:val="center"/>
            <w:hideMark/>
          </w:tcPr>
          <w:p w:rsidR="003C459D" w:rsidRPr="00101C40" w:rsidRDefault="003C459D" w:rsidP="00E56B71">
            <w:pPr>
              <w:jc w:val="center"/>
              <w:rPr>
                <w:rFonts w:ascii="Arial" w:hAnsi="Arial" w:cs="Arial"/>
                <w:color w:val="000000"/>
                <w:sz w:val="16"/>
                <w:szCs w:val="16"/>
              </w:rPr>
            </w:pPr>
            <w:r w:rsidRPr="00101C40">
              <w:rPr>
                <w:rFonts w:ascii="Arial" w:hAnsi="Arial" w:cs="Arial"/>
                <w:color w:val="000000"/>
                <w:sz w:val="16"/>
                <w:szCs w:val="16"/>
              </w:rPr>
              <w:t>406</w:t>
            </w:r>
          </w:p>
        </w:tc>
        <w:tc>
          <w:tcPr>
            <w:tcW w:w="1123" w:type="dxa"/>
            <w:tcBorders>
              <w:top w:val="nil"/>
              <w:left w:val="nil"/>
              <w:bottom w:val="nil"/>
              <w:right w:val="nil"/>
            </w:tcBorders>
            <w:shd w:val="clear" w:color="000000" w:fill="FFFFE1"/>
            <w:noWrap/>
            <w:vAlign w:val="center"/>
            <w:hideMark/>
          </w:tcPr>
          <w:p w:rsidR="003C459D" w:rsidRPr="00101C40" w:rsidRDefault="003C459D" w:rsidP="00E56B71">
            <w:pPr>
              <w:jc w:val="center"/>
              <w:rPr>
                <w:rFonts w:ascii="Arial" w:hAnsi="Arial" w:cs="Arial"/>
                <w:color w:val="000000"/>
                <w:sz w:val="16"/>
                <w:szCs w:val="16"/>
              </w:rPr>
            </w:pPr>
            <w:r w:rsidRPr="00101C40">
              <w:rPr>
                <w:rFonts w:ascii="Arial" w:hAnsi="Arial" w:cs="Arial"/>
                <w:color w:val="000000"/>
                <w:sz w:val="16"/>
                <w:szCs w:val="16"/>
              </w:rPr>
              <w:t>244</w:t>
            </w:r>
          </w:p>
        </w:tc>
        <w:tc>
          <w:tcPr>
            <w:tcW w:w="1141" w:type="dxa"/>
            <w:gridSpan w:val="3"/>
            <w:tcBorders>
              <w:top w:val="nil"/>
              <w:left w:val="nil"/>
              <w:bottom w:val="nil"/>
              <w:right w:val="nil"/>
            </w:tcBorders>
            <w:shd w:val="clear" w:color="000000" w:fill="FFFFE1"/>
            <w:noWrap/>
            <w:vAlign w:val="center"/>
            <w:hideMark/>
          </w:tcPr>
          <w:p w:rsidR="003C459D" w:rsidRPr="00101C40" w:rsidRDefault="003C459D" w:rsidP="00E56B71">
            <w:pPr>
              <w:jc w:val="center"/>
              <w:rPr>
                <w:rFonts w:ascii="Arial" w:hAnsi="Arial" w:cs="Arial"/>
                <w:color w:val="000000"/>
                <w:sz w:val="16"/>
                <w:szCs w:val="16"/>
              </w:rPr>
            </w:pPr>
            <w:r w:rsidRPr="00101C40">
              <w:rPr>
                <w:rFonts w:ascii="Arial" w:hAnsi="Arial" w:cs="Arial"/>
                <w:color w:val="000000"/>
                <w:sz w:val="16"/>
                <w:szCs w:val="16"/>
              </w:rPr>
              <w:t>128</w:t>
            </w:r>
          </w:p>
        </w:tc>
        <w:tc>
          <w:tcPr>
            <w:tcW w:w="617" w:type="dxa"/>
            <w:tcBorders>
              <w:top w:val="nil"/>
              <w:left w:val="dotted" w:sz="4" w:space="0" w:color="009900"/>
              <w:bottom w:val="nil"/>
              <w:right w:val="single" w:sz="4" w:space="0" w:color="009900"/>
            </w:tcBorders>
            <w:shd w:val="clear" w:color="000000" w:fill="FFFFE1"/>
            <w:noWrap/>
            <w:vAlign w:val="center"/>
            <w:hideMark/>
          </w:tcPr>
          <w:p w:rsidR="003C459D" w:rsidRPr="00101C40" w:rsidRDefault="003C459D" w:rsidP="00E56B71">
            <w:pPr>
              <w:jc w:val="center"/>
              <w:rPr>
                <w:rFonts w:ascii="Arial" w:hAnsi="Arial" w:cs="Arial"/>
                <w:color w:val="000000"/>
                <w:sz w:val="16"/>
                <w:szCs w:val="16"/>
              </w:rPr>
            </w:pPr>
            <w:r w:rsidRPr="00101C40">
              <w:rPr>
                <w:rFonts w:ascii="Arial" w:hAnsi="Arial" w:cs="Arial"/>
                <w:color w:val="000000"/>
                <w:sz w:val="16"/>
                <w:szCs w:val="16"/>
              </w:rPr>
              <w:t>778</w:t>
            </w:r>
          </w:p>
        </w:tc>
      </w:tr>
      <w:tr w:rsidR="003C459D" w:rsidRPr="00101C40" w:rsidTr="00D20353">
        <w:trPr>
          <w:trHeight w:val="465"/>
          <w:jc w:val="center"/>
        </w:trPr>
        <w:tc>
          <w:tcPr>
            <w:tcW w:w="1365" w:type="dxa"/>
            <w:gridSpan w:val="2"/>
            <w:tcBorders>
              <w:top w:val="double" w:sz="6" w:space="0" w:color="009900"/>
              <w:left w:val="single" w:sz="4" w:space="0" w:color="009900"/>
              <w:bottom w:val="single" w:sz="4" w:space="0" w:color="009900"/>
              <w:right w:val="nil"/>
            </w:tcBorders>
            <w:shd w:val="clear" w:color="000000" w:fill="FFFFE1"/>
            <w:vAlign w:val="center"/>
            <w:hideMark/>
          </w:tcPr>
          <w:p w:rsidR="003C459D" w:rsidRPr="00101C40" w:rsidRDefault="003C459D" w:rsidP="00E56B71">
            <w:pPr>
              <w:rPr>
                <w:rFonts w:ascii="Arial" w:hAnsi="Arial" w:cs="Arial"/>
                <w:b/>
                <w:bCs/>
                <w:color w:val="000000"/>
                <w:sz w:val="16"/>
                <w:szCs w:val="16"/>
              </w:rPr>
            </w:pPr>
            <w:r w:rsidRPr="00101C40">
              <w:rPr>
                <w:rFonts w:ascii="Arial" w:hAnsi="Arial" w:cs="Arial"/>
                <w:b/>
                <w:bCs/>
                <w:color w:val="000000"/>
                <w:sz w:val="16"/>
                <w:szCs w:val="16"/>
              </w:rPr>
              <w:t>Total Number of Persons</w:t>
            </w:r>
          </w:p>
        </w:tc>
        <w:tc>
          <w:tcPr>
            <w:tcW w:w="1079" w:type="dxa"/>
            <w:tcBorders>
              <w:top w:val="double" w:sz="6" w:space="0" w:color="009900"/>
              <w:left w:val="nil"/>
              <w:bottom w:val="single" w:sz="4" w:space="0" w:color="009900"/>
              <w:right w:val="nil"/>
            </w:tcBorders>
            <w:shd w:val="clear" w:color="000000" w:fill="FFFFE1"/>
            <w:noWrap/>
            <w:vAlign w:val="center"/>
            <w:hideMark/>
          </w:tcPr>
          <w:p w:rsidR="003C459D" w:rsidRPr="00101C40" w:rsidRDefault="003C459D" w:rsidP="00E56B71">
            <w:pPr>
              <w:jc w:val="center"/>
              <w:rPr>
                <w:rFonts w:ascii="Arial" w:hAnsi="Arial" w:cs="Arial"/>
                <w:b/>
                <w:bCs/>
                <w:color w:val="000000"/>
                <w:sz w:val="16"/>
                <w:szCs w:val="16"/>
              </w:rPr>
            </w:pPr>
            <w:r w:rsidRPr="00101C40">
              <w:rPr>
                <w:rFonts w:ascii="Arial" w:hAnsi="Arial" w:cs="Arial"/>
                <w:b/>
                <w:bCs/>
                <w:color w:val="000000"/>
                <w:sz w:val="16"/>
                <w:szCs w:val="16"/>
              </w:rPr>
              <w:t>481</w:t>
            </w:r>
          </w:p>
        </w:tc>
        <w:tc>
          <w:tcPr>
            <w:tcW w:w="1123" w:type="dxa"/>
            <w:tcBorders>
              <w:top w:val="double" w:sz="6" w:space="0" w:color="009900"/>
              <w:left w:val="nil"/>
              <w:bottom w:val="single" w:sz="4" w:space="0" w:color="009900"/>
              <w:right w:val="nil"/>
            </w:tcBorders>
            <w:shd w:val="clear" w:color="000000" w:fill="FFFFE1"/>
            <w:noWrap/>
            <w:vAlign w:val="center"/>
            <w:hideMark/>
          </w:tcPr>
          <w:p w:rsidR="003C459D" w:rsidRPr="00101C40" w:rsidRDefault="003C459D" w:rsidP="00E56B71">
            <w:pPr>
              <w:jc w:val="center"/>
              <w:rPr>
                <w:rFonts w:ascii="Arial" w:hAnsi="Arial" w:cs="Arial"/>
                <w:b/>
                <w:bCs/>
                <w:color w:val="000000"/>
                <w:sz w:val="16"/>
                <w:szCs w:val="16"/>
              </w:rPr>
            </w:pPr>
            <w:r w:rsidRPr="00101C40">
              <w:rPr>
                <w:rFonts w:ascii="Arial" w:hAnsi="Arial" w:cs="Arial"/>
                <w:b/>
                <w:bCs/>
                <w:color w:val="000000"/>
                <w:sz w:val="16"/>
                <w:szCs w:val="16"/>
              </w:rPr>
              <w:t>590</w:t>
            </w:r>
          </w:p>
        </w:tc>
        <w:tc>
          <w:tcPr>
            <w:tcW w:w="1141" w:type="dxa"/>
            <w:gridSpan w:val="2"/>
            <w:tcBorders>
              <w:top w:val="double" w:sz="6" w:space="0" w:color="009900"/>
              <w:left w:val="nil"/>
              <w:bottom w:val="single" w:sz="4" w:space="0" w:color="009900"/>
              <w:right w:val="nil"/>
            </w:tcBorders>
            <w:shd w:val="clear" w:color="000000" w:fill="FFFFE1"/>
            <w:noWrap/>
            <w:vAlign w:val="center"/>
            <w:hideMark/>
          </w:tcPr>
          <w:p w:rsidR="003C459D" w:rsidRPr="00101C40" w:rsidRDefault="003C459D" w:rsidP="00E56B71">
            <w:pPr>
              <w:jc w:val="center"/>
              <w:rPr>
                <w:rFonts w:ascii="Arial" w:hAnsi="Arial" w:cs="Arial"/>
                <w:b/>
                <w:bCs/>
                <w:color w:val="000000"/>
                <w:sz w:val="16"/>
                <w:szCs w:val="16"/>
              </w:rPr>
            </w:pPr>
            <w:r w:rsidRPr="00101C40">
              <w:rPr>
                <w:rFonts w:ascii="Arial" w:hAnsi="Arial" w:cs="Arial"/>
                <w:b/>
                <w:bCs/>
                <w:color w:val="000000"/>
                <w:sz w:val="16"/>
                <w:szCs w:val="16"/>
              </w:rPr>
              <w:t>931</w:t>
            </w:r>
          </w:p>
        </w:tc>
        <w:tc>
          <w:tcPr>
            <w:tcW w:w="617" w:type="dxa"/>
            <w:gridSpan w:val="2"/>
            <w:tcBorders>
              <w:top w:val="double" w:sz="6" w:space="0" w:color="009900"/>
              <w:left w:val="dotted" w:sz="4" w:space="0" w:color="009900"/>
              <w:bottom w:val="single" w:sz="4" w:space="0" w:color="009900"/>
              <w:right w:val="dotted" w:sz="4" w:space="0" w:color="009900"/>
            </w:tcBorders>
            <w:shd w:val="clear" w:color="000000" w:fill="FFFFE1"/>
            <w:noWrap/>
            <w:vAlign w:val="center"/>
            <w:hideMark/>
          </w:tcPr>
          <w:p w:rsidR="003C459D" w:rsidRPr="00101C40" w:rsidRDefault="003C459D" w:rsidP="00E56B71">
            <w:pPr>
              <w:jc w:val="center"/>
              <w:rPr>
                <w:rFonts w:ascii="Arial" w:hAnsi="Arial" w:cs="Arial"/>
                <w:b/>
                <w:bCs/>
                <w:color w:val="000000"/>
                <w:sz w:val="16"/>
                <w:szCs w:val="16"/>
              </w:rPr>
            </w:pPr>
            <w:r w:rsidRPr="00101C40">
              <w:rPr>
                <w:rFonts w:ascii="Arial" w:hAnsi="Arial" w:cs="Arial"/>
                <w:b/>
                <w:bCs/>
                <w:color w:val="000000"/>
                <w:sz w:val="16"/>
                <w:szCs w:val="16"/>
              </w:rPr>
              <w:t>2,002</w:t>
            </w:r>
          </w:p>
        </w:tc>
        <w:tc>
          <w:tcPr>
            <w:tcW w:w="1213" w:type="dxa"/>
            <w:gridSpan w:val="2"/>
            <w:tcBorders>
              <w:top w:val="double" w:sz="6" w:space="0" w:color="009900"/>
              <w:left w:val="nil"/>
              <w:bottom w:val="single" w:sz="4" w:space="0" w:color="009900"/>
              <w:right w:val="nil"/>
            </w:tcBorders>
            <w:shd w:val="clear" w:color="000000" w:fill="FFFFE1"/>
            <w:noWrap/>
            <w:vAlign w:val="center"/>
            <w:hideMark/>
          </w:tcPr>
          <w:p w:rsidR="003C459D" w:rsidRPr="00101C40" w:rsidRDefault="003C459D" w:rsidP="00E56B71">
            <w:pPr>
              <w:jc w:val="center"/>
              <w:rPr>
                <w:rFonts w:ascii="Arial" w:hAnsi="Arial" w:cs="Arial"/>
                <w:b/>
                <w:bCs/>
                <w:color w:val="000000"/>
                <w:sz w:val="16"/>
                <w:szCs w:val="16"/>
              </w:rPr>
            </w:pPr>
            <w:r w:rsidRPr="00101C40">
              <w:rPr>
                <w:rFonts w:ascii="Arial" w:hAnsi="Arial" w:cs="Arial"/>
                <w:b/>
                <w:bCs/>
                <w:color w:val="000000"/>
                <w:sz w:val="16"/>
                <w:szCs w:val="16"/>
              </w:rPr>
              <w:t>637</w:t>
            </w:r>
          </w:p>
        </w:tc>
        <w:tc>
          <w:tcPr>
            <w:tcW w:w="1123" w:type="dxa"/>
            <w:gridSpan w:val="3"/>
            <w:tcBorders>
              <w:top w:val="double" w:sz="6" w:space="0" w:color="009900"/>
              <w:left w:val="nil"/>
              <w:bottom w:val="single" w:sz="4" w:space="0" w:color="009900"/>
              <w:right w:val="nil"/>
            </w:tcBorders>
            <w:shd w:val="clear" w:color="000000" w:fill="FFFFE1"/>
            <w:noWrap/>
            <w:vAlign w:val="center"/>
            <w:hideMark/>
          </w:tcPr>
          <w:p w:rsidR="003C459D" w:rsidRPr="00101C40" w:rsidRDefault="003C459D" w:rsidP="00E56B71">
            <w:pPr>
              <w:jc w:val="center"/>
              <w:rPr>
                <w:rFonts w:ascii="Arial" w:hAnsi="Arial" w:cs="Arial"/>
                <w:b/>
                <w:bCs/>
                <w:color w:val="000000"/>
                <w:sz w:val="16"/>
                <w:szCs w:val="16"/>
              </w:rPr>
            </w:pPr>
            <w:r w:rsidRPr="00101C40">
              <w:rPr>
                <w:rFonts w:ascii="Arial" w:hAnsi="Arial" w:cs="Arial"/>
                <w:b/>
                <w:bCs/>
                <w:color w:val="000000"/>
                <w:sz w:val="16"/>
                <w:szCs w:val="16"/>
              </w:rPr>
              <w:t>585</w:t>
            </w:r>
          </w:p>
        </w:tc>
        <w:tc>
          <w:tcPr>
            <w:tcW w:w="1141" w:type="dxa"/>
            <w:tcBorders>
              <w:top w:val="double" w:sz="6" w:space="0" w:color="009900"/>
              <w:left w:val="nil"/>
              <w:bottom w:val="single" w:sz="4" w:space="0" w:color="009900"/>
              <w:right w:val="dotted" w:sz="4" w:space="0" w:color="009900"/>
            </w:tcBorders>
            <w:shd w:val="clear" w:color="000000" w:fill="FFFFE1"/>
            <w:noWrap/>
            <w:vAlign w:val="center"/>
            <w:hideMark/>
          </w:tcPr>
          <w:p w:rsidR="003C459D" w:rsidRPr="00101C40" w:rsidRDefault="003C459D" w:rsidP="00E56B71">
            <w:pPr>
              <w:jc w:val="center"/>
              <w:rPr>
                <w:rFonts w:ascii="Arial" w:hAnsi="Arial" w:cs="Arial"/>
                <w:b/>
                <w:bCs/>
                <w:color w:val="000000"/>
                <w:sz w:val="16"/>
                <w:szCs w:val="16"/>
              </w:rPr>
            </w:pPr>
            <w:r w:rsidRPr="00101C40">
              <w:rPr>
                <w:rFonts w:ascii="Arial" w:hAnsi="Arial" w:cs="Arial"/>
                <w:b/>
                <w:bCs/>
                <w:color w:val="000000"/>
                <w:sz w:val="16"/>
                <w:szCs w:val="16"/>
              </w:rPr>
              <w:t>382</w:t>
            </w:r>
          </w:p>
        </w:tc>
        <w:tc>
          <w:tcPr>
            <w:tcW w:w="617" w:type="dxa"/>
            <w:gridSpan w:val="2"/>
            <w:tcBorders>
              <w:top w:val="double" w:sz="6" w:space="0" w:color="009900"/>
              <w:left w:val="nil"/>
              <w:bottom w:val="single" w:sz="4" w:space="0" w:color="009900"/>
              <w:right w:val="dotted" w:sz="4" w:space="0" w:color="009900"/>
            </w:tcBorders>
            <w:shd w:val="clear" w:color="000000" w:fill="FFFFE1"/>
            <w:noWrap/>
            <w:vAlign w:val="center"/>
            <w:hideMark/>
          </w:tcPr>
          <w:p w:rsidR="003C459D" w:rsidRPr="00101C40" w:rsidRDefault="003C459D" w:rsidP="00E56B71">
            <w:pPr>
              <w:jc w:val="center"/>
              <w:rPr>
                <w:rFonts w:ascii="Arial" w:hAnsi="Arial" w:cs="Arial"/>
                <w:b/>
                <w:bCs/>
                <w:color w:val="000000"/>
                <w:sz w:val="16"/>
                <w:szCs w:val="16"/>
              </w:rPr>
            </w:pPr>
            <w:r w:rsidRPr="00101C40">
              <w:rPr>
                <w:rFonts w:ascii="Arial" w:hAnsi="Arial" w:cs="Arial"/>
                <w:b/>
                <w:bCs/>
                <w:color w:val="000000"/>
                <w:sz w:val="16"/>
                <w:szCs w:val="16"/>
              </w:rPr>
              <w:t>1,604</w:t>
            </w:r>
          </w:p>
        </w:tc>
        <w:tc>
          <w:tcPr>
            <w:tcW w:w="1079" w:type="dxa"/>
            <w:gridSpan w:val="3"/>
            <w:tcBorders>
              <w:top w:val="double" w:sz="6" w:space="0" w:color="009900"/>
              <w:left w:val="nil"/>
              <w:bottom w:val="nil"/>
              <w:right w:val="nil"/>
            </w:tcBorders>
            <w:shd w:val="clear" w:color="000000" w:fill="FFFFE1"/>
            <w:noWrap/>
            <w:vAlign w:val="center"/>
            <w:hideMark/>
          </w:tcPr>
          <w:p w:rsidR="003C459D" w:rsidRPr="00101C40" w:rsidRDefault="003C459D" w:rsidP="00E56B71">
            <w:pPr>
              <w:jc w:val="center"/>
              <w:rPr>
                <w:rFonts w:ascii="Arial" w:hAnsi="Arial" w:cs="Arial"/>
                <w:b/>
                <w:bCs/>
                <w:color w:val="000000"/>
                <w:sz w:val="16"/>
                <w:szCs w:val="16"/>
              </w:rPr>
            </w:pPr>
            <w:r w:rsidRPr="00101C40">
              <w:rPr>
                <w:rFonts w:ascii="Arial" w:hAnsi="Arial" w:cs="Arial"/>
                <w:b/>
                <w:bCs/>
                <w:color w:val="000000"/>
                <w:sz w:val="16"/>
                <w:szCs w:val="16"/>
              </w:rPr>
              <w:t>619</w:t>
            </w:r>
          </w:p>
        </w:tc>
        <w:tc>
          <w:tcPr>
            <w:tcW w:w="1123" w:type="dxa"/>
            <w:tcBorders>
              <w:top w:val="double" w:sz="6" w:space="0" w:color="009900"/>
              <w:left w:val="nil"/>
              <w:bottom w:val="nil"/>
              <w:right w:val="nil"/>
            </w:tcBorders>
            <w:shd w:val="clear" w:color="000000" w:fill="FFFFE1"/>
            <w:noWrap/>
            <w:vAlign w:val="center"/>
            <w:hideMark/>
          </w:tcPr>
          <w:p w:rsidR="003C459D" w:rsidRPr="00101C40" w:rsidRDefault="003C459D" w:rsidP="00E56B71">
            <w:pPr>
              <w:jc w:val="center"/>
              <w:rPr>
                <w:rFonts w:ascii="Arial" w:hAnsi="Arial" w:cs="Arial"/>
                <w:b/>
                <w:bCs/>
                <w:color w:val="000000"/>
                <w:sz w:val="16"/>
                <w:szCs w:val="16"/>
              </w:rPr>
            </w:pPr>
            <w:r w:rsidRPr="00101C40">
              <w:rPr>
                <w:rFonts w:ascii="Arial" w:hAnsi="Arial" w:cs="Arial"/>
                <w:b/>
                <w:bCs/>
                <w:color w:val="000000"/>
                <w:sz w:val="16"/>
                <w:szCs w:val="16"/>
              </w:rPr>
              <w:t>408</w:t>
            </w:r>
          </w:p>
        </w:tc>
        <w:tc>
          <w:tcPr>
            <w:tcW w:w="1141" w:type="dxa"/>
            <w:gridSpan w:val="3"/>
            <w:tcBorders>
              <w:top w:val="double" w:sz="6" w:space="0" w:color="009900"/>
              <w:left w:val="nil"/>
              <w:bottom w:val="nil"/>
              <w:right w:val="dotted" w:sz="4" w:space="0" w:color="009900"/>
            </w:tcBorders>
            <w:shd w:val="clear" w:color="000000" w:fill="FFFFE1"/>
            <w:noWrap/>
            <w:vAlign w:val="center"/>
            <w:hideMark/>
          </w:tcPr>
          <w:p w:rsidR="003C459D" w:rsidRPr="00101C40" w:rsidRDefault="003C459D" w:rsidP="00E56B71">
            <w:pPr>
              <w:jc w:val="center"/>
              <w:rPr>
                <w:rFonts w:ascii="Arial" w:hAnsi="Arial" w:cs="Arial"/>
                <w:b/>
                <w:bCs/>
                <w:color w:val="000000"/>
                <w:sz w:val="16"/>
                <w:szCs w:val="16"/>
              </w:rPr>
            </w:pPr>
            <w:r w:rsidRPr="00101C40">
              <w:rPr>
                <w:rFonts w:ascii="Arial" w:hAnsi="Arial" w:cs="Arial"/>
                <w:b/>
                <w:bCs/>
                <w:color w:val="000000"/>
                <w:sz w:val="16"/>
                <w:szCs w:val="16"/>
              </w:rPr>
              <w:t>144</w:t>
            </w:r>
          </w:p>
        </w:tc>
        <w:tc>
          <w:tcPr>
            <w:tcW w:w="617" w:type="dxa"/>
            <w:tcBorders>
              <w:top w:val="double" w:sz="6" w:space="0" w:color="009900"/>
              <w:left w:val="nil"/>
              <w:bottom w:val="nil"/>
              <w:right w:val="single" w:sz="4" w:space="0" w:color="009900"/>
            </w:tcBorders>
            <w:shd w:val="clear" w:color="000000" w:fill="FFFFE1"/>
            <w:noWrap/>
            <w:vAlign w:val="center"/>
            <w:hideMark/>
          </w:tcPr>
          <w:p w:rsidR="003C459D" w:rsidRPr="00101C40" w:rsidRDefault="003C459D" w:rsidP="00E56B71">
            <w:pPr>
              <w:jc w:val="center"/>
              <w:rPr>
                <w:rFonts w:ascii="Arial" w:hAnsi="Arial" w:cs="Arial"/>
                <w:b/>
                <w:bCs/>
                <w:color w:val="000000"/>
                <w:sz w:val="16"/>
                <w:szCs w:val="16"/>
              </w:rPr>
            </w:pPr>
            <w:r w:rsidRPr="00101C40">
              <w:rPr>
                <w:rFonts w:ascii="Arial" w:hAnsi="Arial" w:cs="Arial"/>
                <w:b/>
                <w:bCs/>
                <w:color w:val="000000"/>
                <w:sz w:val="16"/>
                <w:szCs w:val="16"/>
              </w:rPr>
              <w:t>1,171</w:t>
            </w:r>
          </w:p>
        </w:tc>
      </w:tr>
      <w:tr w:rsidR="003C459D" w:rsidRPr="00101C40" w:rsidTr="00D20353">
        <w:trPr>
          <w:trHeight w:val="225"/>
          <w:jc w:val="center"/>
        </w:trPr>
        <w:tc>
          <w:tcPr>
            <w:tcW w:w="1365" w:type="dxa"/>
            <w:gridSpan w:val="2"/>
            <w:tcBorders>
              <w:top w:val="nil"/>
              <w:left w:val="single" w:sz="4" w:space="0" w:color="009900"/>
              <w:bottom w:val="single" w:sz="4" w:space="0" w:color="009900"/>
              <w:right w:val="nil"/>
            </w:tcBorders>
            <w:shd w:val="clear" w:color="000000" w:fill="FFFFE1"/>
            <w:noWrap/>
            <w:vAlign w:val="bottom"/>
            <w:hideMark/>
          </w:tcPr>
          <w:p w:rsidR="003C459D" w:rsidRPr="00101C40" w:rsidRDefault="003C459D" w:rsidP="00E56B71">
            <w:pPr>
              <w:rPr>
                <w:rFonts w:ascii="Arial" w:hAnsi="Arial" w:cs="Arial"/>
                <w:color w:val="000000"/>
                <w:sz w:val="16"/>
                <w:szCs w:val="16"/>
              </w:rPr>
            </w:pPr>
            <w:r w:rsidRPr="00101C40">
              <w:rPr>
                <w:rFonts w:ascii="Arial" w:hAnsi="Arial" w:cs="Arial"/>
                <w:color w:val="000000"/>
                <w:sz w:val="16"/>
                <w:szCs w:val="16"/>
              </w:rPr>
              <w:t>Households</w:t>
            </w:r>
          </w:p>
        </w:tc>
        <w:tc>
          <w:tcPr>
            <w:tcW w:w="1079" w:type="dxa"/>
            <w:tcBorders>
              <w:top w:val="nil"/>
              <w:left w:val="nil"/>
              <w:bottom w:val="single" w:sz="4" w:space="0" w:color="009900"/>
              <w:right w:val="nil"/>
            </w:tcBorders>
            <w:shd w:val="clear" w:color="000000" w:fill="FFFFE1"/>
            <w:noWrap/>
            <w:vAlign w:val="center"/>
            <w:hideMark/>
          </w:tcPr>
          <w:p w:rsidR="003C459D" w:rsidRPr="00101C40" w:rsidRDefault="003C459D" w:rsidP="00E56B71">
            <w:pPr>
              <w:jc w:val="center"/>
              <w:rPr>
                <w:rFonts w:ascii="Arial" w:hAnsi="Arial" w:cs="Arial"/>
                <w:color w:val="000000"/>
                <w:sz w:val="16"/>
                <w:szCs w:val="16"/>
              </w:rPr>
            </w:pPr>
            <w:r w:rsidRPr="00101C40">
              <w:rPr>
                <w:rFonts w:ascii="Arial" w:hAnsi="Arial" w:cs="Arial"/>
                <w:color w:val="000000"/>
                <w:sz w:val="16"/>
                <w:szCs w:val="16"/>
              </w:rPr>
              <w:t>412</w:t>
            </w:r>
          </w:p>
        </w:tc>
        <w:tc>
          <w:tcPr>
            <w:tcW w:w="1123" w:type="dxa"/>
            <w:tcBorders>
              <w:top w:val="nil"/>
              <w:left w:val="nil"/>
              <w:bottom w:val="single" w:sz="4" w:space="0" w:color="009900"/>
              <w:right w:val="nil"/>
            </w:tcBorders>
            <w:shd w:val="clear" w:color="000000" w:fill="FFFFE1"/>
            <w:noWrap/>
            <w:vAlign w:val="center"/>
            <w:hideMark/>
          </w:tcPr>
          <w:p w:rsidR="003C459D" w:rsidRPr="00101C40" w:rsidRDefault="003C459D" w:rsidP="00E56B71">
            <w:pPr>
              <w:jc w:val="center"/>
              <w:rPr>
                <w:rFonts w:ascii="Arial" w:hAnsi="Arial" w:cs="Arial"/>
                <w:color w:val="000000"/>
                <w:sz w:val="16"/>
                <w:szCs w:val="16"/>
              </w:rPr>
            </w:pPr>
            <w:r w:rsidRPr="00101C40">
              <w:rPr>
                <w:rFonts w:ascii="Arial" w:hAnsi="Arial" w:cs="Arial"/>
                <w:color w:val="000000"/>
                <w:sz w:val="16"/>
                <w:szCs w:val="16"/>
              </w:rPr>
              <w:t>346</w:t>
            </w:r>
          </w:p>
        </w:tc>
        <w:tc>
          <w:tcPr>
            <w:tcW w:w="1141" w:type="dxa"/>
            <w:gridSpan w:val="2"/>
            <w:tcBorders>
              <w:top w:val="nil"/>
              <w:left w:val="nil"/>
              <w:bottom w:val="single" w:sz="4" w:space="0" w:color="009900"/>
              <w:right w:val="nil"/>
            </w:tcBorders>
            <w:shd w:val="clear" w:color="000000" w:fill="FFFFE1"/>
            <w:noWrap/>
            <w:vAlign w:val="center"/>
            <w:hideMark/>
          </w:tcPr>
          <w:p w:rsidR="003C459D" w:rsidRPr="00101C40" w:rsidRDefault="003C459D" w:rsidP="00E56B71">
            <w:pPr>
              <w:jc w:val="center"/>
              <w:rPr>
                <w:rFonts w:ascii="Arial" w:hAnsi="Arial" w:cs="Arial"/>
                <w:color w:val="000000"/>
                <w:sz w:val="16"/>
                <w:szCs w:val="16"/>
              </w:rPr>
            </w:pPr>
            <w:r w:rsidRPr="00101C40">
              <w:rPr>
                <w:rFonts w:ascii="Arial" w:hAnsi="Arial" w:cs="Arial"/>
                <w:color w:val="000000"/>
                <w:sz w:val="16"/>
                <w:szCs w:val="16"/>
              </w:rPr>
              <w:t>726</w:t>
            </w:r>
          </w:p>
        </w:tc>
        <w:tc>
          <w:tcPr>
            <w:tcW w:w="617" w:type="dxa"/>
            <w:gridSpan w:val="2"/>
            <w:tcBorders>
              <w:top w:val="nil"/>
              <w:left w:val="dotted" w:sz="4" w:space="0" w:color="009900"/>
              <w:bottom w:val="single" w:sz="4" w:space="0" w:color="009900"/>
              <w:right w:val="dotted" w:sz="4" w:space="0" w:color="009900"/>
            </w:tcBorders>
            <w:shd w:val="clear" w:color="000000" w:fill="FFFFE1"/>
            <w:noWrap/>
            <w:vAlign w:val="center"/>
            <w:hideMark/>
          </w:tcPr>
          <w:p w:rsidR="003C459D" w:rsidRPr="00101C40" w:rsidRDefault="003C459D" w:rsidP="00E56B71">
            <w:pPr>
              <w:jc w:val="center"/>
              <w:rPr>
                <w:rFonts w:ascii="Arial" w:hAnsi="Arial" w:cs="Arial"/>
                <w:color w:val="000000"/>
                <w:sz w:val="16"/>
                <w:szCs w:val="16"/>
              </w:rPr>
            </w:pPr>
            <w:r w:rsidRPr="00101C40">
              <w:rPr>
                <w:rFonts w:ascii="Arial" w:hAnsi="Arial" w:cs="Arial"/>
                <w:color w:val="000000"/>
                <w:sz w:val="16"/>
                <w:szCs w:val="16"/>
              </w:rPr>
              <w:t>1,484</w:t>
            </w:r>
          </w:p>
        </w:tc>
        <w:tc>
          <w:tcPr>
            <w:tcW w:w="1213" w:type="dxa"/>
            <w:gridSpan w:val="2"/>
            <w:tcBorders>
              <w:top w:val="nil"/>
              <w:left w:val="nil"/>
              <w:bottom w:val="single" w:sz="4" w:space="0" w:color="009900"/>
              <w:right w:val="nil"/>
            </w:tcBorders>
            <w:shd w:val="clear" w:color="000000" w:fill="FFFFE1"/>
            <w:noWrap/>
            <w:vAlign w:val="center"/>
            <w:hideMark/>
          </w:tcPr>
          <w:p w:rsidR="003C459D" w:rsidRPr="00101C40" w:rsidRDefault="003C459D" w:rsidP="00E56B71">
            <w:pPr>
              <w:jc w:val="center"/>
              <w:rPr>
                <w:rFonts w:ascii="Arial" w:hAnsi="Arial" w:cs="Arial"/>
                <w:color w:val="000000"/>
                <w:sz w:val="16"/>
                <w:szCs w:val="16"/>
              </w:rPr>
            </w:pPr>
            <w:r w:rsidRPr="00101C40">
              <w:rPr>
                <w:rFonts w:ascii="Arial" w:hAnsi="Arial" w:cs="Arial"/>
                <w:color w:val="000000"/>
                <w:sz w:val="16"/>
                <w:szCs w:val="16"/>
              </w:rPr>
              <w:t>544</w:t>
            </w:r>
          </w:p>
        </w:tc>
        <w:tc>
          <w:tcPr>
            <w:tcW w:w="1123" w:type="dxa"/>
            <w:gridSpan w:val="3"/>
            <w:tcBorders>
              <w:top w:val="nil"/>
              <w:left w:val="nil"/>
              <w:bottom w:val="single" w:sz="4" w:space="0" w:color="009900"/>
              <w:right w:val="nil"/>
            </w:tcBorders>
            <w:shd w:val="clear" w:color="000000" w:fill="FFFFE1"/>
            <w:noWrap/>
            <w:vAlign w:val="center"/>
            <w:hideMark/>
          </w:tcPr>
          <w:p w:rsidR="003C459D" w:rsidRPr="00101C40" w:rsidRDefault="003C459D" w:rsidP="00E56B71">
            <w:pPr>
              <w:jc w:val="center"/>
              <w:rPr>
                <w:rFonts w:ascii="Arial" w:hAnsi="Arial" w:cs="Arial"/>
                <w:color w:val="000000"/>
                <w:sz w:val="16"/>
                <w:szCs w:val="16"/>
              </w:rPr>
            </w:pPr>
            <w:r w:rsidRPr="00101C40">
              <w:rPr>
                <w:rFonts w:ascii="Arial" w:hAnsi="Arial" w:cs="Arial"/>
                <w:color w:val="000000"/>
                <w:sz w:val="16"/>
                <w:szCs w:val="16"/>
              </w:rPr>
              <w:t>285</w:t>
            </w:r>
          </w:p>
        </w:tc>
        <w:tc>
          <w:tcPr>
            <w:tcW w:w="1141" w:type="dxa"/>
            <w:tcBorders>
              <w:top w:val="nil"/>
              <w:left w:val="nil"/>
              <w:bottom w:val="single" w:sz="4" w:space="0" w:color="009900"/>
              <w:right w:val="dotted" w:sz="4" w:space="0" w:color="009900"/>
            </w:tcBorders>
            <w:shd w:val="clear" w:color="000000" w:fill="FFFFE1"/>
            <w:noWrap/>
            <w:vAlign w:val="center"/>
            <w:hideMark/>
          </w:tcPr>
          <w:p w:rsidR="003C459D" w:rsidRPr="00101C40" w:rsidRDefault="003C459D" w:rsidP="00E56B71">
            <w:pPr>
              <w:jc w:val="center"/>
              <w:rPr>
                <w:rFonts w:ascii="Arial" w:hAnsi="Arial" w:cs="Arial"/>
                <w:color w:val="000000"/>
                <w:sz w:val="16"/>
                <w:szCs w:val="16"/>
              </w:rPr>
            </w:pPr>
            <w:r w:rsidRPr="00101C40">
              <w:rPr>
                <w:rFonts w:ascii="Arial" w:hAnsi="Arial" w:cs="Arial"/>
                <w:color w:val="000000"/>
                <w:sz w:val="16"/>
                <w:szCs w:val="16"/>
              </w:rPr>
              <w:t>272</w:t>
            </w:r>
          </w:p>
        </w:tc>
        <w:tc>
          <w:tcPr>
            <w:tcW w:w="617" w:type="dxa"/>
            <w:gridSpan w:val="2"/>
            <w:tcBorders>
              <w:top w:val="nil"/>
              <w:left w:val="nil"/>
              <w:bottom w:val="single" w:sz="4" w:space="0" w:color="009900"/>
              <w:right w:val="dotted" w:sz="4" w:space="0" w:color="009900"/>
            </w:tcBorders>
            <w:shd w:val="clear" w:color="000000" w:fill="FFFFE1"/>
            <w:noWrap/>
            <w:vAlign w:val="center"/>
            <w:hideMark/>
          </w:tcPr>
          <w:p w:rsidR="003C459D" w:rsidRPr="00101C40" w:rsidRDefault="003C459D" w:rsidP="00E56B71">
            <w:pPr>
              <w:jc w:val="center"/>
              <w:rPr>
                <w:rFonts w:ascii="Arial" w:hAnsi="Arial" w:cs="Arial"/>
                <w:color w:val="000000"/>
                <w:sz w:val="16"/>
                <w:szCs w:val="16"/>
              </w:rPr>
            </w:pPr>
            <w:r w:rsidRPr="00101C40">
              <w:rPr>
                <w:rFonts w:ascii="Arial" w:hAnsi="Arial" w:cs="Arial"/>
                <w:color w:val="000000"/>
                <w:sz w:val="16"/>
                <w:szCs w:val="16"/>
              </w:rPr>
              <w:t>1,101</w:t>
            </w:r>
          </w:p>
        </w:tc>
        <w:tc>
          <w:tcPr>
            <w:tcW w:w="1079" w:type="dxa"/>
            <w:gridSpan w:val="3"/>
            <w:tcBorders>
              <w:top w:val="single" w:sz="4" w:space="0" w:color="009900"/>
              <w:left w:val="nil"/>
              <w:bottom w:val="single" w:sz="4" w:space="0" w:color="009900"/>
              <w:right w:val="nil"/>
            </w:tcBorders>
            <w:shd w:val="clear" w:color="000000" w:fill="FFFFE1"/>
            <w:noWrap/>
            <w:vAlign w:val="center"/>
            <w:hideMark/>
          </w:tcPr>
          <w:p w:rsidR="003C459D" w:rsidRPr="00101C40" w:rsidRDefault="003C459D" w:rsidP="00E56B71">
            <w:pPr>
              <w:jc w:val="center"/>
              <w:rPr>
                <w:rFonts w:ascii="Arial" w:hAnsi="Arial" w:cs="Arial"/>
                <w:color w:val="000000"/>
                <w:sz w:val="16"/>
                <w:szCs w:val="16"/>
              </w:rPr>
            </w:pPr>
            <w:r w:rsidRPr="00101C40">
              <w:rPr>
                <w:rFonts w:ascii="Arial" w:hAnsi="Arial" w:cs="Arial"/>
                <w:color w:val="000000"/>
                <w:sz w:val="16"/>
                <w:szCs w:val="16"/>
              </w:rPr>
              <w:t>537</w:t>
            </w:r>
          </w:p>
        </w:tc>
        <w:tc>
          <w:tcPr>
            <w:tcW w:w="1123" w:type="dxa"/>
            <w:tcBorders>
              <w:top w:val="single" w:sz="4" w:space="0" w:color="009900"/>
              <w:left w:val="nil"/>
              <w:bottom w:val="single" w:sz="4" w:space="0" w:color="009900"/>
              <w:right w:val="nil"/>
            </w:tcBorders>
            <w:shd w:val="clear" w:color="000000" w:fill="FFFFE1"/>
            <w:noWrap/>
            <w:vAlign w:val="center"/>
            <w:hideMark/>
          </w:tcPr>
          <w:p w:rsidR="003C459D" w:rsidRPr="00101C40" w:rsidRDefault="003C459D" w:rsidP="00E56B71">
            <w:pPr>
              <w:jc w:val="center"/>
              <w:rPr>
                <w:rFonts w:ascii="Arial" w:hAnsi="Arial" w:cs="Arial"/>
                <w:color w:val="000000"/>
                <w:sz w:val="16"/>
                <w:szCs w:val="16"/>
              </w:rPr>
            </w:pPr>
            <w:r w:rsidRPr="00101C40">
              <w:rPr>
                <w:rFonts w:ascii="Arial" w:hAnsi="Arial" w:cs="Arial"/>
                <w:color w:val="000000"/>
                <w:sz w:val="16"/>
                <w:szCs w:val="16"/>
              </w:rPr>
              <w:t>254</w:t>
            </w:r>
          </w:p>
        </w:tc>
        <w:tc>
          <w:tcPr>
            <w:tcW w:w="1141" w:type="dxa"/>
            <w:gridSpan w:val="3"/>
            <w:tcBorders>
              <w:top w:val="single" w:sz="4" w:space="0" w:color="009900"/>
              <w:left w:val="nil"/>
              <w:bottom w:val="single" w:sz="4" w:space="0" w:color="009900"/>
              <w:right w:val="dotted" w:sz="4" w:space="0" w:color="009900"/>
            </w:tcBorders>
            <w:shd w:val="clear" w:color="000000" w:fill="FFFFE1"/>
            <w:noWrap/>
            <w:vAlign w:val="center"/>
            <w:hideMark/>
          </w:tcPr>
          <w:p w:rsidR="003C459D" w:rsidRPr="00101C40" w:rsidRDefault="003C459D" w:rsidP="00E56B71">
            <w:pPr>
              <w:jc w:val="center"/>
              <w:rPr>
                <w:rFonts w:ascii="Arial" w:hAnsi="Arial" w:cs="Arial"/>
                <w:color w:val="000000"/>
                <w:sz w:val="16"/>
                <w:szCs w:val="16"/>
              </w:rPr>
            </w:pPr>
            <w:r w:rsidRPr="00101C40">
              <w:rPr>
                <w:rFonts w:ascii="Arial" w:hAnsi="Arial" w:cs="Arial"/>
                <w:color w:val="000000"/>
                <w:sz w:val="16"/>
                <w:szCs w:val="16"/>
              </w:rPr>
              <w:t>112</w:t>
            </w:r>
          </w:p>
        </w:tc>
        <w:tc>
          <w:tcPr>
            <w:tcW w:w="617" w:type="dxa"/>
            <w:tcBorders>
              <w:top w:val="single" w:sz="4" w:space="0" w:color="009900"/>
              <w:left w:val="nil"/>
              <w:bottom w:val="single" w:sz="4" w:space="0" w:color="009900"/>
              <w:right w:val="single" w:sz="4" w:space="0" w:color="009900"/>
            </w:tcBorders>
            <w:shd w:val="clear" w:color="000000" w:fill="FFFFE1"/>
            <w:noWrap/>
            <w:vAlign w:val="center"/>
            <w:hideMark/>
          </w:tcPr>
          <w:p w:rsidR="003C459D" w:rsidRPr="00101C40" w:rsidRDefault="003C459D" w:rsidP="00E56B71">
            <w:pPr>
              <w:jc w:val="center"/>
              <w:rPr>
                <w:rFonts w:ascii="Arial" w:hAnsi="Arial" w:cs="Arial"/>
                <w:color w:val="000000"/>
                <w:sz w:val="16"/>
                <w:szCs w:val="16"/>
              </w:rPr>
            </w:pPr>
            <w:r w:rsidRPr="00101C40">
              <w:rPr>
                <w:rFonts w:ascii="Arial" w:hAnsi="Arial" w:cs="Arial"/>
                <w:color w:val="000000"/>
                <w:sz w:val="16"/>
                <w:szCs w:val="16"/>
              </w:rPr>
              <w:t>903</w:t>
            </w:r>
          </w:p>
        </w:tc>
      </w:tr>
    </w:tbl>
    <w:p w:rsidR="003B166C" w:rsidRDefault="003B166C">
      <w:pPr>
        <w:rPr>
          <w:rFonts w:ascii="CG Omega" w:hAnsi="CG Omega"/>
          <w:highlight w:val="yellow"/>
        </w:rPr>
      </w:pPr>
      <w:r>
        <w:rPr>
          <w:rFonts w:ascii="CG Omega" w:hAnsi="CG Omega"/>
          <w:highlight w:val="yellow"/>
        </w:rPr>
        <w:br w:type="page"/>
      </w:r>
    </w:p>
    <w:p w:rsidR="003C459D" w:rsidRDefault="003C459D" w:rsidP="003C459D">
      <w:pPr>
        <w:jc w:val="both"/>
        <w:rPr>
          <w:rFonts w:ascii="CG Omega" w:hAnsi="CG Omega"/>
          <w:highlight w:val="yellow"/>
        </w:rPr>
        <w:sectPr w:rsidR="003C459D" w:rsidSect="00E56B71">
          <w:pgSz w:w="15840" w:h="12240" w:orient="landscape"/>
          <w:pgMar w:top="1440" w:right="1440" w:bottom="1440" w:left="1440" w:header="720" w:footer="720" w:gutter="0"/>
          <w:cols w:space="720"/>
          <w:docGrid w:linePitch="360"/>
        </w:sectPr>
      </w:pPr>
    </w:p>
    <w:p w:rsidR="003C459D" w:rsidRPr="0081247E" w:rsidRDefault="003C459D" w:rsidP="003C459D">
      <w:pPr>
        <w:jc w:val="both"/>
        <w:rPr>
          <w:rFonts w:ascii="CG Omega" w:hAnsi="CG Omega"/>
        </w:rPr>
      </w:pPr>
      <w:r w:rsidRPr="00873BBD">
        <w:rPr>
          <w:rFonts w:ascii="CG Omega" w:hAnsi="CG Omega"/>
        </w:rPr>
        <w:t xml:space="preserve">Persons interviewed as part of the point in time count were also asked if they were veterans of the armed services. </w:t>
      </w:r>
      <w:r w:rsidRPr="009918C5">
        <w:rPr>
          <w:rFonts w:ascii="CG Omega" w:hAnsi="CG Omega"/>
        </w:rPr>
        <w:t xml:space="preserve">As seen in </w:t>
      </w:r>
      <w:r w:rsidRPr="00A400B5">
        <w:rPr>
          <w:rFonts w:ascii="CG Omega" w:hAnsi="CG Omega"/>
          <w:b/>
        </w:rPr>
        <w:t>Table</w:t>
      </w:r>
      <w:r w:rsidR="00832AB3" w:rsidRPr="00A400B5">
        <w:rPr>
          <w:rFonts w:ascii="CG Omega" w:hAnsi="CG Omega"/>
          <w:b/>
        </w:rPr>
        <w:t xml:space="preserve"> V.1</w:t>
      </w:r>
      <w:r w:rsidR="000155B6" w:rsidRPr="00A400B5">
        <w:rPr>
          <w:rFonts w:ascii="CG Omega" w:hAnsi="CG Omega"/>
          <w:b/>
        </w:rPr>
        <w:t>0</w:t>
      </w:r>
      <w:r w:rsidRPr="00832AB3">
        <w:rPr>
          <w:rFonts w:ascii="CG Omega" w:hAnsi="CG Omega"/>
        </w:rPr>
        <w:t xml:space="preserve">, below, </w:t>
      </w:r>
      <w:r>
        <w:rPr>
          <w:rFonts w:ascii="CG Omega" w:hAnsi="CG Omega"/>
        </w:rPr>
        <w:t>243</w:t>
      </w:r>
      <w:r w:rsidRPr="007C0258">
        <w:rPr>
          <w:rFonts w:ascii="CG Omega" w:hAnsi="CG Omega"/>
        </w:rPr>
        <w:t xml:space="preserve"> or </w:t>
      </w:r>
      <w:r>
        <w:rPr>
          <w:rFonts w:ascii="CG Omega" w:hAnsi="CG Omega"/>
        </w:rPr>
        <w:t>8.6 percent</w:t>
      </w:r>
      <w:r w:rsidRPr="007C0258">
        <w:rPr>
          <w:rFonts w:ascii="CG Omega" w:hAnsi="CG Omega"/>
        </w:rPr>
        <w:t xml:space="preserve"> of the persons counted were veterans of the armed services</w:t>
      </w:r>
      <w:r>
        <w:rPr>
          <w:rFonts w:ascii="CG Omega" w:hAnsi="CG Omega"/>
        </w:rPr>
        <w:t xml:space="preserve"> throughout the state during the 2013 point-in-time counts</w:t>
      </w:r>
      <w:r w:rsidRPr="007C0258">
        <w:rPr>
          <w:rFonts w:ascii="CG Omega" w:hAnsi="CG Omega"/>
        </w:rPr>
        <w:t xml:space="preserve">. </w:t>
      </w:r>
      <w:r>
        <w:rPr>
          <w:rFonts w:ascii="CG Omega" w:hAnsi="CG Omega"/>
        </w:rPr>
        <w:t>This number is a decrease in numbers from the 2009 count, with 384 veterans or 11.1 pe</w:t>
      </w:r>
      <w:r w:rsidR="002F6C02">
        <w:rPr>
          <w:rFonts w:ascii="CG Omega" w:hAnsi="CG Omega"/>
        </w:rPr>
        <w:t xml:space="preserve">rcent of the persons counted.  </w:t>
      </w:r>
      <w:r w:rsidR="000E7144">
        <w:rPr>
          <w:rFonts w:ascii="CG Omega" w:hAnsi="CG Omega" w:cs="CGOmega"/>
        </w:rPr>
        <w:t>According to the Department of Housing and Urban Development’s 2013 Annual Homeless Assessment Report, veterans account for just over 12 percent of all homeless adults in the United States, with an average of 60 percent being sheltered during 2013 counts across the nation.</w:t>
      </w:r>
      <w:r w:rsidR="000E7144">
        <w:rPr>
          <w:rStyle w:val="FootnoteReference"/>
          <w:rFonts w:ascii="CG Omega" w:hAnsi="CG Omega" w:cs="CGOmega"/>
        </w:rPr>
        <w:footnoteReference w:id="52"/>
      </w:r>
      <w:r w:rsidR="000E7144">
        <w:rPr>
          <w:rFonts w:ascii="CG Omega" w:hAnsi="CG Omega" w:cs="CGOmega"/>
        </w:rPr>
        <w:t xml:space="preserve">  </w:t>
      </w:r>
    </w:p>
    <w:p w:rsidR="003C459D" w:rsidRPr="00A400B5" w:rsidRDefault="003C459D" w:rsidP="003C459D">
      <w:pPr>
        <w:jc w:val="both"/>
        <w:rPr>
          <w:rFonts w:ascii="CG Omega" w:hAnsi="CG Omega"/>
          <w:sz w:val="22"/>
          <w:szCs w:val="22"/>
          <w:highlight w:val="yellow"/>
        </w:rPr>
      </w:pPr>
    </w:p>
    <w:tbl>
      <w:tblPr>
        <w:tblW w:w="6133" w:type="dxa"/>
        <w:jc w:val="center"/>
        <w:tblLook w:val="04A0" w:firstRow="1" w:lastRow="0" w:firstColumn="1" w:lastColumn="0" w:noHBand="0" w:noVBand="1"/>
      </w:tblPr>
      <w:tblGrid>
        <w:gridCol w:w="3370"/>
        <w:gridCol w:w="921"/>
        <w:gridCol w:w="921"/>
        <w:gridCol w:w="921"/>
      </w:tblGrid>
      <w:tr w:rsidR="003C459D" w:rsidRPr="008142A7" w:rsidTr="00E56B71">
        <w:trPr>
          <w:trHeight w:val="300"/>
          <w:jc w:val="center"/>
        </w:trPr>
        <w:tc>
          <w:tcPr>
            <w:tcW w:w="6133" w:type="dxa"/>
            <w:gridSpan w:val="4"/>
            <w:tcBorders>
              <w:top w:val="nil"/>
              <w:left w:val="nil"/>
              <w:bottom w:val="nil"/>
              <w:right w:val="nil"/>
            </w:tcBorders>
            <w:shd w:val="clear" w:color="auto" w:fill="auto"/>
            <w:noWrap/>
            <w:vAlign w:val="center"/>
            <w:hideMark/>
          </w:tcPr>
          <w:p w:rsidR="003C459D" w:rsidRPr="008142A7" w:rsidRDefault="003C459D" w:rsidP="000155B6">
            <w:pPr>
              <w:jc w:val="center"/>
              <w:rPr>
                <w:rFonts w:ascii="Arial" w:hAnsi="Arial" w:cs="Arial"/>
                <w:b/>
                <w:bCs/>
                <w:color w:val="000000"/>
              </w:rPr>
            </w:pPr>
            <w:r w:rsidRPr="008142A7">
              <w:rPr>
                <w:rFonts w:ascii="Arial" w:hAnsi="Arial" w:cs="Arial"/>
                <w:b/>
                <w:bCs/>
                <w:color w:val="000000"/>
              </w:rPr>
              <w:t>Table</w:t>
            </w:r>
            <w:r w:rsidR="00832AB3">
              <w:rPr>
                <w:rFonts w:ascii="Arial" w:hAnsi="Arial" w:cs="Arial"/>
                <w:b/>
                <w:bCs/>
                <w:color w:val="000000"/>
              </w:rPr>
              <w:t xml:space="preserve"> V.1</w:t>
            </w:r>
            <w:r w:rsidR="000155B6">
              <w:rPr>
                <w:rFonts w:ascii="Arial" w:hAnsi="Arial" w:cs="Arial"/>
                <w:b/>
                <w:bCs/>
                <w:color w:val="000000"/>
              </w:rPr>
              <w:t>0</w:t>
            </w:r>
          </w:p>
        </w:tc>
      </w:tr>
      <w:tr w:rsidR="003C459D" w:rsidRPr="008142A7" w:rsidTr="00E56B71">
        <w:trPr>
          <w:trHeight w:val="300"/>
          <w:jc w:val="center"/>
        </w:trPr>
        <w:tc>
          <w:tcPr>
            <w:tcW w:w="6133" w:type="dxa"/>
            <w:gridSpan w:val="4"/>
            <w:tcBorders>
              <w:top w:val="nil"/>
              <w:left w:val="nil"/>
              <w:bottom w:val="nil"/>
              <w:right w:val="nil"/>
            </w:tcBorders>
            <w:shd w:val="clear" w:color="auto" w:fill="auto"/>
            <w:noWrap/>
            <w:vAlign w:val="center"/>
            <w:hideMark/>
          </w:tcPr>
          <w:p w:rsidR="003C459D" w:rsidRDefault="003C459D" w:rsidP="00E56B71">
            <w:pPr>
              <w:jc w:val="center"/>
              <w:rPr>
                <w:rFonts w:ascii="Arial" w:hAnsi="Arial" w:cs="Arial"/>
                <w:b/>
                <w:bCs/>
                <w:color w:val="000000"/>
                <w:sz w:val="18"/>
                <w:szCs w:val="18"/>
              </w:rPr>
            </w:pPr>
            <w:r w:rsidRPr="008142A7">
              <w:rPr>
                <w:rFonts w:ascii="Arial" w:hAnsi="Arial" w:cs="Arial"/>
                <w:b/>
                <w:bCs/>
                <w:color w:val="000000"/>
                <w:sz w:val="18"/>
                <w:szCs w:val="18"/>
              </w:rPr>
              <w:t xml:space="preserve">Characteristics of New Mexico Homeless Population, </w:t>
            </w:r>
          </w:p>
          <w:p w:rsidR="003C459D" w:rsidRPr="008142A7" w:rsidRDefault="003C459D" w:rsidP="00E56B71">
            <w:pPr>
              <w:jc w:val="center"/>
              <w:rPr>
                <w:rFonts w:ascii="Arial" w:hAnsi="Arial" w:cs="Arial"/>
                <w:b/>
                <w:bCs/>
                <w:color w:val="000000"/>
                <w:sz w:val="18"/>
                <w:szCs w:val="18"/>
              </w:rPr>
            </w:pPr>
            <w:r w:rsidRPr="008142A7">
              <w:rPr>
                <w:rFonts w:ascii="Arial" w:hAnsi="Arial" w:cs="Arial"/>
                <w:b/>
                <w:bCs/>
                <w:color w:val="000000"/>
                <w:sz w:val="18"/>
                <w:szCs w:val="18"/>
              </w:rPr>
              <w:t>by Veteran Status</w:t>
            </w:r>
            <w:r w:rsidR="00744B0B">
              <w:rPr>
                <w:rStyle w:val="FootnoteReference"/>
                <w:rFonts w:ascii="Arial" w:hAnsi="Arial" w:cs="Arial"/>
                <w:b/>
                <w:bCs/>
                <w:color w:val="000000"/>
                <w:sz w:val="18"/>
                <w:szCs w:val="18"/>
              </w:rPr>
              <w:footnoteReference w:id="53"/>
            </w:r>
          </w:p>
        </w:tc>
      </w:tr>
      <w:tr w:rsidR="003C459D" w:rsidRPr="008142A7" w:rsidTr="00E56B71">
        <w:trPr>
          <w:trHeight w:val="165"/>
          <w:jc w:val="center"/>
        </w:trPr>
        <w:tc>
          <w:tcPr>
            <w:tcW w:w="6133" w:type="dxa"/>
            <w:gridSpan w:val="4"/>
            <w:tcBorders>
              <w:top w:val="nil"/>
              <w:left w:val="nil"/>
              <w:bottom w:val="nil"/>
              <w:right w:val="nil"/>
            </w:tcBorders>
            <w:shd w:val="clear" w:color="auto" w:fill="auto"/>
            <w:noWrap/>
            <w:vAlign w:val="center"/>
            <w:hideMark/>
          </w:tcPr>
          <w:p w:rsidR="003C459D" w:rsidRPr="008142A7" w:rsidRDefault="003C459D" w:rsidP="00961492">
            <w:pPr>
              <w:jc w:val="center"/>
              <w:rPr>
                <w:rFonts w:ascii="Arial" w:hAnsi="Arial" w:cs="Arial"/>
                <w:color w:val="000000"/>
                <w:sz w:val="16"/>
                <w:szCs w:val="16"/>
              </w:rPr>
            </w:pPr>
            <w:r>
              <w:rPr>
                <w:rFonts w:ascii="Arial" w:hAnsi="Arial" w:cs="Arial"/>
                <w:color w:val="000000"/>
                <w:sz w:val="16"/>
                <w:szCs w:val="16"/>
              </w:rPr>
              <w:t xml:space="preserve">The </w:t>
            </w:r>
            <w:r w:rsidRPr="008142A7">
              <w:rPr>
                <w:rFonts w:ascii="Arial" w:hAnsi="Arial" w:cs="Arial"/>
                <w:color w:val="000000"/>
                <w:sz w:val="16"/>
                <w:szCs w:val="16"/>
              </w:rPr>
              <w:t>State of New Mexico</w:t>
            </w:r>
          </w:p>
        </w:tc>
      </w:tr>
      <w:tr w:rsidR="003C459D" w:rsidRPr="008142A7" w:rsidTr="00E56B71">
        <w:trPr>
          <w:trHeight w:val="198"/>
          <w:jc w:val="center"/>
        </w:trPr>
        <w:tc>
          <w:tcPr>
            <w:tcW w:w="6133" w:type="dxa"/>
            <w:gridSpan w:val="4"/>
            <w:tcBorders>
              <w:top w:val="nil"/>
              <w:left w:val="nil"/>
              <w:bottom w:val="single" w:sz="8" w:space="0" w:color="009900"/>
              <w:right w:val="nil"/>
            </w:tcBorders>
            <w:shd w:val="clear" w:color="auto" w:fill="auto"/>
            <w:noWrap/>
            <w:vAlign w:val="center"/>
            <w:hideMark/>
          </w:tcPr>
          <w:p w:rsidR="003C459D" w:rsidRPr="008142A7" w:rsidRDefault="003C459D" w:rsidP="00E56B71">
            <w:pPr>
              <w:jc w:val="center"/>
              <w:rPr>
                <w:rFonts w:ascii="Arial" w:hAnsi="Arial" w:cs="Arial"/>
                <w:color w:val="000000"/>
                <w:sz w:val="16"/>
                <w:szCs w:val="16"/>
              </w:rPr>
            </w:pPr>
            <w:r w:rsidRPr="008142A7">
              <w:rPr>
                <w:rFonts w:ascii="Arial" w:hAnsi="Arial" w:cs="Arial"/>
                <w:color w:val="000000"/>
                <w:sz w:val="16"/>
                <w:szCs w:val="16"/>
              </w:rPr>
              <w:t>US Department of Housing and Urban Development</w:t>
            </w:r>
            <w:r w:rsidR="00405F93">
              <w:rPr>
                <w:rFonts w:ascii="Arial" w:hAnsi="Arial" w:cs="Arial"/>
                <w:color w:val="000000"/>
                <w:sz w:val="16"/>
                <w:szCs w:val="16"/>
              </w:rPr>
              <w:t xml:space="preserve"> 2014</w:t>
            </w:r>
          </w:p>
        </w:tc>
      </w:tr>
      <w:tr w:rsidR="003C459D" w:rsidRPr="008142A7" w:rsidTr="00E56B71">
        <w:trPr>
          <w:trHeight w:val="315"/>
          <w:jc w:val="center"/>
        </w:trPr>
        <w:tc>
          <w:tcPr>
            <w:tcW w:w="3370" w:type="dxa"/>
            <w:tcBorders>
              <w:top w:val="nil"/>
              <w:left w:val="single" w:sz="8" w:space="0" w:color="009900"/>
              <w:bottom w:val="single" w:sz="8" w:space="0" w:color="009900"/>
              <w:right w:val="nil"/>
            </w:tcBorders>
            <w:shd w:val="clear" w:color="000000" w:fill="FFFFE1"/>
            <w:noWrap/>
            <w:vAlign w:val="center"/>
            <w:hideMark/>
          </w:tcPr>
          <w:p w:rsidR="003C459D" w:rsidRPr="008142A7" w:rsidRDefault="003C459D" w:rsidP="00E56B71">
            <w:pPr>
              <w:rPr>
                <w:rFonts w:ascii="Arial" w:hAnsi="Arial" w:cs="Arial"/>
                <w:b/>
                <w:bCs/>
                <w:color w:val="000000"/>
                <w:sz w:val="16"/>
                <w:szCs w:val="16"/>
              </w:rPr>
            </w:pPr>
            <w:r w:rsidRPr="008142A7">
              <w:rPr>
                <w:rFonts w:ascii="Arial" w:hAnsi="Arial" w:cs="Arial"/>
                <w:b/>
                <w:bCs/>
                <w:color w:val="000000"/>
                <w:sz w:val="16"/>
                <w:szCs w:val="16"/>
              </w:rPr>
              <w:t>Point in Time Count</w:t>
            </w:r>
          </w:p>
        </w:tc>
        <w:tc>
          <w:tcPr>
            <w:tcW w:w="921" w:type="dxa"/>
            <w:tcBorders>
              <w:top w:val="nil"/>
              <w:left w:val="nil"/>
              <w:bottom w:val="single" w:sz="8" w:space="0" w:color="009900"/>
              <w:right w:val="nil"/>
            </w:tcBorders>
            <w:shd w:val="clear" w:color="000000" w:fill="FFFFE1"/>
            <w:noWrap/>
            <w:vAlign w:val="center"/>
            <w:hideMark/>
          </w:tcPr>
          <w:p w:rsidR="003C459D" w:rsidRPr="008142A7" w:rsidRDefault="003C459D" w:rsidP="00E56B71">
            <w:pPr>
              <w:jc w:val="center"/>
              <w:rPr>
                <w:rFonts w:ascii="Arial" w:hAnsi="Arial" w:cs="Arial"/>
                <w:b/>
                <w:bCs/>
                <w:color w:val="000000"/>
                <w:sz w:val="16"/>
                <w:szCs w:val="16"/>
              </w:rPr>
            </w:pPr>
            <w:r w:rsidRPr="008142A7">
              <w:rPr>
                <w:rFonts w:ascii="Arial" w:hAnsi="Arial" w:cs="Arial"/>
                <w:b/>
                <w:bCs/>
                <w:color w:val="000000"/>
                <w:sz w:val="16"/>
                <w:szCs w:val="16"/>
              </w:rPr>
              <w:t>2009</w:t>
            </w:r>
          </w:p>
        </w:tc>
        <w:tc>
          <w:tcPr>
            <w:tcW w:w="921" w:type="dxa"/>
            <w:tcBorders>
              <w:top w:val="nil"/>
              <w:left w:val="nil"/>
              <w:bottom w:val="single" w:sz="8" w:space="0" w:color="009900"/>
              <w:right w:val="nil"/>
            </w:tcBorders>
            <w:shd w:val="clear" w:color="000000" w:fill="FFFFE1"/>
            <w:noWrap/>
            <w:vAlign w:val="center"/>
            <w:hideMark/>
          </w:tcPr>
          <w:p w:rsidR="003C459D" w:rsidRPr="008142A7" w:rsidRDefault="003C459D" w:rsidP="00E56B71">
            <w:pPr>
              <w:jc w:val="center"/>
              <w:rPr>
                <w:rFonts w:ascii="Arial" w:hAnsi="Arial" w:cs="Arial"/>
                <w:b/>
                <w:bCs/>
                <w:color w:val="000000"/>
                <w:sz w:val="16"/>
                <w:szCs w:val="16"/>
              </w:rPr>
            </w:pPr>
            <w:r w:rsidRPr="008142A7">
              <w:rPr>
                <w:rFonts w:ascii="Arial" w:hAnsi="Arial" w:cs="Arial"/>
                <w:b/>
                <w:bCs/>
                <w:color w:val="000000"/>
                <w:sz w:val="16"/>
                <w:szCs w:val="16"/>
              </w:rPr>
              <w:t>2011</w:t>
            </w:r>
          </w:p>
        </w:tc>
        <w:tc>
          <w:tcPr>
            <w:tcW w:w="921" w:type="dxa"/>
            <w:tcBorders>
              <w:top w:val="nil"/>
              <w:left w:val="nil"/>
              <w:bottom w:val="single" w:sz="8" w:space="0" w:color="009900"/>
              <w:right w:val="single" w:sz="8" w:space="0" w:color="009900"/>
            </w:tcBorders>
            <w:shd w:val="clear" w:color="000000" w:fill="FFFFE1"/>
            <w:noWrap/>
            <w:vAlign w:val="center"/>
            <w:hideMark/>
          </w:tcPr>
          <w:p w:rsidR="003C459D" w:rsidRPr="008142A7" w:rsidRDefault="003C459D" w:rsidP="00E56B71">
            <w:pPr>
              <w:jc w:val="center"/>
              <w:rPr>
                <w:rFonts w:ascii="Arial" w:hAnsi="Arial" w:cs="Arial"/>
                <w:b/>
                <w:bCs/>
                <w:color w:val="000000"/>
                <w:sz w:val="16"/>
                <w:szCs w:val="16"/>
              </w:rPr>
            </w:pPr>
            <w:r w:rsidRPr="008142A7">
              <w:rPr>
                <w:rFonts w:ascii="Arial" w:hAnsi="Arial" w:cs="Arial"/>
                <w:b/>
                <w:bCs/>
                <w:color w:val="000000"/>
                <w:sz w:val="16"/>
                <w:szCs w:val="16"/>
              </w:rPr>
              <w:t>2013</w:t>
            </w:r>
          </w:p>
        </w:tc>
      </w:tr>
      <w:tr w:rsidR="003C459D" w:rsidRPr="008142A7" w:rsidTr="00E56B71">
        <w:trPr>
          <w:trHeight w:val="300"/>
          <w:jc w:val="center"/>
        </w:trPr>
        <w:tc>
          <w:tcPr>
            <w:tcW w:w="3370" w:type="dxa"/>
            <w:tcBorders>
              <w:top w:val="nil"/>
              <w:left w:val="single" w:sz="8" w:space="0" w:color="009900"/>
              <w:bottom w:val="nil"/>
              <w:right w:val="nil"/>
            </w:tcBorders>
            <w:shd w:val="clear" w:color="000000" w:fill="FFFFE1"/>
            <w:noWrap/>
            <w:vAlign w:val="center"/>
            <w:hideMark/>
          </w:tcPr>
          <w:p w:rsidR="003C459D" w:rsidRPr="008142A7" w:rsidRDefault="003C459D" w:rsidP="00E56B71">
            <w:pPr>
              <w:rPr>
                <w:rFonts w:ascii="Arial" w:hAnsi="Arial" w:cs="Arial"/>
                <w:color w:val="000000"/>
                <w:sz w:val="16"/>
                <w:szCs w:val="16"/>
              </w:rPr>
            </w:pPr>
            <w:r w:rsidRPr="008142A7">
              <w:rPr>
                <w:rFonts w:ascii="Arial" w:hAnsi="Arial" w:cs="Arial"/>
                <w:color w:val="000000"/>
                <w:sz w:val="16"/>
                <w:szCs w:val="16"/>
              </w:rPr>
              <w:t>Veterans Sheltered</w:t>
            </w:r>
          </w:p>
        </w:tc>
        <w:tc>
          <w:tcPr>
            <w:tcW w:w="921" w:type="dxa"/>
            <w:tcBorders>
              <w:top w:val="nil"/>
              <w:left w:val="nil"/>
              <w:bottom w:val="nil"/>
              <w:right w:val="nil"/>
            </w:tcBorders>
            <w:shd w:val="clear" w:color="000000" w:fill="FFFFE1"/>
            <w:noWrap/>
            <w:vAlign w:val="center"/>
            <w:hideMark/>
          </w:tcPr>
          <w:p w:rsidR="003C459D" w:rsidRPr="008142A7" w:rsidRDefault="003C459D" w:rsidP="00E56B71">
            <w:pPr>
              <w:jc w:val="center"/>
              <w:rPr>
                <w:rFonts w:ascii="Arial" w:hAnsi="Arial" w:cs="Arial"/>
                <w:color w:val="000000"/>
                <w:sz w:val="16"/>
                <w:szCs w:val="16"/>
              </w:rPr>
            </w:pPr>
            <w:r w:rsidRPr="008142A7">
              <w:rPr>
                <w:rFonts w:ascii="Arial" w:hAnsi="Arial" w:cs="Arial"/>
                <w:color w:val="000000"/>
                <w:sz w:val="16"/>
                <w:szCs w:val="16"/>
              </w:rPr>
              <w:t>202</w:t>
            </w:r>
          </w:p>
        </w:tc>
        <w:tc>
          <w:tcPr>
            <w:tcW w:w="921" w:type="dxa"/>
            <w:tcBorders>
              <w:top w:val="nil"/>
              <w:left w:val="nil"/>
              <w:bottom w:val="nil"/>
              <w:right w:val="nil"/>
            </w:tcBorders>
            <w:shd w:val="clear" w:color="000000" w:fill="FFFFE1"/>
            <w:noWrap/>
            <w:vAlign w:val="center"/>
            <w:hideMark/>
          </w:tcPr>
          <w:p w:rsidR="003C459D" w:rsidRPr="008142A7" w:rsidRDefault="003C459D" w:rsidP="00E56B71">
            <w:pPr>
              <w:jc w:val="center"/>
              <w:rPr>
                <w:rFonts w:ascii="Arial" w:hAnsi="Arial" w:cs="Arial"/>
                <w:color w:val="000000"/>
                <w:sz w:val="16"/>
                <w:szCs w:val="16"/>
              </w:rPr>
            </w:pPr>
            <w:r w:rsidRPr="008142A7">
              <w:rPr>
                <w:rFonts w:ascii="Arial" w:hAnsi="Arial" w:cs="Arial"/>
                <w:color w:val="000000"/>
                <w:sz w:val="16"/>
                <w:szCs w:val="16"/>
              </w:rPr>
              <w:t>212</w:t>
            </w:r>
          </w:p>
        </w:tc>
        <w:tc>
          <w:tcPr>
            <w:tcW w:w="921" w:type="dxa"/>
            <w:tcBorders>
              <w:top w:val="nil"/>
              <w:left w:val="nil"/>
              <w:bottom w:val="nil"/>
              <w:right w:val="single" w:sz="8" w:space="0" w:color="009900"/>
            </w:tcBorders>
            <w:shd w:val="clear" w:color="000000" w:fill="FFFFE1"/>
            <w:noWrap/>
            <w:vAlign w:val="center"/>
            <w:hideMark/>
          </w:tcPr>
          <w:p w:rsidR="003C459D" w:rsidRPr="008142A7" w:rsidRDefault="003C459D" w:rsidP="00E56B71">
            <w:pPr>
              <w:jc w:val="center"/>
              <w:rPr>
                <w:rFonts w:ascii="Arial" w:hAnsi="Arial" w:cs="Arial"/>
                <w:color w:val="000000"/>
                <w:sz w:val="16"/>
                <w:szCs w:val="16"/>
              </w:rPr>
            </w:pPr>
            <w:r w:rsidRPr="008142A7">
              <w:rPr>
                <w:rFonts w:ascii="Arial" w:hAnsi="Arial" w:cs="Arial"/>
                <w:color w:val="000000"/>
                <w:sz w:val="16"/>
                <w:szCs w:val="16"/>
              </w:rPr>
              <w:t>183</w:t>
            </w:r>
          </w:p>
        </w:tc>
      </w:tr>
      <w:tr w:rsidR="003C459D" w:rsidRPr="008142A7" w:rsidTr="00E56B71">
        <w:trPr>
          <w:trHeight w:val="315"/>
          <w:jc w:val="center"/>
        </w:trPr>
        <w:tc>
          <w:tcPr>
            <w:tcW w:w="3370" w:type="dxa"/>
            <w:tcBorders>
              <w:top w:val="nil"/>
              <w:left w:val="single" w:sz="8" w:space="0" w:color="009900"/>
              <w:bottom w:val="nil"/>
              <w:right w:val="nil"/>
            </w:tcBorders>
            <w:shd w:val="clear" w:color="000000" w:fill="FFFFE1"/>
            <w:noWrap/>
            <w:vAlign w:val="center"/>
            <w:hideMark/>
          </w:tcPr>
          <w:p w:rsidR="003C459D" w:rsidRPr="008142A7" w:rsidRDefault="003C459D" w:rsidP="00E56B71">
            <w:pPr>
              <w:rPr>
                <w:rFonts w:ascii="Arial" w:hAnsi="Arial" w:cs="Arial"/>
                <w:color w:val="000000"/>
                <w:sz w:val="16"/>
                <w:szCs w:val="16"/>
              </w:rPr>
            </w:pPr>
            <w:r w:rsidRPr="008142A7">
              <w:rPr>
                <w:rFonts w:ascii="Arial" w:hAnsi="Arial" w:cs="Arial"/>
                <w:color w:val="000000"/>
                <w:sz w:val="16"/>
                <w:szCs w:val="16"/>
              </w:rPr>
              <w:t>Veterans Unsheltered</w:t>
            </w:r>
          </w:p>
        </w:tc>
        <w:tc>
          <w:tcPr>
            <w:tcW w:w="921" w:type="dxa"/>
            <w:tcBorders>
              <w:top w:val="nil"/>
              <w:left w:val="nil"/>
              <w:bottom w:val="nil"/>
              <w:right w:val="nil"/>
            </w:tcBorders>
            <w:shd w:val="clear" w:color="000000" w:fill="FFFFE1"/>
            <w:noWrap/>
            <w:vAlign w:val="center"/>
            <w:hideMark/>
          </w:tcPr>
          <w:p w:rsidR="003C459D" w:rsidRPr="008142A7" w:rsidRDefault="003C459D" w:rsidP="00E56B71">
            <w:pPr>
              <w:jc w:val="center"/>
              <w:rPr>
                <w:rFonts w:ascii="Arial" w:hAnsi="Arial" w:cs="Arial"/>
                <w:color w:val="000000"/>
                <w:sz w:val="16"/>
                <w:szCs w:val="16"/>
              </w:rPr>
            </w:pPr>
            <w:r w:rsidRPr="008142A7">
              <w:rPr>
                <w:rFonts w:ascii="Arial" w:hAnsi="Arial" w:cs="Arial"/>
                <w:color w:val="000000"/>
                <w:sz w:val="16"/>
                <w:szCs w:val="16"/>
              </w:rPr>
              <w:t>182</w:t>
            </w:r>
          </w:p>
        </w:tc>
        <w:tc>
          <w:tcPr>
            <w:tcW w:w="921" w:type="dxa"/>
            <w:tcBorders>
              <w:top w:val="nil"/>
              <w:left w:val="nil"/>
              <w:bottom w:val="nil"/>
              <w:right w:val="nil"/>
            </w:tcBorders>
            <w:shd w:val="clear" w:color="000000" w:fill="FFFFE1"/>
            <w:noWrap/>
            <w:vAlign w:val="center"/>
            <w:hideMark/>
          </w:tcPr>
          <w:p w:rsidR="003C459D" w:rsidRPr="008142A7" w:rsidRDefault="003C459D" w:rsidP="00E56B71">
            <w:pPr>
              <w:jc w:val="center"/>
              <w:rPr>
                <w:rFonts w:ascii="Arial" w:hAnsi="Arial" w:cs="Arial"/>
                <w:color w:val="000000"/>
                <w:sz w:val="16"/>
                <w:szCs w:val="16"/>
              </w:rPr>
            </w:pPr>
            <w:r w:rsidRPr="008142A7">
              <w:rPr>
                <w:rFonts w:ascii="Arial" w:hAnsi="Arial" w:cs="Arial"/>
                <w:color w:val="000000"/>
                <w:sz w:val="16"/>
                <w:szCs w:val="16"/>
              </w:rPr>
              <w:t>143</w:t>
            </w:r>
          </w:p>
        </w:tc>
        <w:tc>
          <w:tcPr>
            <w:tcW w:w="921" w:type="dxa"/>
            <w:tcBorders>
              <w:top w:val="nil"/>
              <w:left w:val="nil"/>
              <w:bottom w:val="nil"/>
              <w:right w:val="single" w:sz="8" w:space="0" w:color="009900"/>
            </w:tcBorders>
            <w:shd w:val="clear" w:color="000000" w:fill="FFFFE1"/>
            <w:noWrap/>
            <w:vAlign w:val="center"/>
            <w:hideMark/>
          </w:tcPr>
          <w:p w:rsidR="003C459D" w:rsidRPr="008142A7" w:rsidRDefault="003C459D" w:rsidP="00E56B71">
            <w:pPr>
              <w:jc w:val="center"/>
              <w:rPr>
                <w:rFonts w:ascii="Arial" w:hAnsi="Arial" w:cs="Arial"/>
                <w:color w:val="000000"/>
                <w:sz w:val="16"/>
                <w:szCs w:val="16"/>
              </w:rPr>
            </w:pPr>
            <w:r w:rsidRPr="008142A7">
              <w:rPr>
                <w:rFonts w:ascii="Arial" w:hAnsi="Arial" w:cs="Arial"/>
                <w:color w:val="000000"/>
                <w:sz w:val="16"/>
                <w:szCs w:val="16"/>
              </w:rPr>
              <w:t>60</w:t>
            </w:r>
          </w:p>
        </w:tc>
      </w:tr>
      <w:tr w:rsidR="003C459D" w:rsidRPr="008142A7" w:rsidTr="00E56B71">
        <w:trPr>
          <w:trHeight w:val="300"/>
          <w:jc w:val="center"/>
        </w:trPr>
        <w:tc>
          <w:tcPr>
            <w:tcW w:w="3370" w:type="dxa"/>
            <w:tcBorders>
              <w:top w:val="single" w:sz="8" w:space="0" w:color="009900"/>
              <w:left w:val="single" w:sz="8" w:space="0" w:color="009900"/>
              <w:bottom w:val="dotted" w:sz="4" w:space="0" w:color="009900"/>
              <w:right w:val="nil"/>
            </w:tcBorders>
            <w:shd w:val="clear" w:color="000000" w:fill="FFFFE1"/>
            <w:noWrap/>
            <w:vAlign w:val="center"/>
            <w:hideMark/>
          </w:tcPr>
          <w:p w:rsidR="003C459D" w:rsidRPr="008142A7" w:rsidRDefault="003C459D" w:rsidP="00E56B71">
            <w:pPr>
              <w:rPr>
                <w:rFonts w:ascii="Arial" w:hAnsi="Arial" w:cs="Arial"/>
                <w:color w:val="000000"/>
                <w:sz w:val="16"/>
                <w:szCs w:val="16"/>
              </w:rPr>
            </w:pPr>
            <w:r w:rsidRPr="008142A7">
              <w:rPr>
                <w:rFonts w:ascii="Arial" w:hAnsi="Arial" w:cs="Arial"/>
                <w:color w:val="000000"/>
                <w:sz w:val="16"/>
                <w:szCs w:val="16"/>
              </w:rPr>
              <w:t>Total Veterans</w:t>
            </w:r>
          </w:p>
        </w:tc>
        <w:tc>
          <w:tcPr>
            <w:tcW w:w="921" w:type="dxa"/>
            <w:tcBorders>
              <w:top w:val="single" w:sz="8" w:space="0" w:color="009900"/>
              <w:left w:val="nil"/>
              <w:bottom w:val="dotted" w:sz="4" w:space="0" w:color="009900"/>
              <w:right w:val="nil"/>
            </w:tcBorders>
            <w:shd w:val="clear" w:color="000000" w:fill="FFFFE1"/>
            <w:noWrap/>
            <w:vAlign w:val="center"/>
            <w:hideMark/>
          </w:tcPr>
          <w:p w:rsidR="003C459D" w:rsidRPr="008142A7" w:rsidRDefault="003C459D" w:rsidP="00E56B71">
            <w:pPr>
              <w:jc w:val="center"/>
              <w:rPr>
                <w:rFonts w:ascii="Arial" w:hAnsi="Arial" w:cs="Arial"/>
                <w:color w:val="000000"/>
                <w:sz w:val="16"/>
                <w:szCs w:val="16"/>
              </w:rPr>
            </w:pPr>
            <w:r w:rsidRPr="008142A7">
              <w:rPr>
                <w:rFonts w:ascii="Arial" w:hAnsi="Arial" w:cs="Arial"/>
                <w:color w:val="000000"/>
                <w:sz w:val="16"/>
                <w:szCs w:val="16"/>
              </w:rPr>
              <w:t>384</w:t>
            </w:r>
          </w:p>
        </w:tc>
        <w:tc>
          <w:tcPr>
            <w:tcW w:w="921" w:type="dxa"/>
            <w:tcBorders>
              <w:top w:val="single" w:sz="8" w:space="0" w:color="009900"/>
              <w:left w:val="nil"/>
              <w:bottom w:val="dotted" w:sz="4" w:space="0" w:color="009900"/>
              <w:right w:val="nil"/>
            </w:tcBorders>
            <w:shd w:val="clear" w:color="000000" w:fill="FFFFE1"/>
            <w:noWrap/>
            <w:vAlign w:val="center"/>
            <w:hideMark/>
          </w:tcPr>
          <w:p w:rsidR="003C459D" w:rsidRPr="008142A7" w:rsidRDefault="003C459D" w:rsidP="00E56B71">
            <w:pPr>
              <w:jc w:val="center"/>
              <w:rPr>
                <w:rFonts w:ascii="Arial" w:hAnsi="Arial" w:cs="Arial"/>
                <w:color w:val="000000"/>
                <w:sz w:val="16"/>
                <w:szCs w:val="16"/>
              </w:rPr>
            </w:pPr>
            <w:r w:rsidRPr="008142A7">
              <w:rPr>
                <w:rFonts w:ascii="Arial" w:hAnsi="Arial" w:cs="Arial"/>
                <w:color w:val="000000"/>
                <w:sz w:val="16"/>
                <w:szCs w:val="16"/>
              </w:rPr>
              <w:t>355</w:t>
            </w:r>
          </w:p>
        </w:tc>
        <w:tc>
          <w:tcPr>
            <w:tcW w:w="921" w:type="dxa"/>
            <w:tcBorders>
              <w:top w:val="single" w:sz="8" w:space="0" w:color="009900"/>
              <w:left w:val="nil"/>
              <w:bottom w:val="dotted" w:sz="4" w:space="0" w:color="009900"/>
              <w:right w:val="single" w:sz="8" w:space="0" w:color="009900"/>
            </w:tcBorders>
            <w:shd w:val="clear" w:color="000000" w:fill="FFFFE1"/>
            <w:noWrap/>
            <w:vAlign w:val="center"/>
            <w:hideMark/>
          </w:tcPr>
          <w:p w:rsidR="003C459D" w:rsidRPr="008142A7" w:rsidRDefault="003C459D" w:rsidP="00E56B71">
            <w:pPr>
              <w:jc w:val="center"/>
              <w:rPr>
                <w:rFonts w:ascii="Arial" w:hAnsi="Arial" w:cs="Arial"/>
                <w:color w:val="000000"/>
                <w:sz w:val="16"/>
                <w:szCs w:val="16"/>
              </w:rPr>
            </w:pPr>
            <w:r w:rsidRPr="008142A7">
              <w:rPr>
                <w:rFonts w:ascii="Arial" w:hAnsi="Arial" w:cs="Arial"/>
                <w:color w:val="000000"/>
                <w:sz w:val="16"/>
                <w:szCs w:val="16"/>
              </w:rPr>
              <w:t>243</w:t>
            </w:r>
          </w:p>
        </w:tc>
      </w:tr>
      <w:tr w:rsidR="003C459D" w:rsidRPr="008142A7" w:rsidTr="00E56B71">
        <w:trPr>
          <w:trHeight w:val="315"/>
          <w:jc w:val="center"/>
        </w:trPr>
        <w:tc>
          <w:tcPr>
            <w:tcW w:w="3370" w:type="dxa"/>
            <w:tcBorders>
              <w:top w:val="nil"/>
              <w:left w:val="single" w:sz="8" w:space="0" w:color="009900"/>
              <w:bottom w:val="nil"/>
              <w:right w:val="nil"/>
            </w:tcBorders>
            <w:shd w:val="clear" w:color="000000" w:fill="FFFFE1"/>
            <w:noWrap/>
            <w:vAlign w:val="center"/>
            <w:hideMark/>
          </w:tcPr>
          <w:p w:rsidR="003C459D" w:rsidRPr="008142A7" w:rsidRDefault="003C459D" w:rsidP="00E56B71">
            <w:pPr>
              <w:rPr>
                <w:rFonts w:ascii="Arial" w:hAnsi="Arial" w:cs="Arial"/>
                <w:color w:val="000000"/>
                <w:sz w:val="16"/>
                <w:szCs w:val="16"/>
              </w:rPr>
            </w:pPr>
            <w:r w:rsidRPr="008142A7">
              <w:rPr>
                <w:rFonts w:ascii="Arial" w:hAnsi="Arial" w:cs="Arial"/>
                <w:color w:val="000000"/>
                <w:sz w:val="16"/>
                <w:szCs w:val="16"/>
              </w:rPr>
              <w:t>Total Not Veterans</w:t>
            </w:r>
          </w:p>
        </w:tc>
        <w:tc>
          <w:tcPr>
            <w:tcW w:w="921" w:type="dxa"/>
            <w:tcBorders>
              <w:top w:val="nil"/>
              <w:left w:val="nil"/>
              <w:bottom w:val="nil"/>
              <w:right w:val="nil"/>
            </w:tcBorders>
            <w:shd w:val="clear" w:color="000000" w:fill="FFFFE1"/>
            <w:noWrap/>
            <w:vAlign w:val="center"/>
            <w:hideMark/>
          </w:tcPr>
          <w:p w:rsidR="003C459D" w:rsidRPr="008142A7" w:rsidRDefault="003C459D" w:rsidP="00E56B71">
            <w:pPr>
              <w:jc w:val="center"/>
              <w:rPr>
                <w:rFonts w:ascii="Arial" w:hAnsi="Arial" w:cs="Arial"/>
                <w:color w:val="000000"/>
                <w:sz w:val="16"/>
                <w:szCs w:val="16"/>
              </w:rPr>
            </w:pPr>
            <w:r w:rsidRPr="008142A7">
              <w:rPr>
                <w:rFonts w:ascii="Arial" w:hAnsi="Arial" w:cs="Arial"/>
                <w:color w:val="000000"/>
                <w:sz w:val="16"/>
                <w:szCs w:val="16"/>
              </w:rPr>
              <w:t>3,091</w:t>
            </w:r>
          </w:p>
        </w:tc>
        <w:tc>
          <w:tcPr>
            <w:tcW w:w="921" w:type="dxa"/>
            <w:tcBorders>
              <w:top w:val="nil"/>
              <w:left w:val="nil"/>
              <w:bottom w:val="nil"/>
              <w:right w:val="nil"/>
            </w:tcBorders>
            <w:shd w:val="clear" w:color="000000" w:fill="FFFFE1"/>
            <w:noWrap/>
            <w:vAlign w:val="center"/>
            <w:hideMark/>
          </w:tcPr>
          <w:p w:rsidR="003C459D" w:rsidRPr="008142A7" w:rsidRDefault="003C459D" w:rsidP="00E56B71">
            <w:pPr>
              <w:jc w:val="center"/>
              <w:rPr>
                <w:rFonts w:ascii="Arial" w:hAnsi="Arial" w:cs="Arial"/>
                <w:color w:val="000000"/>
                <w:sz w:val="16"/>
                <w:szCs w:val="16"/>
              </w:rPr>
            </w:pPr>
            <w:r w:rsidRPr="008142A7">
              <w:rPr>
                <w:rFonts w:ascii="Arial" w:hAnsi="Arial" w:cs="Arial"/>
                <w:color w:val="000000"/>
                <w:sz w:val="16"/>
                <w:szCs w:val="16"/>
              </w:rPr>
              <w:t>3,246</w:t>
            </w:r>
          </w:p>
        </w:tc>
        <w:tc>
          <w:tcPr>
            <w:tcW w:w="921" w:type="dxa"/>
            <w:tcBorders>
              <w:top w:val="nil"/>
              <w:left w:val="nil"/>
              <w:bottom w:val="nil"/>
              <w:right w:val="single" w:sz="8" w:space="0" w:color="009900"/>
            </w:tcBorders>
            <w:shd w:val="clear" w:color="000000" w:fill="FFFFE1"/>
            <w:noWrap/>
            <w:vAlign w:val="center"/>
            <w:hideMark/>
          </w:tcPr>
          <w:p w:rsidR="003C459D" w:rsidRPr="008142A7" w:rsidRDefault="003C459D" w:rsidP="00E56B71">
            <w:pPr>
              <w:jc w:val="center"/>
              <w:rPr>
                <w:rFonts w:ascii="Arial" w:hAnsi="Arial" w:cs="Arial"/>
                <w:color w:val="000000"/>
                <w:sz w:val="16"/>
                <w:szCs w:val="16"/>
              </w:rPr>
            </w:pPr>
            <w:r w:rsidRPr="008142A7">
              <w:rPr>
                <w:rFonts w:ascii="Arial" w:hAnsi="Arial" w:cs="Arial"/>
                <w:color w:val="000000"/>
                <w:sz w:val="16"/>
                <w:szCs w:val="16"/>
              </w:rPr>
              <w:t>2,576</w:t>
            </w:r>
          </w:p>
        </w:tc>
      </w:tr>
      <w:tr w:rsidR="003C459D" w:rsidRPr="008142A7" w:rsidTr="00E56B71">
        <w:trPr>
          <w:trHeight w:val="330"/>
          <w:jc w:val="center"/>
        </w:trPr>
        <w:tc>
          <w:tcPr>
            <w:tcW w:w="3370" w:type="dxa"/>
            <w:tcBorders>
              <w:top w:val="double" w:sz="6" w:space="0" w:color="009900"/>
              <w:left w:val="single" w:sz="8" w:space="0" w:color="009900"/>
              <w:bottom w:val="single" w:sz="8" w:space="0" w:color="009900"/>
              <w:right w:val="nil"/>
            </w:tcBorders>
            <w:shd w:val="clear" w:color="000000" w:fill="FFFFE1"/>
            <w:noWrap/>
            <w:vAlign w:val="center"/>
            <w:hideMark/>
          </w:tcPr>
          <w:p w:rsidR="003C459D" w:rsidRPr="008142A7" w:rsidRDefault="003C459D" w:rsidP="00E56B71">
            <w:pPr>
              <w:rPr>
                <w:rFonts w:ascii="Arial" w:hAnsi="Arial" w:cs="Arial"/>
                <w:b/>
                <w:bCs/>
                <w:color w:val="000000"/>
                <w:sz w:val="16"/>
                <w:szCs w:val="16"/>
              </w:rPr>
            </w:pPr>
            <w:r w:rsidRPr="008142A7">
              <w:rPr>
                <w:rFonts w:ascii="Arial" w:hAnsi="Arial" w:cs="Arial"/>
                <w:b/>
                <w:bCs/>
                <w:color w:val="000000"/>
                <w:sz w:val="16"/>
                <w:szCs w:val="16"/>
              </w:rPr>
              <w:t>Total Homeless</w:t>
            </w:r>
          </w:p>
        </w:tc>
        <w:tc>
          <w:tcPr>
            <w:tcW w:w="921" w:type="dxa"/>
            <w:tcBorders>
              <w:top w:val="double" w:sz="6" w:space="0" w:color="009900"/>
              <w:left w:val="nil"/>
              <w:bottom w:val="single" w:sz="8" w:space="0" w:color="009900"/>
              <w:right w:val="nil"/>
            </w:tcBorders>
            <w:shd w:val="clear" w:color="000000" w:fill="FFFFE1"/>
            <w:noWrap/>
            <w:vAlign w:val="center"/>
            <w:hideMark/>
          </w:tcPr>
          <w:p w:rsidR="003C459D" w:rsidRPr="008142A7" w:rsidRDefault="003C459D" w:rsidP="00E56B71">
            <w:pPr>
              <w:jc w:val="center"/>
              <w:rPr>
                <w:rFonts w:ascii="Arial" w:hAnsi="Arial" w:cs="Arial"/>
                <w:b/>
                <w:bCs/>
                <w:color w:val="000000"/>
                <w:sz w:val="16"/>
                <w:szCs w:val="16"/>
              </w:rPr>
            </w:pPr>
            <w:r w:rsidRPr="008142A7">
              <w:rPr>
                <w:rFonts w:ascii="Arial" w:hAnsi="Arial" w:cs="Arial"/>
                <w:b/>
                <w:bCs/>
                <w:color w:val="000000"/>
                <w:sz w:val="16"/>
                <w:szCs w:val="16"/>
              </w:rPr>
              <w:t>3,475</w:t>
            </w:r>
          </w:p>
        </w:tc>
        <w:tc>
          <w:tcPr>
            <w:tcW w:w="921" w:type="dxa"/>
            <w:tcBorders>
              <w:top w:val="double" w:sz="6" w:space="0" w:color="009900"/>
              <w:left w:val="nil"/>
              <w:bottom w:val="single" w:sz="8" w:space="0" w:color="009900"/>
              <w:right w:val="nil"/>
            </w:tcBorders>
            <w:shd w:val="clear" w:color="000000" w:fill="FFFFE1"/>
            <w:noWrap/>
            <w:vAlign w:val="center"/>
            <w:hideMark/>
          </w:tcPr>
          <w:p w:rsidR="003C459D" w:rsidRPr="008142A7" w:rsidRDefault="003C459D" w:rsidP="00E56B71">
            <w:pPr>
              <w:jc w:val="center"/>
              <w:rPr>
                <w:rFonts w:ascii="Arial" w:hAnsi="Arial" w:cs="Arial"/>
                <w:b/>
                <w:bCs/>
                <w:color w:val="000000"/>
                <w:sz w:val="16"/>
                <w:szCs w:val="16"/>
              </w:rPr>
            </w:pPr>
            <w:r w:rsidRPr="008142A7">
              <w:rPr>
                <w:rFonts w:ascii="Arial" w:hAnsi="Arial" w:cs="Arial"/>
                <w:b/>
                <w:bCs/>
                <w:color w:val="000000"/>
                <w:sz w:val="16"/>
                <w:szCs w:val="16"/>
              </w:rPr>
              <w:t>3,601</w:t>
            </w:r>
          </w:p>
        </w:tc>
        <w:tc>
          <w:tcPr>
            <w:tcW w:w="921" w:type="dxa"/>
            <w:tcBorders>
              <w:top w:val="double" w:sz="6" w:space="0" w:color="009900"/>
              <w:left w:val="nil"/>
              <w:bottom w:val="single" w:sz="8" w:space="0" w:color="009900"/>
              <w:right w:val="single" w:sz="8" w:space="0" w:color="009900"/>
            </w:tcBorders>
            <w:shd w:val="clear" w:color="000000" w:fill="FFFFE1"/>
            <w:noWrap/>
            <w:vAlign w:val="center"/>
            <w:hideMark/>
          </w:tcPr>
          <w:p w:rsidR="003C459D" w:rsidRPr="008142A7" w:rsidRDefault="003C459D" w:rsidP="00E56B71">
            <w:pPr>
              <w:jc w:val="center"/>
              <w:rPr>
                <w:rFonts w:ascii="Arial" w:hAnsi="Arial" w:cs="Arial"/>
                <w:b/>
                <w:bCs/>
                <w:color w:val="000000"/>
                <w:sz w:val="16"/>
                <w:szCs w:val="16"/>
              </w:rPr>
            </w:pPr>
            <w:r w:rsidRPr="008142A7">
              <w:rPr>
                <w:rFonts w:ascii="Arial" w:hAnsi="Arial" w:cs="Arial"/>
                <w:b/>
                <w:bCs/>
                <w:color w:val="000000"/>
                <w:sz w:val="16"/>
                <w:szCs w:val="16"/>
              </w:rPr>
              <w:t>2,819</w:t>
            </w:r>
          </w:p>
        </w:tc>
      </w:tr>
    </w:tbl>
    <w:p w:rsidR="003C459D" w:rsidRPr="00A400B5" w:rsidRDefault="003C459D" w:rsidP="003C459D">
      <w:pPr>
        <w:rPr>
          <w:rFonts w:ascii="CG Omega" w:hAnsi="CG Omega"/>
        </w:rPr>
      </w:pPr>
    </w:p>
    <w:p w:rsidR="003C459D" w:rsidRPr="0009679B" w:rsidRDefault="003C459D" w:rsidP="003C459D">
      <w:pPr>
        <w:tabs>
          <w:tab w:val="left" w:pos="540"/>
        </w:tabs>
        <w:jc w:val="both"/>
        <w:rPr>
          <w:rFonts w:ascii="CG Omega" w:hAnsi="CG Omega"/>
          <w:spacing w:val="4"/>
        </w:rPr>
      </w:pPr>
      <w:r>
        <w:rPr>
          <w:rFonts w:ascii="CG Omega" w:hAnsi="CG Omega"/>
          <w:spacing w:val="4"/>
        </w:rPr>
        <w:t>Both CoCs</w:t>
      </w:r>
      <w:r w:rsidRPr="0009679B">
        <w:rPr>
          <w:rFonts w:ascii="CG Omega" w:hAnsi="CG Omega"/>
          <w:spacing w:val="4"/>
        </w:rPr>
        <w:t xml:space="preserve"> provided more specific information concerning </w:t>
      </w:r>
      <w:r w:rsidR="002A1053">
        <w:rPr>
          <w:rFonts w:ascii="CG Omega" w:hAnsi="CG Omega"/>
          <w:spacing w:val="4"/>
        </w:rPr>
        <w:t>six</w:t>
      </w:r>
      <w:r w:rsidRPr="0009679B">
        <w:rPr>
          <w:rFonts w:ascii="CG Omega" w:hAnsi="CG Omega"/>
          <w:spacing w:val="4"/>
        </w:rPr>
        <w:t xml:space="preserve"> homeless subpopulations:</w:t>
      </w:r>
    </w:p>
    <w:p w:rsidR="003C459D" w:rsidRPr="00A400B5" w:rsidRDefault="003C459D" w:rsidP="003C459D">
      <w:pPr>
        <w:tabs>
          <w:tab w:val="left" w:pos="540"/>
        </w:tabs>
        <w:jc w:val="both"/>
        <w:rPr>
          <w:rFonts w:ascii="CG Omega" w:hAnsi="CG Omega"/>
          <w:spacing w:val="4"/>
        </w:rPr>
      </w:pPr>
    </w:p>
    <w:p w:rsidR="003C459D" w:rsidRPr="00A400B5" w:rsidRDefault="003C459D" w:rsidP="00A400B5">
      <w:pPr>
        <w:pStyle w:val="ListParagraph"/>
        <w:numPr>
          <w:ilvl w:val="0"/>
          <w:numId w:val="67"/>
        </w:numPr>
        <w:tabs>
          <w:tab w:val="left" w:pos="540"/>
        </w:tabs>
        <w:jc w:val="both"/>
        <w:rPr>
          <w:rFonts w:ascii="CG Omega" w:hAnsi="CG Omega"/>
          <w:sz w:val="24"/>
        </w:rPr>
      </w:pPr>
      <w:r w:rsidRPr="00A400B5">
        <w:rPr>
          <w:rFonts w:ascii="CG Omega" w:hAnsi="CG Omega"/>
          <w:sz w:val="24"/>
        </w:rPr>
        <w:t>Chronically homeless</w:t>
      </w:r>
      <w:r w:rsidR="00A400B5" w:rsidRPr="00A400B5">
        <w:rPr>
          <w:rFonts w:ascii="CG Omega" w:hAnsi="CG Omega"/>
          <w:sz w:val="24"/>
        </w:rPr>
        <w:t>.</w:t>
      </w:r>
    </w:p>
    <w:p w:rsidR="003C459D" w:rsidRPr="00A400B5" w:rsidRDefault="00A400B5" w:rsidP="00A400B5">
      <w:pPr>
        <w:pStyle w:val="ListParagraph"/>
        <w:numPr>
          <w:ilvl w:val="0"/>
          <w:numId w:val="67"/>
        </w:numPr>
        <w:tabs>
          <w:tab w:val="left" w:pos="540"/>
        </w:tabs>
        <w:jc w:val="both"/>
        <w:rPr>
          <w:rFonts w:ascii="CG Omega" w:hAnsi="CG Omega"/>
          <w:sz w:val="24"/>
        </w:rPr>
      </w:pPr>
      <w:r w:rsidRPr="00A400B5">
        <w:rPr>
          <w:rFonts w:ascii="CG Omega" w:hAnsi="CG Omega"/>
          <w:sz w:val="24"/>
        </w:rPr>
        <w:t>Severely mentally ill.</w:t>
      </w:r>
    </w:p>
    <w:p w:rsidR="003C459D" w:rsidRPr="00A400B5" w:rsidRDefault="003C459D" w:rsidP="00A400B5">
      <w:pPr>
        <w:pStyle w:val="ListParagraph"/>
        <w:numPr>
          <w:ilvl w:val="0"/>
          <w:numId w:val="67"/>
        </w:numPr>
        <w:tabs>
          <w:tab w:val="left" w:pos="540"/>
        </w:tabs>
        <w:jc w:val="both"/>
        <w:rPr>
          <w:rFonts w:ascii="CG Omega" w:hAnsi="CG Omega"/>
          <w:sz w:val="24"/>
        </w:rPr>
      </w:pPr>
      <w:r w:rsidRPr="00A400B5">
        <w:rPr>
          <w:rFonts w:ascii="CG Omega" w:hAnsi="CG Omega"/>
          <w:sz w:val="24"/>
        </w:rPr>
        <w:t>Chronic substance abuse</w:t>
      </w:r>
      <w:r w:rsidR="00A400B5">
        <w:rPr>
          <w:rFonts w:ascii="CG Omega" w:hAnsi="CG Omega"/>
          <w:sz w:val="24"/>
        </w:rPr>
        <w:t>.</w:t>
      </w:r>
    </w:p>
    <w:p w:rsidR="003C459D" w:rsidRPr="00A400B5" w:rsidRDefault="00A400B5" w:rsidP="00A400B5">
      <w:pPr>
        <w:pStyle w:val="ListParagraph"/>
        <w:numPr>
          <w:ilvl w:val="0"/>
          <w:numId w:val="67"/>
        </w:numPr>
        <w:tabs>
          <w:tab w:val="left" w:pos="540"/>
        </w:tabs>
        <w:jc w:val="both"/>
        <w:rPr>
          <w:rFonts w:ascii="CG Omega" w:hAnsi="CG Omega"/>
          <w:sz w:val="24"/>
        </w:rPr>
      </w:pPr>
      <w:r>
        <w:rPr>
          <w:rFonts w:ascii="CG Omega" w:hAnsi="CG Omega"/>
          <w:sz w:val="24"/>
        </w:rPr>
        <w:t>Veterans.</w:t>
      </w:r>
    </w:p>
    <w:p w:rsidR="003C459D" w:rsidRPr="00A400B5" w:rsidRDefault="00A400B5" w:rsidP="00A400B5">
      <w:pPr>
        <w:pStyle w:val="ListParagraph"/>
        <w:numPr>
          <w:ilvl w:val="0"/>
          <w:numId w:val="67"/>
        </w:numPr>
        <w:tabs>
          <w:tab w:val="left" w:pos="540"/>
        </w:tabs>
        <w:jc w:val="both"/>
        <w:rPr>
          <w:rFonts w:ascii="CG Omega" w:hAnsi="CG Omega"/>
          <w:sz w:val="24"/>
        </w:rPr>
      </w:pPr>
      <w:r>
        <w:rPr>
          <w:rFonts w:ascii="CG Omega" w:hAnsi="CG Omega"/>
          <w:sz w:val="24"/>
        </w:rPr>
        <w:t>Persons with HIV/AIDS.</w:t>
      </w:r>
    </w:p>
    <w:p w:rsidR="003C459D" w:rsidRPr="00A400B5" w:rsidRDefault="003C459D" w:rsidP="00A400B5">
      <w:pPr>
        <w:pStyle w:val="ListParagraph"/>
        <w:numPr>
          <w:ilvl w:val="0"/>
          <w:numId w:val="67"/>
        </w:numPr>
        <w:tabs>
          <w:tab w:val="left" w:pos="540"/>
        </w:tabs>
        <w:jc w:val="both"/>
        <w:rPr>
          <w:rFonts w:ascii="CG Omega" w:hAnsi="CG Omega"/>
          <w:sz w:val="24"/>
        </w:rPr>
      </w:pPr>
      <w:r w:rsidRPr="00A400B5">
        <w:rPr>
          <w:rFonts w:ascii="CG Omega" w:hAnsi="CG Omega"/>
          <w:sz w:val="24"/>
        </w:rPr>
        <w:t>Victims of domestic violence.</w:t>
      </w:r>
    </w:p>
    <w:p w:rsidR="003C459D" w:rsidRPr="00A400B5" w:rsidRDefault="003C459D" w:rsidP="003C459D">
      <w:pPr>
        <w:tabs>
          <w:tab w:val="left" w:pos="540"/>
        </w:tabs>
        <w:jc w:val="both"/>
        <w:rPr>
          <w:rFonts w:ascii="CG Omega" w:hAnsi="CG Omega"/>
        </w:rPr>
      </w:pPr>
    </w:p>
    <w:p w:rsidR="003C459D" w:rsidRDefault="003C459D" w:rsidP="003C459D">
      <w:pPr>
        <w:tabs>
          <w:tab w:val="left" w:pos="540"/>
        </w:tabs>
        <w:jc w:val="both"/>
        <w:rPr>
          <w:rFonts w:ascii="CG Omega" w:hAnsi="CG Omega"/>
        </w:rPr>
      </w:pPr>
      <w:r w:rsidRPr="00542F38">
        <w:rPr>
          <w:rFonts w:ascii="CG Omega" w:hAnsi="CG Omega"/>
          <w:b/>
        </w:rPr>
        <w:t>Table</w:t>
      </w:r>
      <w:r w:rsidR="00832AB3" w:rsidRPr="00542F38">
        <w:rPr>
          <w:rFonts w:ascii="CG Omega" w:hAnsi="CG Omega"/>
          <w:b/>
        </w:rPr>
        <w:t xml:space="preserve"> V.1</w:t>
      </w:r>
      <w:r w:rsidR="000155B6" w:rsidRPr="00542F38">
        <w:rPr>
          <w:rFonts w:ascii="CG Omega" w:hAnsi="CG Omega"/>
          <w:b/>
        </w:rPr>
        <w:t>1</w:t>
      </w:r>
      <w:r w:rsidRPr="00A400B5">
        <w:rPr>
          <w:rFonts w:ascii="CG Omega" w:hAnsi="CG Omega"/>
        </w:rPr>
        <w:t>, on the following page, shows the breakdown of sub</w:t>
      </w:r>
      <w:r w:rsidR="00542F38">
        <w:rPr>
          <w:rFonts w:ascii="CG Omega" w:hAnsi="CG Omega"/>
        </w:rPr>
        <w:t>-</w:t>
      </w:r>
      <w:r w:rsidRPr="00A400B5">
        <w:rPr>
          <w:rFonts w:ascii="CG Omega" w:hAnsi="CG Omega"/>
        </w:rPr>
        <w:t>populations for the state.  Of those interviewed, 399 were deemed to be chronically homeless individuals, and 126 people in chronically homeless families.  Chronically homeless is defined as a long-term or repeated homelessness, often coupled with a disability.</w:t>
      </w:r>
      <w:r w:rsidRPr="00A400B5">
        <w:rPr>
          <w:rStyle w:val="FootnoteReference"/>
          <w:rFonts w:ascii="CG Omega" w:hAnsi="CG Omega"/>
        </w:rPr>
        <w:footnoteReference w:id="54"/>
      </w:r>
      <w:r w:rsidRPr="00A400B5">
        <w:rPr>
          <w:rFonts w:ascii="CG Omega" w:hAnsi="CG Omega"/>
        </w:rPr>
        <w:t xml:space="preserve"> The chronically homeless make up 18.6 percent of the homeless population for the state of New Mexico. This </w:t>
      </w:r>
      <w:r>
        <w:rPr>
          <w:rFonts w:ascii="CG Omega" w:hAnsi="CG Omega"/>
        </w:rPr>
        <w:t>sub</w:t>
      </w:r>
      <w:r w:rsidR="00542F38">
        <w:rPr>
          <w:rFonts w:ascii="CG Omega" w:hAnsi="CG Omega"/>
        </w:rPr>
        <w:t>-</w:t>
      </w:r>
      <w:r>
        <w:rPr>
          <w:rFonts w:ascii="CG Omega" w:hAnsi="CG Omega"/>
        </w:rPr>
        <w:t>population was the least likely to be sheltered, with 39.8 percent of the chronically homeless remaining unsheltered in 2013.  The second least likely sub</w:t>
      </w:r>
      <w:r w:rsidR="00542F38">
        <w:rPr>
          <w:rFonts w:ascii="CG Omega" w:hAnsi="CG Omega"/>
        </w:rPr>
        <w:t>-</w:t>
      </w:r>
      <w:r>
        <w:rPr>
          <w:rFonts w:ascii="CG Omega" w:hAnsi="CG Omega"/>
        </w:rPr>
        <w:t>population to remain unsheltered was persons with severe mental illness, with 26.3 percent remaining unsheltered.  This is followed by persons with chronic substance abuse, with 20.4 percent remaining unsheltered. The subpopulation group that was most likely to be sheltered during the 2013 count was victims of domestic violence, with all 547 persons having shelter during the count.</w:t>
      </w:r>
    </w:p>
    <w:p w:rsidR="003C459D" w:rsidRDefault="003C459D" w:rsidP="003C459D">
      <w:pPr>
        <w:tabs>
          <w:tab w:val="left" w:pos="540"/>
        </w:tabs>
        <w:jc w:val="both"/>
        <w:rPr>
          <w:rFonts w:ascii="CG Omega" w:hAnsi="CG Omega"/>
          <w:sz w:val="16"/>
          <w:szCs w:val="16"/>
        </w:rPr>
      </w:pPr>
    </w:p>
    <w:tbl>
      <w:tblPr>
        <w:tblW w:w="9579" w:type="dxa"/>
        <w:jc w:val="center"/>
        <w:tblLook w:val="04A0" w:firstRow="1" w:lastRow="0" w:firstColumn="1" w:lastColumn="0" w:noHBand="0" w:noVBand="1"/>
      </w:tblPr>
      <w:tblGrid>
        <w:gridCol w:w="1425"/>
        <w:gridCol w:w="946"/>
        <w:gridCol w:w="1157"/>
        <w:gridCol w:w="692"/>
        <w:gridCol w:w="995"/>
        <w:gridCol w:w="1193"/>
        <w:gridCol w:w="656"/>
        <w:gridCol w:w="995"/>
        <w:gridCol w:w="1141"/>
        <w:gridCol w:w="599"/>
      </w:tblGrid>
      <w:tr w:rsidR="003C459D" w:rsidRPr="00DD1DB8" w:rsidTr="00542F38">
        <w:trPr>
          <w:trHeight w:val="90"/>
          <w:jc w:val="center"/>
        </w:trPr>
        <w:tc>
          <w:tcPr>
            <w:tcW w:w="9579" w:type="dxa"/>
            <w:gridSpan w:val="10"/>
            <w:tcBorders>
              <w:top w:val="nil"/>
              <w:left w:val="nil"/>
              <w:bottom w:val="nil"/>
              <w:right w:val="nil"/>
            </w:tcBorders>
            <w:shd w:val="clear" w:color="auto" w:fill="auto"/>
            <w:noWrap/>
            <w:vAlign w:val="center"/>
            <w:hideMark/>
          </w:tcPr>
          <w:p w:rsidR="003C459D" w:rsidRPr="00DD1DB8" w:rsidRDefault="003C459D" w:rsidP="000155B6">
            <w:pPr>
              <w:jc w:val="center"/>
              <w:rPr>
                <w:rFonts w:ascii="Arial" w:hAnsi="Arial" w:cs="Arial"/>
                <w:b/>
                <w:bCs/>
                <w:color w:val="000000"/>
              </w:rPr>
            </w:pPr>
            <w:r w:rsidRPr="00DD1DB8">
              <w:rPr>
                <w:rFonts w:ascii="Arial" w:hAnsi="Arial" w:cs="Arial"/>
                <w:b/>
                <w:bCs/>
                <w:color w:val="000000"/>
              </w:rPr>
              <w:t>Table</w:t>
            </w:r>
            <w:r w:rsidR="00832AB3">
              <w:rPr>
                <w:rFonts w:ascii="Arial" w:hAnsi="Arial" w:cs="Arial"/>
                <w:b/>
                <w:bCs/>
                <w:color w:val="000000"/>
              </w:rPr>
              <w:t xml:space="preserve"> V.1</w:t>
            </w:r>
            <w:r w:rsidR="000155B6">
              <w:rPr>
                <w:rFonts w:ascii="Arial" w:hAnsi="Arial" w:cs="Arial"/>
                <w:b/>
                <w:bCs/>
                <w:color w:val="000000"/>
              </w:rPr>
              <w:t>1</w:t>
            </w:r>
          </w:p>
        </w:tc>
      </w:tr>
      <w:tr w:rsidR="003C459D" w:rsidRPr="00DD1DB8" w:rsidTr="00542F38">
        <w:trPr>
          <w:trHeight w:val="198"/>
          <w:jc w:val="center"/>
        </w:trPr>
        <w:tc>
          <w:tcPr>
            <w:tcW w:w="9579" w:type="dxa"/>
            <w:gridSpan w:val="10"/>
            <w:tcBorders>
              <w:top w:val="nil"/>
              <w:left w:val="nil"/>
              <w:bottom w:val="nil"/>
              <w:right w:val="nil"/>
            </w:tcBorders>
            <w:shd w:val="clear" w:color="auto" w:fill="auto"/>
            <w:noWrap/>
            <w:vAlign w:val="center"/>
            <w:hideMark/>
          </w:tcPr>
          <w:p w:rsidR="003C459D" w:rsidRPr="00DD1DB8" w:rsidRDefault="003C459D" w:rsidP="00E56B71">
            <w:pPr>
              <w:jc w:val="center"/>
              <w:rPr>
                <w:rFonts w:ascii="Arial" w:hAnsi="Arial" w:cs="Arial"/>
                <w:b/>
                <w:bCs/>
                <w:color w:val="000000"/>
                <w:sz w:val="20"/>
                <w:szCs w:val="20"/>
              </w:rPr>
            </w:pPr>
            <w:r w:rsidRPr="00DD1DB8">
              <w:rPr>
                <w:rFonts w:ascii="Arial" w:hAnsi="Arial" w:cs="Arial"/>
                <w:b/>
                <w:bCs/>
                <w:color w:val="000000"/>
                <w:sz w:val="20"/>
                <w:szCs w:val="20"/>
              </w:rPr>
              <w:t>Characteristics of New Mexico Homeless Subpopulations</w:t>
            </w:r>
          </w:p>
        </w:tc>
      </w:tr>
      <w:tr w:rsidR="003C459D" w:rsidRPr="00DD1DB8" w:rsidTr="00542F38">
        <w:trPr>
          <w:trHeight w:val="153"/>
          <w:jc w:val="center"/>
        </w:trPr>
        <w:tc>
          <w:tcPr>
            <w:tcW w:w="9579" w:type="dxa"/>
            <w:gridSpan w:val="10"/>
            <w:tcBorders>
              <w:top w:val="nil"/>
              <w:left w:val="nil"/>
              <w:bottom w:val="nil"/>
              <w:right w:val="nil"/>
            </w:tcBorders>
            <w:shd w:val="clear" w:color="auto" w:fill="auto"/>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State of New Mexico</w:t>
            </w:r>
          </w:p>
        </w:tc>
      </w:tr>
      <w:tr w:rsidR="003C459D" w:rsidRPr="00DD1DB8" w:rsidTr="00542F38">
        <w:trPr>
          <w:trHeight w:val="135"/>
          <w:jc w:val="center"/>
        </w:trPr>
        <w:tc>
          <w:tcPr>
            <w:tcW w:w="9579" w:type="dxa"/>
            <w:gridSpan w:val="10"/>
            <w:tcBorders>
              <w:top w:val="nil"/>
              <w:left w:val="nil"/>
              <w:bottom w:val="single" w:sz="8" w:space="0" w:color="009900"/>
              <w:right w:val="nil"/>
            </w:tcBorders>
            <w:shd w:val="clear" w:color="auto" w:fill="auto"/>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US Department of Housing and Urban Development</w:t>
            </w:r>
            <w:r w:rsidR="00005A73">
              <w:rPr>
                <w:rFonts w:ascii="Arial" w:hAnsi="Arial" w:cs="Arial"/>
                <w:color w:val="000000"/>
                <w:sz w:val="16"/>
                <w:szCs w:val="16"/>
              </w:rPr>
              <w:t xml:space="preserve"> 2014</w:t>
            </w:r>
          </w:p>
        </w:tc>
      </w:tr>
      <w:tr w:rsidR="003C459D" w:rsidRPr="00DD1DB8" w:rsidTr="00542F38">
        <w:trPr>
          <w:trHeight w:val="300"/>
          <w:jc w:val="center"/>
        </w:trPr>
        <w:tc>
          <w:tcPr>
            <w:tcW w:w="1205" w:type="dxa"/>
            <w:vMerge w:val="restart"/>
            <w:tcBorders>
              <w:top w:val="nil"/>
              <w:left w:val="single" w:sz="8" w:space="0" w:color="009900"/>
              <w:bottom w:val="single" w:sz="8" w:space="0" w:color="009900"/>
              <w:right w:val="nil"/>
            </w:tcBorders>
            <w:shd w:val="clear" w:color="000000" w:fill="FFFFE1"/>
            <w:noWrap/>
            <w:vAlign w:val="center"/>
            <w:hideMark/>
          </w:tcPr>
          <w:p w:rsidR="003C459D" w:rsidRPr="00DD1DB8" w:rsidRDefault="003C459D" w:rsidP="00E56B71">
            <w:pPr>
              <w:rPr>
                <w:rFonts w:ascii="Arial" w:hAnsi="Arial" w:cs="Arial"/>
                <w:b/>
                <w:bCs/>
                <w:color w:val="000000"/>
                <w:sz w:val="16"/>
                <w:szCs w:val="16"/>
              </w:rPr>
            </w:pPr>
            <w:r w:rsidRPr="00DD1DB8">
              <w:rPr>
                <w:rFonts w:ascii="Arial" w:hAnsi="Arial" w:cs="Arial"/>
                <w:b/>
                <w:bCs/>
                <w:color w:val="000000"/>
                <w:sz w:val="16"/>
                <w:szCs w:val="16"/>
              </w:rPr>
              <w:t>Persons in Subpopulations</w:t>
            </w:r>
          </w:p>
        </w:tc>
        <w:tc>
          <w:tcPr>
            <w:tcW w:w="2795" w:type="dxa"/>
            <w:gridSpan w:val="3"/>
            <w:tcBorders>
              <w:top w:val="single" w:sz="8" w:space="0" w:color="009900"/>
              <w:left w:val="dotted" w:sz="4" w:space="0" w:color="009900"/>
              <w:bottom w:val="dotted" w:sz="4" w:space="0" w:color="009900"/>
              <w:right w:val="dotted" w:sz="4" w:space="0" w:color="009900"/>
            </w:tcBorders>
            <w:shd w:val="clear" w:color="000000" w:fill="FFFFE1"/>
            <w:noWrap/>
            <w:vAlign w:val="center"/>
            <w:hideMark/>
          </w:tcPr>
          <w:p w:rsidR="003C459D" w:rsidRPr="00DD1DB8" w:rsidRDefault="003C459D" w:rsidP="00E56B71">
            <w:pPr>
              <w:jc w:val="center"/>
              <w:rPr>
                <w:rFonts w:ascii="Arial" w:hAnsi="Arial" w:cs="Arial"/>
                <w:b/>
                <w:bCs/>
                <w:color w:val="000000"/>
                <w:sz w:val="16"/>
                <w:szCs w:val="16"/>
              </w:rPr>
            </w:pPr>
            <w:r w:rsidRPr="00DD1DB8">
              <w:rPr>
                <w:rFonts w:ascii="Arial" w:hAnsi="Arial" w:cs="Arial"/>
                <w:b/>
                <w:bCs/>
                <w:color w:val="000000"/>
                <w:sz w:val="16"/>
                <w:szCs w:val="16"/>
              </w:rPr>
              <w:t>2009</w:t>
            </w:r>
          </w:p>
        </w:tc>
        <w:tc>
          <w:tcPr>
            <w:tcW w:w="2844" w:type="dxa"/>
            <w:gridSpan w:val="3"/>
            <w:tcBorders>
              <w:top w:val="single" w:sz="8" w:space="0" w:color="009900"/>
              <w:left w:val="nil"/>
              <w:bottom w:val="dotted" w:sz="4" w:space="0" w:color="009900"/>
              <w:right w:val="dotted" w:sz="4" w:space="0" w:color="009900"/>
            </w:tcBorders>
            <w:shd w:val="clear" w:color="000000" w:fill="FFFFE1"/>
            <w:noWrap/>
            <w:vAlign w:val="center"/>
            <w:hideMark/>
          </w:tcPr>
          <w:p w:rsidR="003C459D" w:rsidRPr="00DD1DB8" w:rsidRDefault="003C459D" w:rsidP="00E56B71">
            <w:pPr>
              <w:jc w:val="center"/>
              <w:rPr>
                <w:rFonts w:ascii="Arial" w:hAnsi="Arial" w:cs="Arial"/>
                <w:b/>
                <w:bCs/>
                <w:color w:val="000000"/>
                <w:sz w:val="16"/>
                <w:szCs w:val="16"/>
              </w:rPr>
            </w:pPr>
            <w:r w:rsidRPr="00DD1DB8">
              <w:rPr>
                <w:rFonts w:ascii="Arial" w:hAnsi="Arial" w:cs="Arial"/>
                <w:b/>
                <w:bCs/>
                <w:color w:val="000000"/>
                <w:sz w:val="16"/>
                <w:szCs w:val="16"/>
              </w:rPr>
              <w:t>2011</w:t>
            </w:r>
          </w:p>
        </w:tc>
        <w:tc>
          <w:tcPr>
            <w:tcW w:w="2735" w:type="dxa"/>
            <w:gridSpan w:val="3"/>
            <w:tcBorders>
              <w:top w:val="single" w:sz="8" w:space="0" w:color="009900"/>
              <w:left w:val="nil"/>
              <w:bottom w:val="dotted" w:sz="4" w:space="0" w:color="009900"/>
              <w:right w:val="single" w:sz="8" w:space="0" w:color="009900"/>
            </w:tcBorders>
            <w:shd w:val="clear" w:color="000000" w:fill="FFFFE1"/>
            <w:noWrap/>
            <w:vAlign w:val="center"/>
            <w:hideMark/>
          </w:tcPr>
          <w:p w:rsidR="003C459D" w:rsidRPr="00DD1DB8" w:rsidRDefault="003C459D" w:rsidP="00E56B71">
            <w:pPr>
              <w:jc w:val="center"/>
              <w:rPr>
                <w:rFonts w:ascii="Arial" w:hAnsi="Arial" w:cs="Arial"/>
                <w:b/>
                <w:bCs/>
                <w:color w:val="000000"/>
                <w:sz w:val="16"/>
                <w:szCs w:val="16"/>
              </w:rPr>
            </w:pPr>
            <w:r w:rsidRPr="00DD1DB8">
              <w:rPr>
                <w:rFonts w:ascii="Arial" w:hAnsi="Arial" w:cs="Arial"/>
                <w:b/>
                <w:bCs/>
                <w:color w:val="000000"/>
                <w:sz w:val="16"/>
                <w:szCs w:val="16"/>
              </w:rPr>
              <w:t>2013</w:t>
            </w:r>
          </w:p>
        </w:tc>
      </w:tr>
      <w:tr w:rsidR="003C459D" w:rsidRPr="00DD1DB8" w:rsidTr="00542F38">
        <w:trPr>
          <w:trHeight w:val="315"/>
          <w:jc w:val="center"/>
        </w:trPr>
        <w:tc>
          <w:tcPr>
            <w:tcW w:w="1205" w:type="dxa"/>
            <w:vMerge/>
            <w:tcBorders>
              <w:top w:val="nil"/>
              <w:left w:val="single" w:sz="8" w:space="0" w:color="009900"/>
              <w:bottom w:val="single" w:sz="8" w:space="0" w:color="009900"/>
              <w:right w:val="nil"/>
            </w:tcBorders>
            <w:vAlign w:val="center"/>
            <w:hideMark/>
          </w:tcPr>
          <w:p w:rsidR="003C459D" w:rsidRPr="00DD1DB8" w:rsidRDefault="003C459D" w:rsidP="00E56B71">
            <w:pPr>
              <w:rPr>
                <w:rFonts w:ascii="Arial" w:hAnsi="Arial" w:cs="Arial"/>
                <w:b/>
                <w:bCs/>
                <w:color w:val="000000"/>
                <w:sz w:val="16"/>
                <w:szCs w:val="16"/>
              </w:rPr>
            </w:pPr>
          </w:p>
        </w:tc>
        <w:tc>
          <w:tcPr>
            <w:tcW w:w="946" w:type="dxa"/>
            <w:tcBorders>
              <w:top w:val="nil"/>
              <w:left w:val="dotted" w:sz="4" w:space="0" w:color="009900"/>
              <w:bottom w:val="single" w:sz="8" w:space="0" w:color="009900"/>
              <w:right w:val="nil"/>
            </w:tcBorders>
            <w:shd w:val="clear" w:color="000000" w:fill="FFFFE1"/>
            <w:noWrap/>
            <w:vAlign w:val="center"/>
            <w:hideMark/>
          </w:tcPr>
          <w:p w:rsidR="003C459D" w:rsidRPr="00DD1DB8" w:rsidRDefault="003C459D" w:rsidP="00E56B71">
            <w:pPr>
              <w:jc w:val="center"/>
              <w:rPr>
                <w:rFonts w:ascii="Arial" w:hAnsi="Arial" w:cs="Arial"/>
                <w:b/>
                <w:bCs/>
                <w:color w:val="000000"/>
                <w:sz w:val="16"/>
                <w:szCs w:val="16"/>
              </w:rPr>
            </w:pPr>
            <w:r w:rsidRPr="00DD1DB8">
              <w:rPr>
                <w:rFonts w:ascii="Arial" w:hAnsi="Arial" w:cs="Arial"/>
                <w:b/>
                <w:bCs/>
                <w:color w:val="000000"/>
                <w:sz w:val="16"/>
                <w:szCs w:val="16"/>
              </w:rPr>
              <w:t>Sheltered</w:t>
            </w:r>
          </w:p>
        </w:tc>
        <w:tc>
          <w:tcPr>
            <w:tcW w:w="1157" w:type="dxa"/>
            <w:tcBorders>
              <w:top w:val="nil"/>
              <w:left w:val="nil"/>
              <w:bottom w:val="single" w:sz="8" w:space="0" w:color="009900"/>
              <w:right w:val="nil"/>
            </w:tcBorders>
            <w:shd w:val="clear" w:color="000000" w:fill="FFFFE1"/>
            <w:noWrap/>
            <w:vAlign w:val="center"/>
            <w:hideMark/>
          </w:tcPr>
          <w:p w:rsidR="003C459D" w:rsidRPr="00DD1DB8" w:rsidRDefault="003C459D" w:rsidP="00E56B71">
            <w:pPr>
              <w:jc w:val="center"/>
              <w:rPr>
                <w:rFonts w:ascii="Arial" w:hAnsi="Arial" w:cs="Arial"/>
                <w:b/>
                <w:bCs/>
                <w:color w:val="000000"/>
                <w:sz w:val="16"/>
                <w:szCs w:val="16"/>
              </w:rPr>
            </w:pPr>
            <w:r w:rsidRPr="00DD1DB8">
              <w:rPr>
                <w:rFonts w:ascii="Arial" w:hAnsi="Arial" w:cs="Arial"/>
                <w:b/>
                <w:bCs/>
                <w:color w:val="000000"/>
                <w:sz w:val="16"/>
                <w:szCs w:val="16"/>
              </w:rPr>
              <w:t>Unsheltered</w:t>
            </w:r>
          </w:p>
        </w:tc>
        <w:tc>
          <w:tcPr>
            <w:tcW w:w="692" w:type="dxa"/>
            <w:tcBorders>
              <w:top w:val="nil"/>
              <w:left w:val="dotted" w:sz="4" w:space="0" w:color="009900"/>
              <w:bottom w:val="single" w:sz="8" w:space="0" w:color="009900"/>
              <w:right w:val="dotted" w:sz="4" w:space="0" w:color="009900"/>
            </w:tcBorders>
            <w:shd w:val="clear" w:color="000000" w:fill="FFFFE1"/>
            <w:noWrap/>
            <w:vAlign w:val="center"/>
            <w:hideMark/>
          </w:tcPr>
          <w:p w:rsidR="003C459D" w:rsidRPr="00DD1DB8" w:rsidRDefault="003C459D" w:rsidP="00E56B71">
            <w:pPr>
              <w:jc w:val="center"/>
              <w:rPr>
                <w:rFonts w:ascii="Arial" w:hAnsi="Arial" w:cs="Arial"/>
                <w:b/>
                <w:bCs/>
                <w:color w:val="000000"/>
                <w:sz w:val="16"/>
                <w:szCs w:val="16"/>
              </w:rPr>
            </w:pPr>
            <w:r w:rsidRPr="00DD1DB8">
              <w:rPr>
                <w:rFonts w:ascii="Arial" w:hAnsi="Arial" w:cs="Arial"/>
                <w:b/>
                <w:bCs/>
                <w:color w:val="000000"/>
                <w:sz w:val="16"/>
                <w:szCs w:val="16"/>
              </w:rPr>
              <w:t>Total</w:t>
            </w:r>
          </w:p>
        </w:tc>
        <w:tc>
          <w:tcPr>
            <w:tcW w:w="995" w:type="dxa"/>
            <w:tcBorders>
              <w:top w:val="nil"/>
              <w:left w:val="nil"/>
              <w:bottom w:val="single" w:sz="8" w:space="0" w:color="009900"/>
              <w:right w:val="nil"/>
            </w:tcBorders>
            <w:shd w:val="clear" w:color="000000" w:fill="FFFFE1"/>
            <w:noWrap/>
            <w:vAlign w:val="center"/>
            <w:hideMark/>
          </w:tcPr>
          <w:p w:rsidR="003C459D" w:rsidRPr="00DD1DB8" w:rsidRDefault="003C459D" w:rsidP="00E56B71">
            <w:pPr>
              <w:jc w:val="center"/>
              <w:rPr>
                <w:rFonts w:ascii="Arial" w:hAnsi="Arial" w:cs="Arial"/>
                <w:b/>
                <w:bCs/>
                <w:color w:val="000000"/>
                <w:sz w:val="16"/>
                <w:szCs w:val="16"/>
              </w:rPr>
            </w:pPr>
            <w:r w:rsidRPr="00DD1DB8">
              <w:rPr>
                <w:rFonts w:ascii="Arial" w:hAnsi="Arial" w:cs="Arial"/>
                <w:b/>
                <w:bCs/>
                <w:color w:val="000000"/>
                <w:sz w:val="16"/>
                <w:szCs w:val="16"/>
              </w:rPr>
              <w:t>Sheltered</w:t>
            </w:r>
          </w:p>
        </w:tc>
        <w:tc>
          <w:tcPr>
            <w:tcW w:w="1193" w:type="dxa"/>
            <w:tcBorders>
              <w:top w:val="nil"/>
              <w:left w:val="nil"/>
              <w:bottom w:val="single" w:sz="8" w:space="0" w:color="009900"/>
              <w:right w:val="nil"/>
            </w:tcBorders>
            <w:shd w:val="clear" w:color="000000" w:fill="FFFFE1"/>
            <w:noWrap/>
            <w:vAlign w:val="center"/>
            <w:hideMark/>
          </w:tcPr>
          <w:p w:rsidR="003C459D" w:rsidRPr="00DD1DB8" w:rsidRDefault="003C459D" w:rsidP="00E56B71">
            <w:pPr>
              <w:jc w:val="center"/>
              <w:rPr>
                <w:rFonts w:ascii="Arial" w:hAnsi="Arial" w:cs="Arial"/>
                <w:b/>
                <w:bCs/>
                <w:color w:val="000000"/>
                <w:sz w:val="16"/>
                <w:szCs w:val="16"/>
              </w:rPr>
            </w:pPr>
            <w:r w:rsidRPr="00DD1DB8">
              <w:rPr>
                <w:rFonts w:ascii="Arial" w:hAnsi="Arial" w:cs="Arial"/>
                <w:b/>
                <w:bCs/>
                <w:color w:val="000000"/>
                <w:sz w:val="16"/>
                <w:szCs w:val="16"/>
              </w:rPr>
              <w:t>Unsheltered</w:t>
            </w:r>
          </w:p>
        </w:tc>
        <w:tc>
          <w:tcPr>
            <w:tcW w:w="656" w:type="dxa"/>
            <w:tcBorders>
              <w:top w:val="nil"/>
              <w:left w:val="dotted" w:sz="4" w:space="0" w:color="009900"/>
              <w:bottom w:val="single" w:sz="8" w:space="0" w:color="009900"/>
              <w:right w:val="dotted" w:sz="4" w:space="0" w:color="009900"/>
            </w:tcBorders>
            <w:shd w:val="clear" w:color="000000" w:fill="FFFFE1"/>
            <w:noWrap/>
            <w:vAlign w:val="center"/>
            <w:hideMark/>
          </w:tcPr>
          <w:p w:rsidR="003C459D" w:rsidRPr="00DD1DB8" w:rsidRDefault="003C459D" w:rsidP="00E56B71">
            <w:pPr>
              <w:jc w:val="center"/>
              <w:rPr>
                <w:rFonts w:ascii="Arial" w:hAnsi="Arial" w:cs="Arial"/>
                <w:b/>
                <w:bCs/>
                <w:color w:val="000000"/>
                <w:sz w:val="16"/>
                <w:szCs w:val="16"/>
              </w:rPr>
            </w:pPr>
            <w:r w:rsidRPr="00DD1DB8">
              <w:rPr>
                <w:rFonts w:ascii="Arial" w:hAnsi="Arial" w:cs="Arial"/>
                <w:b/>
                <w:bCs/>
                <w:color w:val="000000"/>
                <w:sz w:val="16"/>
                <w:szCs w:val="16"/>
              </w:rPr>
              <w:t>Total</w:t>
            </w:r>
          </w:p>
        </w:tc>
        <w:tc>
          <w:tcPr>
            <w:tcW w:w="995" w:type="dxa"/>
            <w:tcBorders>
              <w:top w:val="nil"/>
              <w:left w:val="nil"/>
              <w:bottom w:val="single" w:sz="8" w:space="0" w:color="009900"/>
              <w:right w:val="nil"/>
            </w:tcBorders>
            <w:shd w:val="clear" w:color="000000" w:fill="FFFFE1"/>
            <w:noWrap/>
            <w:vAlign w:val="center"/>
            <w:hideMark/>
          </w:tcPr>
          <w:p w:rsidR="003C459D" w:rsidRPr="00DD1DB8" w:rsidRDefault="003C459D" w:rsidP="00E56B71">
            <w:pPr>
              <w:jc w:val="center"/>
              <w:rPr>
                <w:rFonts w:ascii="Arial" w:hAnsi="Arial" w:cs="Arial"/>
                <w:b/>
                <w:bCs/>
                <w:color w:val="000000"/>
                <w:sz w:val="16"/>
                <w:szCs w:val="16"/>
              </w:rPr>
            </w:pPr>
            <w:r w:rsidRPr="00DD1DB8">
              <w:rPr>
                <w:rFonts w:ascii="Arial" w:hAnsi="Arial" w:cs="Arial"/>
                <w:b/>
                <w:bCs/>
                <w:color w:val="000000"/>
                <w:sz w:val="16"/>
                <w:szCs w:val="16"/>
              </w:rPr>
              <w:t>Sheltered</w:t>
            </w:r>
          </w:p>
        </w:tc>
        <w:tc>
          <w:tcPr>
            <w:tcW w:w="1141" w:type="dxa"/>
            <w:tcBorders>
              <w:top w:val="nil"/>
              <w:left w:val="nil"/>
              <w:bottom w:val="single" w:sz="8" w:space="0" w:color="009900"/>
              <w:right w:val="nil"/>
            </w:tcBorders>
            <w:shd w:val="clear" w:color="000000" w:fill="FFFFE1"/>
            <w:noWrap/>
            <w:vAlign w:val="center"/>
            <w:hideMark/>
          </w:tcPr>
          <w:p w:rsidR="003C459D" w:rsidRPr="00DD1DB8" w:rsidRDefault="003C459D" w:rsidP="00E56B71">
            <w:pPr>
              <w:jc w:val="center"/>
              <w:rPr>
                <w:rFonts w:ascii="Arial" w:hAnsi="Arial" w:cs="Arial"/>
                <w:b/>
                <w:bCs/>
                <w:color w:val="000000"/>
                <w:sz w:val="16"/>
                <w:szCs w:val="16"/>
              </w:rPr>
            </w:pPr>
            <w:r w:rsidRPr="00DD1DB8">
              <w:rPr>
                <w:rFonts w:ascii="Arial" w:hAnsi="Arial" w:cs="Arial"/>
                <w:b/>
                <w:bCs/>
                <w:color w:val="000000"/>
                <w:sz w:val="16"/>
                <w:szCs w:val="16"/>
              </w:rPr>
              <w:t>Unsheltered</w:t>
            </w:r>
          </w:p>
        </w:tc>
        <w:tc>
          <w:tcPr>
            <w:tcW w:w="599" w:type="dxa"/>
            <w:tcBorders>
              <w:top w:val="nil"/>
              <w:left w:val="dotted" w:sz="4" w:space="0" w:color="009900"/>
              <w:bottom w:val="single" w:sz="8" w:space="0" w:color="009900"/>
              <w:right w:val="single" w:sz="8" w:space="0" w:color="009900"/>
            </w:tcBorders>
            <w:shd w:val="clear" w:color="000000" w:fill="FFFFE1"/>
            <w:noWrap/>
            <w:vAlign w:val="center"/>
            <w:hideMark/>
          </w:tcPr>
          <w:p w:rsidR="003C459D" w:rsidRPr="00DD1DB8" w:rsidRDefault="003C459D" w:rsidP="00E56B71">
            <w:pPr>
              <w:jc w:val="center"/>
              <w:rPr>
                <w:rFonts w:ascii="Arial" w:hAnsi="Arial" w:cs="Arial"/>
                <w:b/>
                <w:bCs/>
                <w:color w:val="000000"/>
                <w:sz w:val="16"/>
                <w:szCs w:val="16"/>
              </w:rPr>
            </w:pPr>
            <w:r w:rsidRPr="00DD1DB8">
              <w:rPr>
                <w:rFonts w:ascii="Arial" w:hAnsi="Arial" w:cs="Arial"/>
                <w:b/>
                <w:bCs/>
                <w:color w:val="000000"/>
                <w:sz w:val="16"/>
                <w:szCs w:val="16"/>
              </w:rPr>
              <w:t>Total</w:t>
            </w:r>
          </w:p>
        </w:tc>
      </w:tr>
      <w:tr w:rsidR="003C459D" w:rsidRPr="00DD1DB8" w:rsidTr="00542F38">
        <w:trPr>
          <w:trHeight w:val="300"/>
          <w:jc w:val="center"/>
        </w:trPr>
        <w:tc>
          <w:tcPr>
            <w:tcW w:w="1205" w:type="dxa"/>
            <w:tcBorders>
              <w:top w:val="single" w:sz="8" w:space="0" w:color="009900"/>
              <w:left w:val="single" w:sz="8" w:space="0" w:color="009900"/>
              <w:bottom w:val="dotted" w:sz="4" w:space="0" w:color="auto"/>
              <w:right w:val="nil"/>
            </w:tcBorders>
            <w:shd w:val="clear" w:color="000000" w:fill="FFFFE1"/>
            <w:noWrap/>
            <w:vAlign w:val="center"/>
            <w:hideMark/>
          </w:tcPr>
          <w:p w:rsidR="003C459D" w:rsidRPr="00DD1DB8" w:rsidRDefault="003C459D" w:rsidP="00E56B71">
            <w:pPr>
              <w:rPr>
                <w:rFonts w:ascii="Arial" w:hAnsi="Arial" w:cs="Arial"/>
                <w:color w:val="000000"/>
                <w:sz w:val="16"/>
                <w:szCs w:val="16"/>
              </w:rPr>
            </w:pPr>
            <w:r w:rsidRPr="00DD1DB8">
              <w:rPr>
                <w:rFonts w:ascii="Arial" w:hAnsi="Arial" w:cs="Arial"/>
                <w:color w:val="000000"/>
                <w:sz w:val="16"/>
                <w:szCs w:val="16"/>
              </w:rPr>
              <w:t>Chronically Homeless Individuals</w:t>
            </w:r>
          </w:p>
        </w:tc>
        <w:tc>
          <w:tcPr>
            <w:tcW w:w="946" w:type="dxa"/>
            <w:tcBorders>
              <w:top w:val="single" w:sz="8" w:space="0" w:color="009900"/>
              <w:left w:val="dotted" w:sz="4" w:space="0" w:color="009900"/>
              <w:bottom w:val="dotted" w:sz="4" w:space="0" w:color="auto"/>
              <w:right w:val="nil"/>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341</w:t>
            </w:r>
          </w:p>
        </w:tc>
        <w:tc>
          <w:tcPr>
            <w:tcW w:w="1157" w:type="dxa"/>
            <w:tcBorders>
              <w:top w:val="single" w:sz="8" w:space="0" w:color="009900"/>
              <w:left w:val="nil"/>
              <w:bottom w:val="dotted" w:sz="4" w:space="0" w:color="auto"/>
              <w:right w:val="nil"/>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438</w:t>
            </w:r>
          </w:p>
        </w:tc>
        <w:tc>
          <w:tcPr>
            <w:tcW w:w="692" w:type="dxa"/>
            <w:tcBorders>
              <w:top w:val="single" w:sz="8" w:space="0" w:color="009900"/>
              <w:left w:val="dotted" w:sz="4" w:space="0" w:color="009900"/>
              <w:bottom w:val="dotted" w:sz="4" w:space="0" w:color="auto"/>
              <w:right w:val="dotted" w:sz="4" w:space="0" w:color="009900"/>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779</w:t>
            </w:r>
          </w:p>
        </w:tc>
        <w:tc>
          <w:tcPr>
            <w:tcW w:w="995" w:type="dxa"/>
            <w:tcBorders>
              <w:top w:val="single" w:sz="8" w:space="0" w:color="009900"/>
              <w:left w:val="nil"/>
              <w:bottom w:val="dotted" w:sz="4" w:space="0" w:color="auto"/>
              <w:right w:val="nil"/>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564</w:t>
            </w:r>
          </w:p>
        </w:tc>
        <w:tc>
          <w:tcPr>
            <w:tcW w:w="1193" w:type="dxa"/>
            <w:tcBorders>
              <w:top w:val="single" w:sz="8" w:space="0" w:color="009900"/>
              <w:left w:val="nil"/>
              <w:bottom w:val="dotted" w:sz="4" w:space="0" w:color="auto"/>
              <w:right w:val="nil"/>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407</w:t>
            </w:r>
          </w:p>
        </w:tc>
        <w:tc>
          <w:tcPr>
            <w:tcW w:w="656" w:type="dxa"/>
            <w:tcBorders>
              <w:top w:val="single" w:sz="8" w:space="0" w:color="009900"/>
              <w:left w:val="dotted" w:sz="4" w:space="0" w:color="009900"/>
              <w:bottom w:val="dotted" w:sz="4" w:space="0" w:color="auto"/>
              <w:right w:val="dotted" w:sz="4" w:space="0" w:color="009900"/>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971</w:t>
            </w:r>
          </w:p>
        </w:tc>
        <w:tc>
          <w:tcPr>
            <w:tcW w:w="995" w:type="dxa"/>
            <w:tcBorders>
              <w:top w:val="single" w:sz="8" w:space="0" w:color="009900"/>
              <w:left w:val="nil"/>
              <w:bottom w:val="dotted" w:sz="4" w:space="0" w:color="auto"/>
              <w:right w:val="nil"/>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240</w:t>
            </w:r>
          </w:p>
        </w:tc>
        <w:tc>
          <w:tcPr>
            <w:tcW w:w="1141" w:type="dxa"/>
            <w:tcBorders>
              <w:top w:val="single" w:sz="8" w:space="0" w:color="009900"/>
              <w:left w:val="nil"/>
              <w:bottom w:val="dotted" w:sz="4" w:space="0" w:color="auto"/>
              <w:right w:val="nil"/>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159</w:t>
            </w:r>
          </w:p>
        </w:tc>
        <w:tc>
          <w:tcPr>
            <w:tcW w:w="599" w:type="dxa"/>
            <w:tcBorders>
              <w:top w:val="single" w:sz="8" w:space="0" w:color="009900"/>
              <w:left w:val="dotted" w:sz="4" w:space="0" w:color="009900"/>
              <w:bottom w:val="dotted" w:sz="4" w:space="0" w:color="auto"/>
              <w:right w:val="single" w:sz="8" w:space="0" w:color="009900"/>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399</w:t>
            </w:r>
          </w:p>
        </w:tc>
      </w:tr>
      <w:tr w:rsidR="003C459D" w:rsidRPr="00DD1DB8" w:rsidTr="00542F38">
        <w:trPr>
          <w:trHeight w:val="480"/>
          <w:jc w:val="center"/>
        </w:trPr>
        <w:tc>
          <w:tcPr>
            <w:tcW w:w="1205" w:type="dxa"/>
            <w:tcBorders>
              <w:top w:val="dotted" w:sz="4" w:space="0" w:color="auto"/>
              <w:left w:val="single" w:sz="8" w:space="0" w:color="009900"/>
              <w:bottom w:val="dotted" w:sz="4" w:space="0" w:color="auto"/>
              <w:right w:val="nil"/>
            </w:tcBorders>
            <w:shd w:val="clear" w:color="000000" w:fill="FFFFE1"/>
            <w:vAlign w:val="center"/>
            <w:hideMark/>
          </w:tcPr>
          <w:p w:rsidR="003C459D" w:rsidRPr="00DD1DB8" w:rsidRDefault="003C459D" w:rsidP="00E56B71">
            <w:pPr>
              <w:rPr>
                <w:rFonts w:ascii="Arial" w:hAnsi="Arial" w:cs="Arial"/>
                <w:color w:val="000000"/>
                <w:sz w:val="16"/>
                <w:szCs w:val="16"/>
              </w:rPr>
            </w:pPr>
            <w:r w:rsidRPr="00DD1DB8">
              <w:rPr>
                <w:rFonts w:ascii="Arial" w:hAnsi="Arial" w:cs="Arial"/>
                <w:color w:val="000000"/>
                <w:sz w:val="16"/>
                <w:szCs w:val="16"/>
              </w:rPr>
              <w:t>Chronically Homeless Families (Total Number of Persons)</w:t>
            </w:r>
          </w:p>
        </w:tc>
        <w:tc>
          <w:tcPr>
            <w:tcW w:w="946" w:type="dxa"/>
            <w:tcBorders>
              <w:top w:val="dotted" w:sz="4" w:space="0" w:color="auto"/>
              <w:left w:val="dotted" w:sz="4" w:space="0" w:color="009900"/>
              <w:bottom w:val="dotted" w:sz="4" w:space="0" w:color="auto"/>
              <w:right w:val="nil"/>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w:t>
            </w:r>
          </w:p>
        </w:tc>
        <w:tc>
          <w:tcPr>
            <w:tcW w:w="1157" w:type="dxa"/>
            <w:tcBorders>
              <w:top w:val="dotted" w:sz="4" w:space="0" w:color="auto"/>
              <w:left w:val="nil"/>
              <w:bottom w:val="dotted" w:sz="4" w:space="0" w:color="auto"/>
              <w:right w:val="nil"/>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w:t>
            </w:r>
          </w:p>
        </w:tc>
        <w:tc>
          <w:tcPr>
            <w:tcW w:w="692" w:type="dxa"/>
            <w:tcBorders>
              <w:top w:val="dotted" w:sz="4" w:space="0" w:color="auto"/>
              <w:left w:val="dotted" w:sz="4" w:space="0" w:color="009900"/>
              <w:bottom w:val="dotted" w:sz="4" w:space="0" w:color="auto"/>
              <w:right w:val="dotted" w:sz="4" w:space="0" w:color="009900"/>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0</w:t>
            </w:r>
          </w:p>
        </w:tc>
        <w:tc>
          <w:tcPr>
            <w:tcW w:w="995" w:type="dxa"/>
            <w:tcBorders>
              <w:top w:val="dotted" w:sz="4" w:space="0" w:color="auto"/>
              <w:left w:val="nil"/>
              <w:bottom w:val="dotted" w:sz="4" w:space="0" w:color="auto"/>
              <w:right w:val="nil"/>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39</w:t>
            </w:r>
          </w:p>
        </w:tc>
        <w:tc>
          <w:tcPr>
            <w:tcW w:w="1193" w:type="dxa"/>
            <w:tcBorders>
              <w:top w:val="dotted" w:sz="4" w:space="0" w:color="auto"/>
              <w:left w:val="nil"/>
              <w:bottom w:val="dotted" w:sz="4" w:space="0" w:color="auto"/>
              <w:right w:val="nil"/>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12</w:t>
            </w:r>
          </w:p>
        </w:tc>
        <w:tc>
          <w:tcPr>
            <w:tcW w:w="656" w:type="dxa"/>
            <w:tcBorders>
              <w:top w:val="dotted" w:sz="4" w:space="0" w:color="auto"/>
              <w:left w:val="dotted" w:sz="4" w:space="0" w:color="009900"/>
              <w:bottom w:val="dotted" w:sz="4" w:space="0" w:color="auto"/>
              <w:right w:val="dotted" w:sz="4" w:space="0" w:color="009900"/>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51</w:t>
            </w:r>
          </w:p>
        </w:tc>
        <w:tc>
          <w:tcPr>
            <w:tcW w:w="995" w:type="dxa"/>
            <w:tcBorders>
              <w:top w:val="dotted" w:sz="4" w:space="0" w:color="auto"/>
              <w:left w:val="nil"/>
              <w:bottom w:val="dotted" w:sz="4" w:space="0" w:color="auto"/>
              <w:right w:val="nil"/>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66</w:t>
            </w:r>
          </w:p>
        </w:tc>
        <w:tc>
          <w:tcPr>
            <w:tcW w:w="1141" w:type="dxa"/>
            <w:tcBorders>
              <w:top w:val="dotted" w:sz="4" w:space="0" w:color="auto"/>
              <w:left w:val="nil"/>
              <w:bottom w:val="dotted" w:sz="4" w:space="0" w:color="auto"/>
              <w:right w:val="nil"/>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60</w:t>
            </w:r>
          </w:p>
        </w:tc>
        <w:tc>
          <w:tcPr>
            <w:tcW w:w="599" w:type="dxa"/>
            <w:tcBorders>
              <w:top w:val="dotted" w:sz="4" w:space="0" w:color="auto"/>
              <w:left w:val="dotted" w:sz="4" w:space="0" w:color="009900"/>
              <w:bottom w:val="dotted" w:sz="4" w:space="0" w:color="auto"/>
              <w:right w:val="single" w:sz="8" w:space="0" w:color="009900"/>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126</w:t>
            </w:r>
          </w:p>
        </w:tc>
      </w:tr>
      <w:tr w:rsidR="003C459D" w:rsidRPr="00DD1DB8" w:rsidTr="00542F38">
        <w:trPr>
          <w:trHeight w:val="300"/>
          <w:jc w:val="center"/>
        </w:trPr>
        <w:tc>
          <w:tcPr>
            <w:tcW w:w="1205" w:type="dxa"/>
            <w:tcBorders>
              <w:top w:val="dotted" w:sz="4" w:space="0" w:color="auto"/>
              <w:left w:val="single" w:sz="8" w:space="0" w:color="009900"/>
              <w:bottom w:val="dotted" w:sz="4" w:space="0" w:color="auto"/>
              <w:right w:val="nil"/>
            </w:tcBorders>
            <w:shd w:val="clear" w:color="000000" w:fill="FFFFE1"/>
            <w:noWrap/>
            <w:vAlign w:val="center"/>
            <w:hideMark/>
          </w:tcPr>
          <w:p w:rsidR="003C459D" w:rsidRPr="00DD1DB8" w:rsidRDefault="003C459D" w:rsidP="00E56B71">
            <w:pPr>
              <w:rPr>
                <w:rFonts w:ascii="Arial" w:hAnsi="Arial" w:cs="Arial"/>
                <w:color w:val="000000"/>
                <w:sz w:val="16"/>
                <w:szCs w:val="16"/>
              </w:rPr>
            </w:pPr>
            <w:r w:rsidRPr="00DD1DB8">
              <w:rPr>
                <w:rFonts w:ascii="Arial" w:hAnsi="Arial" w:cs="Arial"/>
                <w:color w:val="000000"/>
                <w:sz w:val="16"/>
                <w:szCs w:val="16"/>
              </w:rPr>
              <w:t>Severely Mentally Ill</w:t>
            </w:r>
          </w:p>
        </w:tc>
        <w:tc>
          <w:tcPr>
            <w:tcW w:w="946" w:type="dxa"/>
            <w:tcBorders>
              <w:top w:val="dotted" w:sz="4" w:space="0" w:color="auto"/>
              <w:left w:val="dotted" w:sz="4" w:space="0" w:color="009900"/>
              <w:bottom w:val="dotted" w:sz="4" w:space="0" w:color="auto"/>
              <w:right w:val="nil"/>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293</w:t>
            </w:r>
          </w:p>
        </w:tc>
        <w:tc>
          <w:tcPr>
            <w:tcW w:w="1157" w:type="dxa"/>
            <w:tcBorders>
              <w:top w:val="dotted" w:sz="4" w:space="0" w:color="auto"/>
              <w:left w:val="nil"/>
              <w:bottom w:val="dotted" w:sz="4" w:space="0" w:color="auto"/>
              <w:right w:val="nil"/>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0</w:t>
            </w:r>
          </w:p>
        </w:tc>
        <w:tc>
          <w:tcPr>
            <w:tcW w:w="692" w:type="dxa"/>
            <w:tcBorders>
              <w:top w:val="dotted" w:sz="4" w:space="0" w:color="auto"/>
              <w:left w:val="dotted" w:sz="4" w:space="0" w:color="009900"/>
              <w:bottom w:val="dotted" w:sz="4" w:space="0" w:color="auto"/>
              <w:right w:val="dotted" w:sz="4" w:space="0" w:color="009900"/>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293</w:t>
            </w:r>
          </w:p>
        </w:tc>
        <w:tc>
          <w:tcPr>
            <w:tcW w:w="995" w:type="dxa"/>
            <w:tcBorders>
              <w:top w:val="dotted" w:sz="4" w:space="0" w:color="auto"/>
              <w:left w:val="nil"/>
              <w:bottom w:val="dotted" w:sz="4" w:space="0" w:color="auto"/>
              <w:right w:val="nil"/>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199</w:t>
            </w:r>
          </w:p>
        </w:tc>
        <w:tc>
          <w:tcPr>
            <w:tcW w:w="1193" w:type="dxa"/>
            <w:tcBorders>
              <w:top w:val="dotted" w:sz="4" w:space="0" w:color="auto"/>
              <w:left w:val="nil"/>
              <w:bottom w:val="dotted" w:sz="4" w:space="0" w:color="auto"/>
              <w:right w:val="nil"/>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0</w:t>
            </w:r>
          </w:p>
        </w:tc>
        <w:tc>
          <w:tcPr>
            <w:tcW w:w="656" w:type="dxa"/>
            <w:tcBorders>
              <w:top w:val="dotted" w:sz="4" w:space="0" w:color="auto"/>
              <w:left w:val="dotted" w:sz="4" w:space="0" w:color="009900"/>
              <w:bottom w:val="dotted" w:sz="4" w:space="0" w:color="auto"/>
              <w:right w:val="dotted" w:sz="4" w:space="0" w:color="009900"/>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199</w:t>
            </w:r>
          </w:p>
        </w:tc>
        <w:tc>
          <w:tcPr>
            <w:tcW w:w="995" w:type="dxa"/>
            <w:tcBorders>
              <w:top w:val="dotted" w:sz="4" w:space="0" w:color="auto"/>
              <w:left w:val="nil"/>
              <w:bottom w:val="dotted" w:sz="4" w:space="0" w:color="auto"/>
              <w:right w:val="nil"/>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260</w:t>
            </w:r>
          </w:p>
        </w:tc>
        <w:tc>
          <w:tcPr>
            <w:tcW w:w="1141" w:type="dxa"/>
            <w:tcBorders>
              <w:top w:val="dotted" w:sz="4" w:space="0" w:color="auto"/>
              <w:left w:val="nil"/>
              <w:bottom w:val="dotted" w:sz="4" w:space="0" w:color="auto"/>
              <w:right w:val="nil"/>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93</w:t>
            </w:r>
          </w:p>
        </w:tc>
        <w:tc>
          <w:tcPr>
            <w:tcW w:w="599" w:type="dxa"/>
            <w:tcBorders>
              <w:top w:val="dotted" w:sz="4" w:space="0" w:color="auto"/>
              <w:left w:val="dotted" w:sz="4" w:space="0" w:color="009900"/>
              <w:bottom w:val="dotted" w:sz="4" w:space="0" w:color="auto"/>
              <w:right w:val="single" w:sz="8" w:space="0" w:color="009900"/>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353</w:t>
            </w:r>
          </w:p>
        </w:tc>
      </w:tr>
      <w:tr w:rsidR="003C459D" w:rsidRPr="00DD1DB8" w:rsidTr="00542F38">
        <w:trPr>
          <w:trHeight w:val="300"/>
          <w:jc w:val="center"/>
        </w:trPr>
        <w:tc>
          <w:tcPr>
            <w:tcW w:w="1205" w:type="dxa"/>
            <w:tcBorders>
              <w:top w:val="dotted" w:sz="4" w:space="0" w:color="auto"/>
              <w:left w:val="single" w:sz="8" w:space="0" w:color="009900"/>
              <w:bottom w:val="dotted" w:sz="4" w:space="0" w:color="auto"/>
              <w:right w:val="nil"/>
            </w:tcBorders>
            <w:shd w:val="clear" w:color="000000" w:fill="FFFFE1"/>
            <w:noWrap/>
            <w:vAlign w:val="center"/>
            <w:hideMark/>
          </w:tcPr>
          <w:p w:rsidR="003C459D" w:rsidRPr="00DD1DB8" w:rsidRDefault="003C459D" w:rsidP="00E56B71">
            <w:pPr>
              <w:rPr>
                <w:rFonts w:ascii="Arial" w:hAnsi="Arial" w:cs="Arial"/>
                <w:color w:val="000000"/>
                <w:sz w:val="16"/>
                <w:szCs w:val="16"/>
              </w:rPr>
            </w:pPr>
            <w:r w:rsidRPr="00DD1DB8">
              <w:rPr>
                <w:rFonts w:ascii="Arial" w:hAnsi="Arial" w:cs="Arial"/>
                <w:color w:val="000000"/>
                <w:sz w:val="16"/>
                <w:szCs w:val="16"/>
              </w:rPr>
              <w:t>Chronic Substance Abuse</w:t>
            </w:r>
          </w:p>
        </w:tc>
        <w:tc>
          <w:tcPr>
            <w:tcW w:w="946" w:type="dxa"/>
            <w:tcBorders>
              <w:top w:val="dotted" w:sz="4" w:space="0" w:color="auto"/>
              <w:left w:val="dotted" w:sz="4" w:space="0" w:color="009900"/>
              <w:bottom w:val="dotted" w:sz="4" w:space="0" w:color="auto"/>
              <w:right w:val="nil"/>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401</w:t>
            </w:r>
          </w:p>
        </w:tc>
        <w:tc>
          <w:tcPr>
            <w:tcW w:w="1157" w:type="dxa"/>
            <w:tcBorders>
              <w:top w:val="dotted" w:sz="4" w:space="0" w:color="auto"/>
              <w:left w:val="nil"/>
              <w:bottom w:val="dotted" w:sz="4" w:space="0" w:color="auto"/>
              <w:right w:val="nil"/>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0</w:t>
            </w:r>
          </w:p>
        </w:tc>
        <w:tc>
          <w:tcPr>
            <w:tcW w:w="692" w:type="dxa"/>
            <w:tcBorders>
              <w:top w:val="dotted" w:sz="4" w:space="0" w:color="auto"/>
              <w:left w:val="dotted" w:sz="4" w:space="0" w:color="009900"/>
              <w:bottom w:val="dotted" w:sz="4" w:space="0" w:color="auto"/>
              <w:right w:val="dotted" w:sz="4" w:space="0" w:color="009900"/>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401</w:t>
            </w:r>
          </w:p>
        </w:tc>
        <w:tc>
          <w:tcPr>
            <w:tcW w:w="995" w:type="dxa"/>
            <w:tcBorders>
              <w:top w:val="dotted" w:sz="4" w:space="0" w:color="auto"/>
              <w:left w:val="nil"/>
              <w:bottom w:val="dotted" w:sz="4" w:space="0" w:color="auto"/>
              <w:right w:val="nil"/>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302</w:t>
            </w:r>
          </w:p>
        </w:tc>
        <w:tc>
          <w:tcPr>
            <w:tcW w:w="1193" w:type="dxa"/>
            <w:tcBorders>
              <w:top w:val="dotted" w:sz="4" w:space="0" w:color="auto"/>
              <w:left w:val="nil"/>
              <w:bottom w:val="dotted" w:sz="4" w:space="0" w:color="auto"/>
              <w:right w:val="nil"/>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0</w:t>
            </w:r>
          </w:p>
        </w:tc>
        <w:tc>
          <w:tcPr>
            <w:tcW w:w="656" w:type="dxa"/>
            <w:tcBorders>
              <w:top w:val="dotted" w:sz="4" w:space="0" w:color="auto"/>
              <w:left w:val="dotted" w:sz="4" w:space="0" w:color="009900"/>
              <w:bottom w:val="dotted" w:sz="4" w:space="0" w:color="auto"/>
              <w:right w:val="dotted" w:sz="4" w:space="0" w:color="009900"/>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302</w:t>
            </w:r>
          </w:p>
        </w:tc>
        <w:tc>
          <w:tcPr>
            <w:tcW w:w="995" w:type="dxa"/>
            <w:tcBorders>
              <w:top w:val="dotted" w:sz="4" w:space="0" w:color="auto"/>
              <w:left w:val="nil"/>
              <w:bottom w:val="dotted" w:sz="4" w:space="0" w:color="auto"/>
              <w:right w:val="nil"/>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421</w:t>
            </w:r>
          </w:p>
        </w:tc>
        <w:tc>
          <w:tcPr>
            <w:tcW w:w="1141" w:type="dxa"/>
            <w:tcBorders>
              <w:top w:val="dotted" w:sz="4" w:space="0" w:color="auto"/>
              <w:left w:val="nil"/>
              <w:bottom w:val="dotted" w:sz="4" w:space="0" w:color="auto"/>
              <w:right w:val="nil"/>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108</w:t>
            </w:r>
          </w:p>
        </w:tc>
        <w:tc>
          <w:tcPr>
            <w:tcW w:w="599" w:type="dxa"/>
            <w:tcBorders>
              <w:top w:val="dotted" w:sz="4" w:space="0" w:color="auto"/>
              <w:left w:val="dotted" w:sz="4" w:space="0" w:color="009900"/>
              <w:bottom w:val="dotted" w:sz="4" w:space="0" w:color="auto"/>
              <w:right w:val="single" w:sz="8" w:space="0" w:color="009900"/>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529</w:t>
            </w:r>
          </w:p>
        </w:tc>
      </w:tr>
      <w:tr w:rsidR="003C459D" w:rsidRPr="00DD1DB8" w:rsidTr="00542F38">
        <w:trPr>
          <w:trHeight w:val="300"/>
          <w:jc w:val="center"/>
        </w:trPr>
        <w:tc>
          <w:tcPr>
            <w:tcW w:w="1205" w:type="dxa"/>
            <w:tcBorders>
              <w:top w:val="dotted" w:sz="4" w:space="0" w:color="auto"/>
              <w:left w:val="single" w:sz="8" w:space="0" w:color="009900"/>
              <w:bottom w:val="dotted" w:sz="4" w:space="0" w:color="auto"/>
              <w:right w:val="nil"/>
            </w:tcBorders>
            <w:shd w:val="clear" w:color="000000" w:fill="FFFFE1"/>
            <w:noWrap/>
            <w:vAlign w:val="center"/>
            <w:hideMark/>
          </w:tcPr>
          <w:p w:rsidR="003C459D" w:rsidRPr="00DD1DB8" w:rsidRDefault="003C459D" w:rsidP="00E56B71">
            <w:pPr>
              <w:rPr>
                <w:rFonts w:ascii="Arial" w:hAnsi="Arial" w:cs="Arial"/>
                <w:color w:val="000000"/>
                <w:sz w:val="16"/>
                <w:szCs w:val="16"/>
              </w:rPr>
            </w:pPr>
            <w:r w:rsidRPr="00DD1DB8">
              <w:rPr>
                <w:rFonts w:ascii="Arial" w:hAnsi="Arial" w:cs="Arial"/>
                <w:color w:val="000000"/>
                <w:sz w:val="16"/>
                <w:szCs w:val="16"/>
              </w:rPr>
              <w:t>Veterans</w:t>
            </w:r>
          </w:p>
        </w:tc>
        <w:tc>
          <w:tcPr>
            <w:tcW w:w="946" w:type="dxa"/>
            <w:tcBorders>
              <w:top w:val="dotted" w:sz="4" w:space="0" w:color="auto"/>
              <w:left w:val="dotted" w:sz="4" w:space="0" w:color="009900"/>
              <w:bottom w:val="dotted" w:sz="4" w:space="0" w:color="auto"/>
              <w:right w:val="nil"/>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202</w:t>
            </w:r>
          </w:p>
        </w:tc>
        <w:tc>
          <w:tcPr>
            <w:tcW w:w="1157" w:type="dxa"/>
            <w:tcBorders>
              <w:top w:val="dotted" w:sz="4" w:space="0" w:color="auto"/>
              <w:left w:val="nil"/>
              <w:bottom w:val="dotted" w:sz="4" w:space="0" w:color="auto"/>
              <w:right w:val="nil"/>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182</w:t>
            </w:r>
          </w:p>
        </w:tc>
        <w:tc>
          <w:tcPr>
            <w:tcW w:w="692" w:type="dxa"/>
            <w:tcBorders>
              <w:top w:val="dotted" w:sz="4" w:space="0" w:color="auto"/>
              <w:left w:val="dotted" w:sz="4" w:space="0" w:color="009900"/>
              <w:bottom w:val="dotted" w:sz="4" w:space="0" w:color="auto"/>
              <w:right w:val="dotted" w:sz="4" w:space="0" w:color="009900"/>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384</w:t>
            </w:r>
          </w:p>
        </w:tc>
        <w:tc>
          <w:tcPr>
            <w:tcW w:w="995" w:type="dxa"/>
            <w:tcBorders>
              <w:top w:val="dotted" w:sz="4" w:space="0" w:color="auto"/>
              <w:left w:val="nil"/>
              <w:bottom w:val="dotted" w:sz="4" w:space="0" w:color="auto"/>
              <w:right w:val="nil"/>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212</w:t>
            </w:r>
          </w:p>
        </w:tc>
        <w:tc>
          <w:tcPr>
            <w:tcW w:w="1193" w:type="dxa"/>
            <w:tcBorders>
              <w:top w:val="dotted" w:sz="4" w:space="0" w:color="auto"/>
              <w:left w:val="nil"/>
              <w:bottom w:val="dotted" w:sz="4" w:space="0" w:color="auto"/>
              <w:right w:val="nil"/>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143</w:t>
            </w:r>
          </w:p>
        </w:tc>
        <w:tc>
          <w:tcPr>
            <w:tcW w:w="656" w:type="dxa"/>
            <w:tcBorders>
              <w:top w:val="dotted" w:sz="4" w:space="0" w:color="auto"/>
              <w:left w:val="dotted" w:sz="4" w:space="0" w:color="009900"/>
              <w:bottom w:val="dotted" w:sz="4" w:space="0" w:color="auto"/>
              <w:right w:val="dotted" w:sz="4" w:space="0" w:color="009900"/>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355</w:t>
            </w:r>
          </w:p>
        </w:tc>
        <w:tc>
          <w:tcPr>
            <w:tcW w:w="995" w:type="dxa"/>
            <w:tcBorders>
              <w:top w:val="dotted" w:sz="4" w:space="0" w:color="auto"/>
              <w:left w:val="nil"/>
              <w:bottom w:val="dotted" w:sz="4" w:space="0" w:color="auto"/>
              <w:right w:val="nil"/>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183</w:t>
            </w:r>
          </w:p>
        </w:tc>
        <w:tc>
          <w:tcPr>
            <w:tcW w:w="1141" w:type="dxa"/>
            <w:tcBorders>
              <w:top w:val="dotted" w:sz="4" w:space="0" w:color="auto"/>
              <w:left w:val="nil"/>
              <w:bottom w:val="dotted" w:sz="4" w:space="0" w:color="auto"/>
              <w:right w:val="nil"/>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60</w:t>
            </w:r>
          </w:p>
        </w:tc>
        <w:tc>
          <w:tcPr>
            <w:tcW w:w="599" w:type="dxa"/>
            <w:tcBorders>
              <w:top w:val="dotted" w:sz="4" w:space="0" w:color="auto"/>
              <w:left w:val="dotted" w:sz="4" w:space="0" w:color="009900"/>
              <w:bottom w:val="dotted" w:sz="4" w:space="0" w:color="auto"/>
              <w:right w:val="single" w:sz="8" w:space="0" w:color="009900"/>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243</w:t>
            </w:r>
          </w:p>
        </w:tc>
      </w:tr>
      <w:tr w:rsidR="003C459D" w:rsidRPr="00DD1DB8" w:rsidTr="00542F38">
        <w:trPr>
          <w:trHeight w:val="300"/>
          <w:jc w:val="center"/>
        </w:trPr>
        <w:tc>
          <w:tcPr>
            <w:tcW w:w="1205" w:type="dxa"/>
            <w:tcBorders>
              <w:top w:val="dotted" w:sz="4" w:space="0" w:color="auto"/>
              <w:left w:val="single" w:sz="8" w:space="0" w:color="009900"/>
              <w:bottom w:val="dotted" w:sz="4" w:space="0" w:color="auto"/>
              <w:right w:val="nil"/>
            </w:tcBorders>
            <w:shd w:val="clear" w:color="000000" w:fill="FFFFE1"/>
            <w:noWrap/>
            <w:vAlign w:val="center"/>
            <w:hideMark/>
          </w:tcPr>
          <w:p w:rsidR="003C459D" w:rsidRPr="00DD1DB8" w:rsidRDefault="003C459D" w:rsidP="00E56B71">
            <w:pPr>
              <w:rPr>
                <w:rFonts w:ascii="Arial" w:hAnsi="Arial" w:cs="Arial"/>
                <w:color w:val="000000"/>
                <w:sz w:val="16"/>
                <w:szCs w:val="16"/>
              </w:rPr>
            </w:pPr>
            <w:r w:rsidRPr="00DD1DB8">
              <w:rPr>
                <w:rFonts w:ascii="Arial" w:hAnsi="Arial" w:cs="Arial"/>
                <w:color w:val="000000"/>
                <w:sz w:val="16"/>
                <w:szCs w:val="16"/>
              </w:rPr>
              <w:t>Persons with HIV/AIDS</w:t>
            </w:r>
          </w:p>
        </w:tc>
        <w:tc>
          <w:tcPr>
            <w:tcW w:w="946" w:type="dxa"/>
            <w:tcBorders>
              <w:top w:val="dotted" w:sz="4" w:space="0" w:color="auto"/>
              <w:left w:val="dotted" w:sz="4" w:space="0" w:color="009900"/>
              <w:bottom w:val="dotted" w:sz="4" w:space="0" w:color="auto"/>
              <w:right w:val="nil"/>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8</w:t>
            </w:r>
          </w:p>
        </w:tc>
        <w:tc>
          <w:tcPr>
            <w:tcW w:w="1157" w:type="dxa"/>
            <w:tcBorders>
              <w:top w:val="dotted" w:sz="4" w:space="0" w:color="auto"/>
              <w:left w:val="nil"/>
              <w:bottom w:val="dotted" w:sz="4" w:space="0" w:color="auto"/>
              <w:right w:val="nil"/>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0</w:t>
            </w:r>
          </w:p>
        </w:tc>
        <w:tc>
          <w:tcPr>
            <w:tcW w:w="692" w:type="dxa"/>
            <w:tcBorders>
              <w:top w:val="dotted" w:sz="4" w:space="0" w:color="auto"/>
              <w:left w:val="dotted" w:sz="4" w:space="0" w:color="009900"/>
              <w:bottom w:val="dotted" w:sz="4" w:space="0" w:color="auto"/>
              <w:right w:val="dotted" w:sz="4" w:space="0" w:color="009900"/>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8</w:t>
            </w:r>
          </w:p>
        </w:tc>
        <w:tc>
          <w:tcPr>
            <w:tcW w:w="995" w:type="dxa"/>
            <w:tcBorders>
              <w:top w:val="dotted" w:sz="4" w:space="0" w:color="auto"/>
              <w:left w:val="nil"/>
              <w:bottom w:val="dotted" w:sz="4" w:space="0" w:color="auto"/>
              <w:right w:val="nil"/>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3</w:t>
            </w:r>
          </w:p>
        </w:tc>
        <w:tc>
          <w:tcPr>
            <w:tcW w:w="1193" w:type="dxa"/>
            <w:tcBorders>
              <w:top w:val="dotted" w:sz="4" w:space="0" w:color="auto"/>
              <w:left w:val="nil"/>
              <w:bottom w:val="dotted" w:sz="4" w:space="0" w:color="auto"/>
              <w:right w:val="nil"/>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0</w:t>
            </w:r>
          </w:p>
        </w:tc>
        <w:tc>
          <w:tcPr>
            <w:tcW w:w="656" w:type="dxa"/>
            <w:tcBorders>
              <w:top w:val="dotted" w:sz="4" w:space="0" w:color="auto"/>
              <w:left w:val="dotted" w:sz="4" w:space="0" w:color="009900"/>
              <w:bottom w:val="dotted" w:sz="4" w:space="0" w:color="auto"/>
              <w:right w:val="dotted" w:sz="4" w:space="0" w:color="009900"/>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3</w:t>
            </w:r>
          </w:p>
        </w:tc>
        <w:tc>
          <w:tcPr>
            <w:tcW w:w="995" w:type="dxa"/>
            <w:tcBorders>
              <w:top w:val="dotted" w:sz="4" w:space="0" w:color="auto"/>
              <w:left w:val="nil"/>
              <w:bottom w:val="dotted" w:sz="4" w:space="0" w:color="auto"/>
              <w:right w:val="nil"/>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2</w:t>
            </w:r>
          </w:p>
        </w:tc>
        <w:tc>
          <w:tcPr>
            <w:tcW w:w="1141" w:type="dxa"/>
            <w:tcBorders>
              <w:top w:val="dotted" w:sz="4" w:space="0" w:color="auto"/>
              <w:left w:val="nil"/>
              <w:bottom w:val="dotted" w:sz="4" w:space="0" w:color="auto"/>
              <w:right w:val="nil"/>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4</w:t>
            </w:r>
          </w:p>
        </w:tc>
        <w:tc>
          <w:tcPr>
            <w:tcW w:w="599" w:type="dxa"/>
            <w:tcBorders>
              <w:top w:val="dotted" w:sz="4" w:space="0" w:color="auto"/>
              <w:left w:val="dotted" w:sz="4" w:space="0" w:color="009900"/>
              <w:bottom w:val="dotted" w:sz="4" w:space="0" w:color="auto"/>
              <w:right w:val="single" w:sz="8" w:space="0" w:color="009900"/>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6</w:t>
            </w:r>
          </w:p>
        </w:tc>
      </w:tr>
      <w:tr w:rsidR="003C459D" w:rsidRPr="00DD1DB8" w:rsidTr="00542F38">
        <w:trPr>
          <w:trHeight w:val="315"/>
          <w:jc w:val="center"/>
        </w:trPr>
        <w:tc>
          <w:tcPr>
            <w:tcW w:w="1205" w:type="dxa"/>
            <w:tcBorders>
              <w:top w:val="dotted" w:sz="4" w:space="0" w:color="auto"/>
              <w:left w:val="single" w:sz="8" w:space="0" w:color="009900"/>
              <w:bottom w:val="double" w:sz="6" w:space="0" w:color="009900"/>
              <w:right w:val="nil"/>
            </w:tcBorders>
            <w:shd w:val="clear" w:color="000000" w:fill="FFFFE1"/>
            <w:noWrap/>
            <w:vAlign w:val="center"/>
            <w:hideMark/>
          </w:tcPr>
          <w:p w:rsidR="003C459D" w:rsidRPr="00DD1DB8" w:rsidRDefault="003C459D" w:rsidP="00E56B71">
            <w:pPr>
              <w:rPr>
                <w:rFonts w:ascii="Arial" w:hAnsi="Arial" w:cs="Arial"/>
                <w:color w:val="000000"/>
                <w:sz w:val="16"/>
                <w:szCs w:val="16"/>
              </w:rPr>
            </w:pPr>
            <w:r w:rsidRPr="00DD1DB8">
              <w:rPr>
                <w:rFonts w:ascii="Arial" w:hAnsi="Arial" w:cs="Arial"/>
                <w:color w:val="000000"/>
                <w:sz w:val="16"/>
                <w:szCs w:val="16"/>
              </w:rPr>
              <w:t>Victims of Domestic Violence</w:t>
            </w:r>
          </w:p>
        </w:tc>
        <w:tc>
          <w:tcPr>
            <w:tcW w:w="946" w:type="dxa"/>
            <w:tcBorders>
              <w:top w:val="dotted" w:sz="4" w:space="0" w:color="auto"/>
              <w:left w:val="dotted" w:sz="4" w:space="0" w:color="009900"/>
              <w:bottom w:val="double" w:sz="6" w:space="0" w:color="009900"/>
              <w:right w:val="nil"/>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475</w:t>
            </w:r>
          </w:p>
        </w:tc>
        <w:tc>
          <w:tcPr>
            <w:tcW w:w="1157" w:type="dxa"/>
            <w:tcBorders>
              <w:top w:val="dotted" w:sz="4" w:space="0" w:color="auto"/>
              <w:left w:val="nil"/>
              <w:bottom w:val="double" w:sz="6" w:space="0" w:color="009900"/>
              <w:right w:val="nil"/>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0</w:t>
            </w:r>
          </w:p>
        </w:tc>
        <w:tc>
          <w:tcPr>
            <w:tcW w:w="692" w:type="dxa"/>
            <w:tcBorders>
              <w:top w:val="dotted" w:sz="4" w:space="0" w:color="auto"/>
              <w:left w:val="dotted" w:sz="4" w:space="0" w:color="009900"/>
              <w:bottom w:val="double" w:sz="6" w:space="0" w:color="009900"/>
              <w:right w:val="dotted" w:sz="4" w:space="0" w:color="009900"/>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475</w:t>
            </w:r>
          </w:p>
        </w:tc>
        <w:tc>
          <w:tcPr>
            <w:tcW w:w="995" w:type="dxa"/>
            <w:tcBorders>
              <w:top w:val="dotted" w:sz="4" w:space="0" w:color="auto"/>
              <w:left w:val="nil"/>
              <w:bottom w:val="double" w:sz="6" w:space="0" w:color="009900"/>
              <w:right w:val="nil"/>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636</w:t>
            </w:r>
          </w:p>
        </w:tc>
        <w:tc>
          <w:tcPr>
            <w:tcW w:w="1193" w:type="dxa"/>
            <w:tcBorders>
              <w:top w:val="dotted" w:sz="4" w:space="0" w:color="auto"/>
              <w:left w:val="nil"/>
              <w:bottom w:val="double" w:sz="6" w:space="0" w:color="009900"/>
              <w:right w:val="nil"/>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0</w:t>
            </w:r>
          </w:p>
        </w:tc>
        <w:tc>
          <w:tcPr>
            <w:tcW w:w="656" w:type="dxa"/>
            <w:tcBorders>
              <w:top w:val="dotted" w:sz="4" w:space="0" w:color="auto"/>
              <w:left w:val="dotted" w:sz="4" w:space="0" w:color="009900"/>
              <w:bottom w:val="double" w:sz="6" w:space="0" w:color="009900"/>
              <w:right w:val="dotted" w:sz="4" w:space="0" w:color="009900"/>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636</w:t>
            </w:r>
          </w:p>
        </w:tc>
        <w:tc>
          <w:tcPr>
            <w:tcW w:w="995" w:type="dxa"/>
            <w:tcBorders>
              <w:top w:val="dotted" w:sz="4" w:space="0" w:color="auto"/>
              <w:left w:val="nil"/>
              <w:bottom w:val="double" w:sz="6" w:space="0" w:color="009900"/>
              <w:right w:val="nil"/>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547</w:t>
            </w:r>
          </w:p>
        </w:tc>
        <w:tc>
          <w:tcPr>
            <w:tcW w:w="1141" w:type="dxa"/>
            <w:tcBorders>
              <w:top w:val="dotted" w:sz="4" w:space="0" w:color="auto"/>
              <w:left w:val="nil"/>
              <w:bottom w:val="double" w:sz="6" w:space="0" w:color="009900"/>
              <w:right w:val="nil"/>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0</w:t>
            </w:r>
          </w:p>
        </w:tc>
        <w:tc>
          <w:tcPr>
            <w:tcW w:w="599" w:type="dxa"/>
            <w:tcBorders>
              <w:top w:val="dotted" w:sz="4" w:space="0" w:color="auto"/>
              <w:left w:val="dotted" w:sz="4" w:space="0" w:color="009900"/>
              <w:bottom w:val="double" w:sz="6" w:space="0" w:color="009900"/>
              <w:right w:val="single" w:sz="8" w:space="0" w:color="009900"/>
            </w:tcBorders>
            <w:shd w:val="clear" w:color="000000" w:fill="FFFFE1"/>
            <w:noWrap/>
            <w:vAlign w:val="center"/>
            <w:hideMark/>
          </w:tcPr>
          <w:p w:rsidR="003C459D" w:rsidRPr="00DD1DB8" w:rsidRDefault="003C459D" w:rsidP="00E56B71">
            <w:pPr>
              <w:jc w:val="center"/>
              <w:rPr>
                <w:rFonts w:ascii="Arial" w:hAnsi="Arial" w:cs="Arial"/>
                <w:color w:val="000000"/>
                <w:sz w:val="16"/>
                <w:szCs w:val="16"/>
              </w:rPr>
            </w:pPr>
            <w:r w:rsidRPr="00DD1DB8">
              <w:rPr>
                <w:rFonts w:ascii="Arial" w:hAnsi="Arial" w:cs="Arial"/>
                <w:color w:val="000000"/>
                <w:sz w:val="16"/>
                <w:szCs w:val="16"/>
              </w:rPr>
              <w:t>547</w:t>
            </w:r>
          </w:p>
        </w:tc>
      </w:tr>
      <w:tr w:rsidR="003C459D" w:rsidRPr="00DD1DB8" w:rsidTr="00542F38">
        <w:trPr>
          <w:trHeight w:val="930"/>
          <w:jc w:val="center"/>
        </w:trPr>
        <w:tc>
          <w:tcPr>
            <w:tcW w:w="1205" w:type="dxa"/>
            <w:tcBorders>
              <w:top w:val="double" w:sz="6" w:space="0" w:color="009900"/>
              <w:left w:val="single" w:sz="8" w:space="0" w:color="009900"/>
              <w:bottom w:val="single" w:sz="8" w:space="0" w:color="009900"/>
              <w:right w:val="nil"/>
            </w:tcBorders>
            <w:shd w:val="clear" w:color="000000" w:fill="FFFFE1"/>
            <w:vAlign w:val="center"/>
            <w:hideMark/>
          </w:tcPr>
          <w:p w:rsidR="003C459D" w:rsidRPr="00DD1DB8" w:rsidRDefault="003C459D" w:rsidP="00E56B71">
            <w:pPr>
              <w:rPr>
                <w:rFonts w:ascii="Arial" w:hAnsi="Arial" w:cs="Arial"/>
                <w:b/>
                <w:bCs/>
                <w:color w:val="000000"/>
                <w:sz w:val="16"/>
                <w:szCs w:val="16"/>
              </w:rPr>
            </w:pPr>
            <w:r w:rsidRPr="00DD1DB8">
              <w:rPr>
                <w:rFonts w:ascii="Arial" w:hAnsi="Arial" w:cs="Arial"/>
                <w:b/>
                <w:bCs/>
                <w:color w:val="000000"/>
                <w:sz w:val="16"/>
                <w:szCs w:val="16"/>
              </w:rPr>
              <w:t xml:space="preserve">Subpopulations Total Persons </w:t>
            </w:r>
          </w:p>
        </w:tc>
        <w:tc>
          <w:tcPr>
            <w:tcW w:w="946" w:type="dxa"/>
            <w:tcBorders>
              <w:top w:val="double" w:sz="6" w:space="0" w:color="009900"/>
              <w:left w:val="dotted" w:sz="4" w:space="0" w:color="009900"/>
              <w:bottom w:val="single" w:sz="8" w:space="0" w:color="009900"/>
              <w:right w:val="nil"/>
            </w:tcBorders>
            <w:shd w:val="clear" w:color="000000" w:fill="FFFFE1"/>
            <w:noWrap/>
            <w:vAlign w:val="center"/>
            <w:hideMark/>
          </w:tcPr>
          <w:p w:rsidR="003C459D" w:rsidRPr="00DD1DB8" w:rsidRDefault="003C459D" w:rsidP="00E56B71">
            <w:pPr>
              <w:jc w:val="center"/>
              <w:rPr>
                <w:rFonts w:ascii="Arial" w:hAnsi="Arial" w:cs="Arial"/>
                <w:b/>
                <w:bCs/>
                <w:color w:val="000000"/>
                <w:sz w:val="16"/>
                <w:szCs w:val="16"/>
              </w:rPr>
            </w:pPr>
            <w:r w:rsidRPr="00DD1DB8">
              <w:rPr>
                <w:rFonts w:ascii="Arial" w:hAnsi="Arial" w:cs="Arial"/>
                <w:b/>
                <w:bCs/>
                <w:color w:val="000000"/>
                <w:sz w:val="16"/>
                <w:szCs w:val="16"/>
              </w:rPr>
              <w:t>1720</w:t>
            </w:r>
          </w:p>
        </w:tc>
        <w:tc>
          <w:tcPr>
            <w:tcW w:w="1157" w:type="dxa"/>
            <w:tcBorders>
              <w:top w:val="double" w:sz="6" w:space="0" w:color="009900"/>
              <w:left w:val="nil"/>
              <w:bottom w:val="single" w:sz="8" w:space="0" w:color="009900"/>
              <w:right w:val="nil"/>
            </w:tcBorders>
            <w:shd w:val="clear" w:color="000000" w:fill="FFFFE1"/>
            <w:noWrap/>
            <w:vAlign w:val="center"/>
            <w:hideMark/>
          </w:tcPr>
          <w:p w:rsidR="003C459D" w:rsidRPr="00DD1DB8" w:rsidRDefault="003C459D" w:rsidP="00E56B71">
            <w:pPr>
              <w:jc w:val="center"/>
              <w:rPr>
                <w:rFonts w:ascii="Arial" w:hAnsi="Arial" w:cs="Arial"/>
                <w:b/>
                <w:bCs/>
                <w:color w:val="000000"/>
                <w:sz w:val="16"/>
                <w:szCs w:val="16"/>
              </w:rPr>
            </w:pPr>
            <w:r w:rsidRPr="00DD1DB8">
              <w:rPr>
                <w:rFonts w:ascii="Arial" w:hAnsi="Arial" w:cs="Arial"/>
                <w:b/>
                <w:bCs/>
                <w:color w:val="000000"/>
                <w:sz w:val="16"/>
                <w:szCs w:val="16"/>
              </w:rPr>
              <w:t>620</w:t>
            </w:r>
          </w:p>
        </w:tc>
        <w:tc>
          <w:tcPr>
            <w:tcW w:w="692" w:type="dxa"/>
            <w:tcBorders>
              <w:top w:val="double" w:sz="6" w:space="0" w:color="009900"/>
              <w:left w:val="dotted" w:sz="4" w:space="0" w:color="009900"/>
              <w:bottom w:val="single" w:sz="8" w:space="0" w:color="009900"/>
              <w:right w:val="dotted" w:sz="4" w:space="0" w:color="009900"/>
            </w:tcBorders>
            <w:shd w:val="clear" w:color="000000" w:fill="FFFFE1"/>
            <w:noWrap/>
            <w:vAlign w:val="center"/>
            <w:hideMark/>
          </w:tcPr>
          <w:p w:rsidR="003C459D" w:rsidRPr="00DD1DB8" w:rsidRDefault="003C459D" w:rsidP="00E56B71">
            <w:pPr>
              <w:jc w:val="center"/>
              <w:rPr>
                <w:rFonts w:ascii="Arial" w:hAnsi="Arial" w:cs="Arial"/>
                <w:b/>
                <w:bCs/>
                <w:color w:val="000000"/>
                <w:sz w:val="16"/>
                <w:szCs w:val="16"/>
              </w:rPr>
            </w:pPr>
            <w:r w:rsidRPr="00DD1DB8">
              <w:rPr>
                <w:rFonts w:ascii="Arial" w:hAnsi="Arial" w:cs="Arial"/>
                <w:b/>
                <w:bCs/>
                <w:color w:val="000000"/>
                <w:sz w:val="16"/>
                <w:szCs w:val="16"/>
              </w:rPr>
              <w:t>2340</w:t>
            </w:r>
          </w:p>
        </w:tc>
        <w:tc>
          <w:tcPr>
            <w:tcW w:w="995" w:type="dxa"/>
            <w:tcBorders>
              <w:top w:val="double" w:sz="6" w:space="0" w:color="009900"/>
              <w:left w:val="nil"/>
              <w:bottom w:val="single" w:sz="8" w:space="0" w:color="009900"/>
              <w:right w:val="nil"/>
            </w:tcBorders>
            <w:shd w:val="clear" w:color="000000" w:fill="FFFFE1"/>
            <w:noWrap/>
            <w:vAlign w:val="center"/>
            <w:hideMark/>
          </w:tcPr>
          <w:p w:rsidR="003C459D" w:rsidRPr="00DD1DB8" w:rsidRDefault="003C459D" w:rsidP="00E56B71">
            <w:pPr>
              <w:jc w:val="center"/>
              <w:rPr>
                <w:rFonts w:ascii="Arial" w:hAnsi="Arial" w:cs="Arial"/>
                <w:b/>
                <w:bCs/>
                <w:color w:val="000000"/>
                <w:sz w:val="16"/>
                <w:szCs w:val="16"/>
              </w:rPr>
            </w:pPr>
            <w:r w:rsidRPr="00DD1DB8">
              <w:rPr>
                <w:rFonts w:ascii="Arial" w:hAnsi="Arial" w:cs="Arial"/>
                <w:b/>
                <w:bCs/>
                <w:color w:val="000000"/>
                <w:sz w:val="16"/>
                <w:szCs w:val="16"/>
              </w:rPr>
              <w:t>1955</w:t>
            </w:r>
          </w:p>
        </w:tc>
        <w:tc>
          <w:tcPr>
            <w:tcW w:w="1193" w:type="dxa"/>
            <w:tcBorders>
              <w:top w:val="double" w:sz="6" w:space="0" w:color="009900"/>
              <w:left w:val="nil"/>
              <w:bottom w:val="single" w:sz="8" w:space="0" w:color="009900"/>
              <w:right w:val="nil"/>
            </w:tcBorders>
            <w:shd w:val="clear" w:color="000000" w:fill="FFFFE1"/>
            <w:noWrap/>
            <w:vAlign w:val="center"/>
            <w:hideMark/>
          </w:tcPr>
          <w:p w:rsidR="003C459D" w:rsidRPr="00DD1DB8" w:rsidRDefault="003C459D" w:rsidP="00E56B71">
            <w:pPr>
              <w:jc w:val="center"/>
              <w:rPr>
                <w:rFonts w:ascii="Arial" w:hAnsi="Arial" w:cs="Arial"/>
                <w:b/>
                <w:bCs/>
                <w:color w:val="000000"/>
                <w:sz w:val="16"/>
                <w:szCs w:val="16"/>
              </w:rPr>
            </w:pPr>
            <w:r w:rsidRPr="00DD1DB8">
              <w:rPr>
                <w:rFonts w:ascii="Arial" w:hAnsi="Arial" w:cs="Arial"/>
                <w:b/>
                <w:bCs/>
                <w:color w:val="000000"/>
                <w:sz w:val="16"/>
                <w:szCs w:val="16"/>
              </w:rPr>
              <w:t>562</w:t>
            </w:r>
          </w:p>
        </w:tc>
        <w:tc>
          <w:tcPr>
            <w:tcW w:w="656" w:type="dxa"/>
            <w:tcBorders>
              <w:top w:val="double" w:sz="6" w:space="0" w:color="009900"/>
              <w:left w:val="dotted" w:sz="4" w:space="0" w:color="009900"/>
              <w:bottom w:val="single" w:sz="8" w:space="0" w:color="009900"/>
              <w:right w:val="dotted" w:sz="4" w:space="0" w:color="009900"/>
            </w:tcBorders>
            <w:shd w:val="clear" w:color="000000" w:fill="FFFFE1"/>
            <w:noWrap/>
            <w:vAlign w:val="center"/>
            <w:hideMark/>
          </w:tcPr>
          <w:p w:rsidR="003C459D" w:rsidRPr="00DD1DB8" w:rsidRDefault="003C459D" w:rsidP="00E56B71">
            <w:pPr>
              <w:jc w:val="center"/>
              <w:rPr>
                <w:rFonts w:ascii="Arial" w:hAnsi="Arial" w:cs="Arial"/>
                <w:b/>
                <w:bCs/>
                <w:color w:val="000000"/>
                <w:sz w:val="16"/>
                <w:szCs w:val="16"/>
              </w:rPr>
            </w:pPr>
            <w:r w:rsidRPr="00DD1DB8">
              <w:rPr>
                <w:rFonts w:ascii="Arial" w:hAnsi="Arial" w:cs="Arial"/>
                <w:b/>
                <w:bCs/>
                <w:color w:val="000000"/>
                <w:sz w:val="16"/>
                <w:szCs w:val="16"/>
              </w:rPr>
              <w:t>2517</w:t>
            </w:r>
          </w:p>
        </w:tc>
        <w:tc>
          <w:tcPr>
            <w:tcW w:w="995" w:type="dxa"/>
            <w:tcBorders>
              <w:top w:val="double" w:sz="6" w:space="0" w:color="009900"/>
              <w:left w:val="nil"/>
              <w:bottom w:val="single" w:sz="8" w:space="0" w:color="009900"/>
              <w:right w:val="nil"/>
            </w:tcBorders>
            <w:shd w:val="clear" w:color="000000" w:fill="FFFFE1"/>
            <w:noWrap/>
            <w:vAlign w:val="center"/>
            <w:hideMark/>
          </w:tcPr>
          <w:p w:rsidR="003C459D" w:rsidRPr="00DD1DB8" w:rsidRDefault="003C459D" w:rsidP="00E56B71">
            <w:pPr>
              <w:jc w:val="center"/>
              <w:rPr>
                <w:rFonts w:ascii="Arial" w:hAnsi="Arial" w:cs="Arial"/>
                <w:b/>
                <w:bCs/>
                <w:color w:val="000000"/>
                <w:sz w:val="16"/>
                <w:szCs w:val="16"/>
              </w:rPr>
            </w:pPr>
            <w:r w:rsidRPr="00DD1DB8">
              <w:rPr>
                <w:rFonts w:ascii="Arial" w:hAnsi="Arial" w:cs="Arial"/>
                <w:b/>
                <w:bCs/>
                <w:color w:val="000000"/>
                <w:sz w:val="16"/>
                <w:szCs w:val="16"/>
              </w:rPr>
              <w:t>1719</w:t>
            </w:r>
          </w:p>
        </w:tc>
        <w:tc>
          <w:tcPr>
            <w:tcW w:w="1141" w:type="dxa"/>
            <w:tcBorders>
              <w:top w:val="double" w:sz="6" w:space="0" w:color="009900"/>
              <w:left w:val="nil"/>
              <w:bottom w:val="single" w:sz="8" w:space="0" w:color="009900"/>
              <w:right w:val="nil"/>
            </w:tcBorders>
            <w:shd w:val="clear" w:color="000000" w:fill="FFFFE1"/>
            <w:noWrap/>
            <w:vAlign w:val="center"/>
            <w:hideMark/>
          </w:tcPr>
          <w:p w:rsidR="003C459D" w:rsidRPr="00DD1DB8" w:rsidRDefault="003C459D" w:rsidP="00E56B71">
            <w:pPr>
              <w:jc w:val="center"/>
              <w:rPr>
                <w:rFonts w:ascii="Arial" w:hAnsi="Arial" w:cs="Arial"/>
                <w:b/>
                <w:bCs/>
                <w:color w:val="000000"/>
                <w:sz w:val="16"/>
                <w:szCs w:val="16"/>
              </w:rPr>
            </w:pPr>
            <w:r w:rsidRPr="00DD1DB8">
              <w:rPr>
                <w:rFonts w:ascii="Arial" w:hAnsi="Arial" w:cs="Arial"/>
                <w:b/>
                <w:bCs/>
                <w:color w:val="000000"/>
                <w:sz w:val="16"/>
                <w:szCs w:val="16"/>
              </w:rPr>
              <w:t>484</w:t>
            </w:r>
          </w:p>
        </w:tc>
        <w:tc>
          <w:tcPr>
            <w:tcW w:w="599" w:type="dxa"/>
            <w:tcBorders>
              <w:top w:val="double" w:sz="6" w:space="0" w:color="009900"/>
              <w:left w:val="dotted" w:sz="4" w:space="0" w:color="009900"/>
              <w:bottom w:val="single" w:sz="8" w:space="0" w:color="009900"/>
              <w:right w:val="single" w:sz="8" w:space="0" w:color="009900"/>
            </w:tcBorders>
            <w:shd w:val="clear" w:color="000000" w:fill="FFFFE1"/>
            <w:noWrap/>
            <w:vAlign w:val="center"/>
            <w:hideMark/>
          </w:tcPr>
          <w:p w:rsidR="003C459D" w:rsidRPr="00DD1DB8" w:rsidRDefault="003C459D" w:rsidP="00E56B71">
            <w:pPr>
              <w:jc w:val="center"/>
              <w:rPr>
                <w:rFonts w:ascii="Arial" w:hAnsi="Arial" w:cs="Arial"/>
                <w:b/>
                <w:bCs/>
                <w:color w:val="000000"/>
                <w:sz w:val="16"/>
                <w:szCs w:val="16"/>
              </w:rPr>
            </w:pPr>
            <w:r w:rsidRPr="00DD1DB8">
              <w:rPr>
                <w:rFonts w:ascii="Arial" w:hAnsi="Arial" w:cs="Arial"/>
                <w:b/>
                <w:bCs/>
                <w:color w:val="000000"/>
                <w:sz w:val="16"/>
                <w:szCs w:val="16"/>
              </w:rPr>
              <w:t>2203</w:t>
            </w:r>
          </w:p>
        </w:tc>
      </w:tr>
    </w:tbl>
    <w:p w:rsidR="003C459D" w:rsidRPr="009F6D13" w:rsidRDefault="003C459D" w:rsidP="003C459D">
      <w:pPr>
        <w:tabs>
          <w:tab w:val="left" w:pos="540"/>
        </w:tabs>
        <w:jc w:val="both"/>
        <w:rPr>
          <w:rFonts w:ascii="CG Omega" w:hAnsi="CG Omega"/>
          <w:sz w:val="16"/>
          <w:szCs w:val="16"/>
          <w:highlight w:val="yellow"/>
        </w:rPr>
      </w:pPr>
    </w:p>
    <w:p w:rsidR="003C459D" w:rsidRDefault="003C459D" w:rsidP="003C459D">
      <w:pPr>
        <w:tabs>
          <w:tab w:val="left" w:pos="540"/>
        </w:tabs>
        <w:jc w:val="both"/>
        <w:rPr>
          <w:rFonts w:ascii="CG Omega" w:hAnsi="CG Omega"/>
        </w:rPr>
      </w:pPr>
      <w:r>
        <w:rPr>
          <w:rFonts w:ascii="CG Omega" w:hAnsi="CG Omega"/>
        </w:rPr>
        <w:t xml:space="preserve">While the total </w:t>
      </w:r>
      <w:r w:rsidR="00542F38">
        <w:rPr>
          <w:rFonts w:ascii="CG Omega" w:hAnsi="CG Omega"/>
        </w:rPr>
        <w:t>size of the homeless sub-populations has</w:t>
      </w:r>
      <w:r>
        <w:rPr>
          <w:rFonts w:ascii="CG Omega" w:hAnsi="CG Omega"/>
        </w:rPr>
        <w:t xml:space="preserve"> remained fairly stable between 2009 and 2013, the percentage sheltered has increased.  In 2009, 73.5 percent of these sub</w:t>
      </w:r>
      <w:r w:rsidR="00542F38">
        <w:rPr>
          <w:rFonts w:ascii="CG Omega" w:hAnsi="CG Omega"/>
        </w:rPr>
        <w:t>-</w:t>
      </w:r>
      <w:r>
        <w:rPr>
          <w:rFonts w:ascii="CG Omega" w:hAnsi="CG Omega"/>
        </w:rPr>
        <w:t>populations were sheltered.  In 2013, 78 percent were sheltered.  The group seeing the largest decrease in size is chronically homeless individuals.  In 2009, there were 779 chronically homeless individuals, compared to 399 in 2013.  The three sub</w:t>
      </w:r>
      <w:r w:rsidR="00542F38">
        <w:rPr>
          <w:rFonts w:ascii="CG Omega" w:hAnsi="CG Omega"/>
        </w:rPr>
        <w:t>-</w:t>
      </w:r>
      <w:r>
        <w:rPr>
          <w:rFonts w:ascii="CG Omega" w:hAnsi="CG Omega"/>
        </w:rPr>
        <w:t>population categories that have seen an increase in numbers are persons with chronic substance abuse, the severely mentally ill, and victims of domestic violence.  The growth of these sub</w:t>
      </w:r>
      <w:r w:rsidR="00542F38">
        <w:rPr>
          <w:rFonts w:ascii="CG Omega" w:hAnsi="CG Omega"/>
        </w:rPr>
        <w:t>-</w:t>
      </w:r>
      <w:r>
        <w:rPr>
          <w:rFonts w:ascii="CG Omega" w:hAnsi="CG Omega"/>
        </w:rPr>
        <w:t xml:space="preserve">populations may be due to more accurate counting or information collection of unsheltered persons during the point-in-time counts.   </w:t>
      </w:r>
    </w:p>
    <w:p w:rsidR="007410C7" w:rsidRDefault="007410C7" w:rsidP="003C459D">
      <w:pPr>
        <w:tabs>
          <w:tab w:val="left" w:pos="540"/>
        </w:tabs>
        <w:jc w:val="both"/>
        <w:rPr>
          <w:rFonts w:ascii="CG Omega" w:hAnsi="CG Omega"/>
          <w:sz w:val="16"/>
          <w:szCs w:val="16"/>
        </w:rPr>
      </w:pPr>
    </w:p>
    <w:p w:rsidR="007410C7" w:rsidRDefault="007410C7" w:rsidP="003C459D">
      <w:pPr>
        <w:tabs>
          <w:tab w:val="left" w:pos="540"/>
        </w:tabs>
        <w:jc w:val="both"/>
        <w:rPr>
          <w:rFonts w:ascii="CG Omega" w:hAnsi="CG Omega"/>
        </w:rPr>
      </w:pPr>
      <w:r>
        <w:rPr>
          <w:rFonts w:ascii="CG Omega" w:hAnsi="CG Omega"/>
        </w:rPr>
        <w:t xml:space="preserve">The Continuums of Care provide a chart of unmet need. </w:t>
      </w:r>
      <w:r w:rsidRPr="00542F38">
        <w:rPr>
          <w:rFonts w:ascii="CG Omega" w:hAnsi="CG Omega"/>
          <w:b/>
        </w:rPr>
        <w:t>Table V.1</w:t>
      </w:r>
      <w:r w:rsidR="000155B6" w:rsidRPr="00542F38">
        <w:rPr>
          <w:rFonts w:ascii="CG Omega" w:hAnsi="CG Omega"/>
          <w:b/>
        </w:rPr>
        <w:t>2</w:t>
      </w:r>
      <w:r>
        <w:rPr>
          <w:rFonts w:ascii="CG Omega" w:hAnsi="CG Omega"/>
        </w:rPr>
        <w:t>, on the following page, is a summary of the unmet need for both CoCs.  Both CoCs have demonstrated a substantial need for permanent supportive housing, with the Albuquerque CoC stating an unmet need for 295 year-round permanent supportive housing beds.  The Balance of State CoC indicated a need for 1,210 year-round permanent supportive housing beds.</w:t>
      </w:r>
    </w:p>
    <w:p w:rsidR="007410C7" w:rsidRDefault="007410C7" w:rsidP="003C459D">
      <w:pPr>
        <w:tabs>
          <w:tab w:val="left" w:pos="540"/>
        </w:tabs>
        <w:jc w:val="both"/>
        <w:rPr>
          <w:rFonts w:ascii="CG Omega" w:hAnsi="CG Omega"/>
        </w:rPr>
      </w:pPr>
    </w:p>
    <w:p w:rsidR="007410C7" w:rsidRDefault="007410C7" w:rsidP="009B7309">
      <w:pPr>
        <w:rPr>
          <w:rFonts w:ascii="CG Omega" w:hAnsi="CG Omega"/>
        </w:rPr>
      </w:pPr>
    </w:p>
    <w:tbl>
      <w:tblPr>
        <w:tblW w:w="9554" w:type="dxa"/>
        <w:jc w:val="center"/>
        <w:tblLook w:val="04A0" w:firstRow="1" w:lastRow="0" w:firstColumn="1" w:lastColumn="0" w:noHBand="0" w:noVBand="1"/>
      </w:tblPr>
      <w:tblGrid>
        <w:gridCol w:w="2135"/>
        <w:gridCol w:w="1203"/>
        <w:gridCol w:w="1178"/>
        <w:gridCol w:w="1132"/>
        <w:gridCol w:w="1132"/>
        <w:gridCol w:w="1132"/>
        <w:gridCol w:w="723"/>
        <w:gridCol w:w="919"/>
      </w:tblGrid>
      <w:tr w:rsidR="00137149" w:rsidTr="00542F38">
        <w:trPr>
          <w:trHeight w:val="135"/>
          <w:jc w:val="center"/>
        </w:trPr>
        <w:tc>
          <w:tcPr>
            <w:tcW w:w="9554" w:type="dxa"/>
            <w:gridSpan w:val="8"/>
            <w:tcBorders>
              <w:top w:val="nil"/>
              <w:left w:val="nil"/>
              <w:bottom w:val="nil"/>
              <w:right w:val="nil"/>
            </w:tcBorders>
            <w:shd w:val="clear" w:color="auto" w:fill="auto"/>
            <w:noWrap/>
            <w:vAlign w:val="center"/>
            <w:hideMark/>
          </w:tcPr>
          <w:p w:rsidR="00137149" w:rsidRDefault="00137149" w:rsidP="000155B6">
            <w:pPr>
              <w:jc w:val="center"/>
              <w:rPr>
                <w:rFonts w:ascii="Arial" w:hAnsi="Arial" w:cs="Arial"/>
                <w:b/>
                <w:bCs/>
                <w:color w:val="000000"/>
                <w:sz w:val="22"/>
                <w:szCs w:val="22"/>
              </w:rPr>
            </w:pPr>
            <w:r>
              <w:rPr>
                <w:rFonts w:ascii="Arial" w:hAnsi="Arial" w:cs="Arial"/>
                <w:b/>
                <w:bCs/>
                <w:color w:val="000000"/>
                <w:sz w:val="22"/>
                <w:szCs w:val="22"/>
              </w:rPr>
              <w:t>Table V.1</w:t>
            </w:r>
            <w:r w:rsidR="000155B6">
              <w:rPr>
                <w:rFonts w:ascii="Arial" w:hAnsi="Arial" w:cs="Arial"/>
                <w:b/>
                <w:bCs/>
                <w:color w:val="000000"/>
                <w:sz w:val="22"/>
                <w:szCs w:val="22"/>
              </w:rPr>
              <w:t>2</w:t>
            </w:r>
          </w:p>
        </w:tc>
      </w:tr>
      <w:tr w:rsidR="00137149" w:rsidTr="00542F38">
        <w:trPr>
          <w:trHeight w:val="240"/>
          <w:jc w:val="center"/>
        </w:trPr>
        <w:tc>
          <w:tcPr>
            <w:tcW w:w="9554" w:type="dxa"/>
            <w:gridSpan w:val="8"/>
            <w:tcBorders>
              <w:top w:val="nil"/>
              <w:left w:val="nil"/>
              <w:bottom w:val="nil"/>
              <w:right w:val="nil"/>
            </w:tcBorders>
            <w:shd w:val="clear" w:color="auto" w:fill="auto"/>
            <w:noWrap/>
            <w:vAlign w:val="center"/>
            <w:hideMark/>
          </w:tcPr>
          <w:p w:rsidR="00137149" w:rsidRDefault="00137149">
            <w:pPr>
              <w:jc w:val="center"/>
              <w:rPr>
                <w:rFonts w:ascii="Arial" w:hAnsi="Arial" w:cs="Arial"/>
                <w:b/>
                <w:bCs/>
                <w:color w:val="000000"/>
                <w:sz w:val="20"/>
                <w:szCs w:val="20"/>
              </w:rPr>
            </w:pPr>
            <w:r>
              <w:rPr>
                <w:rFonts w:ascii="Arial" w:hAnsi="Arial" w:cs="Arial"/>
                <w:b/>
                <w:bCs/>
                <w:color w:val="000000"/>
                <w:sz w:val="20"/>
                <w:szCs w:val="20"/>
              </w:rPr>
              <w:t>Unmet Need</w:t>
            </w:r>
          </w:p>
        </w:tc>
      </w:tr>
      <w:tr w:rsidR="00137149" w:rsidTr="00542F38">
        <w:trPr>
          <w:trHeight w:val="90"/>
          <w:jc w:val="center"/>
        </w:trPr>
        <w:tc>
          <w:tcPr>
            <w:tcW w:w="9554" w:type="dxa"/>
            <w:gridSpan w:val="8"/>
            <w:tcBorders>
              <w:top w:val="nil"/>
              <w:left w:val="nil"/>
              <w:bottom w:val="nil"/>
              <w:right w:val="nil"/>
            </w:tcBorders>
            <w:shd w:val="clear" w:color="auto" w:fill="auto"/>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State of New Mexico</w:t>
            </w:r>
          </w:p>
        </w:tc>
      </w:tr>
      <w:tr w:rsidR="00137149" w:rsidTr="00542F38">
        <w:trPr>
          <w:trHeight w:val="240"/>
          <w:jc w:val="center"/>
        </w:trPr>
        <w:tc>
          <w:tcPr>
            <w:tcW w:w="9554" w:type="dxa"/>
            <w:gridSpan w:val="8"/>
            <w:tcBorders>
              <w:top w:val="nil"/>
              <w:left w:val="nil"/>
              <w:bottom w:val="single" w:sz="8" w:space="0" w:color="009900"/>
              <w:right w:val="nil"/>
            </w:tcBorders>
            <w:shd w:val="clear" w:color="auto" w:fill="auto"/>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CoCs Housing Inventory Chart</w:t>
            </w:r>
            <w:r w:rsidR="00AF6503">
              <w:rPr>
                <w:rFonts w:ascii="Arial" w:hAnsi="Arial" w:cs="Arial"/>
                <w:color w:val="000000"/>
                <w:sz w:val="16"/>
                <w:szCs w:val="16"/>
              </w:rPr>
              <w:t>s 2013</w:t>
            </w:r>
          </w:p>
        </w:tc>
      </w:tr>
      <w:tr w:rsidR="00137149" w:rsidTr="00542F38">
        <w:trPr>
          <w:trHeight w:val="1365"/>
          <w:jc w:val="center"/>
        </w:trPr>
        <w:tc>
          <w:tcPr>
            <w:tcW w:w="2135" w:type="dxa"/>
            <w:tcBorders>
              <w:top w:val="nil"/>
              <w:left w:val="single" w:sz="8" w:space="0" w:color="009900"/>
              <w:bottom w:val="single" w:sz="8" w:space="0" w:color="009900"/>
              <w:right w:val="nil"/>
            </w:tcBorders>
            <w:shd w:val="clear" w:color="000000" w:fill="FFFFE1"/>
            <w:noWrap/>
            <w:vAlign w:val="center"/>
            <w:hideMark/>
          </w:tcPr>
          <w:p w:rsidR="00137149" w:rsidRDefault="00137149">
            <w:pPr>
              <w:rPr>
                <w:rFonts w:ascii="Arial" w:hAnsi="Arial" w:cs="Arial"/>
                <w:b/>
                <w:bCs/>
                <w:color w:val="000000"/>
                <w:sz w:val="16"/>
                <w:szCs w:val="16"/>
              </w:rPr>
            </w:pPr>
            <w:r>
              <w:rPr>
                <w:rFonts w:ascii="Arial" w:hAnsi="Arial" w:cs="Arial"/>
                <w:b/>
                <w:bCs/>
                <w:color w:val="000000"/>
                <w:sz w:val="16"/>
                <w:szCs w:val="16"/>
              </w:rPr>
              <w:t>Continuum of Care</w:t>
            </w:r>
          </w:p>
        </w:tc>
        <w:tc>
          <w:tcPr>
            <w:tcW w:w="1203" w:type="dxa"/>
            <w:tcBorders>
              <w:top w:val="nil"/>
              <w:left w:val="nil"/>
              <w:bottom w:val="single" w:sz="8" w:space="0" w:color="009900"/>
              <w:right w:val="nil"/>
            </w:tcBorders>
            <w:shd w:val="clear" w:color="000000" w:fill="FFFFE1"/>
            <w:vAlign w:val="center"/>
            <w:hideMark/>
          </w:tcPr>
          <w:p w:rsidR="00137149" w:rsidRDefault="00137149">
            <w:pPr>
              <w:jc w:val="center"/>
              <w:rPr>
                <w:rFonts w:ascii="Arial" w:hAnsi="Arial" w:cs="Arial"/>
                <w:b/>
                <w:bCs/>
                <w:color w:val="000000"/>
                <w:sz w:val="16"/>
                <w:szCs w:val="16"/>
              </w:rPr>
            </w:pPr>
            <w:r>
              <w:rPr>
                <w:rFonts w:ascii="Arial" w:hAnsi="Arial" w:cs="Arial"/>
                <w:b/>
                <w:bCs/>
                <w:color w:val="000000"/>
                <w:sz w:val="16"/>
                <w:szCs w:val="16"/>
              </w:rPr>
              <w:t>Beds for Households with at Least One Adult and One Children</w:t>
            </w:r>
          </w:p>
        </w:tc>
        <w:tc>
          <w:tcPr>
            <w:tcW w:w="1178" w:type="dxa"/>
            <w:tcBorders>
              <w:top w:val="nil"/>
              <w:left w:val="nil"/>
              <w:bottom w:val="single" w:sz="8" w:space="0" w:color="009900"/>
              <w:right w:val="nil"/>
            </w:tcBorders>
            <w:shd w:val="clear" w:color="000000" w:fill="FFFFE1"/>
            <w:vAlign w:val="center"/>
            <w:hideMark/>
          </w:tcPr>
          <w:p w:rsidR="00137149" w:rsidRDefault="00137149">
            <w:pPr>
              <w:jc w:val="center"/>
              <w:rPr>
                <w:rFonts w:ascii="Arial" w:hAnsi="Arial" w:cs="Arial"/>
                <w:b/>
                <w:bCs/>
                <w:color w:val="000000"/>
                <w:sz w:val="16"/>
                <w:szCs w:val="16"/>
              </w:rPr>
            </w:pPr>
            <w:r>
              <w:rPr>
                <w:rFonts w:ascii="Arial" w:hAnsi="Arial" w:cs="Arial"/>
                <w:b/>
                <w:bCs/>
                <w:color w:val="000000"/>
                <w:sz w:val="16"/>
                <w:szCs w:val="16"/>
              </w:rPr>
              <w:t>Units for Households with at Least One Adult and One Child</w:t>
            </w:r>
          </w:p>
        </w:tc>
        <w:tc>
          <w:tcPr>
            <w:tcW w:w="1132" w:type="dxa"/>
            <w:tcBorders>
              <w:top w:val="nil"/>
              <w:left w:val="nil"/>
              <w:bottom w:val="single" w:sz="8" w:space="0" w:color="009900"/>
              <w:right w:val="nil"/>
            </w:tcBorders>
            <w:shd w:val="clear" w:color="000000" w:fill="FFFFE1"/>
            <w:vAlign w:val="center"/>
            <w:hideMark/>
          </w:tcPr>
          <w:p w:rsidR="00137149" w:rsidRDefault="00137149">
            <w:pPr>
              <w:jc w:val="center"/>
              <w:rPr>
                <w:rFonts w:ascii="Arial" w:hAnsi="Arial" w:cs="Arial"/>
                <w:b/>
                <w:bCs/>
                <w:color w:val="000000"/>
                <w:sz w:val="16"/>
                <w:szCs w:val="16"/>
              </w:rPr>
            </w:pPr>
            <w:r>
              <w:rPr>
                <w:rFonts w:ascii="Arial" w:hAnsi="Arial" w:cs="Arial"/>
                <w:b/>
                <w:bCs/>
                <w:color w:val="000000"/>
                <w:sz w:val="16"/>
                <w:szCs w:val="16"/>
              </w:rPr>
              <w:t>Beds for Households without Children</w:t>
            </w:r>
          </w:p>
        </w:tc>
        <w:tc>
          <w:tcPr>
            <w:tcW w:w="1132" w:type="dxa"/>
            <w:tcBorders>
              <w:top w:val="nil"/>
              <w:left w:val="nil"/>
              <w:bottom w:val="single" w:sz="8" w:space="0" w:color="009900"/>
              <w:right w:val="nil"/>
            </w:tcBorders>
            <w:shd w:val="clear" w:color="000000" w:fill="FFFFE1"/>
            <w:vAlign w:val="center"/>
            <w:hideMark/>
          </w:tcPr>
          <w:p w:rsidR="00137149" w:rsidRDefault="00137149">
            <w:pPr>
              <w:jc w:val="center"/>
              <w:rPr>
                <w:rFonts w:ascii="Arial" w:hAnsi="Arial" w:cs="Arial"/>
                <w:b/>
                <w:bCs/>
                <w:color w:val="000000"/>
                <w:sz w:val="16"/>
                <w:szCs w:val="16"/>
              </w:rPr>
            </w:pPr>
            <w:r>
              <w:rPr>
                <w:rFonts w:ascii="Arial" w:hAnsi="Arial" w:cs="Arial"/>
                <w:b/>
                <w:bCs/>
                <w:color w:val="000000"/>
                <w:sz w:val="16"/>
                <w:szCs w:val="16"/>
              </w:rPr>
              <w:t>Beds for Households with Only Children</w:t>
            </w:r>
          </w:p>
        </w:tc>
        <w:tc>
          <w:tcPr>
            <w:tcW w:w="1132" w:type="dxa"/>
            <w:tcBorders>
              <w:top w:val="nil"/>
              <w:left w:val="nil"/>
              <w:bottom w:val="single" w:sz="8" w:space="0" w:color="009900"/>
              <w:right w:val="nil"/>
            </w:tcBorders>
            <w:shd w:val="clear" w:color="000000" w:fill="FFFFE1"/>
            <w:vAlign w:val="center"/>
            <w:hideMark/>
          </w:tcPr>
          <w:p w:rsidR="00137149" w:rsidRDefault="00137149">
            <w:pPr>
              <w:jc w:val="center"/>
              <w:rPr>
                <w:rFonts w:ascii="Arial" w:hAnsi="Arial" w:cs="Arial"/>
                <w:b/>
                <w:bCs/>
                <w:color w:val="000000"/>
                <w:sz w:val="16"/>
                <w:szCs w:val="16"/>
              </w:rPr>
            </w:pPr>
            <w:r>
              <w:rPr>
                <w:rFonts w:ascii="Arial" w:hAnsi="Arial" w:cs="Arial"/>
                <w:b/>
                <w:bCs/>
                <w:color w:val="000000"/>
                <w:sz w:val="16"/>
                <w:szCs w:val="16"/>
              </w:rPr>
              <w:t>Units for Households with Only Children</w:t>
            </w:r>
          </w:p>
        </w:tc>
        <w:tc>
          <w:tcPr>
            <w:tcW w:w="723" w:type="dxa"/>
            <w:tcBorders>
              <w:top w:val="nil"/>
              <w:left w:val="nil"/>
              <w:bottom w:val="single" w:sz="8" w:space="0" w:color="009900"/>
              <w:right w:val="nil"/>
            </w:tcBorders>
            <w:shd w:val="clear" w:color="000000" w:fill="FFFFE1"/>
            <w:vAlign w:val="center"/>
            <w:hideMark/>
          </w:tcPr>
          <w:p w:rsidR="00137149" w:rsidRDefault="00137149">
            <w:pPr>
              <w:jc w:val="center"/>
              <w:rPr>
                <w:rFonts w:ascii="Arial" w:hAnsi="Arial" w:cs="Arial"/>
                <w:b/>
                <w:bCs/>
                <w:color w:val="000000"/>
                <w:sz w:val="16"/>
                <w:szCs w:val="16"/>
              </w:rPr>
            </w:pPr>
            <w:r>
              <w:rPr>
                <w:rFonts w:ascii="Arial" w:hAnsi="Arial" w:cs="Arial"/>
                <w:b/>
                <w:bCs/>
                <w:color w:val="000000"/>
                <w:sz w:val="16"/>
                <w:szCs w:val="16"/>
              </w:rPr>
              <w:t>Total Year-Round Beds</w:t>
            </w:r>
          </w:p>
        </w:tc>
        <w:tc>
          <w:tcPr>
            <w:tcW w:w="919" w:type="dxa"/>
            <w:tcBorders>
              <w:top w:val="nil"/>
              <w:left w:val="nil"/>
              <w:bottom w:val="single" w:sz="8" w:space="0" w:color="009900"/>
              <w:right w:val="single" w:sz="8" w:space="0" w:color="009900"/>
            </w:tcBorders>
            <w:shd w:val="clear" w:color="000000" w:fill="FFFFE1"/>
            <w:vAlign w:val="center"/>
            <w:hideMark/>
          </w:tcPr>
          <w:p w:rsidR="00137149" w:rsidRDefault="00137149">
            <w:pPr>
              <w:jc w:val="center"/>
              <w:rPr>
                <w:rFonts w:ascii="Arial" w:hAnsi="Arial" w:cs="Arial"/>
                <w:b/>
                <w:bCs/>
                <w:color w:val="000000"/>
                <w:sz w:val="16"/>
                <w:szCs w:val="16"/>
              </w:rPr>
            </w:pPr>
            <w:r>
              <w:rPr>
                <w:rFonts w:ascii="Arial" w:hAnsi="Arial" w:cs="Arial"/>
                <w:b/>
                <w:bCs/>
                <w:color w:val="000000"/>
                <w:sz w:val="16"/>
                <w:szCs w:val="16"/>
              </w:rPr>
              <w:t>Total Seasonal Beds</w:t>
            </w:r>
          </w:p>
        </w:tc>
      </w:tr>
      <w:tr w:rsidR="00137149" w:rsidTr="00542F38">
        <w:trPr>
          <w:trHeight w:val="240"/>
          <w:jc w:val="center"/>
        </w:trPr>
        <w:tc>
          <w:tcPr>
            <w:tcW w:w="2135" w:type="dxa"/>
            <w:tcBorders>
              <w:top w:val="nil"/>
              <w:left w:val="single" w:sz="8" w:space="0" w:color="009900"/>
              <w:bottom w:val="dotted" w:sz="4" w:space="0" w:color="009900"/>
              <w:right w:val="nil"/>
            </w:tcBorders>
            <w:shd w:val="clear" w:color="000000" w:fill="FFFFE1"/>
            <w:vAlign w:val="center"/>
            <w:hideMark/>
          </w:tcPr>
          <w:p w:rsidR="00137149" w:rsidRDefault="00137149">
            <w:pPr>
              <w:rPr>
                <w:rFonts w:ascii="Arial" w:hAnsi="Arial" w:cs="Arial"/>
                <w:color w:val="000000"/>
                <w:sz w:val="16"/>
                <w:szCs w:val="16"/>
              </w:rPr>
            </w:pPr>
            <w:r>
              <w:rPr>
                <w:rFonts w:ascii="Arial" w:hAnsi="Arial" w:cs="Arial"/>
                <w:color w:val="000000"/>
                <w:sz w:val="16"/>
                <w:szCs w:val="16"/>
              </w:rPr>
              <w:t>Albuquerque CoC</w:t>
            </w:r>
          </w:p>
        </w:tc>
        <w:tc>
          <w:tcPr>
            <w:tcW w:w="1203" w:type="dxa"/>
            <w:tcBorders>
              <w:top w:val="nil"/>
              <w:left w:val="nil"/>
              <w:bottom w:val="dotted" w:sz="4" w:space="0" w:color="009900"/>
              <w:right w:val="nil"/>
            </w:tcBorders>
            <w:shd w:val="clear" w:color="000000" w:fill="FFFFE1"/>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 </w:t>
            </w:r>
          </w:p>
        </w:tc>
        <w:tc>
          <w:tcPr>
            <w:tcW w:w="1178" w:type="dxa"/>
            <w:tcBorders>
              <w:top w:val="nil"/>
              <w:left w:val="nil"/>
              <w:bottom w:val="dotted" w:sz="4" w:space="0" w:color="009900"/>
              <w:right w:val="nil"/>
            </w:tcBorders>
            <w:shd w:val="clear" w:color="000000" w:fill="FFFFE1"/>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 </w:t>
            </w:r>
          </w:p>
        </w:tc>
        <w:tc>
          <w:tcPr>
            <w:tcW w:w="1132" w:type="dxa"/>
            <w:tcBorders>
              <w:top w:val="nil"/>
              <w:left w:val="nil"/>
              <w:bottom w:val="dotted" w:sz="4" w:space="0" w:color="009900"/>
              <w:right w:val="nil"/>
            </w:tcBorders>
            <w:shd w:val="clear" w:color="000000" w:fill="FFFFE1"/>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 </w:t>
            </w:r>
          </w:p>
        </w:tc>
        <w:tc>
          <w:tcPr>
            <w:tcW w:w="1132" w:type="dxa"/>
            <w:tcBorders>
              <w:top w:val="nil"/>
              <w:left w:val="nil"/>
              <w:bottom w:val="dotted" w:sz="4" w:space="0" w:color="009900"/>
              <w:right w:val="nil"/>
            </w:tcBorders>
            <w:shd w:val="clear" w:color="000000" w:fill="FFFFE1"/>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 </w:t>
            </w:r>
          </w:p>
        </w:tc>
        <w:tc>
          <w:tcPr>
            <w:tcW w:w="1132" w:type="dxa"/>
            <w:tcBorders>
              <w:top w:val="nil"/>
              <w:left w:val="nil"/>
              <w:bottom w:val="dotted" w:sz="4" w:space="0" w:color="009900"/>
              <w:right w:val="nil"/>
            </w:tcBorders>
            <w:shd w:val="clear" w:color="000000" w:fill="FFFFE1"/>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 </w:t>
            </w:r>
          </w:p>
        </w:tc>
        <w:tc>
          <w:tcPr>
            <w:tcW w:w="723" w:type="dxa"/>
            <w:tcBorders>
              <w:top w:val="nil"/>
              <w:left w:val="nil"/>
              <w:bottom w:val="dotted" w:sz="4" w:space="0" w:color="009900"/>
              <w:right w:val="nil"/>
            </w:tcBorders>
            <w:shd w:val="clear" w:color="000000" w:fill="FFFFE1"/>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 </w:t>
            </w:r>
          </w:p>
        </w:tc>
        <w:tc>
          <w:tcPr>
            <w:tcW w:w="919" w:type="dxa"/>
            <w:tcBorders>
              <w:top w:val="nil"/>
              <w:left w:val="nil"/>
              <w:bottom w:val="dotted" w:sz="4" w:space="0" w:color="009900"/>
              <w:right w:val="single" w:sz="8" w:space="0" w:color="009900"/>
            </w:tcBorders>
            <w:shd w:val="clear" w:color="000000" w:fill="FFFFE1"/>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 </w:t>
            </w:r>
          </w:p>
        </w:tc>
      </w:tr>
      <w:tr w:rsidR="00137149" w:rsidTr="00542F38">
        <w:trPr>
          <w:trHeight w:val="240"/>
          <w:jc w:val="center"/>
        </w:trPr>
        <w:tc>
          <w:tcPr>
            <w:tcW w:w="2135" w:type="dxa"/>
            <w:tcBorders>
              <w:top w:val="nil"/>
              <w:left w:val="single" w:sz="8" w:space="0" w:color="009900"/>
              <w:bottom w:val="nil"/>
              <w:right w:val="nil"/>
            </w:tcBorders>
            <w:shd w:val="clear" w:color="000000" w:fill="FFFFE1"/>
            <w:noWrap/>
            <w:vAlign w:val="center"/>
            <w:hideMark/>
          </w:tcPr>
          <w:p w:rsidR="00137149" w:rsidRDefault="00137149" w:rsidP="00542F38">
            <w:pPr>
              <w:ind w:firstLineChars="200" w:firstLine="320"/>
              <w:jc w:val="right"/>
              <w:rPr>
                <w:rFonts w:ascii="Arial" w:hAnsi="Arial" w:cs="Arial"/>
                <w:color w:val="000000"/>
                <w:sz w:val="16"/>
                <w:szCs w:val="16"/>
              </w:rPr>
            </w:pPr>
            <w:r>
              <w:rPr>
                <w:rFonts w:ascii="Arial" w:hAnsi="Arial" w:cs="Arial"/>
                <w:color w:val="000000"/>
                <w:sz w:val="16"/>
                <w:szCs w:val="16"/>
              </w:rPr>
              <w:t>Emergency Shelter</w:t>
            </w:r>
          </w:p>
        </w:tc>
        <w:tc>
          <w:tcPr>
            <w:tcW w:w="1203" w:type="dxa"/>
            <w:tcBorders>
              <w:top w:val="nil"/>
              <w:left w:val="nil"/>
              <w:bottom w:val="nil"/>
              <w:right w:val="nil"/>
            </w:tcBorders>
            <w:shd w:val="clear" w:color="000000" w:fill="FFFFE1"/>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0</w:t>
            </w:r>
          </w:p>
        </w:tc>
        <w:tc>
          <w:tcPr>
            <w:tcW w:w="1178" w:type="dxa"/>
            <w:tcBorders>
              <w:top w:val="nil"/>
              <w:left w:val="nil"/>
              <w:bottom w:val="nil"/>
              <w:right w:val="nil"/>
            </w:tcBorders>
            <w:shd w:val="clear" w:color="000000" w:fill="FFFFE1"/>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0</w:t>
            </w:r>
          </w:p>
        </w:tc>
        <w:tc>
          <w:tcPr>
            <w:tcW w:w="1132" w:type="dxa"/>
            <w:tcBorders>
              <w:top w:val="nil"/>
              <w:left w:val="nil"/>
              <w:bottom w:val="nil"/>
              <w:right w:val="nil"/>
            </w:tcBorders>
            <w:shd w:val="clear" w:color="000000" w:fill="FFFFE1"/>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0</w:t>
            </w:r>
          </w:p>
        </w:tc>
        <w:tc>
          <w:tcPr>
            <w:tcW w:w="1132" w:type="dxa"/>
            <w:tcBorders>
              <w:top w:val="nil"/>
              <w:left w:val="nil"/>
              <w:bottom w:val="nil"/>
              <w:right w:val="nil"/>
            </w:tcBorders>
            <w:shd w:val="clear" w:color="000000" w:fill="FFFFE1"/>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0</w:t>
            </w:r>
          </w:p>
        </w:tc>
        <w:tc>
          <w:tcPr>
            <w:tcW w:w="1132" w:type="dxa"/>
            <w:tcBorders>
              <w:top w:val="nil"/>
              <w:left w:val="nil"/>
              <w:bottom w:val="nil"/>
              <w:right w:val="nil"/>
            </w:tcBorders>
            <w:shd w:val="clear" w:color="000000" w:fill="FFFFE1"/>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0</w:t>
            </w:r>
          </w:p>
        </w:tc>
        <w:tc>
          <w:tcPr>
            <w:tcW w:w="723" w:type="dxa"/>
            <w:tcBorders>
              <w:top w:val="nil"/>
              <w:left w:val="nil"/>
              <w:bottom w:val="nil"/>
              <w:right w:val="nil"/>
            </w:tcBorders>
            <w:shd w:val="clear" w:color="000000" w:fill="FFFFE1"/>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0</w:t>
            </w:r>
          </w:p>
        </w:tc>
        <w:tc>
          <w:tcPr>
            <w:tcW w:w="919" w:type="dxa"/>
            <w:tcBorders>
              <w:top w:val="nil"/>
              <w:left w:val="nil"/>
              <w:bottom w:val="nil"/>
              <w:right w:val="single" w:sz="8" w:space="0" w:color="009900"/>
            </w:tcBorders>
            <w:shd w:val="clear" w:color="000000" w:fill="FFFFE1"/>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0</w:t>
            </w:r>
          </w:p>
        </w:tc>
      </w:tr>
      <w:tr w:rsidR="00137149" w:rsidTr="00542F38">
        <w:trPr>
          <w:trHeight w:val="240"/>
          <w:jc w:val="center"/>
        </w:trPr>
        <w:tc>
          <w:tcPr>
            <w:tcW w:w="2135" w:type="dxa"/>
            <w:tcBorders>
              <w:top w:val="nil"/>
              <w:left w:val="single" w:sz="8" w:space="0" w:color="009900"/>
              <w:bottom w:val="nil"/>
              <w:right w:val="nil"/>
            </w:tcBorders>
            <w:shd w:val="clear" w:color="000000" w:fill="FFFFE1"/>
            <w:noWrap/>
            <w:vAlign w:val="center"/>
            <w:hideMark/>
          </w:tcPr>
          <w:p w:rsidR="00137149" w:rsidRDefault="00137149" w:rsidP="00542F38">
            <w:pPr>
              <w:ind w:firstLineChars="200" w:firstLine="320"/>
              <w:jc w:val="right"/>
              <w:rPr>
                <w:rFonts w:ascii="Arial" w:hAnsi="Arial" w:cs="Arial"/>
                <w:color w:val="000000"/>
                <w:sz w:val="16"/>
                <w:szCs w:val="16"/>
              </w:rPr>
            </w:pPr>
            <w:r>
              <w:rPr>
                <w:rFonts w:ascii="Arial" w:hAnsi="Arial" w:cs="Arial"/>
                <w:color w:val="000000"/>
                <w:sz w:val="16"/>
                <w:szCs w:val="16"/>
              </w:rPr>
              <w:t>Transitional Housing</w:t>
            </w:r>
          </w:p>
        </w:tc>
        <w:tc>
          <w:tcPr>
            <w:tcW w:w="1203" w:type="dxa"/>
            <w:tcBorders>
              <w:top w:val="nil"/>
              <w:left w:val="nil"/>
              <w:bottom w:val="nil"/>
              <w:right w:val="nil"/>
            </w:tcBorders>
            <w:shd w:val="clear" w:color="000000" w:fill="FFFFE1"/>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30</w:t>
            </w:r>
          </w:p>
        </w:tc>
        <w:tc>
          <w:tcPr>
            <w:tcW w:w="1178" w:type="dxa"/>
            <w:tcBorders>
              <w:top w:val="nil"/>
              <w:left w:val="nil"/>
              <w:bottom w:val="nil"/>
              <w:right w:val="nil"/>
            </w:tcBorders>
            <w:shd w:val="clear" w:color="000000" w:fill="FFFFE1"/>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15</w:t>
            </w:r>
          </w:p>
        </w:tc>
        <w:tc>
          <w:tcPr>
            <w:tcW w:w="1132" w:type="dxa"/>
            <w:tcBorders>
              <w:top w:val="nil"/>
              <w:left w:val="nil"/>
              <w:bottom w:val="nil"/>
              <w:right w:val="nil"/>
            </w:tcBorders>
            <w:shd w:val="clear" w:color="000000" w:fill="FFFFE1"/>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207</w:t>
            </w:r>
          </w:p>
        </w:tc>
        <w:tc>
          <w:tcPr>
            <w:tcW w:w="1132" w:type="dxa"/>
            <w:tcBorders>
              <w:top w:val="nil"/>
              <w:left w:val="nil"/>
              <w:bottom w:val="nil"/>
              <w:right w:val="nil"/>
            </w:tcBorders>
            <w:shd w:val="clear" w:color="000000" w:fill="FFFFE1"/>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0</w:t>
            </w:r>
          </w:p>
        </w:tc>
        <w:tc>
          <w:tcPr>
            <w:tcW w:w="1132" w:type="dxa"/>
            <w:tcBorders>
              <w:top w:val="nil"/>
              <w:left w:val="nil"/>
              <w:bottom w:val="nil"/>
              <w:right w:val="nil"/>
            </w:tcBorders>
            <w:shd w:val="clear" w:color="000000" w:fill="FFFFE1"/>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25</w:t>
            </w:r>
          </w:p>
        </w:tc>
        <w:tc>
          <w:tcPr>
            <w:tcW w:w="723" w:type="dxa"/>
            <w:tcBorders>
              <w:top w:val="nil"/>
              <w:left w:val="nil"/>
              <w:bottom w:val="nil"/>
              <w:right w:val="nil"/>
            </w:tcBorders>
            <w:shd w:val="clear" w:color="000000" w:fill="FFFFE1"/>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25</w:t>
            </w:r>
          </w:p>
        </w:tc>
        <w:tc>
          <w:tcPr>
            <w:tcW w:w="919" w:type="dxa"/>
            <w:tcBorders>
              <w:top w:val="nil"/>
              <w:left w:val="nil"/>
              <w:bottom w:val="nil"/>
              <w:right w:val="single" w:sz="8" w:space="0" w:color="009900"/>
            </w:tcBorders>
            <w:shd w:val="clear" w:color="000000" w:fill="FFFFE1"/>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237</w:t>
            </w:r>
          </w:p>
        </w:tc>
      </w:tr>
      <w:tr w:rsidR="00137149" w:rsidTr="00542F38">
        <w:trPr>
          <w:trHeight w:val="240"/>
          <w:jc w:val="center"/>
        </w:trPr>
        <w:tc>
          <w:tcPr>
            <w:tcW w:w="2135" w:type="dxa"/>
            <w:tcBorders>
              <w:top w:val="nil"/>
              <w:left w:val="single" w:sz="8" w:space="0" w:color="009900"/>
              <w:bottom w:val="nil"/>
              <w:right w:val="nil"/>
            </w:tcBorders>
            <w:shd w:val="clear" w:color="000000" w:fill="FFFFE1"/>
            <w:noWrap/>
            <w:vAlign w:val="center"/>
            <w:hideMark/>
          </w:tcPr>
          <w:p w:rsidR="00137149" w:rsidRDefault="00137149" w:rsidP="00542F38">
            <w:pPr>
              <w:ind w:firstLineChars="200" w:firstLine="320"/>
              <w:jc w:val="right"/>
              <w:rPr>
                <w:rFonts w:ascii="Arial" w:hAnsi="Arial" w:cs="Arial"/>
                <w:color w:val="000000"/>
                <w:sz w:val="16"/>
                <w:szCs w:val="16"/>
              </w:rPr>
            </w:pPr>
            <w:r>
              <w:rPr>
                <w:rFonts w:ascii="Arial" w:hAnsi="Arial" w:cs="Arial"/>
                <w:color w:val="000000"/>
                <w:sz w:val="16"/>
                <w:szCs w:val="16"/>
              </w:rPr>
              <w:t>Safe Haven</w:t>
            </w:r>
          </w:p>
        </w:tc>
        <w:tc>
          <w:tcPr>
            <w:tcW w:w="1203" w:type="dxa"/>
            <w:tcBorders>
              <w:top w:val="nil"/>
              <w:left w:val="nil"/>
              <w:bottom w:val="nil"/>
              <w:right w:val="nil"/>
            </w:tcBorders>
            <w:shd w:val="clear" w:color="000000" w:fill="FFFFE1"/>
            <w:noWrap/>
            <w:vAlign w:val="center"/>
            <w:hideMark/>
          </w:tcPr>
          <w:p w:rsidR="00137149" w:rsidRDefault="00137149">
            <w:pPr>
              <w:jc w:val="center"/>
              <w:rPr>
                <w:rFonts w:ascii="Arial" w:hAnsi="Arial" w:cs="Arial"/>
                <w:b/>
                <w:bCs/>
                <w:color w:val="000000"/>
                <w:sz w:val="16"/>
                <w:szCs w:val="16"/>
              </w:rPr>
            </w:pPr>
            <w:r>
              <w:rPr>
                <w:rFonts w:ascii="Arial" w:hAnsi="Arial" w:cs="Arial"/>
                <w:b/>
                <w:bCs/>
                <w:color w:val="000000"/>
                <w:sz w:val="16"/>
                <w:szCs w:val="16"/>
              </w:rPr>
              <w:t>.</w:t>
            </w:r>
          </w:p>
        </w:tc>
        <w:tc>
          <w:tcPr>
            <w:tcW w:w="1178" w:type="dxa"/>
            <w:tcBorders>
              <w:top w:val="nil"/>
              <w:left w:val="nil"/>
              <w:bottom w:val="nil"/>
              <w:right w:val="nil"/>
            </w:tcBorders>
            <w:shd w:val="clear" w:color="000000" w:fill="FFFFE1"/>
            <w:noWrap/>
            <w:vAlign w:val="center"/>
            <w:hideMark/>
          </w:tcPr>
          <w:p w:rsidR="00137149" w:rsidRDefault="00137149">
            <w:pPr>
              <w:jc w:val="center"/>
              <w:rPr>
                <w:rFonts w:ascii="Arial" w:hAnsi="Arial" w:cs="Arial"/>
                <w:b/>
                <w:bCs/>
                <w:color w:val="000000"/>
                <w:sz w:val="16"/>
                <w:szCs w:val="16"/>
              </w:rPr>
            </w:pPr>
            <w:r>
              <w:rPr>
                <w:rFonts w:ascii="Arial" w:hAnsi="Arial" w:cs="Arial"/>
                <w:b/>
                <w:bCs/>
                <w:color w:val="000000"/>
                <w:sz w:val="16"/>
                <w:szCs w:val="16"/>
              </w:rPr>
              <w:t>.</w:t>
            </w:r>
          </w:p>
        </w:tc>
        <w:tc>
          <w:tcPr>
            <w:tcW w:w="1132" w:type="dxa"/>
            <w:tcBorders>
              <w:top w:val="nil"/>
              <w:left w:val="nil"/>
              <w:bottom w:val="nil"/>
              <w:right w:val="nil"/>
            </w:tcBorders>
            <w:shd w:val="clear" w:color="000000" w:fill="FFFFE1"/>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0</w:t>
            </w:r>
          </w:p>
        </w:tc>
        <w:tc>
          <w:tcPr>
            <w:tcW w:w="1132" w:type="dxa"/>
            <w:tcBorders>
              <w:top w:val="nil"/>
              <w:left w:val="nil"/>
              <w:bottom w:val="nil"/>
              <w:right w:val="nil"/>
            </w:tcBorders>
            <w:shd w:val="clear" w:color="000000" w:fill="FFFFE1"/>
            <w:noWrap/>
            <w:vAlign w:val="center"/>
            <w:hideMark/>
          </w:tcPr>
          <w:p w:rsidR="00137149" w:rsidRDefault="00137149">
            <w:pPr>
              <w:jc w:val="center"/>
              <w:rPr>
                <w:rFonts w:ascii="Arial" w:hAnsi="Arial" w:cs="Arial"/>
                <w:b/>
                <w:bCs/>
                <w:color w:val="000000"/>
                <w:sz w:val="16"/>
                <w:szCs w:val="16"/>
              </w:rPr>
            </w:pPr>
            <w:r>
              <w:rPr>
                <w:rFonts w:ascii="Arial" w:hAnsi="Arial" w:cs="Arial"/>
                <w:b/>
                <w:bCs/>
                <w:color w:val="000000"/>
                <w:sz w:val="16"/>
                <w:szCs w:val="16"/>
              </w:rPr>
              <w:t>.</w:t>
            </w:r>
          </w:p>
        </w:tc>
        <w:tc>
          <w:tcPr>
            <w:tcW w:w="1132" w:type="dxa"/>
            <w:tcBorders>
              <w:top w:val="nil"/>
              <w:left w:val="nil"/>
              <w:bottom w:val="nil"/>
              <w:right w:val="nil"/>
            </w:tcBorders>
            <w:shd w:val="clear" w:color="000000" w:fill="FFFFE1"/>
            <w:noWrap/>
            <w:vAlign w:val="center"/>
            <w:hideMark/>
          </w:tcPr>
          <w:p w:rsidR="00137149" w:rsidRDefault="00137149">
            <w:pPr>
              <w:jc w:val="center"/>
              <w:rPr>
                <w:rFonts w:ascii="Arial" w:hAnsi="Arial" w:cs="Arial"/>
                <w:b/>
                <w:bCs/>
                <w:color w:val="000000"/>
                <w:sz w:val="16"/>
                <w:szCs w:val="16"/>
              </w:rPr>
            </w:pPr>
            <w:r>
              <w:rPr>
                <w:rFonts w:ascii="Arial" w:hAnsi="Arial" w:cs="Arial"/>
                <w:b/>
                <w:bCs/>
                <w:color w:val="000000"/>
                <w:sz w:val="16"/>
                <w:szCs w:val="16"/>
              </w:rPr>
              <w:t>.</w:t>
            </w:r>
          </w:p>
        </w:tc>
        <w:tc>
          <w:tcPr>
            <w:tcW w:w="723" w:type="dxa"/>
            <w:tcBorders>
              <w:top w:val="nil"/>
              <w:left w:val="nil"/>
              <w:bottom w:val="nil"/>
              <w:right w:val="nil"/>
            </w:tcBorders>
            <w:shd w:val="clear" w:color="000000" w:fill="FFFFE1"/>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0</w:t>
            </w:r>
          </w:p>
        </w:tc>
        <w:tc>
          <w:tcPr>
            <w:tcW w:w="919" w:type="dxa"/>
            <w:tcBorders>
              <w:top w:val="nil"/>
              <w:left w:val="nil"/>
              <w:bottom w:val="nil"/>
              <w:right w:val="single" w:sz="8" w:space="0" w:color="009900"/>
            </w:tcBorders>
            <w:shd w:val="clear" w:color="000000" w:fill="FFFFE1"/>
            <w:noWrap/>
            <w:vAlign w:val="center"/>
            <w:hideMark/>
          </w:tcPr>
          <w:p w:rsidR="00137149" w:rsidRDefault="00137149">
            <w:pPr>
              <w:jc w:val="center"/>
              <w:rPr>
                <w:rFonts w:ascii="Arial" w:hAnsi="Arial" w:cs="Arial"/>
                <w:b/>
                <w:bCs/>
                <w:color w:val="000000"/>
                <w:sz w:val="16"/>
                <w:szCs w:val="16"/>
              </w:rPr>
            </w:pPr>
            <w:r>
              <w:rPr>
                <w:rFonts w:ascii="Arial" w:hAnsi="Arial" w:cs="Arial"/>
                <w:b/>
                <w:bCs/>
                <w:color w:val="000000"/>
                <w:sz w:val="16"/>
                <w:szCs w:val="16"/>
              </w:rPr>
              <w:t>.</w:t>
            </w:r>
          </w:p>
        </w:tc>
      </w:tr>
      <w:tr w:rsidR="00137149" w:rsidTr="00542F38">
        <w:trPr>
          <w:trHeight w:val="240"/>
          <w:jc w:val="center"/>
        </w:trPr>
        <w:tc>
          <w:tcPr>
            <w:tcW w:w="2135" w:type="dxa"/>
            <w:tcBorders>
              <w:top w:val="nil"/>
              <w:left w:val="single" w:sz="8" w:space="0" w:color="009900"/>
              <w:bottom w:val="nil"/>
              <w:right w:val="nil"/>
            </w:tcBorders>
            <w:shd w:val="clear" w:color="000000" w:fill="FFFFE1"/>
            <w:noWrap/>
            <w:vAlign w:val="center"/>
            <w:hideMark/>
          </w:tcPr>
          <w:p w:rsidR="00137149" w:rsidRDefault="00542F38" w:rsidP="00542F38">
            <w:pPr>
              <w:ind w:firstLineChars="200" w:firstLine="320"/>
              <w:jc w:val="right"/>
              <w:rPr>
                <w:rFonts w:ascii="Arial" w:hAnsi="Arial" w:cs="Arial"/>
                <w:color w:val="000000"/>
                <w:sz w:val="16"/>
                <w:szCs w:val="16"/>
              </w:rPr>
            </w:pPr>
            <w:r>
              <w:rPr>
                <w:rFonts w:ascii="Arial" w:hAnsi="Arial" w:cs="Arial"/>
                <w:color w:val="000000"/>
                <w:sz w:val="16"/>
                <w:szCs w:val="16"/>
              </w:rPr>
              <w:t>Permanent Supportive Housing</w:t>
            </w:r>
          </w:p>
        </w:tc>
        <w:tc>
          <w:tcPr>
            <w:tcW w:w="1203" w:type="dxa"/>
            <w:tcBorders>
              <w:top w:val="nil"/>
              <w:left w:val="nil"/>
              <w:bottom w:val="nil"/>
              <w:right w:val="nil"/>
            </w:tcBorders>
            <w:shd w:val="clear" w:color="000000" w:fill="FFFFE1"/>
            <w:noWrap/>
            <w:vAlign w:val="center"/>
            <w:hideMark/>
          </w:tcPr>
          <w:p w:rsidR="00137149" w:rsidRDefault="00542F38">
            <w:pPr>
              <w:jc w:val="center"/>
              <w:rPr>
                <w:rFonts w:ascii="Arial" w:hAnsi="Arial" w:cs="Arial"/>
                <w:color w:val="000000"/>
                <w:sz w:val="16"/>
                <w:szCs w:val="16"/>
              </w:rPr>
            </w:pPr>
            <w:r>
              <w:rPr>
                <w:rFonts w:ascii="Arial" w:hAnsi="Arial" w:cs="Arial"/>
                <w:color w:val="000000"/>
                <w:sz w:val="16"/>
                <w:szCs w:val="16"/>
              </w:rPr>
              <w:t xml:space="preserve"> </w:t>
            </w:r>
          </w:p>
        </w:tc>
        <w:tc>
          <w:tcPr>
            <w:tcW w:w="1178" w:type="dxa"/>
            <w:tcBorders>
              <w:top w:val="nil"/>
              <w:left w:val="nil"/>
              <w:bottom w:val="nil"/>
              <w:right w:val="nil"/>
            </w:tcBorders>
            <w:shd w:val="clear" w:color="000000" w:fill="FFFFE1"/>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10</w:t>
            </w:r>
          </w:p>
        </w:tc>
        <w:tc>
          <w:tcPr>
            <w:tcW w:w="1132" w:type="dxa"/>
            <w:tcBorders>
              <w:top w:val="nil"/>
              <w:left w:val="nil"/>
              <w:bottom w:val="nil"/>
              <w:right w:val="nil"/>
            </w:tcBorders>
            <w:shd w:val="clear" w:color="000000" w:fill="FFFFE1"/>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272</w:t>
            </w:r>
          </w:p>
        </w:tc>
        <w:tc>
          <w:tcPr>
            <w:tcW w:w="1132" w:type="dxa"/>
            <w:tcBorders>
              <w:top w:val="nil"/>
              <w:left w:val="nil"/>
              <w:bottom w:val="nil"/>
              <w:right w:val="nil"/>
            </w:tcBorders>
            <w:shd w:val="clear" w:color="000000" w:fill="FFFFE1"/>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0</w:t>
            </w:r>
          </w:p>
        </w:tc>
        <w:tc>
          <w:tcPr>
            <w:tcW w:w="1132" w:type="dxa"/>
            <w:tcBorders>
              <w:top w:val="nil"/>
              <w:left w:val="nil"/>
              <w:bottom w:val="nil"/>
              <w:right w:val="nil"/>
            </w:tcBorders>
            <w:shd w:val="clear" w:color="000000" w:fill="FFFFE1"/>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6</w:t>
            </w:r>
          </w:p>
        </w:tc>
        <w:tc>
          <w:tcPr>
            <w:tcW w:w="723" w:type="dxa"/>
            <w:tcBorders>
              <w:top w:val="nil"/>
              <w:left w:val="nil"/>
              <w:bottom w:val="nil"/>
              <w:right w:val="nil"/>
            </w:tcBorders>
            <w:shd w:val="clear" w:color="000000" w:fill="FFFFE1"/>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295</w:t>
            </w:r>
          </w:p>
        </w:tc>
        <w:tc>
          <w:tcPr>
            <w:tcW w:w="919" w:type="dxa"/>
            <w:tcBorders>
              <w:top w:val="nil"/>
              <w:left w:val="nil"/>
              <w:bottom w:val="nil"/>
              <w:right w:val="single" w:sz="8" w:space="0" w:color="009900"/>
            </w:tcBorders>
            <w:shd w:val="clear" w:color="000000" w:fill="FFFFE1"/>
            <w:noWrap/>
            <w:vAlign w:val="center"/>
            <w:hideMark/>
          </w:tcPr>
          <w:p w:rsidR="00137149" w:rsidRDefault="00137149">
            <w:pPr>
              <w:jc w:val="center"/>
              <w:rPr>
                <w:rFonts w:ascii="Arial" w:hAnsi="Arial" w:cs="Arial"/>
                <w:b/>
                <w:bCs/>
                <w:color w:val="000000"/>
                <w:sz w:val="16"/>
                <w:szCs w:val="16"/>
              </w:rPr>
            </w:pPr>
            <w:r>
              <w:rPr>
                <w:rFonts w:ascii="Arial" w:hAnsi="Arial" w:cs="Arial"/>
                <w:b/>
                <w:bCs/>
                <w:color w:val="000000"/>
                <w:sz w:val="16"/>
                <w:szCs w:val="16"/>
              </w:rPr>
              <w:t>.</w:t>
            </w:r>
          </w:p>
        </w:tc>
      </w:tr>
      <w:tr w:rsidR="00137149" w:rsidTr="00542F38">
        <w:trPr>
          <w:trHeight w:val="240"/>
          <w:jc w:val="center"/>
        </w:trPr>
        <w:tc>
          <w:tcPr>
            <w:tcW w:w="2135" w:type="dxa"/>
            <w:tcBorders>
              <w:top w:val="single" w:sz="8" w:space="0" w:color="009900"/>
              <w:left w:val="single" w:sz="8" w:space="0" w:color="009900"/>
              <w:bottom w:val="dotted" w:sz="4" w:space="0" w:color="009900"/>
              <w:right w:val="nil"/>
            </w:tcBorders>
            <w:shd w:val="clear" w:color="000000" w:fill="FFFFE1"/>
            <w:noWrap/>
            <w:vAlign w:val="center"/>
            <w:hideMark/>
          </w:tcPr>
          <w:p w:rsidR="00137149" w:rsidRDefault="00137149">
            <w:pPr>
              <w:rPr>
                <w:rFonts w:ascii="Arial" w:hAnsi="Arial" w:cs="Arial"/>
                <w:color w:val="000000"/>
                <w:sz w:val="16"/>
                <w:szCs w:val="16"/>
              </w:rPr>
            </w:pPr>
            <w:r>
              <w:rPr>
                <w:rFonts w:ascii="Arial" w:hAnsi="Arial" w:cs="Arial"/>
                <w:color w:val="000000"/>
                <w:sz w:val="16"/>
                <w:szCs w:val="16"/>
              </w:rPr>
              <w:t>Balance of State CoC</w:t>
            </w:r>
          </w:p>
        </w:tc>
        <w:tc>
          <w:tcPr>
            <w:tcW w:w="1203" w:type="dxa"/>
            <w:tcBorders>
              <w:top w:val="single" w:sz="8" w:space="0" w:color="009900"/>
              <w:left w:val="nil"/>
              <w:bottom w:val="dotted" w:sz="4" w:space="0" w:color="009900"/>
              <w:right w:val="nil"/>
            </w:tcBorders>
            <w:shd w:val="clear" w:color="000000" w:fill="FFFFE1"/>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 </w:t>
            </w:r>
          </w:p>
        </w:tc>
        <w:tc>
          <w:tcPr>
            <w:tcW w:w="1178" w:type="dxa"/>
            <w:tcBorders>
              <w:top w:val="single" w:sz="8" w:space="0" w:color="009900"/>
              <w:left w:val="nil"/>
              <w:bottom w:val="dotted" w:sz="4" w:space="0" w:color="009900"/>
              <w:right w:val="nil"/>
            </w:tcBorders>
            <w:shd w:val="clear" w:color="000000" w:fill="FFFFE1"/>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 </w:t>
            </w:r>
          </w:p>
        </w:tc>
        <w:tc>
          <w:tcPr>
            <w:tcW w:w="1132" w:type="dxa"/>
            <w:tcBorders>
              <w:top w:val="single" w:sz="8" w:space="0" w:color="009900"/>
              <w:left w:val="nil"/>
              <w:bottom w:val="dotted" w:sz="4" w:space="0" w:color="009900"/>
              <w:right w:val="nil"/>
            </w:tcBorders>
            <w:shd w:val="clear" w:color="000000" w:fill="FFFFE1"/>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 </w:t>
            </w:r>
          </w:p>
        </w:tc>
        <w:tc>
          <w:tcPr>
            <w:tcW w:w="1132" w:type="dxa"/>
            <w:tcBorders>
              <w:top w:val="single" w:sz="8" w:space="0" w:color="009900"/>
              <w:left w:val="nil"/>
              <w:bottom w:val="dotted" w:sz="4" w:space="0" w:color="009900"/>
              <w:right w:val="nil"/>
            </w:tcBorders>
            <w:shd w:val="clear" w:color="000000" w:fill="FFFFE1"/>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 </w:t>
            </w:r>
          </w:p>
        </w:tc>
        <w:tc>
          <w:tcPr>
            <w:tcW w:w="1132" w:type="dxa"/>
            <w:tcBorders>
              <w:top w:val="single" w:sz="8" w:space="0" w:color="009900"/>
              <w:left w:val="nil"/>
              <w:bottom w:val="dotted" w:sz="4" w:space="0" w:color="009900"/>
              <w:right w:val="nil"/>
            </w:tcBorders>
            <w:shd w:val="clear" w:color="000000" w:fill="FFFFE1"/>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 </w:t>
            </w:r>
          </w:p>
        </w:tc>
        <w:tc>
          <w:tcPr>
            <w:tcW w:w="723" w:type="dxa"/>
            <w:tcBorders>
              <w:top w:val="single" w:sz="8" w:space="0" w:color="009900"/>
              <w:left w:val="nil"/>
              <w:bottom w:val="dotted" w:sz="4" w:space="0" w:color="009900"/>
              <w:right w:val="nil"/>
            </w:tcBorders>
            <w:shd w:val="clear" w:color="000000" w:fill="FFFFE1"/>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 </w:t>
            </w:r>
          </w:p>
        </w:tc>
        <w:tc>
          <w:tcPr>
            <w:tcW w:w="919" w:type="dxa"/>
            <w:tcBorders>
              <w:top w:val="single" w:sz="8" w:space="0" w:color="009900"/>
              <w:left w:val="nil"/>
              <w:bottom w:val="dotted" w:sz="4" w:space="0" w:color="009900"/>
              <w:right w:val="single" w:sz="8" w:space="0" w:color="009900"/>
            </w:tcBorders>
            <w:shd w:val="clear" w:color="000000" w:fill="FFFFE1"/>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 </w:t>
            </w:r>
          </w:p>
        </w:tc>
      </w:tr>
      <w:tr w:rsidR="00137149" w:rsidTr="00542F38">
        <w:trPr>
          <w:trHeight w:val="240"/>
          <w:jc w:val="center"/>
        </w:trPr>
        <w:tc>
          <w:tcPr>
            <w:tcW w:w="2135" w:type="dxa"/>
            <w:tcBorders>
              <w:top w:val="nil"/>
              <w:left w:val="single" w:sz="8" w:space="0" w:color="009900"/>
              <w:bottom w:val="nil"/>
              <w:right w:val="nil"/>
            </w:tcBorders>
            <w:shd w:val="clear" w:color="000000" w:fill="FFFFE1"/>
            <w:noWrap/>
            <w:vAlign w:val="center"/>
            <w:hideMark/>
          </w:tcPr>
          <w:p w:rsidR="00137149" w:rsidRDefault="00137149" w:rsidP="00542F38">
            <w:pPr>
              <w:ind w:firstLineChars="200" w:firstLine="320"/>
              <w:jc w:val="right"/>
              <w:rPr>
                <w:rFonts w:ascii="Arial" w:hAnsi="Arial" w:cs="Arial"/>
                <w:color w:val="000000"/>
                <w:sz w:val="16"/>
                <w:szCs w:val="16"/>
              </w:rPr>
            </w:pPr>
            <w:r>
              <w:rPr>
                <w:rFonts w:ascii="Arial" w:hAnsi="Arial" w:cs="Arial"/>
                <w:color w:val="000000"/>
                <w:sz w:val="16"/>
                <w:szCs w:val="16"/>
              </w:rPr>
              <w:t>Emergency Shelter</w:t>
            </w:r>
          </w:p>
        </w:tc>
        <w:tc>
          <w:tcPr>
            <w:tcW w:w="1203" w:type="dxa"/>
            <w:tcBorders>
              <w:top w:val="nil"/>
              <w:left w:val="nil"/>
              <w:bottom w:val="nil"/>
              <w:right w:val="nil"/>
            </w:tcBorders>
            <w:shd w:val="clear" w:color="000000" w:fill="FFFFE1"/>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0</w:t>
            </w:r>
          </w:p>
        </w:tc>
        <w:tc>
          <w:tcPr>
            <w:tcW w:w="1178" w:type="dxa"/>
            <w:tcBorders>
              <w:top w:val="nil"/>
              <w:left w:val="nil"/>
              <w:bottom w:val="nil"/>
              <w:right w:val="nil"/>
            </w:tcBorders>
            <w:shd w:val="clear" w:color="000000" w:fill="FFFFE1"/>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0</w:t>
            </w:r>
          </w:p>
        </w:tc>
        <w:tc>
          <w:tcPr>
            <w:tcW w:w="1132" w:type="dxa"/>
            <w:tcBorders>
              <w:top w:val="nil"/>
              <w:left w:val="nil"/>
              <w:bottom w:val="nil"/>
              <w:right w:val="nil"/>
            </w:tcBorders>
            <w:shd w:val="clear" w:color="000000" w:fill="FFFFE1"/>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0</w:t>
            </w:r>
          </w:p>
        </w:tc>
        <w:tc>
          <w:tcPr>
            <w:tcW w:w="1132" w:type="dxa"/>
            <w:tcBorders>
              <w:top w:val="nil"/>
              <w:left w:val="nil"/>
              <w:bottom w:val="nil"/>
              <w:right w:val="nil"/>
            </w:tcBorders>
            <w:shd w:val="clear" w:color="000000" w:fill="FFFFE1"/>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0</w:t>
            </w:r>
          </w:p>
        </w:tc>
        <w:tc>
          <w:tcPr>
            <w:tcW w:w="1132" w:type="dxa"/>
            <w:tcBorders>
              <w:top w:val="nil"/>
              <w:left w:val="nil"/>
              <w:bottom w:val="nil"/>
              <w:right w:val="nil"/>
            </w:tcBorders>
            <w:shd w:val="clear" w:color="000000" w:fill="FFFFE1"/>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0</w:t>
            </w:r>
          </w:p>
        </w:tc>
        <w:tc>
          <w:tcPr>
            <w:tcW w:w="723" w:type="dxa"/>
            <w:tcBorders>
              <w:top w:val="nil"/>
              <w:left w:val="nil"/>
              <w:bottom w:val="nil"/>
              <w:right w:val="nil"/>
            </w:tcBorders>
            <w:shd w:val="clear" w:color="000000" w:fill="FFFFE1"/>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0</w:t>
            </w:r>
          </w:p>
        </w:tc>
        <w:tc>
          <w:tcPr>
            <w:tcW w:w="919" w:type="dxa"/>
            <w:tcBorders>
              <w:top w:val="nil"/>
              <w:left w:val="nil"/>
              <w:bottom w:val="nil"/>
              <w:right w:val="single" w:sz="8" w:space="0" w:color="009900"/>
            </w:tcBorders>
            <w:shd w:val="clear" w:color="000000" w:fill="FFFFE1"/>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0</w:t>
            </w:r>
          </w:p>
        </w:tc>
      </w:tr>
      <w:tr w:rsidR="00137149" w:rsidTr="00542F38">
        <w:trPr>
          <w:trHeight w:val="240"/>
          <w:jc w:val="center"/>
        </w:trPr>
        <w:tc>
          <w:tcPr>
            <w:tcW w:w="2135" w:type="dxa"/>
            <w:tcBorders>
              <w:top w:val="nil"/>
              <w:left w:val="single" w:sz="8" w:space="0" w:color="009900"/>
              <w:bottom w:val="nil"/>
              <w:right w:val="nil"/>
            </w:tcBorders>
            <w:shd w:val="clear" w:color="000000" w:fill="FFFFE1"/>
            <w:noWrap/>
            <w:vAlign w:val="center"/>
            <w:hideMark/>
          </w:tcPr>
          <w:p w:rsidR="00137149" w:rsidRDefault="00137149" w:rsidP="00542F38">
            <w:pPr>
              <w:ind w:firstLineChars="200" w:firstLine="320"/>
              <w:jc w:val="right"/>
              <w:rPr>
                <w:rFonts w:ascii="Arial" w:hAnsi="Arial" w:cs="Arial"/>
                <w:color w:val="000000"/>
                <w:sz w:val="16"/>
                <w:szCs w:val="16"/>
              </w:rPr>
            </w:pPr>
            <w:r>
              <w:rPr>
                <w:rFonts w:ascii="Arial" w:hAnsi="Arial" w:cs="Arial"/>
                <w:color w:val="000000"/>
                <w:sz w:val="16"/>
                <w:szCs w:val="16"/>
              </w:rPr>
              <w:t>Transitional Housing</w:t>
            </w:r>
          </w:p>
        </w:tc>
        <w:tc>
          <w:tcPr>
            <w:tcW w:w="1203" w:type="dxa"/>
            <w:tcBorders>
              <w:top w:val="nil"/>
              <w:left w:val="nil"/>
              <w:bottom w:val="nil"/>
              <w:right w:val="nil"/>
            </w:tcBorders>
            <w:shd w:val="clear" w:color="000000" w:fill="FFFFE1"/>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0</w:t>
            </w:r>
          </w:p>
        </w:tc>
        <w:tc>
          <w:tcPr>
            <w:tcW w:w="1178" w:type="dxa"/>
            <w:tcBorders>
              <w:top w:val="nil"/>
              <w:left w:val="nil"/>
              <w:bottom w:val="nil"/>
              <w:right w:val="nil"/>
            </w:tcBorders>
            <w:shd w:val="clear" w:color="000000" w:fill="FFFFE1"/>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0</w:t>
            </w:r>
          </w:p>
        </w:tc>
        <w:tc>
          <w:tcPr>
            <w:tcW w:w="1132" w:type="dxa"/>
            <w:tcBorders>
              <w:top w:val="nil"/>
              <w:left w:val="nil"/>
              <w:bottom w:val="nil"/>
              <w:right w:val="nil"/>
            </w:tcBorders>
            <w:shd w:val="clear" w:color="000000" w:fill="FFFFE1"/>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0</w:t>
            </w:r>
          </w:p>
        </w:tc>
        <w:tc>
          <w:tcPr>
            <w:tcW w:w="1132" w:type="dxa"/>
            <w:tcBorders>
              <w:top w:val="nil"/>
              <w:left w:val="nil"/>
              <w:bottom w:val="nil"/>
              <w:right w:val="nil"/>
            </w:tcBorders>
            <w:shd w:val="clear" w:color="000000" w:fill="FFFFE1"/>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0</w:t>
            </w:r>
          </w:p>
        </w:tc>
        <w:tc>
          <w:tcPr>
            <w:tcW w:w="1132" w:type="dxa"/>
            <w:tcBorders>
              <w:top w:val="nil"/>
              <w:left w:val="nil"/>
              <w:bottom w:val="nil"/>
              <w:right w:val="nil"/>
            </w:tcBorders>
            <w:shd w:val="clear" w:color="000000" w:fill="FFFFE1"/>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0</w:t>
            </w:r>
          </w:p>
        </w:tc>
        <w:tc>
          <w:tcPr>
            <w:tcW w:w="723" w:type="dxa"/>
            <w:tcBorders>
              <w:top w:val="nil"/>
              <w:left w:val="nil"/>
              <w:bottom w:val="nil"/>
              <w:right w:val="nil"/>
            </w:tcBorders>
            <w:shd w:val="clear" w:color="000000" w:fill="FFFFE1"/>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0</w:t>
            </w:r>
          </w:p>
        </w:tc>
        <w:tc>
          <w:tcPr>
            <w:tcW w:w="919" w:type="dxa"/>
            <w:tcBorders>
              <w:top w:val="nil"/>
              <w:left w:val="nil"/>
              <w:bottom w:val="nil"/>
              <w:right w:val="single" w:sz="8" w:space="0" w:color="009900"/>
            </w:tcBorders>
            <w:shd w:val="clear" w:color="000000" w:fill="FFFFE1"/>
            <w:noWrap/>
            <w:vAlign w:val="center"/>
            <w:hideMark/>
          </w:tcPr>
          <w:p w:rsidR="00137149" w:rsidRDefault="00137149">
            <w:pPr>
              <w:jc w:val="center"/>
              <w:rPr>
                <w:rFonts w:ascii="Arial" w:hAnsi="Arial" w:cs="Arial"/>
                <w:b/>
                <w:bCs/>
                <w:color w:val="000000"/>
                <w:sz w:val="16"/>
                <w:szCs w:val="16"/>
              </w:rPr>
            </w:pPr>
            <w:r>
              <w:rPr>
                <w:rFonts w:ascii="Arial" w:hAnsi="Arial" w:cs="Arial"/>
                <w:b/>
                <w:bCs/>
                <w:color w:val="000000"/>
                <w:sz w:val="16"/>
                <w:szCs w:val="16"/>
              </w:rPr>
              <w:t>.</w:t>
            </w:r>
          </w:p>
        </w:tc>
      </w:tr>
      <w:tr w:rsidR="00137149" w:rsidTr="00542F38">
        <w:trPr>
          <w:trHeight w:val="240"/>
          <w:jc w:val="center"/>
        </w:trPr>
        <w:tc>
          <w:tcPr>
            <w:tcW w:w="2135" w:type="dxa"/>
            <w:tcBorders>
              <w:top w:val="nil"/>
              <w:left w:val="single" w:sz="8" w:space="0" w:color="009900"/>
              <w:bottom w:val="nil"/>
              <w:right w:val="nil"/>
            </w:tcBorders>
            <w:shd w:val="clear" w:color="000000" w:fill="FFFFE1"/>
            <w:noWrap/>
            <w:vAlign w:val="center"/>
            <w:hideMark/>
          </w:tcPr>
          <w:p w:rsidR="00137149" w:rsidRDefault="00137149" w:rsidP="00542F38">
            <w:pPr>
              <w:ind w:firstLineChars="200" w:firstLine="320"/>
              <w:jc w:val="right"/>
              <w:rPr>
                <w:rFonts w:ascii="Arial" w:hAnsi="Arial" w:cs="Arial"/>
                <w:color w:val="000000"/>
                <w:sz w:val="16"/>
                <w:szCs w:val="16"/>
              </w:rPr>
            </w:pPr>
            <w:r>
              <w:rPr>
                <w:rFonts w:ascii="Arial" w:hAnsi="Arial" w:cs="Arial"/>
                <w:color w:val="000000"/>
                <w:sz w:val="16"/>
                <w:szCs w:val="16"/>
              </w:rPr>
              <w:t>Safe Haven</w:t>
            </w:r>
          </w:p>
        </w:tc>
        <w:tc>
          <w:tcPr>
            <w:tcW w:w="1203" w:type="dxa"/>
            <w:tcBorders>
              <w:top w:val="nil"/>
              <w:left w:val="nil"/>
              <w:bottom w:val="nil"/>
              <w:right w:val="nil"/>
            </w:tcBorders>
            <w:shd w:val="clear" w:color="000000" w:fill="FFFFE1"/>
            <w:noWrap/>
            <w:vAlign w:val="center"/>
            <w:hideMark/>
          </w:tcPr>
          <w:p w:rsidR="00137149" w:rsidRDefault="00137149">
            <w:pPr>
              <w:jc w:val="center"/>
              <w:rPr>
                <w:rFonts w:ascii="Arial" w:hAnsi="Arial" w:cs="Arial"/>
                <w:b/>
                <w:bCs/>
                <w:color w:val="000000"/>
                <w:sz w:val="16"/>
                <w:szCs w:val="16"/>
              </w:rPr>
            </w:pPr>
            <w:r>
              <w:rPr>
                <w:rFonts w:ascii="Arial" w:hAnsi="Arial" w:cs="Arial"/>
                <w:b/>
                <w:bCs/>
                <w:color w:val="000000"/>
                <w:sz w:val="16"/>
                <w:szCs w:val="16"/>
              </w:rPr>
              <w:t>.</w:t>
            </w:r>
          </w:p>
        </w:tc>
        <w:tc>
          <w:tcPr>
            <w:tcW w:w="1178" w:type="dxa"/>
            <w:tcBorders>
              <w:top w:val="nil"/>
              <w:left w:val="nil"/>
              <w:bottom w:val="nil"/>
              <w:right w:val="nil"/>
            </w:tcBorders>
            <w:shd w:val="clear" w:color="000000" w:fill="FFFFE1"/>
            <w:noWrap/>
            <w:vAlign w:val="center"/>
            <w:hideMark/>
          </w:tcPr>
          <w:p w:rsidR="00137149" w:rsidRDefault="00137149">
            <w:pPr>
              <w:jc w:val="center"/>
              <w:rPr>
                <w:rFonts w:ascii="Arial" w:hAnsi="Arial" w:cs="Arial"/>
                <w:b/>
                <w:bCs/>
                <w:color w:val="000000"/>
                <w:sz w:val="16"/>
                <w:szCs w:val="16"/>
              </w:rPr>
            </w:pPr>
            <w:r>
              <w:rPr>
                <w:rFonts w:ascii="Arial" w:hAnsi="Arial" w:cs="Arial"/>
                <w:b/>
                <w:bCs/>
                <w:color w:val="000000"/>
                <w:sz w:val="16"/>
                <w:szCs w:val="16"/>
              </w:rPr>
              <w:t>.</w:t>
            </w:r>
          </w:p>
        </w:tc>
        <w:tc>
          <w:tcPr>
            <w:tcW w:w="1132" w:type="dxa"/>
            <w:tcBorders>
              <w:top w:val="nil"/>
              <w:left w:val="nil"/>
              <w:bottom w:val="nil"/>
              <w:right w:val="nil"/>
            </w:tcBorders>
            <w:shd w:val="clear" w:color="000000" w:fill="FFFFE1"/>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0</w:t>
            </w:r>
          </w:p>
        </w:tc>
        <w:tc>
          <w:tcPr>
            <w:tcW w:w="1132" w:type="dxa"/>
            <w:tcBorders>
              <w:top w:val="nil"/>
              <w:left w:val="nil"/>
              <w:bottom w:val="nil"/>
              <w:right w:val="nil"/>
            </w:tcBorders>
            <w:shd w:val="clear" w:color="000000" w:fill="FFFFE1"/>
            <w:noWrap/>
            <w:vAlign w:val="center"/>
            <w:hideMark/>
          </w:tcPr>
          <w:p w:rsidR="00137149" w:rsidRDefault="00137149">
            <w:pPr>
              <w:jc w:val="center"/>
              <w:rPr>
                <w:rFonts w:ascii="Arial" w:hAnsi="Arial" w:cs="Arial"/>
                <w:b/>
                <w:bCs/>
                <w:color w:val="000000"/>
                <w:sz w:val="16"/>
                <w:szCs w:val="16"/>
              </w:rPr>
            </w:pPr>
            <w:r>
              <w:rPr>
                <w:rFonts w:ascii="Arial" w:hAnsi="Arial" w:cs="Arial"/>
                <w:b/>
                <w:bCs/>
                <w:color w:val="000000"/>
                <w:sz w:val="16"/>
                <w:szCs w:val="16"/>
              </w:rPr>
              <w:t>.</w:t>
            </w:r>
          </w:p>
        </w:tc>
        <w:tc>
          <w:tcPr>
            <w:tcW w:w="1132" w:type="dxa"/>
            <w:tcBorders>
              <w:top w:val="nil"/>
              <w:left w:val="nil"/>
              <w:bottom w:val="nil"/>
              <w:right w:val="nil"/>
            </w:tcBorders>
            <w:shd w:val="clear" w:color="000000" w:fill="FFFFE1"/>
            <w:noWrap/>
            <w:vAlign w:val="center"/>
            <w:hideMark/>
          </w:tcPr>
          <w:p w:rsidR="00137149" w:rsidRDefault="00137149">
            <w:pPr>
              <w:jc w:val="center"/>
              <w:rPr>
                <w:rFonts w:ascii="Arial" w:hAnsi="Arial" w:cs="Arial"/>
                <w:b/>
                <w:bCs/>
                <w:color w:val="000000"/>
                <w:sz w:val="16"/>
                <w:szCs w:val="16"/>
              </w:rPr>
            </w:pPr>
            <w:r>
              <w:rPr>
                <w:rFonts w:ascii="Arial" w:hAnsi="Arial" w:cs="Arial"/>
                <w:b/>
                <w:bCs/>
                <w:color w:val="000000"/>
                <w:sz w:val="16"/>
                <w:szCs w:val="16"/>
              </w:rPr>
              <w:t>.</w:t>
            </w:r>
          </w:p>
        </w:tc>
        <w:tc>
          <w:tcPr>
            <w:tcW w:w="723" w:type="dxa"/>
            <w:tcBorders>
              <w:top w:val="nil"/>
              <w:left w:val="nil"/>
              <w:bottom w:val="nil"/>
              <w:right w:val="nil"/>
            </w:tcBorders>
            <w:shd w:val="clear" w:color="000000" w:fill="FFFFE1"/>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0</w:t>
            </w:r>
          </w:p>
        </w:tc>
        <w:tc>
          <w:tcPr>
            <w:tcW w:w="919" w:type="dxa"/>
            <w:tcBorders>
              <w:top w:val="nil"/>
              <w:left w:val="nil"/>
              <w:bottom w:val="nil"/>
              <w:right w:val="single" w:sz="8" w:space="0" w:color="009900"/>
            </w:tcBorders>
            <w:shd w:val="clear" w:color="000000" w:fill="FFFFE1"/>
            <w:noWrap/>
            <w:vAlign w:val="center"/>
            <w:hideMark/>
          </w:tcPr>
          <w:p w:rsidR="00137149" w:rsidRDefault="00137149">
            <w:pPr>
              <w:jc w:val="center"/>
              <w:rPr>
                <w:rFonts w:ascii="Arial" w:hAnsi="Arial" w:cs="Arial"/>
                <w:b/>
                <w:bCs/>
                <w:color w:val="000000"/>
                <w:sz w:val="16"/>
                <w:szCs w:val="16"/>
              </w:rPr>
            </w:pPr>
            <w:r>
              <w:rPr>
                <w:rFonts w:ascii="Arial" w:hAnsi="Arial" w:cs="Arial"/>
                <w:b/>
                <w:bCs/>
                <w:color w:val="000000"/>
                <w:sz w:val="16"/>
                <w:szCs w:val="16"/>
              </w:rPr>
              <w:t>.</w:t>
            </w:r>
          </w:p>
        </w:tc>
      </w:tr>
      <w:tr w:rsidR="00137149" w:rsidTr="00542F38">
        <w:trPr>
          <w:trHeight w:val="240"/>
          <w:jc w:val="center"/>
        </w:trPr>
        <w:tc>
          <w:tcPr>
            <w:tcW w:w="2135" w:type="dxa"/>
            <w:tcBorders>
              <w:top w:val="nil"/>
              <w:left w:val="single" w:sz="8" w:space="0" w:color="009900"/>
              <w:bottom w:val="single" w:sz="8" w:space="0" w:color="009900"/>
              <w:right w:val="nil"/>
            </w:tcBorders>
            <w:shd w:val="clear" w:color="000000" w:fill="FFFFE1"/>
            <w:noWrap/>
            <w:vAlign w:val="center"/>
            <w:hideMark/>
          </w:tcPr>
          <w:p w:rsidR="00137149" w:rsidRDefault="00137149" w:rsidP="00542F38">
            <w:pPr>
              <w:ind w:firstLineChars="200" w:firstLine="320"/>
              <w:jc w:val="right"/>
              <w:rPr>
                <w:rFonts w:ascii="Arial" w:hAnsi="Arial" w:cs="Arial"/>
                <w:color w:val="000000"/>
                <w:sz w:val="16"/>
                <w:szCs w:val="16"/>
              </w:rPr>
            </w:pPr>
            <w:r>
              <w:rPr>
                <w:rFonts w:ascii="Arial" w:hAnsi="Arial" w:cs="Arial"/>
                <w:color w:val="000000"/>
                <w:sz w:val="16"/>
                <w:szCs w:val="16"/>
              </w:rPr>
              <w:t>Permanent Supportive Housing</w:t>
            </w:r>
          </w:p>
        </w:tc>
        <w:tc>
          <w:tcPr>
            <w:tcW w:w="1203" w:type="dxa"/>
            <w:tcBorders>
              <w:top w:val="nil"/>
              <w:left w:val="nil"/>
              <w:bottom w:val="single" w:sz="8" w:space="0" w:color="009900"/>
              <w:right w:val="nil"/>
            </w:tcBorders>
            <w:shd w:val="clear" w:color="000000" w:fill="FFFFE1"/>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350</w:t>
            </w:r>
          </w:p>
        </w:tc>
        <w:tc>
          <w:tcPr>
            <w:tcW w:w="1178" w:type="dxa"/>
            <w:tcBorders>
              <w:top w:val="nil"/>
              <w:left w:val="nil"/>
              <w:bottom w:val="single" w:sz="8" w:space="0" w:color="009900"/>
              <w:right w:val="nil"/>
            </w:tcBorders>
            <w:shd w:val="clear" w:color="000000" w:fill="FFFFE1"/>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100</w:t>
            </w:r>
          </w:p>
        </w:tc>
        <w:tc>
          <w:tcPr>
            <w:tcW w:w="1132" w:type="dxa"/>
            <w:tcBorders>
              <w:top w:val="nil"/>
              <w:left w:val="nil"/>
              <w:bottom w:val="single" w:sz="8" w:space="0" w:color="009900"/>
              <w:right w:val="nil"/>
            </w:tcBorders>
            <w:shd w:val="clear" w:color="000000" w:fill="FFFFE1"/>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800</w:t>
            </w:r>
          </w:p>
        </w:tc>
        <w:tc>
          <w:tcPr>
            <w:tcW w:w="1132" w:type="dxa"/>
            <w:tcBorders>
              <w:top w:val="nil"/>
              <w:left w:val="nil"/>
              <w:bottom w:val="single" w:sz="8" w:space="0" w:color="009900"/>
              <w:right w:val="nil"/>
            </w:tcBorders>
            <w:shd w:val="clear" w:color="000000" w:fill="FFFFE1"/>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60</w:t>
            </w:r>
          </w:p>
        </w:tc>
        <w:tc>
          <w:tcPr>
            <w:tcW w:w="1132" w:type="dxa"/>
            <w:tcBorders>
              <w:top w:val="nil"/>
              <w:left w:val="nil"/>
              <w:bottom w:val="single" w:sz="8" w:space="0" w:color="009900"/>
              <w:right w:val="nil"/>
            </w:tcBorders>
            <w:shd w:val="clear" w:color="000000" w:fill="FFFFE1"/>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60</w:t>
            </w:r>
          </w:p>
        </w:tc>
        <w:tc>
          <w:tcPr>
            <w:tcW w:w="723" w:type="dxa"/>
            <w:tcBorders>
              <w:top w:val="nil"/>
              <w:left w:val="nil"/>
              <w:bottom w:val="single" w:sz="8" w:space="0" w:color="009900"/>
              <w:right w:val="nil"/>
            </w:tcBorders>
            <w:shd w:val="clear" w:color="000000" w:fill="FFFFE1"/>
            <w:noWrap/>
            <w:vAlign w:val="center"/>
            <w:hideMark/>
          </w:tcPr>
          <w:p w:rsidR="00137149" w:rsidRDefault="00137149">
            <w:pPr>
              <w:jc w:val="center"/>
              <w:rPr>
                <w:rFonts w:ascii="Arial" w:hAnsi="Arial" w:cs="Arial"/>
                <w:color w:val="000000"/>
                <w:sz w:val="16"/>
                <w:szCs w:val="16"/>
              </w:rPr>
            </w:pPr>
            <w:r>
              <w:rPr>
                <w:rFonts w:ascii="Arial" w:hAnsi="Arial" w:cs="Arial"/>
                <w:color w:val="000000"/>
                <w:sz w:val="16"/>
                <w:szCs w:val="16"/>
              </w:rPr>
              <w:t>1,210</w:t>
            </w:r>
          </w:p>
        </w:tc>
        <w:tc>
          <w:tcPr>
            <w:tcW w:w="919" w:type="dxa"/>
            <w:tcBorders>
              <w:top w:val="nil"/>
              <w:left w:val="nil"/>
              <w:bottom w:val="single" w:sz="8" w:space="0" w:color="009900"/>
              <w:right w:val="single" w:sz="8" w:space="0" w:color="009900"/>
            </w:tcBorders>
            <w:shd w:val="clear" w:color="000000" w:fill="FFFFE1"/>
            <w:noWrap/>
            <w:vAlign w:val="center"/>
            <w:hideMark/>
          </w:tcPr>
          <w:p w:rsidR="00137149" w:rsidRDefault="00137149">
            <w:pPr>
              <w:jc w:val="center"/>
              <w:rPr>
                <w:rFonts w:ascii="Arial" w:hAnsi="Arial" w:cs="Arial"/>
                <w:b/>
                <w:bCs/>
                <w:color w:val="000000"/>
                <w:sz w:val="16"/>
                <w:szCs w:val="16"/>
              </w:rPr>
            </w:pPr>
            <w:r>
              <w:rPr>
                <w:rFonts w:ascii="Arial" w:hAnsi="Arial" w:cs="Arial"/>
                <w:b/>
                <w:bCs/>
                <w:color w:val="000000"/>
                <w:sz w:val="16"/>
                <w:szCs w:val="16"/>
              </w:rPr>
              <w:t>.</w:t>
            </w:r>
          </w:p>
        </w:tc>
      </w:tr>
    </w:tbl>
    <w:p w:rsidR="003C459D" w:rsidRPr="00542F38" w:rsidRDefault="003C459D" w:rsidP="003C459D">
      <w:pPr>
        <w:tabs>
          <w:tab w:val="left" w:pos="540"/>
        </w:tabs>
        <w:jc w:val="both"/>
        <w:rPr>
          <w:rFonts w:ascii="CG Omega" w:hAnsi="CG Omega"/>
        </w:rPr>
      </w:pPr>
    </w:p>
    <w:p w:rsidR="003C459D" w:rsidRPr="00542F38" w:rsidRDefault="003C459D" w:rsidP="003C459D">
      <w:pPr>
        <w:jc w:val="both"/>
        <w:rPr>
          <w:rFonts w:ascii="CG Omega" w:hAnsi="CG Omega" w:cs="Arial"/>
          <w:b/>
          <w:smallCaps/>
        </w:rPr>
      </w:pPr>
      <w:r w:rsidRPr="00542F38">
        <w:rPr>
          <w:rFonts w:ascii="CG Omega" w:hAnsi="CG Omega" w:cs="Arial"/>
          <w:b/>
          <w:smallCaps/>
        </w:rPr>
        <w:t>Services</w:t>
      </w:r>
    </w:p>
    <w:p w:rsidR="003C459D" w:rsidRPr="00542F38" w:rsidRDefault="003C459D" w:rsidP="003C459D">
      <w:pPr>
        <w:jc w:val="both"/>
        <w:rPr>
          <w:rFonts w:ascii="CG Omega" w:hAnsi="CG Omega" w:cs="Arial"/>
          <w:b/>
          <w:smallCaps/>
          <w:color w:val="333300"/>
        </w:rPr>
      </w:pPr>
    </w:p>
    <w:p w:rsidR="003C459D" w:rsidRPr="00542F38" w:rsidRDefault="003C459D" w:rsidP="003C459D">
      <w:pPr>
        <w:jc w:val="both"/>
        <w:rPr>
          <w:rFonts w:ascii="CG Omega" w:hAnsi="CG Omega"/>
        </w:rPr>
      </w:pPr>
      <w:r w:rsidRPr="00D87E90">
        <w:rPr>
          <w:rFonts w:ascii="CG Omega" w:hAnsi="CG Omega"/>
        </w:rPr>
        <w:t xml:space="preserve">There are currently a number of organizations in the state of New Mexico that offer a variety of services to both aid those who have become homeless and to prevent persons from becoming homeless. A partial list of the organizations providing services to the homeless population is provided on the following page in </w:t>
      </w:r>
      <w:r w:rsidR="007410C7" w:rsidRPr="00542F38">
        <w:rPr>
          <w:rFonts w:ascii="CG Omega" w:hAnsi="CG Omega"/>
          <w:b/>
        </w:rPr>
        <w:t>Table V.1</w:t>
      </w:r>
      <w:r w:rsidR="000155B6" w:rsidRPr="00542F38">
        <w:rPr>
          <w:rFonts w:ascii="CG Omega" w:hAnsi="CG Omega"/>
          <w:b/>
        </w:rPr>
        <w:t>3</w:t>
      </w:r>
      <w:r w:rsidR="00542F38">
        <w:rPr>
          <w:rFonts w:ascii="CG Omega" w:hAnsi="CG Omega"/>
          <w:b/>
        </w:rPr>
        <w:t xml:space="preserve">, </w:t>
      </w:r>
      <w:r w:rsidR="00542F38">
        <w:rPr>
          <w:rFonts w:ascii="CG Omega" w:hAnsi="CG Omega"/>
        </w:rPr>
        <w:t>on the following page</w:t>
      </w:r>
      <w:r w:rsidRPr="00D87E90">
        <w:rPr>
          <w:rFonts w:ascii="CG Omega" w:hAnsi="CG Omega"/>
        </w:rPr>
        <w:t xml:space="preserve">. Services to aid the homeless include: health clinics, housing referrals, addiction aid, employment readiness skills training, domestic/sexual abuse support, and veteran support. </w:t>
      </w:r>
    </w:p>
    <w:p w:rsidR="009547F1" w:rsidRPr="00542F38" w:rsidRDefault="009547F1" w:rsidP="009547F1">
      <w:pPr>
        <w:jc w:val="both"/>
        <w:rPr>
          <w:rFonts w:ascii="CG Omega" w:hAnsi="CG Omega"/>
          <w:highlight w:val="yellow"/>
        </w:rPr>
      </w:pPr>
      <w:r w:rsidRPr="00542F38">
        <w:rPr>
          <w:rFonts w:ascii="CG Omega" w:hAnsi="CG Omega"/>
          <w:highlight w:val="yellow"/>
        </w:rPr>
        <w:br w:type="page"/>
      </w:r>
    </w:p>
    <w:tbl>
      <w:tblPr>
        <w:tblW w:w="5780" w:type="dxa"/>
        <w:jc w:val="center"/>
        <w:tblLook w:val="04A0" w:firstRow="1" w:lastRow="0" w:firstColumn="1" w:lastColumn="0" w:noHBand="0" w:noVBand="1"/>
      </w:tblPr>
      <w:tblGrid>
        <w:gridCol w:w="4725"/>
        <w:gridCol w:w="1124"/>
      </w:tblGrid>
      <w:tr w:rsidR="003C62A4" w:rsidTr="003C62A4">
        <w:trPr>
          <w:trHeight w:val="255"/>
          <w:jc w:val="center"/>
        </w:trPr>
        <w:tc>
          <w:tcPr>
            <w:tcW w:w="5780" w:type="dxa"/>
            <w:gridSpan w:val="2"/>
            <w:tcBorders>
              <w:top w:val="single" w:sz="8" w:space="0" w:color="009900"/>
              <w:left w:val="single" w:sz="8" w:space="0" w:color="009900"/>
              <w:bottom w:val="nil"/>
              <w:right w:val="single" w:sz="8" w:space="0" w:color="009900"/>
            </w:tcBorders>
            <w:shd w:val="clear" w:color="000000" w:fill="FFFFE1"/>
            <w:noWrap/>
            <w:vAlign w:val="center"/>
            <w:hideMark/>
          </w:tcPr>
          <w:p w:rsidR="003C62A4" w:rsidRDefault="003C62A4">
            <w:pPr>
              <w:jc w:val="center"/>
              <w:rPr>
                <w:rFonts w:ascii="Arial" w:hAnsi="Arial" w:cs="Arial"/>
                <w:b/>
                <w:bCs/>
                <w:color w:val="000000"/>
                <w:sz w:val="23"/>
                <w:szCs w:val="23"/>
              </w:rPr>
            </w:pPr>
            <w:r>
              <w:rPr>
                <w:rFonts w:ascii="Arial" w:hAnsi="Arial" w:cs="Arial"/>
                <w:b/>
                <w:bCs/>
                <w:color w:val="000000"/>
                <w:sz w:val="23"/>
                <w:szCs w:val="23"/>
              </w:rPr>
              <w:t>Table V.13</w:t>
            </w:r>
          </w:p>
        </w:tc>
      </w:tr>
      <w:tr w:rsidR="003C62A4" w:rsidTr="003C62A4">
        <w:trPr>
          <w:trHeight w:val="300"/>
          <w:jc w:val="center"/>
        </w:trPr>
        <w:tc>
          <w:tcPr>
            <w:tcW w:w="5780" w:type="dxa"/>
            <w:gridSpan w:val="2"/>
            <w:tcBorders>
              <w:top w:val="nil"/>
              <w:left w:val="single" w:sz="8" w:space="0" w:color="009900"/>
              <w:bottom w:val="nil"/>
              <w:right w:val="single" w:sz="8" w:space="0" w:color="009900"/>
            </w:tcBorders>
            <w:shd w:val="clear" w:color="000000" w:fill="FFFFE1"/>
            <w:noWrap/>
            <w:vAlign w:val="center"/>
            <w:hideMark/>
          </w:tcPr>
          <w:p w:rsidR="003C62A4" w:rsidRDefault="003C62A4">
            <w:pPr>
              <w:jc w:val="center"/>
              <w:rPr>
                <w:rFonts w:ascii="Arial" w:hAnsi="Arial" w:cs="Arial"/>
                <w:b/>
                <w:bCs/>
                <w:color w:val="000000"/>
                <w:sz w:val="20"/>
                <w:szCs w:val="20"/>
              </w:rPr>
            </w:pPr>
            <w:r>
              <w:rPr>
                <w:rFonts w:ascii="Arial" w:hAnsi="Arial" w:cs="Arial"/>
                <w:b/>
                <w:bCs/>
                <w:color w:val="000000"/>
                <w:sz w:val="20"/>
                <w:szCs w:val="20"/>
              </w:rPr>
              <w:t>Homeless Service Organizations in New Mexico</w:t>
            </w:r>
          </w:p>
        </w:tc>
      </w:tr>
      <w:tr w:rsidR="003C62A4" w:rsidTr="003C62A4">
        <w:trPr>
          <w:trHeight w:val="225"/>
          <w:jc w:val="center"/>
        </w:trPr>
        <w:tc>
          <w:tcPr>
            <w:tcW w:w="5780" w:type="dxa"/>
            <w:gridSpan w:val="2"/>
            <w:tcBorders>
              <w:top w:val="nil"/>
              <w:left w:val="single" w:sz="8" w:space="0" w:color="009900"/>
              <w:bottom w:val="nil"/>
              <w:right w:val="single" w:sz="8" w:space="0" w:color="009900"/>
            </w:tcBorders>
            <w:shd w:val="clear" w:color="000000" w:fill="FFFFE1"/>
            <w:noWrap/>
            <w:vAlign w:val="center"/>
            <w:hideMark/>
          </w:tcPr>
          <w:p w:rsidR="003C62A4" w:rsidRDefault="003C62A4" w:rsidP="009516ED">
            <w:pPr>
              <w:jc w:val="center"/>
              <w:rPr>
                <w:rFonts w:ascii="Arial" w:hAnsi="Arial" w:cs="Arial"/>
                <w:color w:val="000000"/>
                <w:sz w:val="16"/>
                <w:szCs w:val="16"/>
              </w:rPr>
            </w:pPr>
            <w:r>
              <w:rPr>
                <w:rFonts w:ascii="Arial" w:hAnsi="Arial" w:cs="Arial"/>
                <w:bCs/>
                <w:color w:val="000000"/>
                <w:sz w:val="16"/>
                <w:szCs w:val="16"/>
              </w:rPr>
              <w:t>State of New Mexico</w:t>
            </w:r>
          </w:p>
        </w:tc>
      </w:tr>
      <w:tr w:rsidR="003C62A4" w:rsidTr="003C62A4">
        <w:trPr>
          <w:trHeight w:val="225"/>
          <w:jc w:val="center"/>
        </w:trPr>
        <w:tc>
          <w:tcPr>
            <w:tcW w:w="5780" w:type="dxa"/>
            <w:gridSpan w:val="2"/>
            <w:tcBorders>
              <w:top w:val="nil"/>
              <w:left w:val="single" w:sz="8" w:space="0" w:color="009900"/>
              <w:bottom w:val="single" w:sz="8" w:space="0" w:color="009900"/>
              <w:right w:val="single" w:sz="8" w:space="0" w:color="009900"/>
            </w:tcBorders>
            <w:shd w:val="clear" w:color="000000" w:fill="FFFFE1"/>
            <w:noWrap/>
            <w:vAlign w:val="center"/>
            <w:hideMark/>
          </w:tcPr>
          <w:p w:rsidR="003C62A4" w:rsidRDefault="003C62A4">
            <w:pPr>
              <w:jc w:val="center"/>
              <w:rPr>
                <w:rFonts w:ascii="Arial" w:hAnsi="Arial" w:cs="Arial"/>
                <w:color w:val="000000"/>
                <w:sz w:val="16"/>
                <w:szCs w:val="16"/>
              </w:rPr>
            </w:pPr>
            <w:r>
              <w:rPr>
                <w:rFonts w:ascii="Arial" w:hAnsi="Arial" w:cs="Arial"/>
                <w:bCs/>
                <w:color w:val="000000"/>
                <w:sz w:val="16"/>
                <w:szCs w:val="16"/>
              </w:rPr>
              <w:t>MFA</w:t>
            </w:r>
          </w:p>
        </w:tc>
      </w:tr>
      <w:tr w:rsidR="003C62A4" w:rsidTr="003C62A4">
        <w:trPr>
          <w:trHeight w:val="315"/>
          <w:jc w:val="center"/>
        </w:trPr>
        <w:tc>
          <w:tcPr>
            <w:tcW w:w="4725" w:type="dxa"/>
            <w:tcBorders>
              <w:top w:val="nil"/>
              <w:left w:val="single" w:sz="8" w:space="0" w:color="009900"/>
              <w:bottom w:val="single" w:sz="8" w:space="0" w:color="009900"/>
              <w:right w:val="nil"/>
            </w:tcBorders>
            <w:shd w:val="clear" w:color="000000" w:fill="FFFFE1"/>
            <w:noWrap/>
            <w:vAlign w:val="center"/>
            <w:hideMark/>
          </w:tcPr>
          <w:p w:rsidR="003C62A4" w:rsidRDefault="003C62A4">
            <w:pPr>
              <w:rPr>
                <w:rFonts w:ascii="Arial" w:hAnsi="Arial" w:cs="Arial"/>
                <w:b/>
                <w:bCs/>
                <w:color w:val="000000"/>
                <w:sz w:val="16"/>
                <w:szCs w:val="16"/>
              </w:rPr>
            </w:pPr>
            <w:r>
              <w:rPr>
                <w:rFonts w:ascii="Arial" w:hAnsi="Arial" w:cs="Arial"/>
                <w:b/>
                <w:bCs/>
                <w:color w:val="000000"/>
                <w:sz w:val="16"/>
                <w:szCs w:val="16"/>
              </w:rPr>
              <w:t>Homeless Service Organization</w:t>
            </w:r>
          </w:p>
        </w:tc>
        <w:tc>
          <w:tcPr>
            <w:tcW w:w="1055" w:type="dxa"/>
            <w:tcBorders>
              <w:top w:val="nil"/>
              <w:left w:val="nil"/>
              <w:bottom w:val="single" w:sz="8" w:space="0" w:color="009900"/>
              <w:right w:val="single" w:sz="8" w:space="0" w:color="009900"/>
            </w:tcBorders>
            <w:shd w:val="clear" w:color="000000" w:fill="FFFFE1"/>
            <w:noWrap/>
            <w:vAlign w:val="center"/>
            <w:hideMark/>
          </w:tcPr>
          <w:p w:rsidR="003C62A4" w:rsidRDefault="003C62A4">
            <w:pPr>
              <w:rPr>
                <w:rFonts w:ascii="Arial" w:hAnsi="Arial" w:cs="Arial"/>
                <w:b/>
                <w:bCs/>
                <w:color w:val="000000"/>
                <w:sz w:val="16"/>
                <w:szCs w:val="16"/>
              </w:rPr>
            </w:pPr>
            <w:r>
              <w:rPr>
                <w:rFonts w:ascii="Arial" w:hAnsi="Arial" w:cs="Arial"/>
                <w:b/>
                <w:bCs/>
                <w:color w:val="000000"/>
                <w:sz w:val="16"/>
                <w:szCs w:val="16"/>
              </w:rPr>
              <w:t>City</w:t>
            </w:r>
          </w:p>
        </w:tc>
      </w:tr>
      <w:tr w:rsidR="003C62A4" w:rsidTr="003C62A4">
        <w:trPr>
          <w:trHeight w:val="315"/>
          <w:jc w:val="center"/>
        </w:trPr>
        <w:tc>
          <w:tcPr>
            <w:tcW w:w="4725" w:type="dxa"/>
            <w:tcBorders>
              <w:top w:val="nil"/>
              <w:left w:val="single" w:sz="8" w:space="0" w:color="009900"/>
              <w:bottom w:val="dashed" w:sz="8" w:space="0" w:color="009900"/>
              <w:right w:val="nil"/>
            </w:tcBorders>
            <w:shd w:val="clear" w:color="000000" w:fill="FFFFE1"/>
            <w:noWrap/>
            <w:vAlign w:val="center"/>
            <w:hideMark/>
          </w:tcPr>
          <w:p w:rsidR="003C62A4" w:rsidRPr="00A00EDA" w:rsidRDefault="003C62A4">
            <w:pPr>
              <w:rPr>
                <w:rFonts w:ascii="Arial" w:hAnsi="Arial" w:cs="Arial"/>
                <w:i/>
                <w:iCs/>
                <w:color w:val="000000"/>
                <w:sz w:val="16"/>
                <w:szCs w:val="16"/>
              </w:rPr>
            </w:pPr>
            <w:r w:rsidRPr="00A00EDA">
              <w:rPr>
                <w:rFonts w:ascii="Arial" w:hAnsi="Arial" w:cs="Arial"/>
                <w:i/>
                <w:iCs/>
                <w:color w:val="000000"/>
                <w:sz w:val="16"/>
                <w:szCs w:val="16"/>
              </w:rPr>
              <w:t>Albuquerque  CoC</w:t>
            </w:r>
          </w:p>
        </w:tc>
        <w:tc>
          <w:tcPr>
            <w:tcW w:w="1055" w:type="dxa"/>
            <w:tcBorders>
              <w:top w:val="nil"/>
              <w:left w:val="nil"/>
              <w:bottom w:val="dashed" w:sz="8" w:space="0" w:color="009900"/>
              <w:right w:val="single" w:sz="8" w:space="0" w:color="009900"/>
            </w:tcBorders>
            <w:shd w:val="clear" w:color="000000" w:fill="FFFFE1"/>
            <w:noWrap/>
            <w:vAlign w:val="center"/>
            <w:hideMark/>
          </w:tcPr>
          <w:p w:rsidR="003C62A4" w:rsidRPr="00A00EDA" w:rsidRDefault="003C62A4">
            <w:pPr>
              <w:rPr>
                <w:rFonts w:ascii="Arial" w:hAnsi="Arial" w:cs="Arial"/>
                <w:color w:val="000000"/>
                <w:sz w:val="16"/>
                <w:szCs w:val="16"/>
              </w:rPr>
            </w:pPr>
            <w:r w:rsidRPr="00A00EDA">
              <w:rPr>
                <w:rFonts w:ascii="Arial" w:hAnsi="Arial" w:cs="Arial"/>
                <w:color w:val="000000"/>
                <w:sz w:val="16"/>
                <w:szCs w:val="16"/>
              </w:rPr>
              <w:t> </w:t>
            </w:r>
          </w:p>
        </w:tc>
      </w:tr>
      <w:tr w:rsidR="003C62A4" w:rsidTr="003C62A4">
        <w:trPr>
          <w:trHeight w:val="240"/>
          <w:jc w:val="center"/>
        </w:trPr>
        <w:tc>
          <w:tcPr>
            <w:tcW w:w="4725" w:type="dxa"/>
            <w:tcBorders>
              <w:top w:val="nil"/>
              <w:left w:val="single" w:sz="8" w:space="0" w:color="009900"/>
              <w:bottom w:val="nil"/>
              <w:right w:val="nil"/>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 xml:space="preserve">Albuquerque Health Care for the Homeless, Inc. </w:t>
            </w:r>
          </w:p>
        </w:tc>
        <w:tc>
          <w:tcPr>
            <w:tcW w:w="1055" w:type="dxa"/>
            <w:tcBorders>
              <w:top w:val="nil"/>
              <w:left w:val="nil"/>
              <w:bottom w:val="nil"/>
              <w:right w:val="single" w:sz="8" w:space="0" w:color="009900"/>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Albuquerque</w:t>
            </w:r>
          </w:p>
        </w:tc>
      </w:tr>
      <w:tr w:rsidR="003C62A4" w:rsidTr="003C62A4">
        <w:trPr>
          <w:trHeight w:val="240"/>
          <w:jc w:val="center"/>
        </w:trPr>
        <w:tc>
          <w:tcPr>
            <w:tcW w:w="4725" w:type="dxa"/>
            <w:tcBorders>
              <w:top w:val="nil"/>
              <w:left w:val="single" w:sz="8" w:space="0" w:color="009900"/>
              <w:bottom w:val="nil"/>
              <w:right w:val="nil"/>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Barrett Foundation, Inc.</w:t>
            </w:r>
          </w:p>
        </w:tc>
        <w:tc>
          <w:tcPr>
            <w:tcW w:w="1055" w:type="dxa"/>
            <w:tcBorders>
              <w:top w:val="nil"/>
              <w:left w:val="nil"/>
              <w:bottom w:val="nil"/>
              <w:right w:val="single" w:sz="8" w:space="0" w:color="009900"/>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Albuquerque</w:t>
            </w:r>
          </w:p>
        </w:tc>
      </w:tr>
      <w:tr w:rsidR="003C62A4" w:rsidTr="003C62A4">
        <w:trPr>
          <w:trHeight w:val="240"/>
          <w:jc w:val="center"/>
        </w:trPr>
        <w:tc>
          <w:tcPr>
            <w:tcW w:w="4725" w:type="dxa"/>
            <w:tcBorders>
              <w:top w:val="nil"/>
              <w:left w:val="single" w:sz="8" w:space="0" w:color="009900"/>
              <w:bottom w:val="nil"/>
              <w:right w:val="nil"/>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Bernalillo County</w:t>
            </w:r>
          </w:p>
        </w:tc>
        <w:tc>
          <w:tcPr>
            <w:tcW w:w="1055" w:type="dxa"/>
            <w:tcBorders>
              <w:top w:val="nil"/>
              <w:left w:val="nil"/>
              <w:bottom w:val="nil"/>
              <w:right w:val="single" w:sz="8" w:space="0" w:color="009900"/>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Albuquerque</w:t>
            </w:r>
          </w:p>
        </w:tc>
      </w:tr>
      <w:tr w:rsidR="003C62A4" w:rsidTr="003C62A4">
        <w:trPr>
          <w:trHeight w:val="240"/>
          <w:jc w:val="center"/>
        </w:trPr>
        <w:tc>
          <w:tcPr>
            <w:tcW w:w="4725" w:type="dxa"/>
            <w:tcBorders>
              <w:top w:val="nil"/>
              <w:left w:val="single" w:sz="8" w:space="0" w:color="009900"/>
              <w:bottom w:val="nil"/>
              <w:right w:val="nil"/>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Catholic Charities</w:t>
            </w:r>
          </w:p>
        </w:tc>
        <w:tc>
          <w:tcPr>
            <w:tcW w:w="1055" w:type="dxa"/>
            <w:tcBorders>
              <w:top w:val="nil"/>
              <w:left w:val="nil"/>
              <w:bottom w:val="nil"/>
              <w:right w:val="single" w:sz="8" w:space="0" w:color="009900"/>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Albuquerque</w:t>
            </w:r>
          </w:p>
        </w:tc>
      </w:tr>
      <w:tr w:rsidR="003C62A4" w:rsidTr="003C62A4">
        <w:trPr>
          <w:trHeight w:val="240"/>
          <w:jc w:val="center"/>
        </w:trPr>
        <w:tc>
          <w:tcPr>
            <w:tcW w:w="4725" w:type="dxa"/>
            <w:tcBorders>
              <w:top w:val="nil"/>
              <w:left w:val="single" w:sz="8" w:space="0" w:color="009900"/>
              <w:bottom w:val="nil"/>
              <w:right w:val="nil"/>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Catholic Charities</w:t>
            </w:r>
          </w:p>
        </w:tc>
        <w:tc>
          <w:tcPr>
            <w:tcW w:w="1055" w:type="dxa"/>
            <w:tcBorders>
              <w:top w:val="nil"/>
              <w:left w:val="nil"/>
              <w:bottom w:val="nil"/>
              <w:right w:val="single" w:sz="8" w:space="0" w:color="009900"/>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Albuquerque</w:t>
            </w:r>
          </w:p>
        </w:tc>
      </w:tr>
      <w:tr w:rsidR="003C62A4" w:rsidTr="003C62A4">
        <w:trPr>
          <w:trHeight w:val="240"/>
          <w:jc w:val="center"/>
        </w:trPr>
        <w:tc>
          <w:tcPr>
            <w:tcW w:w="4725" w:type="dxa"/>
            <w:tcBorders>
              <w:top w:val="nil"/>
              <w:left w:val="single" w:sz="8" w:space="0" w:color="009900"/>
              <w:bottom w:val="nil"/>
              <w:right w:val="nil"/>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City of Albuquerque</w:t>
            </w:r>
          </w:p>
        </w:tc>
        <w:tc>
          <w:tcPr>
            <w:tcW w:w="1055" w:type="dxa"/>
            <w:tcBorders>
              <w:top w:val="nil"/>
              <w:left w:val="nil"/>
              <w:bottom w:val="nil"/>
              <w:right w:val="single" w:sz="8" w:space="0" w:color="009900"/>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Albuquerque</w:t>
            </w:r>
          </w:p>
        </w:tc>
      </w:tr>
      <w:tr w:rsidR="003C62A4" w:rsidTr="003C62A4">
        <w:trPr>
          <w:trHeight w:val="240"/>
          <w:jc w:val="center"/>
        </w:trPr>
        <w:tc>
          <w:tcPr>
            <w:tcW w:w="4725" w:type="dxa"/>
            <w:tcBorders>
              <w:top w:val="nil"/>
              <w:left w:val="single" w:sz="8" w:space="0" w:color="009900"/>
              <w:bottom w:val="nil"/>
              <w:right w:val="nil"/>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Crossroads for Women (formerly Human Rights Advocacy)</w:t>
            </w:r>
          </w:p>
        </w:tc>
        <w:tc>
          <w:tcPr>
            <w:tcW w:w="1055" w:type="dxa"/>
            <w:tcBorders>
              <w:top w:val="nil"/>
              <w:left w:val="nil"/>
              <w:bottom w:val="nil"/>
              <w:right w:val="single" w:sz="8" w:space="0" w:color="009900"/>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Albuquerque</w:t>
            </w:r>
          </w:p>
        </w:tc>
      </w:tr>
      <w:tr w:rsidR="003C62A4" w:rsidTr="003C62A4">
        <w:trPr>
          <w:trHeight w:val="240"/>
          <w:jc w:val="center"/>
        </w:trPr>
        <w:tc>
          <w:tcPr>
            <w:tcW w:w="4725" w:type="dxa"/>
            <w:tcBorders>
              <w:top w:val="nil"/>
              <w:left w:val="single" w:sz="8" w:space="0" w:color="009900"/>
              <w:bottom w:val="nil"/>
              <w:right w:val="nil"/>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NewLife Homes, Inc.</w:t>
            </w:r>
          </w:p>
        </w:tc>
        <w:tc>
          <w:tcPr>
            <w:tcW w:w="1055" w:type="dxa"/>
            <w:tcBorders>
              <w:top w:val="nil"/>
              <w:left w:val="nil"/>
              <w:bottom w:val="nil"/>
              <w:right w:val="single" w:sz="8" w:space="0" w:color="009900"/>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Albuquerque</w:t>
            </w:r>
          </w:p>
        </w:tc>
      </w:tr>
      <w:tr w:rsidR="003C62A4" w:rsidTr="003C62A4">
        <w:trPr>
          <w:trHeight w:val="240"/>
          <w:jc w:val="center"/>
        </w:trPr>
        <w:tc>
          <w:tcPr>
            <w:tcW w:w="4725" w:type="dxa"/>
            <w:tcBorders>
              <w:top w:val="nil"/>
              <w:left w:val="single" w:sz="8" w:space="0" w:color="009900"/>
              <w:bottom w:val="nil"/>
              <w:right w:val="nil"/>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S.A.F.E. House</w:t>
            </w:r>
          </w:p>
        </w:tc>
        <w:tc>
          <w:tcPr>
            <w:tcW w:w="1055" w:type="dxa"/>
            <w:tcBorders>
              <w:top w:val="nil"/>
              <w:left w:val="nil"/>
              <w:bottom w:val="nil"/>
              <w:right w:val="single" w:sz="8" w:space="0" w:color="009900"/>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Albuquerque</w:t>
            </w:r>
          </w:p>
        </w:tc>
      </w:tr>
      <w:tr w:rsidR="003C62A4" w:rsidTr="003C62A4">
        <w:trPr>
          <w:trHeight w:val="240"/>
          <w:jc w:val="center"/>
        </w:trPr>
        <w:tc>
          <w:tcPr>
            <w:tcW w:w="4725" w:type="dxa"/>
            <w:tcBorders>
              <w:top w:val="nil"/>
              <w:left w:val="single" w:sz="8" w:space="0" w:color="009900"/>
              <w:bottom w:val="nil"/>
              <w:right w:val="nil"/>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St. Martin's Hospitality Center</w:t>
            </w:r>
          </w:p>
        </w:tc>
        <w:tc>
          <w:tcPr>
            <w:tcW w:w="1055" w:type="dxa"/>
            <w:tcBorders>
              <w:top w:val="nil"/>
              <w:left w:val="nil"/>
              <w:bottom w:val="nil"/>
              <w:right w:val="single" w:sz="8" w:space="0" w:color="009900"/>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Albuquerque</w:t>
            </w:r>
          </w:p>
        </w:tc>
      </w:tr>
      <w:tr w:rsidR="003C62A4" w:rsidTr="003C62A4">
        <w:trPr>
          <w:trHeight w:val="240"/>
          <w:jc w:val="center"/>
        </w:trPr>
        <w:tc>
          <w:tcPr>
            <w:tcW w:w="4725" w:type="dxa"/>
            <w:tcBorders>
              <w:top w:val="nil"/>
              <w:left w:val="single" w:sz="8" w:space="0" w:color="009900"/>
              <w:bottom w:val="nil"/>
              <w:right w:val="nil"/>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Supportive Housing Coalition of New Mexico</w:t>
            </w:r>
          </w:p>
        </w:tc>
        <w:tc>
          <w:tcPr>
            <w:tcW w:w="1055" w:type="dxa"/>
            <w:tcBorders>
              <w:top w:val="nil"/>
              <w:left w:val="nil"/>
              <w:bottom w:val="nil"/>
              <w:right w:val="single" w:sz="8" w:space="0" w:color="009900"/>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Albuquerque</w:t>
            </w:r>
          </w:p>
        </w:tc>
      </w:tr>
      <w:tr w:rsidR="003C62A4" w:rsidTr="003C62A4">
        <w:trPr>
          <w:trHeight w:val="240"/>
          <w:jc w:val="center"/>
        </w:trPr>
        <w:tc>
          <w:tcPr>
            <w:tcW w:w="4725" w:type="dxa"/>
            <w:tcBorders>
              <w:top w:val="nil"/>
              <w:left w:val="single" w:sz="8" w:space="0" w:color="009900"/>
              <w:bottom w:val="nil"/>
              <w:right w:val="nil"/>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Supportive Housing Coalition of New Mexico</w:t>
            </w:r>
          </w:p>
        </w:tc>
        <w:tc>
          <w:tcPr>
            <w:tcW w:w="1055" w:type="dxa"/>
            <w:tcBorders>
              <w:top w:val="nil"/>
              <w:left w:val="nil"/>
              <w:bottom w:val="nil"/>
              <w:right w:val="single" w:sz="8" w:space="0" w:color="009900"/>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Albuquerque</w:t>
            </w:r>
          </w:p>
        </w:tc>
      </w:tr>
      <w:tr w:rsidR="003C62A4" w:rsidTr="003C62A4">
        <w:trPr>
          <w:trHeight w:val="240"/>
          <w:jc w:val="center"/>
        </w:trPr>
        <w:tc>
          <w:tcPr>
            <w:tcW w:w="4725" w:type="dxa"/>
            <w:tcBorders>
              <w:top w:val="nil"/>
              <w:left w:val="single" w:sz="8" w:space="0" w:color="009900"/>
              <w:bottom w:val="nil"/>
              <w:right w:val="nil"/>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Transitional Living Services, Inc.</w:t>
            </w:r>
          </w:p>
        </w:tc>
        <w:tc>
          <w:tcPr>
            <w:tcW w:w="1055" w:type="dxa"/>
            <w:tcBorders>
              <w:top w:val="nil"/>
              <w:left w:val="nil"/>
              <w:bottom w:val="nil"/>
              <w:right w:val="single" w:sz="8" w:space="0" w:color="009900"/>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Albuquerque</w:t>
            </w:r>
          </w:p>
        </w:tc>
      </w:tr>
      <w:tr w:rsidR="003C62A4" w:rsidTr="003C62A4">
        <w:trPr>
          <w:trHeight w:val="315"/>
          <w:jc w:val="center"/>
        </w:trPr>
        <w:tc>
          <w:tcPr>
            <w:tcW w:w="4725" w:type="dxa"/>
            <w:tcBorders>
              <w:top w:val="single" w:sz="8" w:space="0" w:color="009900"/>
              <w:left w:val="single" w:sz="8" w:space="0" w:color="009900"/>
              <w:bottom w:val="dashed" w:sz="8" w:space="0" w:color="009900"/>
              <w:right w:val="nil"/>
            </w:tcBorders>
            <w:shd w:val="clear" w:color="000000" w:fill="FFFFE1"/>
            <w:noWrap/>
            <w:vAlign w:val="center"/>
            <w:hideMark/>
          </w:tcPr>
          <w:p w:rsidR="003C62A4" w:rsidRPr="00A00EDA" w:rsidRDefault="003C62A4">
            <w:pPr>
              <w:rPr>
                <w:rFonts w:ascii="Arial" w:hAnsi="Arial" w:cs="Arial"/>
                <w:i/>
                <w:iCs/>
                <w:color w:val="000000"/>
                <w:sz w:val="16"/>
                <w:szCs w:val="16"/>
              </w:rPr>
            </w:pPr>
            <w:r w:rsidRPr="00A00EDA">
              <w:rPr>
                <w:rFonts w:ascii="Arial" w:hAnsi="Arial" w:cs="Arial"/>
                <w:i/>
                <w:iCs/>
                <w:color w:val="000000"/>
                <w:sz w:val="16"/>
                <w:szCs w:val="16"/>
              </w:rPr>
              <w:t>Balance of State CoC</w:t>
            </w:r>
          </w:p>
        </w:tc>
        <w:tc>
          <w:tcPr>
            <w:tcW w:w="1055" w:type="dxa"/>
            <w:tcBorders>
              <w:top w:val="single" w:sz="8" w:space="0" w:color="009900"/>
              <w:left w:val="nil"/>
              <w:bottom w:val="dashed" w:sz="8" w:space="0" w:color="009900"/>
              <w:right w:val="single" w:sz="8" w:space="0" w:color="009900"/>
            </w:tcBorders>
            <w:shd w:val="clear" w:color="000000" w:fill="FFFFE1"/>
            <w:noWrap/>
            <w:vAlign w:val="center"/>
            <w:hideMark/>
          </w:tcPr>
          <w:p w:rsidR="003C62A4" w:rsidRPr="00A00EDA" w:rsidRDefault="003C62A4">
            <w:pPr>
              <w:rPr>
                <w:rFonts w:ascii="Arial" w:hAnsi="Arial" w:cs="Arial"/>
                <w:color w:val="000000"/>
                <w:sz w:val="16"/>
                <w:szCs w:val="16"/>
              </w:rPr>
            </w:pPr>
            <w:r w:rsidRPr="00A00EDA">
              <w:rPr>
                <w:rFonts w:ascii="Arial" w:hAnsi="Arial" w:cs="Arial"/>
                <w:color w:val="000000"/>
                <w:sz w:val="16"/>
                <w:szCs w:val="16"/>
              </w:rPr>
              <w:t> </w:t>
            </w:r>
          </w:p>
        </w:tc>
      </w:tr>
      <w:tr w:rsidR="003C62A4" w:rsidTr="003C62A4">
        <w:trPr>
          <w:trHeight w:val="240"/>
          <w:jc w:val="center"/>
        </w:trPr>
        <w:tc>
          <w:tcPr>
            <w:tcW w:w="4725" w:type="dxa"/>
            <w:tcBorders>
              <w:top w:val="nil"/>
              <w:left w:val="single" w:sz="8" w:space="0" w:color="009900"/>
              <w:bottom w:val="nil"/>
              <w:right w:val="nil"/>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County of Sandoval</w:t>
            </w:r>
          </w:p>
        </w:tc>
        <w:tc>
          <w:tcPr>
            <w:tcW w:w="1055" w:type="dxa"/>
            <w:tcBorders>
              <w:top w:val="nil"/>
              <w:left w:val="nil"/>
              <w:bottom w:val="nil"/>
              <w:right w:val="single" w:sz="8" w:space="0" w:color="009900"/>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Bernalillo</w:t>
            </w:r>
          </w:p>
        </w:tc>
      </w:tr>
      <w:tr w:rsidR="003C62A4" w:rsidTr="003C62A4">
        <w:trPr>
          <w:trHeight w:val="240"/>
          <w:jc w:val="center"/>
        </w:trPr>
        <w:tc>
          <w:tcPr>
            <w:tcW w:w="4725" w:type="dxa"/>
            <w:tcBorders>
              <w:top w:val="nil"/>
              <w:left w:val="single" w:sz="8" w:space="0" w:color="009900"/>
              <w:bottom w:val="nil"/>
              <w:right w:val="nil"/>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San Juan County Partnership</w:t>
            </w:r>
          </w:p>
        </w:tc>
        <w:tc>
          <w:tcPr>
            <w:tcW w:w="1055" w:type="dxa"/>
            <w:tcBorders>
              <w:top w:val="nil"/>
              <w:left w:val="nil"/>
              <w:bottom w:val="nil"/>
              <w:right w:val="single" w:sz="8" w:space="0" w:color="009900"/>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Farmington</w:t>
            </w:r>
          </w:p>
        </w:tc>
      </w:tr>
      <w:tr w:rsidR="003C62A4" w:rsidTr="003C62A4">
        <w:trPr>
          <w:trHeight w:val="240"/>
          <w:jc w:val="center"/>
        </w:trPr>
        <w:tc>
          <w:tcPr>
            <w:tcW w:w="4725" w:type="dxa"/>
            <w:tcBorders>
              <w:top w:val="nil"/>
              <w:left w:val="single" w:sz="8" w:space="0" w:color="009900"/>
              <w:bottom w:val="nil"/>
              <w:right w:val="nil"/>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Supportive Housing Coalition of New Mexico</w:t>
            </w:r>
          </w:p>
        </w:tc>
        <w:tc>
          <w:tcPr>
            <w:tcW w:w="1055" w:type="dxa"/>
            <w:tcBorders>
              <w:top w:val="nil"/>
              <w:left w:val="nil"/>
              <w:bottom w:val="nil"/>
              <w:right w:val="single" w:sz="8" w:space="0" w:color="009900"/>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Gallup</w:t>
            </w:r>
          </w:p>
        </w:tc>
      </w:tr>
      <w:tr w:rsidR="003C62A4" w:rsidTr="003C62A4">
        <w:trPr>
          <w:trHeight w:val="240"/>
          <w:jc w:val="center"/>
        </w:trPr>
        <w:tc>
          <w:tcPr>
            <w:tcW w:w="4725" w:type="dxa"/>
            <w:tcBorders>
              <w:top w:val="nil"/>
              <w:left w:val="single" w:sz="8" w:space="0" w:color="009900"/>
              <w:bottom w:val="nil"/>
              <w:right w:val="nil"/>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Community Area Resource Enterprise</w:t>
            </w:r>
          </w:p>
        </w:tc>
        <w:tc>
          <w:tcPr>
            <w:tcW w:w="1055" w:type="dxa"/>
            <w:tcBorders>
              <w:top w:val="nil"/>
              <w:left w:val="nil"/>
              <w:bottom w:val="nil"/>
              <w:right w:val="single" w:sz="8" w:space="0" w:color="009900"/>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Gallup</w:t>
            </w:r>
          </w:p>
        </w:tc>
      </w:tr>
      <w:tr w:rsidR="003C62A4" w:rsidTr="003C62A4">
        <w:trPr>
          <w:trHeight w:val="240"/>
          <w:jc w:val="center"/>
        </w:trPr>
        <w:tc>
          <w:tcPr>
            <w:tcW w:w="4725" w:type="dxa"/>
            <w:tcBorders>
              <w:top w:val="nil"/>
              <w:left w:val="single" w:sz="8" w:space="0" w:color="009900"/>
              <w:bottom w:val="nil"/>
              <w:right w:val="nil"/>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CARE 66</w:t>
            </w:r>
          </w:p>
        </w:tc>
        <w:tc>
          <w:tcPr>
            <w:tcW w:w="1055" w:type="dxa"/>
            <w:tcBorders>
              <w:top w:val="nil"/>
              <w:left w:val="nil"/>
              <w:bottom w:val="nil"/>
              <w:right w:val="single" w:sz="8" w:space="0" w:color="009900"/>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Gallup</w:t>
            </w:r>
          </w:p>
        </w:tc>
      </w:tr>
      <w:tr w:rsidR="003C62A4" w:rsidTr="003C62A4">
        <w:trPr>
          <w:trHeight w:val="240"/>
          <w:jc w:val="center"/>
        </w:trPr>
        <w:tc>
          <w:tcPr>
            <w:tcW w:w="4725" w:type="dxa"/>
            <w:tcBorders>
              <w:top w:val="nil"/>
              <w:left w:val="single" w:sz="8" w:space="0" w:color="009900"/>
              <w:bottom w:val="nil"/>
              <w:right w:val="nil"/>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La Casa, Inc.</w:t>
            </w:r>
          </w:p>
        </w:tc>
        <w:tc>
          <w:tcPr>
            <w:tcW w:w="1055" w:type="dxa"/>
            <w:tcBorders>
              <w:top w:val="nil"/>
              <w:left w:val="nil"/>
              <w:bottom w:val="nil"/>
              <w:right w:val="single" w:sz="8" w:space="0" w:color="009900"/>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Las Cruces</w:t>
            </w:r>
          </w:p>
        </w:tc>
      </w:tr>
      <w:tr w:rsidR="003C62A4" w:rsidTr="003C62A4">
        <w:trPr>
          <w:trHeight w:val="240"/>
          <w:jc w:val="center"/>
        </w:trPr>
        <w:tc>
          <w:tcPr>
            <w:tcW w:w="4725" w:type="dxa"/>
            <w:tcBorders>
              <w:top w:val="nil"/>
              <w:left w:val="single" w:sz="8" w:space="0" w:color="009900"/>
              <w:bottom w:val="nil"/>
              <w:right w:val="nil"/>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Mesilla Valley Community of Hope</w:t>
            </w:r>
          </w:p>
        </w:tc>
        <w:tc>
          <w:tcPr>
            <w:tcW w:w="1055" w:type="dxa"/>
            <w:tcBorders>
              <w:top w:val="nil"/>
              <w:left w:val="nil"/>
              <w:bottom w:val="nil"/>
              <w:right w:val="single" w:sz="8" w:space="0" w:color="009900"/>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Las Cruces</w:t>
            </w:r>
          </w:p>
        </w:tc>
      </w:tr>
      <w:tr w:rsidR="003C62A4" w:rsidTr="003C62A4">
        <w:trPr>
          <w:trHeight w:val="240"/>
          <w:jc w:val="center"/>
        </w:trPr>
        <w:tc>
          <w:tcPr>
            <w:tcW w:w="4725" w:type="dxa"/>
            <w:tcBorders>
              <w:top w:val="nil"/>
              <w:left w:val="single" w:sz="8" w:space="0" w:color="009900"/>
              <w:bottom w:val="nil"/>
              <w:right w:val="nil"/>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Mesilla Valley Community of Hope</w:t>
            </w:r>
          </w:p>
        </w:tc>
        <w:tc>
          <w:tcPr>
            <w:tcW w:w="1055" w:type="dxa"/>
            <w:tcBorders>
              <w:top w:val="nil"/>
              <w:left w:val="nil"/>
              <w:bottom w:val="nil"/>
              <w:right w:val="single" w:sz="8" w:space="0" w:color="009900"/>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Las Cruces</w:t>
            </w:r>
          </w:p>
        </w:tc>
      </w:tr>
      <w:tr w:rsidR="003C62A4" w:rsidTr="003C62A4">
        <w:trPr>
          <w:trHeight w:val="240"/>
          <w:jc w:val="center"/>
        </w:trPr>
        <w:tc>
          <w:tcPr>
            <w:tcW w:w="4725" w:type="dxa"/>
            <w:tcBorders>
              <w:top w:val="nil"/>
              <w:left w:val="single" w:sz="8" w:space="0" w:color="009900"/>
              <w:bottom w:val="nil"/>
              <w:right w:val="nil"/>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Samaritan House Inc</w:t>
            </w:r>
          </w:p>
        </w:tc>
        <w:tc>
          <w:tcPr>
            <w:tcW w:w="1055" w:type="dxa"/>
            <w:tcBorders>
              <w:top w:val="nil"/>
              <w:left w:val="nil"/>
              <w:bottom w:val="nil"/>
              <w:right w:val="single" w:sz="8" w:space="0" w:color="009900"/>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Las Vegas</w:t>
            </w:r>
          </w:p>
        </w:tc>
      </w:tr>
      <w:tr w:rsidR="003C62A4" w:rsidTr="003C62A4">
        <w:trPr>
          <w:trHeight w:val="240"/>
          <w:jc w:val="center"/>
        </w:trPr>
        <w:tc>
          <w:tcPr>
            <w:tcW w:w="4725" w:type="dxa"/>
            <w:tcBorders>
              <w:top w:val="nil"/>
              <w:left w:val="single" w:sz="8" w:space="0" w:color="009900"/>
              <w:bottom w:val="nil"/>
              <w:right w:val="nil"/>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Eastern Regional Housing Authority</w:t>
            </w:r>
          </w:p>
        </w:tc>
        <w:tc>
          <w:tcPr>
            <w:tcW w:w="1055" w:type="dxa"/>
            <w:tcBorders>
              <w:top w:val="nil"/>
              <w:left w:val="nil"/>
              <w:bottom w:val="nil"/>
              <w:right w:val="single" w:sz="8" w:space="0" w:color="009900"/>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Roswell</w:t>
            </w:r>
          </w:p>
        </w:tc>
      </w:tr>
      <w:tr w:rsidR="003C62A4" w:rsidTr="003C62A4">
        <w:trPr>
          <w:trHeight w:val="240"/>
          <w:jc w:val="center"/>
        </w:trPr>
        <w:tc>
          <w:tcPr>
            <w:tcW w:w="4725" w:type="dxa"/>
            <w:tcBorders>
              <w:top w:val="nil"/>
              <w:left w:val="single" w:sz="8" w:space="0" w:color="009900"/>
              <w:bottom w:val="nil"/>
              <w:right w:val="nil"/>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City of Santa Fe</w:t>
            </w:r>
          </w:p>
        </w:tc>
        <w:tc>
          <w:tcPr>
            <w:tcW w:w="1055" w:type="dxa"/>
            <w:tcBorders>
              <w:top w:val="nil"/>
              <w:left w:val="nil"/>
              <w:bottom w:val="nil"/>
              <w:right w:val="single" w:sz="8" w:space="0" w:color="009900"/>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Santa Fe</w:t>
            </w:r>
          </w:p>
        </w:tc>
      </w:tr>
      <w:tr w:rsidR="003C62A4" w:rsidTr="003C62A4">
        <w:trPr>
          <w:trHeight w:val="240"/>
          <w:jc w:val="center"/>
        </w:trPr>
        <w:tc>
          <w:tcPr>
            <w:tcW w:w="4725" w:type="dxa"/>
            <w:tcBorders>
              <w:top w:val="nil"/>
              <w:left w:val="single" w:sz="8" w:space="0" w:color="009900"/>
              <w:bottom w:val="nil"/>
              <w:right w:val="nil"/>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Esperanza Shelter For Battered Families, Inc.</w:t>
            </w:r>
          </w:p>
        </w:tc>
        <w:tc>
          <w:tcPr>
            <w:tcW w:w="1055" w:type="dxa"/>
            <w:tcBorders>
              <w:top w:val="nil"/>
              <w:left w:val="nil"/>
              <w:bottom w:val="nil"/>
              <w:right w:val="single" w:sz="8" w:space="0" w:color="009900"/>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Santa Fe</w:t>
            </w:r>
          </w:p>
        </w:tc>
      </w:tr>
      <w:tr w:rsidR="003C62A4" w:rsidTr="003C62A4">
        <w:trPr>
          <w:trHeight w:val="240"/>
          <w:jc w:val="center"/>
        </w:trPr>
        <w:tc>
          <w:tcPr>
            <w:tcW w:w="4725" w:type="dxa"/>
            <w:tcBorders>
              <w:top w:val="nil"/>
              <w:left w:val="single" w:sz="8" w:space="0" w:color="009900"/>
              <w:bottom w:val="nil"/>
              <w:right w:val="nil"/>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New Mexico Coalition to End Homelessness</w:t>
            </w:r>
          </w:p>
        </w:tc>
        <w:tc>
          <w:tcPr>
            <w:tcW w:w="1055" w:type="dxa"/>
            <w:tcBorders>
              <w:top w:val="nil"/>
              <w:left w:val="nil"/>
              <w:bottom w:val="nil"/>
              <w:right w:val="single" w:sz="8" w:space="0" w:color="009900"/>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Santa Fe</w:t>
            </w:r>
          </w:p>
        </w:tc>
      </w:tr>
      <w:tr w:rsidR="003C62A4" w:rsidTr="003C62A4">
        <w:trPr>
          <w:trHeight w:val="240"/>
          <w:jc w:val="center"/>
        </w:trPr>
        <w:tc>
          <w:tcPr>
            <w:tcW w:w="4725" w:type="dxa"/>
            <w:tcBorders>
              <w:top w:val="nil"/>
              <w:left w:val="single" w:sz="8" w:space="0" w:color="009900"/>
              <w:bottom w:val="nil"/>
              <w:right w:val="nil"/>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Saint Elizabeth Shelter Corporation</w:t>
            </w:r>
          </w:p>
        </w:tc>
        <w:tc>
          <w:tcPr>
            <w:tcW w:w="1055" w:type="dxa"/>
            <w:tcBorders>
              <w:top w:val="nil"/>
              <w:left w:val="nil"/>
              <w:bottom w:val="nil"/>
              <w:right w:val="single" w:sz="8" w:space="0" w:color="009900"/>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Santa Fe</w:t>
            </w:r>
          </w:p>
        </w:tc>
      </w:tr>
      <w:tr w:rsidR="003C62A4" w:rsidTr="003C62A4">
        <w:trPr>
          <w:trHeight w:val="240"/>
          <w:jc w:val="center"/>
        </w:trPr>
        <w:tc>
          <w:tcPr>
            <w:tcW w:w="4725" w:type="dxa"/>
            <w:tcBorders>
              <w:top w:val="nil"/>
              <w:left w:val="single" w:sz="8" w:space="0" w:color="009900"/>
              <w:bottom w:val="nil"/>
              <w:right w:val="nil"/>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Casa Milagro Inc.</w:t>
            </w:r>
          </w:p>
        </w:tc>
        <w:tc>
          <w:tcPr>
            <w:tcW w:w="1055" w:type="dxa"/>
            <w:tcBorders>
              <w:top w:val="nil"/>
              <w:left w:val="nil"/>
              <w:bottom w:val="nil"/>
              <w:right w:val="single" w:sz="8" w:space="0" w:color="009900"/>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Santa Fe</w:t>
            </w:r>
          </w:p>
        </w:tc>
      </w:tr>
      <w:tr w:rsidR="003C62A4" w:rsidTr="003C62A4">
        <w:trPr>
          <w:trHeight w:val="240"/>
          <w:jc w:val="center"/>
        </w:trPr>
        <w:tc>
          <w:tcPr>
            <w:tcW w:w="4725" w:type="dxa"/>
            <w:tcBorders>
              <w:top w:val="nil"/>
              <w:left w:val="single" w:sz="8" w:space="0" w:color="009900"/>
              <w:bottom w:val="nil"/>
              <w:right w:val="nil"/>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Youth Shelters and Family Services</w:t>
            </w:r>
          </w:p>
        </w:tc>
        <w:tc>
          <w:tcPr>
            <w:tcW w:w="1055" w:type="dxa"/>
            <w:tcBorders>
              <w:top w:val="nil"/>
              <w:left w:val="nil"/>
              <w:bottom w:val="nil"/>
              <w:right w:val="single" w:sz="8" w:space="0" w:color="009900"/>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Santa Fe</w:t>
            </w:r>
          </w:p>
        </w:tc>
      </w:tr>
      <w:tr w:rsidR="003C62A4" w:rsidTr="003C62A4">
        <w:trPr>
          <w:trHeight w:val="240"/>
          <w:jc w:val="center"/>
        </w:trPr>
        <w:tc>
          <w:tcPr>
            <w:tcW w:w="4725" w:type="dxa"/>
            <w:tcBorders>
              <w:top w:val="nil"/>
              <w:left w:val="single" w:sz="8" w:space="0" w:color="009900"/>
              <w:bottom w:val="nil"/>
              <w:right w:val="nil"/>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Santa Fe Community Housing Trust</w:t>
            </w:r>
          </w:p>
        </w:tc>
        <w:tc>
          <w:tcPr>
            <w:tcW w:w="1055" w:type="dxa"/>
            <w:tcBorders>
              <w:top w:val="nil"/>
              <w:left w:val="nil"/>
              <w:bottom w:val="nil"/>
              <w:right w:val="single" w:sz="8" w:space="0" w:color="009900"/>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Santa Fe</w:t>
            </w:r>
          </w:p>
        </w:tc>
      </w:tr>
      <w:tr w:rsidR="003C62A4" w:rsidTr="003C62A4">
        <w:trPr>
          <w:trHeight w:val="240"/>
          <w:jc w:val="center"/>
        </w:trPr>
        <w:tc>
          <w:tcPr>
            <w:tcW w:w="4725" w:type="dxa"/>
            <w:tcBorders>
              <w:top w:val="nil"/>
              <w:left w:val="single" w:sz="8" w:space="0" w:color="009900"/>
              <w:bottom w:val="nil"/>
              <w:right w:val="nil"/>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Santa Fe Civic Housing Authority</w:t>
            </w:r>
          </w:p>
        </w:tc>
        <w:tc>
          <w:tcPr>
            <w:tcW w:w="1055" w:type="dxa"/>
            <w:tcBorders>
              <w:top w:val="nil"/>
              <w:left w:val="nil"/>
              <w:bottom w:val="nil"/>
              <w:right w:val="single" w:sz="8" w:space="0" w:color="009900"/>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Santa Fe</w:t>
            </w:r>
          </w:p>
        </w:tc>
      </w:tr>
      <w:tr w:rsidR="003C62A4" w:rsidTr="003C62A4">
        <w:trPr>
          <w:trHeight w:val="240"/>
          <w:jc w:val="center"/>
        </w:trPr>
        <w:tc>
          <w:tcPr>
            <w:tcW w:w="4725" w:type="dxa"/>
            <w:tcBorders>
              <w:top w:val="nil"/>
              <w:left w:val="single" w:sz="8" w:space="0" w:color="009900"/>
              <w:bottom w:val="nil"/>
              <w:right w:val="nil"/>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El Refugio, Inc.</w:t>
            </w:r>
          </w:p>
        </w:tc>
        <w:tc>
          <w:tcPr>
            <w:tcW w:w="1055" w:type="dxa"/>
            <w:tcBorders>
              <w:top w:val="nil"/>
              <w:left w:val="nil"/>
              <w:bottom w:val="nil"/>
              <w:right w:val="single" w:sz="8" w:space="0" w:color="009900"/>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Silver City</w:t>
            </w:r>
          </w:p>
        </w:tc>
      </w:tr>
      <w:tr w:rsidR="003C62A4" w:rsidTr="003C62A4">
        <w:trPr>
          <w:trHeight w:val="240"/>
          <w:jc w:val="center"/>
        </w:trPr>
        <w:tc>
          <w:tcPr>
            <w:tcW w:w="4725" w:type="dxa"/>
            <w:tcBorders>
              <w:top w:val="nil"/>
              <w:left w:val="single" w:sz="8" w:space="0" w:color="009900"/>
              <w:bottom w:val="nil"/>
              <w:right w:val="nil"/>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El Camino Real Housing Authority</w:t>
            </w:r>
          </w:p>
        </w:tc>
        <w:tc>
          <w:tcPr>
            <w:tcW w:w="1055" w:type="dxa"/>
            <w:tcBorders>
              <w:top w:val="nil"/>
              <w:left w:val="nil"/>
              <w:bottom w:val="nil"/>
              <w:right w:val="single" w:sz="8" w:space="0" w:color="009900"/>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Socorro</w:t>
            </w:r>
          </w:p>
        </w:tc>
      </w:tr>
      <w:tr w:rsidR="003C62A4" w:rsidTr="003C62A4">
        <w:trPr>
          <w:trHeight w:val="240"/>
          <w:jc w:val="center"/>
        </w:trPr>
        <w:tc>
          <w:tcPr>
            <w:tcW w:w="4725" w:type="dxa"/>
            <w:tcBorders>
              <w:top w:val="nil"/>
              <w:left w:val="single" w:sz="8" w:space="0" w:color="009900"/>
              <w:bottom w:val="single" w:sz="8" w:space="0" w:color="009900"/>
              <w:right w:val="nil"/>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Town of Taos</w:t>
            </w:r>
          </w:p>
        </w:tc>
        <w:tc>
          <w:tcPr>
            <w:tcW w:w="1055" w:type="dxa"/>
            <w:tcBorders>
              <w:top w:val="nil"/>
              <w:left w:val="nil"/>
              <w:bottom w:val="single" w:sz="8" w:space="0" w:color="009900"/>
              <w:right w:val="single" w:sz="8" w:space="0" w:color="009900"/>
            </w:tcBorders>
            <w:shd w:val="clear" w:color="000000" w:fill="FFFFE1"/>
            <w:noWrap/>
            <w:vAlign w:val="center"/>
            <w:hideMark/>
          </w:tcPr>
          <w:p w:rsidR="003C62A4" w:rsidRDefault="003C62A4">
            <w:pPr>
              <w:rPr>
                <w:rFonts w:ascii="Arial" w:hAnsi="Arial" w:cs="Arial"/>
                <w:color w:val="000000"/>
                <w:sz w:val="16"/>
                <w:szCs w:val="16"/>
              </w:rPr>
            </w:pPr>
            <w:r>
              <w:rPr>
                <w:rFonts w:ascii="Arial" w:hAnsi="Arial" w:cs="Arial"/>
                <w:color w:val="000000"/>
                <w:sz w:val="16"/>
                <w:szCs w:val="16"/>
              </w:rPr>
              <w:t>Taos</w:t>
            </w:r>
          </w:p>
        </w:tc>
      </w:tr>
    </w:tbl>
    <w:p w:rsidR="00C067CB" w:rsidRDefault="00C067CB" w:rsidP="009547F1">
      <w:pPr>
        <w:pStyle w:val="BodyText"/>
        <w:tabs>
          <w:tab w:val="num" w:pos="360"/>
        </w:tabs>
        <w:rPr>
          <w:rFonts w:ascii="CG Omega" w:hAnsi="CG Omega"/>
          <w:b/>
          <w:bCs/>
          <w:smallCaps/>
        </w:rPr>
      </w:pPr>
    </w:p>
    <w:p w:rsidR="009547F1" w:rsidRPr="006B6B31" w:rsidRDefault="009547F1" w:rsidP="009547F1">
      <w:pPr>
        <w:pStyle w:val="BodyText"/>
        <w:tabs>
          <w:tab w:val="num" w:pos="360"/>
        </w:tabs>
        <w:rPr>
          <w:rFonts w:ascii="CG Omega" w:hAnsi="CG Omega"/>
          <w:b/>
          <w:bCs/>
          <w:smallCaps/>
        </w:rPr>
      </w:pPr>
      <w:r w:rsidRPr="006B6B31">
        <w:rPr>
          <w:rFonts w:ascii="CG Omega" w:hAnsi="CG Omega"/>
          <w:b/>
          <w:bCs/>
          <w:smallCaps/>
        </w:rPr>
        <w:t>Facilities</w:t>
      </w:r>
    </w:p>
    <w:p w:rsidR="00C067CB" w:rsidRPr="00542F38" w:rsidRDefault="00C067CB" w:rsidP="009547F1">
      <w:pPr>
        <w:pStyle w:val="BodyText"/>
        <w:tabs>
          <w:tab w:val="num" w:pos="360"/>
        </w:tabs>
        <w:rPr>
          <w:rFonts w:ascii="CG Omega" w:hAnsi="CG Omega"/>
          <w:b/>
          <w:bCs/>
          <w:smallCaps/>
          <w:szCs w:val="24"/>
        </w:rPr>
      </w:pPr>
    </w:p>
    <w:p w:rsidR="009547F1" w:rsidRPr="00542F38" w:rsidRDefault="009547F1" w:rsidP="009547F1">
      <w:pPr>
        <w:pStyle w:val="BodyText"/>
        <w:tabs>
          <w:tab w:val="num" w:pos="360"/>
        </w:tabs>
        <w:rPr>
          <w:rFonts w:ascii="CG Omega" w:hAnsi="CG Omega"/>
          <w:bCs/>
          <w:szCs w:val="24"/>
        </w:rPr>
      </w:pPr>
      <w:r w:rsidRPr="00542F38">
        <w:rPr>
          <w:rFonts w:ascii="CG Omega" w:hAnsi="CG Omega"/>
          <w:bCs/>
          <w:szCs w:val="24"/>
        </w:rPr>
        <w:t xml:space="preserve">According to information from the CoCs, there are a number of facilities within the state that offer shelter and facilities to homeless persons in New Mexico. Organizations offering shelter facilities to homeless persons are listed in </w:t>
      </w:r>
      <w:r w:rsidRPr="00542F38">
        <w:rPr>
          <w:rFonts w:ascii="CG Omega" w:hAnsi="CG Omega"/>
          <w:b/>
          <w:bCs/>
          <w:szCs w:val="24"/>
        </w:rPr>
        <w:t>Table</w:t>
      </w:r>
      <w:r w:rsidR="00E84AA1" w:rsidRPr="00542F38">
        <w:rPr>
          <w:rFonts w:ascii="CG Omega" w:hAnsi="CG Omega"/>
          <w:b/>
          <w:bCs/>
          <w:szCs w:val="24"/>
        </w:rPr>
        <w:t xml:space="preserve"> V.1</w:t>
      </w:r>
      <w:r w:rsidR="000155B6" w:rsidRPr="00542F38">
        <w:rPr>
          <w:rFonts w:ascii="CG Omega" w:hAnsi="CG Omega"/>
          <w:b/>
          <w:bCs/>
          <w:szCs w:val="24"/>
        </w:rPr>
        <w:t>4</w:t>
      </w:r>
      <w:r w:rsidRPr="00542F38">
        <w:rPr>
          <w:rFonts w:ascii="CG Omega" w:hAnsi="CG Omega"/>
          <w:bCs/>
          <w:szCs w:val="24"/>
        </w:rPr>
        <w:t xml:space="preserve"> for Albuquerque and </w:t>
      </w:r>
      <w:r w:rsidRPr="00542F38">
        <w:rPr>
          <w:rFonts w:ascii="CG Omega" w:hAnsi="CG Omega"/>
          <w:b/>
          <w:bCs/>
          <w:szCs w:val="24"/>
        </w:rPr>
        <w:t>Table</w:t>
      </w:r>
      <w:r w:rsidR="00E84AA1" w:rsidRPr="00542F38">
        <w:rPr>
          <w:rFonts w:ascii="CG Omega" w:hAnsi="CG Omega"/>
          <w:b/>
          <w:bCs/>
          <w:szCs w:val="24"/>
        </w:rPr>
        <w:t xml:space="preserve"> V.1</w:t>
      </w:r>
      <w:r w:rsidR="000155B6" w:rsidRPr="00542F38">
        <w:rPr>
          <w:rFonts w:ascii="CG Omega" w:hAnsi="CG Omega"/>
          <w:b/>
          <w:bCs/>
          <w:szCs w:val="24"/>
        </w:rPr>
        <w:t>5</w:t>
      </w:r>
      <w:r w:rsidRPr="00542F38">
        <w:rPr>
          <w:rFonts w:ascii="CG Omega" w:hAnsi="CG Omega"/>
          <w:bCs/>
          <w:szCs w:val="24"/>
        </w:rPr>
        <w:t xml:space="preserve"> for Balance of State</w:t>
      </w:r>
      <w:r w:rsidR="00542F38">
        <w:rPr>
          <w:rFonts w:ascii="CG Omega" w:hAnsi="CG Omega"/>
          <w:bCs/>
          <w:szCs w:val="24"/>
        </w:rPr>
        <w:t xml:space="preserve"> on the following pages</w:t>
      </w:r>
      <w:r w:rsidRPr="00542F38">
        <w:rPr>
          <w:rFonts w:ascii="CG Omega" w:hAnsi="CG Omega"/>
          <w:bCs/>
          <w:szCs w:val="24"/>
        </w:rPr>
        <w:t xml:space="preserve">. </w:t>
      </w:r>
    </w:p>
    <w:p w:rsidR="009547F1" w:rsidRPr="00542F38" w:rsidRDefault="009547F1" w:rsidP="009547F1">
      <w:pPr>
        <w:pStyle w:val="BodyText"/>
        <w:tabs>
          <w:tab w:val="num" w:pos="360"/>
        </w:tabs>
        <w:rPr>
          <w:rFonts w:ascii="CG Omega" w:hAnsi="CG Omega"/>
          <w:bCs/>
          <w:szCs w:val="24"/>
          <w:highlight w:val="yellow"/>
        </w:rPr>
      </w:pPr>
    </w:p>
    <w:tbl>
      <w:tblPr>
        <w:tblW w:w="8780" w:type="dxa"/>
        <w:jc w:val="center"/>
        <w:tblLook w:val="04A0" w:firstRow="1" w:lastRow="0" w:firstColumn="1" w:lastColumn="0" w:noHBand="0" w:noVBand="1"/>
      </w:tblPr>
      <w:tblGrid>
        <w:gridCol w:w="3500"/>
        <w:gridCol w:w="4100"/>
        <w:gridCol w:w="1180"/>
      </w:tblGrid>
      <w:tr w:rsidR="009547F1" w:rsidRPr="00782918" w:rsidTr="0074377E">
        <w:trPr>
          <w:trHeight w:val="300"/>
          <w:jc w:val="center"/>
        </w:trPr>
        <w:tc>
          <w:tcPr>
            <w:tcW w:w="8780" w:type="dxa"/>
            <w:gridSpan w:val="3"/>
            <w:tcBorders>
              <w:top w:val="single" w:sz="8" w:space="0" w:color="008000"/>
              <w:left w:val="single" w:sz="8" w:space="0" w:color="008000"/>
              <w:bottom w:val="nil"/>
              <w:right w:val="single" w:sz="8" w:space="0" w:color="008000"/>
            </w:tcBorders>
            <w:shd w:val="clear" w:color="000000" w:fill="FFFFE1"/>
            <w:noWrap/>
            <w:vAlign w:val="center"/>
            <w:hideMark/>
          </w:tcPr>
          <w:p w:rsidR="009547F1" w:rsidRPr="00782918" w:rsidRDefault="009547F1" w:rsidP="000155B6">
            <w:pPr>
              <w:jc w:val="center"/>
              <w:rPr>
                <w:rFonts w:ascii="Arial" w:hAnsi="Arial" w:cs="Arial"/>
                <w:b/>
                <w:bCs/>
                <w:color w:val="000000"/>
                <w:sz w:val="23"/>
                <w:szCs w:val="23"/>
              </w:rPr>
            </w:pPr>
            <w:r w:rsidRPr="00832AB3">
              <w:rPr>
                <w:rFonts w:ascii="Arial" w:hAnsi="Arial" w:cs="Arial"/>
                <w:b/>
                <w:bCs/>
                <w:color w:val="000000"/>
                <w:sz w:val="23"/>
                <w:szCs w:val="23"/>
              </w:rPr>
              <w:t>Table V.1</w:t>
            </w:r>
            <w:r w:rsidR="000155B6">
              <w:rPr>
                <w:rFonts w:ascii="Arial" w:hAnsi="Arial" w:cs="Arial"/>
                <w:b/>
                <w:bCs/>
                <w:color w:val="000000"/>
                <w:sz w:val="23"/>
                <w:szCs w:val="23"/>
              </w:rPr>
              <w:t>4</w:t>
            </w:r>
          </w:p>
        </w:tc>
      </w:tr>
      <w:tr w:rsidR="009547F1" w:rsidRPr="00782918" w:rsidTr="0074377E">
        <w:trPr>
          <w:trHeight w:val="210"/>
          <w:jc w:val="center"/>
        </w:trPr>
        <w:tc>
          <w:tcPr>
            <w:tcW w:w="8780" w:type="dxa"/>
            <w:gridSpan w:val="3"/>
            <w:tcBorders>
              <w:top w:val="nil"/>
              <w:left w:val="single" w:sz="8" w:space="0" w:color="008000"/>
              <w:bottom w:val="nil"/>
              <w:right w:val="single" w:sz="8" w:space="0" w:color="008000"/>
            </w:tcBorders>
            <w:shd w:val="clear" w:color="000000" w:fill="FFFFE1"/>
            <w:noWrap/>
            <w:vAlign w:val="center"/>
            <w:hideMark/>
          </w:tcPr>
          <w:p w:rsidR="009547F1" w:rsidRPr="00782918" w:rsidRDefault="009547F1" w:rsidP="00E56B71">
            <w:pPr>
              <w:jc w:val="center"/>
              <w:rPr>
                <w:rFonts w:ascii="Arial" w:hAnsi="Arial" w:cs="Arial"/>
                <w:b/>
                <w:bCs/>
                <w:color w:val="000000"/>
                <w:sz w:val="20"/>
                <w:szCs w:val="20"/>
              </w:rPr>
            </w:pPr>
            <w:r w:rsidRPr="00782918">
              <w:rPr>
                <w:rFonts w:ascii="Arial" w:hAnsi="Arial" w:cs="Arial"/>
                <w:b/>
                <w:bCs/>
                <w:color w:val="000000"/>
                <w:sz w:val="20"/>
                <w:szCs w:val="20"/>
              </w:rPr>
              <w:t>Homeless Shelters and Emergency Housing</w:t>
            </w:r>
          </w:p>
        </w:tc>
      </w:tr>
      <w:tr w:rsidR="009547F1" w:rsidRPr="00782918" w:rsidTr="0074377E">
        <w:trPr>
          <w:trHeight w:val="210"/>
          <w:jc w:val="center"/>
        </w:trPr>
        <w:tc>
          <w:tcPr>
            <w:tcW w:w="8780" w:type="dxa"/>
            <w:gridSpan w:val="3"/>
            <w:tcBorders>
              <w:top w:val="nil"/>
              <w:left w:val="single" w:sz="8" w:space="0" w:color="008000"/>
              <w:bottom w:val="nil"/>
              <w:right w:val="single" w:sz="8" w:space="0" w:color="008000"/>
            </w:tcBorders>
            <w:shd w:val="clear" w:color="000000" w:fill="FFFFE1"/>
            <w:noWrap/>
            <w:vAlign w:val="center"/>
            <w:hideMark/>
          </w:tcPr>
          <w:p w:rsidR="009547F1" w:rsidRPr="00782918" w:rsidRDefault="003C62A4" w:rsidP="00E56B71">
            <w:pPr>
              <w:jc w:val="center"/>
              <w:rPr>
                <w:rFonts w:ascii="Arial" w:hAnsi="Arial" w:cs="Arial"/>
                <w:color w:val="000000"/>
                <w:sz w:val="16"/>
                <w:szCs w:val="16"/>
              </w:rPr>
            </w:pPr>
            <w:r>
              <w:rPr>
                <w:rFonts w:ascii="Arial" w:hAnsi="Arial" w:cs="Arial"/>
                <w:color w:val="000000"/>
                <w:sz w:val="16"/>
                <w:szCs w:val="16"/>
              </w:rPr>
              <w:t>Albuquerque CoC</w:t>
            </w:r>
          </w:p>
        </w:tc>
      </w:tr>
      <w:tr w:rsidR="009547F1" w:rsidRPr="00782918" w:rsidTr="0074377E">
        <w:trPr>
          <w:trHeight w:val="210"/>
          <w:jc w:val="center"/>
        </w:trPr>
        <w:tc>
          <w:tcPr>
            <w:tcW w:w="8780" w:type="dxa"/>
            <w:gridSpan w:val="3"/>
            <w:tcBorders>
              <w:top w:val="nil"/>
              <w:left w:val="single" w:sz="8" w:space="0" w:color="008000"/>
              <w:bottom w:val="single" w:sz="8" w:space="0" w:color="008000"/>
              <w:right w:val="single" w:sz="8" w:space="0" w:color="008000"/>
            </w:tcBorders>
            <w:shd w:val="clear" w:color="000000" w:fill="FFFFE1"/>
            <w:noWrap/>
            <w:vAlign w:val="center"/>
            <w:hideMark/>
          </w:tcPr>
          <w:p w:rsidR="009547F1" w:rsidRPr="00782918" w:rsidRDefault="009547F1" w:rsidP="003C62A4">
            <w:pPr>
              <w:jc w:val="center"/>
              <w:rPr>
                <w:rFonts w:ascii="Arial" w:hAnsi="Arial" w:cs="Arial"/>
                <w:color w:val="000000"/>
                <w:sz w:val="16"/>
                <w:szCs w:val="16"/>
              </w:rPr>
            </w:pPr>
            <w:r w:rsidRPr="00782918">
              <w:rPr>
                <w:rFonts w:ascii="Arial" w:hAnsi="Arial" w:cs="Arial"/>
                <w:color w:val="000000"/>
                <w:sz w:val="16"/>
                <w:szCs w:val="16"/>
              </w:rPr>
              <w:t>U.S. Department of Housing and Urban Development</w:t>
            </w:r>
            <w:r w:rsidR="00237C69">
              <w:rPr>
                <w:rFonts w:ascii="Arial" w:hAnsi="Arial" w:cs="Arial"/>
                <w:color w:val="000000"/>
                <w:sz w:val="16"/>
                <w:szCs w:val="16"/>
              </w:rPr>
              <w:t xml:space="preserve"> </w:t>
            </w:r>
            <w:r w:rsidR="003C62A4">
              <w:rPr>
                <w:rFonts w:ascii="Arial" w:hAnsi="Arial" w:cs="Arial"/>
                <w:color w:val="000000"/>
                <w:sz w:val="16"/>
                <w:szCs w:val="16"/>
              </w:rPr>
              <w:t>– 2013 Housing Inventory Chart</w:t>
            </w:r>
          </w:p>
        </w:tc>
      </w:tr>
      <w:tr w:rsidR="009547F1" w:rsidRPr="00782918" w:rsidTr="0074377E">
        <w:trPr>
          <w:trHeight w:val="315"/>
          <w:jc w:val="center"/>
        </w:trPr>
        <w:tc>
          <w:tcPr>
            <w:tcW w:w="3500" w:type="dxa"/>
            <w:tcBorders>
              <w:top w:val="nil"/>
              <w:left w:val="single" w:sz="8" w:space="0" w:color="008000"/>
              <w:bottom w:val="single" w:sz="8" w:space="0" w:color="008000"/>
              <w:right w:val="nil"/>
            </w:tcBorders>
            <w:shd w:val="clear" w:color="000000" w:fill="FFFFE1"/>
            <w:noWrap/>
            <w:vAlign w:val="center"/>
            <w:hideMark/>
          </w:tcPr>
          <w:p w:rsidR="009547F1" w:rsidRPr="00782918" w:rsidRDefault="009547F1" w:rsidP="00E56B71">
            <w:pPr>
              <w:rPr>
                <w:rFonts w:ascii="Arial" w:hAnsi="Arial" w:cs="Arial"/>
                <w:b/>
                <w:bCs/>
                <w:color w:val="000000"/>
                <w:sz w:val="16"/>
                <w:szCs w:val="16"/>
              </w:rPr>
            </w:pPr>
            <w:r w:rsidRPr="00782918">
              <w:rPr>
                <w:rFonts w:ascii="Arial" w:hAnsi="Arial" w:cs="Arial"/>
                <w:b/>
                <w:bCs/>
                <w:color w:val="000000"/>
                <w:sz w:val="16"/>
                <w:szCs w:val="16"/>
              </w:rPr>
              <w:t>Agency</w:t>
            </w:r>
          </w:p>
        </w:tc>
        <w:tc>
          <w:tcPr>
            <w:tcW w:w="4100" w:type="dxa"/>
            <w:tcBorders>
              <w:top w:val="nil"/>
              <w:left w:val="nil"/>
              <w:bottom w:val="single" w:sz="8" w:space="0" w:color="008000"/>
              <w:right w:val="nil"/>
            </w:tcBorders>
            <w:shd w:val="clear" w:color="000000" w:fill="FFFFE1"/>
            <w:noWrap/>
            <w:vAlign w:val="center"/>
            <w:hideMark/>
          </w:tcPr>
          <w:p w:rsidR="009547F1" w:rsidRPr="00782918" w:rsidRDefault="009547F1" w:rsidP="00E56B71">
            <w:pPr>
              <w:rPr>
                <w:rFonts w:ascii="Arial" w:hAnsi="Arial" w:cs="Arial"/>
                <w:b/>
                <w:bCs/>
                <w:color w:val="000000"/>
                <w:sz w:val="16"/>
                <w:szCs w:val="16"/>
              </w:rPr>
            </w:pPr>
            <w:r w:rsidRPr="00782918">
              <w:rPr>
                <w:rFonts w:ascii="Arial" w:hAnsi="Arial" w:cs="Arial"/>
                <w:b/>
                <w:bCs/>
                <w:color w:val="000000"/>
                <w:sz w:val="16"/>
                <w:szCs w:val="16"/>
              </w:rPr>
              <w:t>Description</w:t>
            </w:r>
          </w:p>
        </w:tc>
        <w:tc>
          <w:tcPr>
            <w:tcW w:w="1180" w:type="dxa"/>
            <w:tcBorders>
              <w:top w:val="nil"/>
              <w:left w:val="nil"/>
              <w:bottom w:val="single" w:sz="8" w:space="0" w:color="008000"/>
              <w:right w:val="single" w:sz="8" w:space="0" w:color="008000"/>
            </w:tcBorders>
            <w:shd w:val="clear" w:color="000000" w:fill="FFFFE1"/>
            <w:noWrap/>
            <w:vAlign w:val="center"/>
            <w:hideMark/>
          </w:tcPr>
          <w:p w:rsidR="009547F1" w:rsidRPr="00782918" w:rsidRDefault="009547F1" w:rsidP="00E56B71">
            <w:pPr>
              <w:rPr>
                <w:rFonts w:ascii="Arial" w:hAnsi="Arial" w:cs="Arial"/>
                <w:b/>
                <w:bCs/>
                <w:color w:val="000000"/>
                <w:sz w:val="16"/>
                <w:szCs w:val="16"/>
              </w:rPr>
            </w:pPr>
            <w:r w:rsidRPr="00782918">
              <w:rPr>
                <w:rFonts w:ascii="Arial" w:hAnsi="Arial" w:cs="Arial"/>
                <w:b/>
                <w:bCs/>
                <w:color w:val="000000"/>
                <w:sz w:val="16"/>
                <w:szCs w:val="16"/>
              </w:rPr>
              <w:t>City</w:t>
            </w:r>
          </w:p>
        </w:tc>
      </w:tr>
      <w:tr w:rsidR="009547F1" w:rsidRPr="00782918" w:rsidTr="0074377E">
        <w:trPr>
          <w:trHeight w:val="315"/>
          <w:jc w:val="center"/>
        </w:trPr>
        <w:tc>
          <w:tcPr>
            <w:tcW w:w="8780" w:type="dxa"/>
            <w:gridSpan w:val="3"/>
            <w:tcBorders>
              <w:top w:val="single" w:sz="8" w:space="0" w:color="008000"/>
              <w:left w:val="single" w:sz="8" w:space="0" w:color="008000"/>
              <w:bottom w:val="dashed" w:sz="8" w:space="0" w:color="008000"/>
              <w:right w:val="single" w:sz="8" w:space="0" w:color="008000"/>
            </w:tcBorders>
            <w:shd w:val="clear" w:color="000000" w:fill="FFFFE1"/>
            <w:noWrap/>
            <w:vAlign w:val="center"/>
            <w:hideMark/>
          </w:tcPr>
          <w:p w:rsidR="009547F1" w:rsidRPr="00782918" w:rsidRDefault="009547F1" w:rsidP="00E56B71">
            <w:pPr>
              <w:jc w:val="center"/>
              <w:rPr>
                <w:rFonts w:ascii="Arial" w:hAnsi="Arial" w:cs="Arial"/>
                <w:b/>
                <w:bCs/>
                <w:i/>
                <w:iCs/>
                <w:color w:val="000000"/>
                <w:sz w:val="16"/>
                <w:szCs w:val="16"/>
              </w:rPr>
            </w:pPr>
            <w:r w:rsidRPr="00782918">
              <w:rPr>
                <w:rFonts w:ascii="Arial" w:hAnsi="Arial" w:cs="Arial"/>
                <w:b/>
                <w:bCs/>
                <w:i/>
                <w:iCs/>
                <w:color w:val="000000"/>
                <w:sz w:val="16"/>
                <w:szCs w:val="16"/>
              </w:rPr>
              <w:t>Albuquerque CoC</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Family Promise of Albuquerque</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Emergency shelter for families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Albuquerque</w:t>
            </w:r>
          </w:p>
        </w:tc>
      </w:tr>
      <w:tr w:rsidR="009547F1" w:rsidRPr="00782918" w:rsidTr="0074377E">
        <w:trPr>
          <w:trHeight w:val="210"/>
          <w:jc w:val="center"/>
        </w:trPr>
        <w:tc>
          <w:tcPr>
            <w:tcW w:w="3500" w:type="dxa"/>
            <w:vMerge w:val="restart"/>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Barrett Foundation</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Emergency Shelter for Mixed Populations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Albuquerque</w:t>
            </w:r>
          </w:p>
        </w:tc>
      </w:tr>
      <w:tr w:rsidR="009547F1" w:rsidRPr="00782918" w:rsidTr="0074377E">
        <w:trPr>
          <w:trHeight w:val="225"/>
          <w:jc w:val="center"/>
        </w:trPr>
        <w:tc>
          <w:tcPr>
            <w:tcW w:w="3500" w:type="dxa"/>
            <w:vMerge/>
            <w:tcBorders>
              <w:top w:val="nil"/>
              <w:left w:val="single" w:sz="8" w:space="0" w:color="008000"/>
              <w:bottom w:val="nil"/>
              <w:right w:val="nil"/>
            </w:tcBorders>
            <w:vAlign w:val="center"/>
            <w:hideMark/>
          </w:tcPr>
          <w:p w:rsidR="009547F1" w:rsidRPr="00782918" w:rsidRDefault="009547F1" w:rsidP="00E56B71">
            <w:pPr>
              <w:rPr>
                <w:rFonts w:ascii="Arial" w:hAnsi="Arial" w:cs="Arial"/>
                <w:color w:val="000000"/>
                <w:sz w:val="16"/>
                <w:szCs w:val="16"/>
              </w:rPr>
            </w:pP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Transitional Housing for Mixed Populations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Albuquerque</w:t>
            </w:r>
          </w:p>
        </w:tc>
      </w:tr>
      <w:tr w:rsidR="009547F1" w:rsidRPr="00782918" w:rsidTr="0074377E">
        <w:trPr>
          <w:trHeight w:val="240"/>
          <w:jc w:val="center"/>
        </w:trPr>
        <w:tc>
          <w:tcPr>
            <w:tcW w:w="3500" w:type="dxa"/>
            <w:vMerge/>
            <w:tcBorders>
              <w:top w:val="nil"/>
              <w:left w:val="single" w:sz="8" w:space="0" w:color="008000"/>
              <w:bottom w:val="nil"/>
              <w:right w:val="nil"/>
            </w:tcBorders>
            <w:vAlign w:val="center"/>
            <w:hideMark/>
          </w:tcPr>
          <w:p w:rsidR="009547F1" w:rsidRPr="00782918" w:rsidRDefault="009547F1" w:rsidP="00E56B71">
            <w:pPr>
              <w:rPr>
                <w:rFonts w:ascii="Arial" w:hAnsi="Arial" w:cs="Arial"/>
                <w:color w:val="000000"/>
                <w:sz w:val="16"/>
                <w:szCs w:val="16"/>
              </w:rPr>
            </w:pP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Permanent Supportive Housing for Adult Individuals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Albuquerque</w:t>
            </w:r>
          </w:p>
        </w:tc>
      </w:tr>
      <w:tr w:rsidR="009547F1" w:rsidRPr="00782918" w:rsidTr="0074377E">
        <w:trPr>
          <w:trHeight w:val="240"/>
          <w:jc w:val="center"/>
        </w:trPr>
        <w:tc>
          <w:tcPr>
            <w:tcW w:w="3500" w:type="dxa"/>
            <w:vMerge/>
            <w:tcBorders>
              <w:top w:val="nil"/>
              <w:left w:val="single" w:sz="8" w:space="0" w:color="008000"/>
              <w:bottom w:val="nil"/>
              <w:right w:val="nil"/>
            </w:tcBorders>
            <w:vAlign w:val="center"/>
            <w:hideMark/>
          </w:tcPr>
          <w:p w:rsidR="009547F1" w:rsidRPr="00782918" w:rsidRDefault="009547F1" w:rsidP="00E56B71">
            <w:pPr>
              <w:rPr>
                <w:rFonts w:ascii="Arial" w:hAnsi="Arial" w:cs="Arial"/>
                <w:color w:val="000000"/>
                <w:sz w:val="16"/>
                <w:szCs w:val="16"/>
              </w:rPr>
            </w:pP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Permanent supportive housing for Mixed Populations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Albuquerque</w:t>
            </w:r>
          </w:p>
        </w:tc>
      </w:tr>
      <w:tr w:rsidR="009547F1" w:rsidRPr="00782918" w:rsidTr="0074377E">
        <w:trPr>
          <w:trHeight w:val="240"/>
          <w:jc w:val="center"/>
        </w:trPr>
        <w:tc>
          <w:tcPr>
            <w:tcW w:w="3500" w:type="dxa"/>
            <w:vMerge/>
            <w:tcBorders>
              <w:top w:val="nil"/>
              <w:left w:val="single" w:sz="8" w:space="0" w:color="008000"/>
              <w:bottom w:val="nil"/>
              <w:right w:val="nil"/>
            </w:tcBorders>
            <w:vAlign w:val="center"/>
            <w:hideMark/>
          </w:tcPr>
          <w:p w:rsidR="009547F1" w:rsidRPr="00782918" w:rsidRDefault="009547F1" w:rsidP="00E56B71">
            <w:pPr>
              <w:rPr>
                <w:rFonts w:ascii="Arial" w:hAnsi="Arial" w:cs="Arial"/>
                <w:color w:val="000000"/>
                <w:sz w:val="16"/>
                <w:szCs w:val="16"/>
              </w:rPr>
            </w:pP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Transitional Housing for Adult Individuals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Albuquerque</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Albuquerque Health Care for the Homeless</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Emergency shelter for adult  individuals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Albuquerque</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 </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Permanent Supportive Housing for Adult Individuals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Albuquerque</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Albuquerque Rescue Mission</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Emergency shelter for adult  individuals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Albuquerque</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Good Shepherd Center</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Emergency shelter for adult  individuals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Albuquerque</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Have</w:t>
            </w:r>
            <w:r w:rsidR="00542F38">
              <w:rPr>
                <w:rFonts w:ascii="Arial" w:hAnsi="Arial" w:cs="Arial"/>
                <w:color w:val="000000"/>
                <w:sz w:val="16"/>
                <w:szCs w:val="16"/>
              </w:rPr>
              <w:t>n</w:t>
            </w:r>
            <w:r w:rsidRPr="00782918">
              <w:rPr>
                <w:rFonts w:ascii="Arial" w:hAnsi="Arial" w:cs="Arial"/>
                <w:color w:val="000000"/>
                <w:sz w:val="16"/>
                <w:szCs w:val="16"/>
              </w:rPr>
              <w:t xml:space="preserve"> of Love Rescue Mission</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Emergency shelter for adult  individuals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Albuquerque</w:t>
            </w:r>
          </w:p>
        </w:tc>
      </w:tr>
      <w:tr w:rsidR="009547F1" w:rsidRPr="00782918" w:rsidTr="0074377E">
        <w:trPr>
          <w:trHeight w:val="255"/>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Metropolitan Homelessness Project</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Emergency shelter for adult  individuals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Albuquerque</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NM Veterans Administration</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Emergency shelter for adult  individuals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Albuquerque</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Safe House</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Emergency shelter for adult  individuals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Albuquerque</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St. Martin's Hospitality Center</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Emergency shelter for adult  individuals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Albuquerque</w:t>
            </w:r>
          </w:p>
        </w:tc>
      </w:tr>
      <w:tr w:rsidR="009547F1" w:rsidRPr="00782918" w:rsidTr="0074377E">
        <w:trPr>
          <w:trHeight w:val="255"/>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Bernalillo County</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Permanent Supportive Housing for Families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Albuquerque</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Crossroads for Women</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Permanent supportive housing for Mixed Populations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Albuquerque</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 xml:space="preserve">Catholic Charities </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Transitional Housing for Families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Albuquerque</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 xml:space="preserve">Central United Methodist Church </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Transitional Housing for Families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Albuquerque</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Goodwill Industries</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Transitional Housing for Families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Albuquerque</w:t>
            </w:r>
          </w:p>
        </w:tc>
      </w:tr>
      <w:tr w:rsidR="009547F1" w:rsidRPr="00782918" w:rsidTr="0074377E">
        <w:trPr>
          <w:trHeight w:val="225"/>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 xml:space="preserve">St. Martin's Hospitality Center </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Transitional Housing for Mixed Populations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Albuquerque</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YWCA</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Transitional Housing for Mixed Populations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Albuquerque</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 xml:space="preserve">Albuquerque Rescue Mission </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Transitional Housing for Adult Individuals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Albuquerque</w:t>
            </w:r>
          </w:p>
        </w:tc>
      </w:tr>
      <w:tr w:rsidR="009547F1" w:rsidRPr="00782918" w:rsidTr="0074377E">
        <w:trPr>
          <w:trHeight w:val="405"/>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 xml:space="preserve">Crossroads for Women Metropolitan Homelessness Project </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Transitional Housing for Adult Individuals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Albuquerque</w:t>
            </w:r>
          </w:p>
        </w:tc>
      </w:tr>
      <w:tr w:rsidR="009547F1" w:rsidRPr="00782918" w:rsidTr="0074377E">
        <w:trPr>
          <w:trHeight w:val="255"/>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 xml:space="preserve">New Mexico Veterans Integration Center </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Transitional Housing for Adult Individuals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Albuquerque</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 xml:space="preserve">Veterans Administration </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Transitional Housing for Adult Individuals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Albuquerque</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 xml:space="preserve">Safe House </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Transitional Housing for Adult Individuals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Albuquerque</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 xml:space="preserve">St. Martin's Hospitality Center </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Transitional Housing for Adult Individuals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Albuquerque</w:t>
            </w:r>
          </w:p>
        </w:tc>
      </w:tr>
      <w:tr w:rsidR="009547F1" w:rsidRPr="00782918" w:rsidTr="0074377E">
        <w:trPr>
          <w:trHeight w:val="27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Transitional Living Services</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Transitional Housing for Adult Individuals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Albuquerque</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 xml:space="preserve">Catholic Charities </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Transitional Housing for Adult Individuals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Albuquerque</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 xml:space="preserve">Goodwill Industries </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Permanent Supportive Housing for Adult Individuals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Albuquerque</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 xml:space="preserve">New Life Homes </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Permanent Supportive Housing for Adult Individuals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Albuquerque</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 xml:space="preserve">NM Veterans Administration </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Permanent Supportive Housing for Adult Individuals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Albuquerque</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 xml:space="preserve">St. Martin's Hospitality Center </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Permanent Supportive Housing for Adult Individuals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Albuquerque</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 xml:space="preserve">Supportive Housing Coalition of New Mex </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Permanent Supportive Housing for Adult Individuals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Albuquerque</w:t>
            </w:r>
          </w:p>
        </w:tc>
      </w:tr>
      <w:tr w:rsidR="009547F1" w:rsidRPr="00782918" w:rsidTr="0074377E">
        <w:trPr>
          <w:trHeight w:val="240"/>
          <w:jc w:val="center"/>
        </w:trPr>
        <w:tc>
          <w:tcPr>
            <w:tcW w:w="3500" w:type="dxa"/>
            <w:tcBorders>
              <w:top w:val="nil"/>
              <w:left w:val="single" w:sz="8" w:space="0" w:color="008000"/>
              <w:bottom w:val="single" w:sz="8" w:space="0" w:color="008000"/>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 xml:space="preserve">Transitional Living Services </w:t>
            </w:r>
          </w:p>
        </w:tc>
        <w:tc>
          <w:tcPr>
            <w:tcW w:w="4100" w:type="dxa"/>
            <w:tcBorders>
              <w:top w:val="nil"/>
              <w:left w:val="nil"/>
              <w:bottom w:val="single" w:sz="8" w:space="0" w:color="008000"/>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Permanent Supportive Housing for Adult Individuals</w:t>
            </w:r>
          </w:p>
        </w:tc>
        <w:tc>
          <w:tcPr>
            <w:tcW w:w="1180" w:type="dxa"/>
            <w:tcBorders>
              <w:top w:val="nil"/>
              <w:left w:val="nil"/>
              <w:bottom w:val="single" w:sz="8" w:space="0" w:color="008000"/>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Albuquerque</w:t>
            </w:r>
          </w:p>
        </w:tc>
      </w:tr>
    </w:tbl>
    <w:p w:rsidR="009547F1" w:rsidRDefault="009547F1" w:rsidP="009547F1">
      <w:pPr>
        <w:pStyle w:val="BodyText"/>
        <w:tabs>
          <w:tab w:val="num" w:pos="360"/>
        </w:tabs>
        <w:rPr>
          <w:rFonts w:ascii="CG Omega" w:hAnsi="CG Omega"/>
          <w:bCs/>
          <w:highlight w:val="yellow"/>
        </w:rPr>
      </w:pPr>
    </w:p>
    <w:p w:rsidR="003C62A4" w:rsidRDefault="003C62A4" w:rsidP="009547F1">
      <w:pPr>
        <w:pStyle w:val="BodyText"/>
        <w:tabs>
          <w:tab w:val="num" w:pos="360"/>
        </w:tabs>
        <w:rPr>
          <w:rFonts w:ascii="CG Omega" w:hAnsi="CG Omega"/>
          <w:bCs/>
          <w:highlight w:val="yellow"/>
        </w:rPr>
      </w:pPr>
    </w:p>
    <w:p w:rsidR="003C62A4" w:rsidRDefault="003C62A4" w:rsidP="009547F1">
      <w:pPr>
        <w:pStyle w:val="BodyText"/>
        <w:tabs>
          <w:tab w:val="num" w:pos="360"/>
        </w:tabs>
        <w:rPr>
          <w:rFonts w:ascii="CG Omega" w:hAnsi="CG Omega"/>
          <w:bCs/>
          <w:highlight w:val="yellow"/>
        </w:rPr>
      </w:pPr>
    </w:p>
    <w:p w:rsidR="003C62A4" w:rsidRDefault="003C62A4" w:rsidP="009547F1">
      <w:pPr>
        <w:pStyle w:val="BodyText"/>
        <w:tabs>
          <w:tab w:val="num" w:pos="360"/>
        </w:tabs>
        <w:rPr>
          <w:rFonts w:ascii="CG Omega" w:hAnsi="CG Omega"/>
          <w:bCs/>
          <w:highlight w:val="yellow"/>
        </w:rPr>
      </w:pPr>
    </w:p>
    <w:p w:rsidR="003C62A4" w:rsidRDefault="003C62A4" w:rsidP="009547F1">
      <w:pPr>
        <w:pStyle w:val="BodyText"/>
        <w:tabs>
          <w:tab w:val="num" w:pos="360"/>
        </w:tabs>
        <w:rPr>
          <w:rFonts w:ascii="CG Omega" w:hAnsi="CG Omega"/>
          <w:bCs/>
          <w:highlight w:val="yellow"/>
        </w:rPr>
      </w:pPr>
    </w:p>
    <w:p w:rsidR="003C62A4" w:rsidRDefault="003C62A4" w:rsidP="009547F1">
      <w:pPr>
        <w:pStyle w:val="BodyText"/>
        <w:tabs>
          <w:tab w:val="num" w:pos="360"/>
        </w:tabs>
        <w:rPr>
          <w:rFonts w:ascii="CG Omega" w:hAnsi="CG Omega"/>
          <w:bCs/>
          <w:highlight w:val="yellow"/>
        </w:rPr>
      </w:pPr>
    </w:p>
    <w:p w:rsidR="003C62A4" w:rsidRDefault="003C62A4" w:rsidP="009547F1">
      <w:pPr>
        <w:pStyle w:val="BodyText"/>
        <w:tabs>
          <w:tab w:val="num" w:pos="360"/>
        </w:tabs>
        <w:rPr>
          <w:rFonts w:ascii="CG Omega" w:hAnsi="CG Omega"/>
          <w:bCs/>
          <w:highlight w:val="yellow"/>
        </w:rPr>
      </w:pPr>
    </w:p>
    <w:tbl>
      <w:tblPr>
        <w:tblW w:w="8780" w:type="dxa"/>
        <w:jc w:val="center"/>
        <w:tblLook w:val="04A0" w:firstRow="1" w:lastRow="0" w:firstColumn="1" w:lastColumn="0" w:noHBand="0" w:noVBand="1"/>
      </w:tblPr>
      <w:tblGrid>
        <w:gridCol w:w="3500"/>
        <w:gridCol w:w="4100"/>
        <w:gridCol w:w="1180"/>
      </w:tblGrid>
      <w:tr w:rsidR="009547F1" w:rsidRPr="00782918" w:rsidTr="0074377E">
        <w:trPr>
          <w:trHeight w:val="300"/>
          <w:jc w:val="center"/>
        </w:trPr>
        <w:tc>
          <w:tcPr>
            <w:tcW w:w="8780" w:type="dxa"/>
            <w:gridSpan w:val="3"/>
            <w:tcBorders>
              <w:top w:val="single" w:sz="8" w:space="0" w:color="008000"/>
              <w:left w:val="single" w:sz="8" w:space="0" w:color="008000"/>
              <w:bottom w:val="nil"/>
              <w:right w:val="single" w:sz="8" w:space="0" w:color="008000"/>
            </w:tcBorders>
            <w:shd w:val="clear" w:color="000000" w:fill="FFFFE1"/>
            <w:noWrap/>
            <w:vAlign w:val="center"/>
            <w:hideMark/>
          </w:tcPr>
          <w:p w:rsidR="009547F1" w:rsidRPr="00782918" w:rsidRDefault="009547F1" w:rsidP="000155B6">
            <w:pPr>
              <w:jc w:val="center"/>
              <w:rPr>
                <w:rFonts w:ascii="Arial" w:hAnsi="Arial" w:cs="Arial"/>
                <w:b/>
                <w:bCs/>
                <w:color w:val="000000"/>
                <w:sz w:val="23"/>
                <w:szCs w:val="23"/>
              </w:rPr>
            </w:pPr>
            <w:r w:rsidRPr="00832AB3">
              <w:rPr>
                <w:rFonts w:ascii="Arial" w:hAnsi="Arial" w:cs="Arial"/>
                <w:b/>
                <w:bCs/>
                <w:color w:val="000000"/>
                <w:sz w:val="23"/>
                <w:szCs w:val="23"/>
              </w:rPr>
              <w:t>Table V.1</w:t>
            </w:r>
            <w:r w:rsidR="000155B6">
              <w:rPr>
                <w:rFonts w:ascii="Arial" w:hAnsi="Arial" w:cs="Arial"/>
                <w:b/>
                <w:bCs/>
                <w:color w:val="000000"/>
                <w:sz w:val="23"/>
                <w:szCs w:val="23"/>
              </w:rPr>
              <w:t>5</w:t>
            </w:r>
          </w:p>
        </w:tc>
      </w:tr>
      <w:tr w:rsidR="009547F1" w:rsidRPr="00782918" w:rsidTr="0074377E">
        <w:trPr>
          <w:trHeight w:val="210"/>
          <w:jc w:val="center"/>
        </w:trPr>
        <w:tc>
          <w:tcPr>
            <w:tcW w:w="8780" w:type="dxa"/>
            <w:gridSpan w:val="3"/>
            <w:tcBorders>
              <w:top w:val="nil"/>
              <w:left w:val="single" w:sz="8" w:space="0" w:color="008000"/>
              <w:bottom w:val="nil"/>
              <w:right w:val="single" w:sz="8" w:space="0" w:color="008000"/>
            </w:tcBorders>
            <w:shd w:val="clear" w:color="000000" w:fill="FFFFE1"/>
            <w:noWrap/>
            <w:vAlign w:val="center"/>
            <w:hideMark/>
          </w:tcPr>
          <w:p w:rsidR="009547F1" w:rsidRPr="00782918" w:rsidRDefault="009547F1" w:rsidP="00E56B71">
            <w:pPr>
              <w:jc w:val="center"/>
              <w:rPr>
                <w:rFonts w:ascii="Arial" w:hAnsi="Arial" w:cs="Arial"/>
                <w:b/>
                <w:bCs/>
                <w:color w:val="000000"/>
                <w:sz w:val="20"/>
                <w:szCs w:val="20"/>
              </w:rPr>
            </w:pPr>
            <w:r w:rsidRPr="00782918">
              <w:rPr>
                <w:rFonts w:ascii="Arial" w:hAnsi="Arial" w:cs="Arial"/>
                <w:b/>
                <w:bCs/>
                <w:color w:val="000000"/>
                <w:sz w:val="20"/>
                <w:szCs w:val="20"/>
              </w:rPr>
              <w:t>Homeless Shelters and Emergency Housing</w:t>
            </w:r>
          </w:p>
        </w:tc>
      </w:tr>
      <w:tr w:rsidR="009547F1" w:rsidRPr="00782918" w:rsidTr="0074377E">
        <w:trPr>
          <w:trHeight w:val="210"/>
          <w:jc w:val="center"/>
        </w:trPr>
        <w:tc>
          <w:tcPr>
            <w:tcW w:w="8780" w:type="dxa"/>
            <w:gridSpan w:val="3"/>
            <w:tcBorders>
              <w:top w:val="nil"/>
              <w:left w:val="single" w:sz="8" w:space="0" w:color="008000"/>
              <w:bottom w:val="nil"/>
              <w:right w:val="single" w:sz="8" w:space="0" w:color="008000"/>
            </w:tcBorders>
            <w:shd w:val="clear" w:color="000000" w:fill="FFFFE1"/>
            <w:noWrap/>
            <w:vAlign w:val="center"/>
            <w:hideMark/>
          </w:tcPr>
          <w:p w:rsidR="009547F1" w:rsidRPr="00782918" w:rsidRDefault="00587DE3" w:rsidP="00E56B71">
            <w:pPr>
              <w:jc w:val="center"/>
              <w:rPr>
                <w:rFonts w:ascii="Arial" w:hAnsi="Arial" w:cs="Arial"/>
                <w:color w:val="000000"/>
                <w:sz w:val="16"/>
                <w:szCs w:val="16"/>
              </w:rPr>
            </w:pPr>
            <w:r>
              <w:rPr>
                <w:rFonts w:ascii="Arial" w:hAnsi="Arial" w:cs="Arial"/>
                <w:color w:val="000000"/>
                <w:sz w:val="16"/>
                <w:szCs w:val="16"/>
              </w:rPr>
              <w:t>Balance of State CoC</w:t>
            </w:r>
          </w:p>
        </w:tc>
      </w:tr>
      <w:tr w:rsidR="009547F1" w:rsidRPr="00782918" w:rsidTr="0074377E">
        <w:trPr>
          <w:trHeight w:val="210"/>
          <w:jc w:val="center"/>
        </w:trPr>
        <w:tc>
          <w:tcPr>
            <w:tcW w:w="8780" w:type="dxa"/>
            <w:gridSpan w:val="3"/>
            <w:tcBorders>
              <w:top w:val="nil"/>
              <w:left w:val="single" w:sz="8" w:space="0" w:color="008000"/>
              <w:bottom w:val="single" w:sz="8" w:space="0" w:color="008000"/>
              <w:right w:val="single" w:sz="8" w:space="0" w:color="008000"/>
            </w:tcBorders>
            <w:shd w:val="clear" w:color="000000" w:fill="FFFFE1"/>
            <w:noWrap/>
            <w:vAlign w:val="center"/>
            <w:hideMark/>
          </w:tcPr>
          <w:p w:rsidR="009547F1" w:rsidRPr="00782918" w:rsidRDefault="00587DE3" w:rsidP="00E56B71">
            <w:pPr>
              <w:jc w:val="center"/>
              <w:rPr>
                <w:rFonts w:ascii="Arial" w:hAnsi="Arial" w:cs="Arial"/>
                <w:color w:val="000000"/>
                <w:sz w:val="16"/>
                <w:szCs w:val="16"/>
              </w:rPr>
            </w:pPr>
            <w:r w:rsidRPr="00782918">
              <w:rPr>
                <w:rFonts w:ascii="Arial" w:hAnsi="Arial" w:cs="Arial"/>
                <w:color w:val="000000"/>
                <w:sz w:val="16"/>
                <w:szCs w:val="16"/>
              </w:rPr>
              <w:t>U.S. Department of Housing and Urban Development</w:t>
            </w:r>
            <w:r>
              <w:rPr>
                <w:rFonts w:ascii="Arial" w:hAnsi="Arial" w:cs="Arial"/>
                <w:color w:val="000000"/>
                <w:sz w:val="16"/>
                <w:szCs w:val="16"/>
              </w:rPr>
              <w:t xml:space="preserve"> – 2013 Housing Inventory Chart</w:t>
            </w:r>
          </w:p>
        </w:tc>
      </w:tr>
      <w:tr w:rsidR="009547F1" w:rsidRPr="00782918" w:rsidTr="0074377E">
        <w:trPr>
          <w:trHeight w:val="315"/>
          <w:jc w:val="center"/>
        </w:trPr>
        <w:tc>
          <w:tcPr>
            <w:tcW w:w="3500" w:type="dxa"/>
            <w:tcBorders>
              <w:top w:val="nil"/>
              <w:left w:val="single" w:sz="8" w:space="0" w:color="008000"/>
              <w:bottom w:val="single" w:sz="8" w:space="0" w:color="008000"/>
              <w:right w:val="nil"/>
            </w:tcBorders>
            <w:shd w:val="clear" w:color="000000" w:fill="FFFFE1"/>
            <w:noWrap/>
            <w:vAlign w:val="center"/>
            <w:hideMark/>
          </w:tcPr>
          <w:p w:rsidR="009547F1" w:rsidRPr="00782918" w:rsidRDefault="009547F1" w:rsidP="00E56B71">
            <w:pPr>
              <w:rPr>
                <w:rFonts w:ascii="Arial" w:hAnsi="Arial" w:cs="Arial"/>
                <w:b/>
                <w:bCs/>
                <w:color w:val="000000"/>
                <w:sz w:val="16"/>
                <w:szCs w:val="16"/>
              </w:rPr>
            </w:pPr>
            <w:r w:rsidRPr="00782918">
              <w:rPr>
                <w:rFonts w:ascii="Arial" w:hAnsi="Arial" w:cs="Arial"/>
                <w:b/>
                <w:bCs/>
                <w:color w:val="000000"/>
                <w:sz w:val="16"/>
                <w:szCs w:val="16"/>
              </w:rPr>
              <w:t>Agency</w:t>
            </w:r>
          </w:p>
        </w:tc>
        <w:tc>
          <w:tcPr>
            <w:tcW w:w="4100" w:type="dxa"/>
            <w:tcBorders>
              <w:top w:val="nil"/>
              <w:left w:val="nil"/>
              <w:bottom w:val="single" w:sz="8" w:space="0" w:color="008000"/>
              <w:right w:val="nil"/>
            </w:tcBorders>
            <w:shd w:val="clear" w:color="000000" w:fill="FFFFE1"/>
            <w:noWrap/>
            <w:vAlign w:val="center"/>
            <w:hideMark/>
          </w:tcPr>
          <w:p w:rsidR="009547F1" w:rsidRPr="00782918" w:rsidRDefault="009547F1" w:rsidP="00E56B71">
            <w:pPr>
              <w:rPr>
                <w:rFonts w:ascii="Arial" w:hAnsi="Arial" w:cs="Arial"/>
                <w:b/>
                <w:bCs/>
                <w:color w:val="000000"/>
                <w:sz w:val="16"/>
                <w:szCs w:val="16"/>
              </w:rPr>
            </w:pPr>
            <w:r w:rsidRPr="00782918">
              <w:rPr>
                <w:rFonts w:ascii="Arial" w:hAnsi="Arial" w:cs="Arial"/>
                <w:b/>
                <w:bCs/>
                <w:color w:val="000000"/>
                <w:sz w:val="16"/>
                <w:szCs w:val="16"/>
              </w:rPr>
              <w:t>Description</w:t>
            </w:r>
          </w:p>
        </w:tc>
        <w:tc>
          <w:tcPr>
            <w:tcW w:w="1180" w:type="dxa"/>
            <w:tcBorders>
              <w:top w:val="nil"/>
              <w:left w:val="nil"/>
              <w:bottom w:val="single" w:sz="8" w:space="0" w:color="008000"/>
              <w:right w:val="single" w:sz="8" w:space="0" w:color="008000"/>
            </w:tcBorders>
            <w:shd w:val="clear" w:color="000000" w:fill="FFFFE1"/>
            <w:noWrap/>
            <w:vAlign w:val="center"/>
            <w:hideMark/>
          </w:tcPr>
          <w:p w:rsidR="009547F1" w:rsidRPr="00782918" w:rsidRDefault="009547F1" w:rsidP="00E56B71">
            <w:pPr>
              <w:rPr>
                <w:rFonts w:ascii="Arial" w:hAnsi="Arial" w:cs="Arial"/>
                <w:b/>
                <w:bCs/>
                <w:color w:val="000000"/>
                <w:sz w:val="16"/>
                <w:szCs w:val="16"/>
              </w:rPr>
            </w:pPr>
            <w:r w:rsidRPr="00782918">
              <w:rPr>
                <w:rFonts w:ascii="Arial" w:hAnsi="Arial" w:cs="Arial"/>
                <w:b/>
                <w:bCs/>
                <w:color w:val="000000"/>
                <w:sz w:val="16"/>
                <w:szCs w:val="16"/>
              </w:rPr>
              <w:t>City</w:t>
            </w:r>
          </w:p>
        </w:tc>
      </w:tr>
      <w:tr w:rsidR="009547F1" w:rsidRPr="00782918" w:rsidTr="0074377E">
        <w:trPr>
          <w:trHeight w:val="315"/>
          <w:jc w:val="center"/>
        </w:trPr>
        <w:tc>
          <w:tcPr>
            <w:tcW w:w="8780" w:type="dxa"/>
            <w:gridSpan w:val="3"/>
            <w:tcBorders>
              <w:top w:val="nil"/>
              <w:left w:val="single" w:sz="8" w:space="0" w:color="008000"/>
              <w:bottom w:val="dashed" w:sz="8" w:space="0" w:color="008000"/>
              <w:right w:val="single" w:sz="8" w:space="0" w:color="008000"/>
            </w:tcBorders>
            <w:shd w:val="clear" w:color="000000" w:fill="FFFFE1"/>
            <w:vAlign w:val="center"/>
            <w:hideMark/>
          </w:tcPr>
          <w:p w:rsidR="009547F1" w:rsidRPr="00782918" w:rsidRDefault="009547F1" w:rsidP="00E56B71">
            <w:pPr>
              <w:jc w:val="center"/>
              <w:rPr>
                <w:rFonts w:ascii="Arial" w:hAnsi="Arial" w:cs="Arial"/>
                <w:b/>
                <w:bCs/>
                <w:i/>
                <w:iCs/>
                <w:color w:val="000000"/>
                <w:sz w:val="16"/>
                <w:szCs w:val="16"/>
              </w:rPr>
            </w:pPr>
            <w:r w:rsidRPr="00782918">
              <w:rPr>
                <w:rFonts w:ascii="Arial" w:hAnsi="Arial" w:cs="Arial"/>
                <w:b/>
                <w:bCs/>
                <w:i/>
                <w:iCs/>
                <w:color w:val="000000"/>
                <w:sz w:val="16"/>
                <w:szCs w:val="16"/>
              </w:rPr>
              <w:t>Balance of State CoC</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Battered Families Services</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Emergency shelter for Mixed Populations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Gallup</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Carlsbad Battered Families Shelter</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Emergency shelter for Mixed Populations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Carlsbad</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Community Against Violence</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 xml:space="preserve">Emergency shelter for Mixed Populations </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Taos</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El Puente del Socorro</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Emergency shelter for Mixed Populations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Socorro</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Esperanza Shelter</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Emergency shelter for Mixed Populations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Santa Fe</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Grammy's House</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Emergency shelter for Mixed Populations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Artesia</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Roberta's Place</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Emergency shelter for Mixed Populations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Grants</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Roswell Refuge for Battered Adults</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Emergency shelter for Mixed Populations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Roswell</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St. Elizabeth Shelter</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Emergency shelter for Mixed Populations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Santa Fe</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Care 66</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Emergency Shelter for Adults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Gallup</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COPE Inc.</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Emergency Shelter for Adults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Alamogordo</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County of Luna</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Emergency Shelter for Adults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Deming</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Crisis Center of Northern New Mexico</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Emergency Shelter for Adults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Espanola</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Family Crisis Center</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Emergency Shelter for Adults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Farmington</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Interfaith Community Shelter</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Emergency Shelter for Adults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Santa Fe</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La Casa Inc.</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Emergency Shelter for Adults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Las Cruces</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Las Cruces Gospel Rescue Mission</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Emergency Shelter for Adults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Las Cruces</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Manna Outreach</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Emergency Shelter for Adults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Hobbs</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Missionaries of Charities, Inc.</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Emergency Shelter for Adults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Gallup</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N'Nizhoozhi Center</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Emergency Shelter for Adults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Gallup</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PATH (San Juan)</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Emergency Shelter for Adults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San Juan</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Salvation Army of Farmington</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Emergency Shelter for Adults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Farmington</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Samaritan House</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Emergency Shelter for Adults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Las Vegas</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Shiprock Home for Women and Children</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Emergency Shelter for Adults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Shiprock</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St. Elizabeth Shelter</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Emergency Shelter for Adults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Santa Fe</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St. Vincent de Paul in Deming</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Emergency Shelter for Adults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Deming</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Taos Coalition to End Homelessness</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Emergency Shelter for Adults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Taos</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The Hartley House</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Emergency Shelter for Adults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Clovis</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Valencia Shelter for Domestic Violence</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Emergency Shelter for Adults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Las Lunas</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Assurance House</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Emergency Shelters for Youth</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Roswell</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Childhaven</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Emergency Shelters for Youth</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Farmington</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DreamTree Project</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Emergency Shelters for Youth</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Taos</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Families and Youth Inc.</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Emergency Shelters for Youth</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Las Cruces</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Navajo Ministries</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Emergency Shelters for Youth</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Farmington</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Youth Shelters and Family Services</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Emergency Shelters for Youth</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Sa</w:t>
            </w:r>
            <w:r>
              <w:rPr>
                <w:rFonts w:ascii="Arial" w:hAnsi="Arial" w:cs="Arial"/>
                <w:color w:val="000000"/>
                <w:sz w:val="16"/>
                <w:szCs w:val="16"/>
              </w:rPr>
              <w:t>n</w:t>
            </w:r>
            <w:r w:rsidRPr="00782918">
              <w:rPr>
                <w:rFonts w:ascii="Arial" w:hAnsi="Arial" w:cs="Arial"/>
                <w:color w:val="000000"/>
                <w:sz w:val="16"/>
                <w:szCs w:val="16"/>
              </w:rPr>
              <w:t>ta Fe</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Catholic Charities of Gallup</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Transitional Housing for Families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Gallup</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Catholic Charities Sandoval</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Transitional Housing for Families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Sandoval</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St. Elizabeth Shelter</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Transitional Housing for Families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Santa Fe</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Supportive Housing Coalition of NM</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Transitional Housing for Families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Gallup</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Community Against Violence</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Transitional Housing for Mixed Populations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Taos</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El Refugo</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Transitional Housing for Mixed Populations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Silver City</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Haven House</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Transitional Housing for Mixed Populations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Rio Rancho</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Navajo United Methodist Center</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Transitional Housing for Mixed Populations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Farmington</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Battered Families Services</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Transitional Housing for Adult Individuals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Gallup</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Bernalillo Catholic Charities</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Transitional Housing for Adult Individuals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Bernalillo</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Care 66</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Transitional Housing for Adult Individuals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Gallup</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Carlsbad Transitional Housing</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Transitional Housing for Adult Individuals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Carlsbad</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Eastern Plains Development Corporation</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Transitional Housing for Adult Individuals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Pr>
                <w:rFonts w:ascii="Arial" w:hAnsi="Arial" w:cs="Arial"/>
                <w:color w:val="000000"/>
                <w:sz w:val="16"/>
                <w:szCs w:val="16"/>
              </w:rPr>
              <w:t>Clo</w:t>
            </w:r>
            <w:r w:rsidRPr="00782918">
              <w:rPr>
                <w:rFonts w:ascii="Arial" w:hAnsi="Arial" w:cs="Arial"/>
                <w:color w:val="000000"/>
                <w:sz w:val="16"/>
                <w:szCs w:val="16"/>
              </w:rPr>
              <w:t>vis</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Families and Youth Inc.</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Transitional Housing for Adult Individuals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Las Cruces</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La Casa Inc.</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Transitional Housing for Adult Individuals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Las Cruces</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Life Link</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Transitional Housing for Adult Individuals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Santa Fe</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Masada House Inc.</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Transitional Housing for Adult Individuals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Farmington</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Masilla Valley Community of Hope</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Transitional Housing for Adult Individuals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Las Cruces</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Samaritan House</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Transitional Housing for Adult Individuals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Las Vegas</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San Juan County Partnership</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Transitional Housing for Adult Individuals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Farmington</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Southwest Counseling Center</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Transitional Housing for Adult Individuals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Las Cruces</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Val</w:t>
            </w:r>
            <w:r>
              <w:rPr>
                <w:rFonts w:ascii="Arial" w:hAnsi="Arial" w:cs="Arial"/>
                <w:color w:val="000000"/>
                <w:sz w:val="16"/>
                <w:szCs w:val="16"/>
              </w:rPr>
              <w:t>e</w:t>
            </w:r>
            <w:r w:rsidRPr="00782918">
              <w:rPr>
                <w:rFonts w:ascii="Arial" w:hAnsi="Arial" w:cs="Arial"/>
                <w:color w:val="000000"/>
                <w:sz w:val="16"/>
                <w:szCs w:val="16"/>
              </w:rPr>
              <w:t>ncia Shelter for Domestic Violence</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Transitional Housing for Adult Individuals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Valencia</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Western Regional Housing Authority</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Transitional Housing for Adult Individuals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Deming</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DreamTree Project</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Transitional Housing for Youth</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Taos</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Youth Shelters and Family Services</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Transitional Housing for Youth</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Santa Fe</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Life Link</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Permanent Supportive Housing for Families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Santa Fe</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Care 66</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Permanent Supportive Housing for Adult Individuals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Gallup</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Casa Milagro</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Permanent Supportive Housing for Adult Individuals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Santa Fe</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Curry County</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Permanent Supportive Housing for Adult Individuals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Clovis</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Housing Authority of the City of Las Cruces</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Permanent Supportive Housing for Adult Individuals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Las Cruces</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Life Link</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Permanent Supportive Housing for Adult Individuals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Santa Fe</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Los Lunas Housing Authority- El Camino</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Permanent Supportive Housing for Adult Individuals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Las Luna</w:t>
            </w:r>
            <w:r>
              <w:rPr>
                <w:rFonts w:ascii="Arial" w:hAnsi="Arial" w:cs="Arial"/>
                <w:color w:val="000000"/>
                <w:sz w:val="16"/>
                <w:szCs w:val="16"/>
              </w:rPr>
              <w:t>s</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Mesilla Valley Community of Hope</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Permanent Supportive Housing for Adult Individuals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Las Cruces</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Sandoval County- La Buena Vida</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Permanent Supportive Housing for Adult Individuals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Bernalillo</w:t>
            </w:r>
          </w:p>
        </w:tc>
      </w:tr>
      <w:tr w:rsidR="009547F1" w:rsidRPr="00782918" w:rsidTr="0074377E">
        <w:trPr>
          <w:trHeight w:val="240"/>
          <w:jc w:val="center"/>
        </w:trPr>
        <w:tc>
          <w:tcPr>
            <w:tcW w:w="3500" w:type="dxa"/>
            <w:tcBorders>
              <w:top w:val="nil"/>
              <w:left w:val="single" w:sz="8" w:space="0" w:color="008000"/>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Santa Fe Community Housing Trust</w:t>
            </w:r>
          </w:p>
        </w:tc>
        <w:tc>
          <w:tcPr>
            <w:tcW w:w="4100" w:type="dxa"/>
            <w:tcBorders>
              <w:top w:val="nil"/>
              <w:left w:val="nil"/>
              <w:bottom w:val="nil"/>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Permanent Supportive Housing for Adult Individuals</w:t>
            </w:r>
          </w:p>
        </w:tc>
        <w:tc>
          <w:tcPr>
            <w:tcW w:w="1180" w:type="dxa"/>
            <w:tcBorders>
              <w:top w:val="nil"/>
              <w:left w:val="nil"/>
              <w:bottom w:val="nil"/>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Santa Fe</w:t>
            </w:r>
          </w:p>
        </w:tc>
      </w:tr>
      <w:tr w:rsidR="009547F1" w:rsidRPr="00782918" w:rsidTr="0074377E">
        <w:trPr>
          <w:trHeight w:val="240"/>
          <w:jc w:val="center"/>
        </w:trPr>
        <w:tc>
          <w:tcPr>
            <w:tcW w:w="3500" w:type="dxa"/>
            <w:tcBorders>
              <w:top w:val="nil"/>
              <w:left w:val="single" w:sz="8" w:space="0" w:color="008000"/>
              <w:bottom w:val="single" w:sz="8" w:space="0" w:color="008000"/>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St. Elizabeth Shelter</w:t>
            </w:r>
          </w:p>
        </w:tc>
        <w:tc>
          <w:tcPr>
            <w:tcW w:w="4100" w:type="dxa"/>
            <w:tcBorders>
              <w:top w:val="nil"/>
              <w:left w:val="nil"/>
              <w:bottom w:val="single" w:sz="8" w:space="0" w:color="008000"/>
              <w:right w:val="nil"/>
            </w:tcBorders>
            <w:shd w:val="clear" w:color="000000" w:fill="FFFFE1"/>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Permanent Supportive Housing for Adult Individuals</w:t>
            </w:r>
          </w:p>
        </w:tc>
        <w:tc>
          <w:tcPr>
            <w:tcW w:w="1180" w:type="dxa"/>
            <w:tcBorders>
              <w:top w:val="nil"/>
              <w:left w:val="nil"/>
              <w:bottom w:val="single" w:sz="8" w:space="0" w:color="008000"/>
              <w:right w:val="single" w:sz="8" w:space="0" w:color="008000"/>
            </w:tcBorders>
            <w:shd w:val="clear" w:color="000000" w:fill="FFFFE1"/>
            <w:noWrap/>
            <w:vAlign w:val="center"/>
            <w:hideMark/>
          </w:tcPr>
          <w:p w:rsidR="009547F1" w:rsidRPr="00782918" w:rsidRDefault="009547F1" w:rsidP="00E56B71">
            <w:pPr>
              <w:rPr>
                <w:rFonts w:ascii="Arial" w:hAnsi="Arial" w:cs="Arial"/>
                <w:color w:val="000000"/>
                <w:sz w:val="16"/>
                <w:szCs w:val="16"/>
              </w:rPr>
            </w:pPr>
            <w:r w:rsidRPr="00782918">
              <w:rPr>
                <w:rFonts w:ascii="Arial" w:hAnsi="Arial" w:cs="Arial"/>
                <w:color w:val="000000"/>
                <w:sz w:val="16"/>
                <w:szCs w:val="16"/>
              </w:rPr>
              <w:t>Santa Fe</w:t>
            </w:r>
          </w:p>
        </w:tc>
      </w:tr>
    </w:tbl>
    <w:p w:rsidR="009547F1" w:rsidRPr="00542F38" w:rsidRDefault="009547F1" w:rsidP="009547F1">
      <w:pPr>
        <w:pStyle w:val="BodyText"/>
        <w:tabs>
          <w:tab w:val="num" w:pos="360"/>
        </w:tabs>
        <w:rPr>
          <w:rFonts w:ascii="CG Omega" w:hAnsi="CG Omega"/>
          <w:bCs/>
          <w:szCs w:val="24"/>
          <w:highlight w:val="yellow"/>
        </w:rPr>
      </w:pPr>
    </w:p>
    <w:p w:rsidR="00C87DEA" w:rsidRPr="00542F38" w:rsidRDefault="00C87DEA" w:rsidP="00C87DEA">
      <w:pPr>
        <w:pStyle w:val="BodyText"/>
        <w:tabs>
          <w:tab w:val="num" w:pos="360"/>
        </w:tabs>
        <w:rPr>
          <w:rFonts w:ascii="CG Omega" w:hAnsi="CG Omega"/>
          <w:bCs/>
          <w:szCs w:val="24"/>
        </w:rPr>
      </w:pPr>
      <w:r w:rsidRPr="00542F38">
        <w:rPr>
          <w:rFonts w:ascii="CG Omega" w:hAnsi="CG Omega"/>
          <w:bCs/>
          <w:szCs w:val="24"/>
        </w:rPr>
        <w:t xml:space="preserve">The </w:t>
      </w:r>
      <w:r w:rsidRPr="00542F38">
        <w:rPr>
          <w:rFonts w:ascii="CG Omega" w:hAnsi="CG Omega"/>
          <w:bCs/>
          <w:i/>
          <w:szCs w:val="24"/>
        </w:rPr>
        <w:t>Housing and Community Development Survey</w:t>
      </w:r>
      <w:r w:rsidRPr="00542F38">
        <w:rPr>
          <w:rFonts w:ascii="CG Omega" w:hAnsi="CG Omega"/>
          <w:bCs/>
          <w:szCs w:val="24"/>
        </w:rPr>
        <w:t xml:space="preserve"> asked stakeholder respondents in New Mexico to identify the need for additional services and facilities for this population. </w:t>
      </w:r>
      <w:r w:rsidRPr="00542F38">
        <w:rPr>
          <w:rFonts w:ascii="CG Omega" w:hAnsi="CG Omega"/>
          <w:b/>
          <w:bCs/>
          <w:szCs w:val="24"/>
        </w:rPr>
        <w:t>Table</w:t>
      </w:r>
      <w:r w:rsidR="00E84AA1" w:rsidRPr="00542F38">
        <w:rPr>
          <w:rFonts w:ascii="CG Omega" w:hAnsi="CG Omega"/>
          <w:b/>
          <w:bCs/>
          <w:szCs w:val="24"/>
        </w:rPr>
        <w:t xml:space="preserve"> V.1</w:t>
      </w:r>
      <w:r w:rsidR="000155B6" w:rsidRPr="00542F38">
        <w:rPr>
          <w:rFonts w:ascii="CG Omega" w:hAnsi="CG Omega"/>
          <w:b/>
          <w:bCs/>
          <w:szCs w:val="24"/>
        </w:rPr>
        <w:t>6</w:t>
      </w:r>
      <w:r w:rsidRPr="00542F38">
        <w:rPr>
          <w:rFonts w:ascii="CG Omega" w:hAnsi="CG Omega"/>
          <w:bCs/>
          <w:szCs w:val="24"/>
        </w:rPr>
        <w:t xml:space="preserve"> shows that over 80 percent of respondents rated the need for services and facilities for homeless persons at a medium or high need.  </w:t>
      </w:r>
    </w:p>
    <w:p w:rsidR="005977AE" w:rsidRPr="00542F38" w:rsidRDefault="005977AE" w:rsidP="00C87DEA">
      <w:pPr>
        <w:pStyle w:val="BodyText"/>
        <w:tabs>
          <w:tab w:val="num" w:pos="360"/>
        </w:tabs>
        <w:rPr>
          <w:rFonts w:ascii="CG Omega" w:hAnsi="CG Omega"/>
          <w:bCs/>
          <w:szCs w:val="24"/>
          <w:highlight w:val="yellow"/>
        </w:rPr>
      </w:pPr>
    </w:p>
    <w:tbl>
      <w:tblPr>
        <w:tblW w:w="9560" w:type="dxa"/>
        <w:jc w:val="center"/>
        <w:tblLook w:val="04A0" w:firstRow="1" w:lastRow="0" w:firstColumn="1" w:lastColumn="0" w:noHBand="0" w:noVBand="1"/>
      </w:tblPr>
      <w:tblGrid>
        <w:gridCol w:w="2335"/>
        <w:gridCol w:w="902"/>
        <w:gridCol w:w="902"/>
        <w:gridCol w:w="1357"/>
        <w:gridCol w:w="902"/>
        <w:gridCol w:w="1695"/>
        <w:gridCol w:w="1467"/>
      </w:tblGrid>
      <w:tr w:rsidR="00C87DEA" w:rsidRPr="00D2483D" w:rsidTr="00E56B71">
        <w:trPr>
          <w:trHeight w:val="300"/>
          <w:jc w:val="center"/>
        </w:trPr>
        <w:tc>
          <w:tcPr>
            <w:tcW w:w="9560" w:type="dxa"/>
            <w:gridSpan w:val="7"/>
            <w:tcBorders>
              <w:top w:val="nil"/>
              <w:left w:val="nil"/>
              <w:bottom w:val="nil"/>
              <w:right w:val="nil"/>
            </w:tcBorders>
            <w:shd w:val="clear" w:color="auto" w:fill="auto"/>
            <w:noWrap/>
            <w:vAlign w:val="center"/>
            <w:hideMark/>
          </w:tcPr>
          <w:p w:rsidR="00C87DEA" w:rsidRPr="00D2483D" w:rsidRDefault="00C87DEA" w:rsidP="005977AE">
            <w:pPr>
              <w:jc w:val="center"/>
              <w:rPr>
                <w:rFonts w:ascii="Arial" w:hAnsi="Arial" w:cs="Arial"/>
                <w:b/>
                <w:bCs/>
                <w:color w:val="000000"/>
                <w:sz w:val="22"/>
                <w:szCs w:val="22"/>
              </w:rPr>
            </w:pPr>
            <w:r w:rsidRPr="00832AB3">
              <w:rPr>
                <w:rFonts w:ascii="Arial" w:hAnsi="Arial" w:cs="Arial"/>
                <w:b/>
                <w:bCs/>
                <w:color w:val="000000"/>
                <w:sz w:val="22"/>
                <w:szCs w:val="22"/>
              </w:rPr>
              <w:t>Table</w:t>
            </w:r>
            <w:r w:rsidRPr="00D2483D">
              <w:rPr>
                <w:rFonts w:ascii="Arial" w:hAnsi="Arial" w:cs="Arial"/>
                <w:b/>
                <w:bCs/>
                <w:color w:val="000000"/>
                <w:sz w:val="22"/>
                <w:szCs w:val="22"/>
              </w:rPr>
              <w:t xml:space="preserve"> </w:t>
            </w:r>
            <w:r w:rsidR="00832AB3">
              <w:rPr>
                <w:rFonts w:ascii="Arial" w:hAnsi="Arial" w:cs="Arial"/>
                <w:b/>
                <w:bCs/>
                <w:color w:val="000000"/>
                <w:sz w:val="22"/>
                <w:szCs w:val="22"/>
              </w:rPr>
              <w:t>V.1</w:t>
            </w:r>
            <w:r w:rsidR="000155B6">
              <w:rPr>
                <w:rFonts w:ascii="Arial" w:hAnsi="Arial" w:cs="Arial"/>
                <w:b/>
                <w:bCs/>
                <w:color w:val="000000"/>
                <w:sz w:val="22"/>
                <w:szCs w:val="22"/>
              </w:rPr>
              <w:t>6</w:t>
            </w:r>
          </w:p>
        </w:tc>
      </w:tr>
      <w:tr w:rsidR="00C87DEA" w:rsidRPr="00D2483D" w:rsidTr="00E56B71">
        <w:trPr>
          <w:trHeight w:val="207"/>
          <w:jc w:val="center"/>
        </w:trPr>
        <w:tc>
          <w:tcPr>
            <w:tcW w:w="9560" w:type="dxa"/>
            <w:gridSpan w:val="7"/>
            <w:tcBorders>
              <w:top w:val="nil"/>
              <w:left w:val="nil"/>
              <w:bottom w:val="nil"/>
              <w:right w:val="nil"/>
            </w:tcBorders>
            <w:shd w:val="clear" w:color="auto" w:fill="auto"/>
            <w:noWrap/>
            <w:vAlign w:val="center"/>
            <w:hideMark/>
          </w:tcPr>
          <w:p w:rsidR="00C87DEA" w:rsidRPr="00D2483D" w:rsidRDefault="00C87DEA" w:rsidP="00E56B71">
            <w:pPr>
              <w:jc w:val="center"/>
              <w:rPr>
                <w:rFonts w:ascii="Arial" w:hAnsi="Arial" w:cs="Arial"/>
                <w:b/>
                <w:bCs/>
                <w:color w:val="000000"/>
                <w:sz w:val="20"/>
                <w:szCs w:val="20"/>
              </w:rPr>
            </w:pPr>
            <w:r w:rsidRPr="00D2483D">
              <w:rPr>
                <w:rFonts w:ascii="Arial" w:hAnsi="Arial" w:cs="Arial"/>
                <w:b/>
                <w:bCs/>
                <w:color w:val="000000"/>
                <w:sz w:val="20"/>
                <w:szCs w:val="20"/>
              </w:rPr>
              <w:t>Please rate the need for services and facilities for each of the following special needs groups.</w:t>
            </w:r>
          </w:p>
        </w:tc>
      </w:tr>
      <w:tr w:rsidR="00C87DEA" w:rsidRPr="00D2483D" w:rsidTr="00E56B71">
        <w:trPr>
          <w:trHeight w:val="180"/>
          <w:jc w:val="center"/>
        </w:trPr>
        <w:tc>
          <w:tcPr>
            <w:tcW w:w="9560" w:type="dxa"/>
            <w:gridSpan w:val="7"/>
            <w:tcBorders>
              <w:top w:val="nil"/>
              <w:left w:val="nil"/>
              <w:bottom w:val="nil"/>
              <w:right w:val="nil"/>
            </w:tcBorders>
            <w:shd w:val="clear" w:color="auto" w:fill="auto"/>
            <w:noWrap/>
            <w:vAlign w:val="center"/>
            <w:hideMark/>
          </w:tcPr>
          <w:p w:rsidR="00C87DEA" w:rsidRPr="00D2483D" w:rsidRDefault="00C87DEA" w:rsidP="00E56B71">
            <w:pPr>
              <w:jc w:val="center"/>
              <w:rPr>
                <w:rFonts w:ascii="Arial" w:hAnsi="Arial" w:cs="Arial"/>
                <w:color w:val="000000"/>
                <w:sz w:val="16"/>
                <w:szCs w:val="16"/>
              </w:rPr>
            </w:pPr>
            <w:r w:rsidRPr="00D2483D">
              <w:rPr>
                <w:rFonts w:ascii="Arial" w:hAnsi="Arial" w:cs="Arial"/>
                <w:noProof/>
                <w:color w:val="000000"/>
                <w:sz w:val="16"/>
                <w:szCs w:val="16"/>
              </w:rPr>
              <w:t>State of New Mexico</w:t>
            </w:r>
          </w:p>
        </w:tc>
      </w:tr>
      <w:tr w:rsidR="00C87DEA" w:rsidRPr="00D2483D" w:rsidTr="00E56B71">
        <w:trPr>
          <w:trHeight w:val="108"/>
          <w:jc w:val="center"/>
        </w:trPr>
        <w:tc>
          <w:tcPr>
            <w:tcW w:w="9560" w:type="dxa"/>
            <w:gridSpan w:val="7"/>
            <w:tcBorders>
              <w:top w:val="nil"/>
              <w:left w:val="nil"/>
              <w:bottom w:val="single" w:sz="8" w:space="0" w:color="009900"/>
              <w:right w:val="nil"/>
            </w:tcBorders>
            <w:shd w:val="clear" w:color="auto" w:fill="auto"/>
            <w:noWrap/>
            <w:vAlign w:val="center"/>
            <w:hideMark/>
          </w:tcPr>
          <w:p w:rsidR="00C87DEA" w:rsidRPr="00D2483D" w:rsidRDefault="00C87DEA" w:rsidP="00E56B71">
            <w:pPr>
              <w:jc w:val="center"/>
              <w:rPr>
                <w:rFonts w:ascii="Arial" w:hAnsi="Arial" w:cs="Arial"/>
                <w:color w:val="000000"/>
                <w:sz w:val="16"/>
                <w:szCs w:val="16"/>
              </w:rPr>
            </w:pPr>
            <w:r w:rsidRPr="00D2483D">
              <w:rPr>
                <w:rFonts w:ascii="Arial" w:hAnsi="Arial" w:cs="Arial"/>
                <w:bCs/>
                <w:color w:val="000000"/>
                <w:sz w:val="16"/>
                <w:szCs w:val="16"/>
              </w:rPr>
              <w:t>2014 Housing and Community Development Survey</w:t>
            </w:r>
          </w:p>
        </w:tc>
      </w:tr>
      <w:tr w:rsidR="00C87DEA" w:rsidRPr="00D2483D" w:rsidTr="00E56B71">
        <w:trPr>
          <w:trHeight w:val="300"/>
          <w:jc w:val="center"/>
        </w:trPr>
        <w:tc>
          <w:tcPr>
            <w:tcW w:w="2335" w:type="dxa"/>
            <w:vMerge w:val="restart"/>
            <w:tcBorders>
              <w:top w:val="nil"/>
              <w:left w:val="single" w:sz="8" w:space="0" w:color="009900"/>
              <w:bottom w:val="single" w:sz="8" w:space="0" w:color="009900"/>
              <w:right w:val="nil"/>
            </w:tcBorders>
            <w:shd w:val="clear" w:color="000000" w:fill="FFFFE1"/>
            <w:noWrap/>
            <w:vAlign w:val="center"/>
            <w:hideMark/>
          </w:tcPr>
          <w:p w:rsidR="00C87DEA" w:rsidRPr="00D2483D" w:rsidRDefault="00C87DEA" w:rsidP="00E56B71">
            <w:pPr>
              <w:rPr>
                <w:rFonts w:ascii="Arial" w:hAnsi="Arial" w:cs="Arial"/>
                <w:b/>
                <w:bCs/>
                <w:color w:val="000000"/>
                <w:sz w:val="16"/>
                <w:szCs w:val="16"/>
              </w:rPr>
            </w:pPr>
            <w:r w:rsidRPr="00D2483D">
              <w:rPr>
                <w:rFonts w:ascii="Arial" w:hAnsi="Arial" w:cs="Arial"/>
                <w:b/>
                <w:bCs/>
                <w:color w:val="000000"/>
                <w:sz w:val="16"/>
                <w:szCs w:val="16"/>
              </w:rPr>
              <w:t>Question</w:t>
            </w:r>
          </w:p>
        </w:tc>
        <w:tc>
          <w:tcPr>
            <w:tcW w:w="902" w:type="dxa"/>
            <w:tcBorders>
              <w:top w:val="nil"/>
              <w:left w:val="nil"/>
              <w:bottom w:val="nil"/>
              <w:right w:val="nil"/>
            </w:tcBorders>
            <w:shd w:val="clear" w:color="000000" w:fill="FFFFE1"/>
            <w:noWrap/>
            <w:vAlign w:val="center"/>
            <w:hideMark/>
          </w:tcPr>
          <w:p w:rsidR="00C87DEA" w:rsidRPr="00D2483D" w:rsidRDefault="00C87DEA" w:rsidP="00E56B71">
            <w:pPr>
              <w:jc w:val="center"/>
              <w:rPr>
                <w:rFonts w:ascii="Arial" w:hAnsi="Arial" w:cs="Arial"/>
                <w:b/>
                <w:bCs/>
                <w:color w:val="000000"/>
                <w:sz w:val="16"/>
                <w:szCs w:val="16"/>
              </w:rPr>
            </w:pPr>
            <w:r w:rsidRPr="00D2483D">
              <w:rPr>
                <w:rFonts w:ascii="Arial" w:hAnsi="Arial" w:cs="Arial"/>
                <w:b/>
                <w:bCs/>
                <w:color w:val="000000"/>
                <w:sz w:val="16"/>
                <w:szCs w:val="16"/>
              </w:rPr>
              <w:t xml:space="preserve">No </w:t>
            </w:r>
          </w:p>
        </w:tc>
        <w:tc>
          <w:tcPr>
            <w:tcW w:w="902" w:type="dxa"/>
            <w:tcBorders>
              <w:top w:val="nil"/>
              <w:left w:val="nil"/>
              <w:bottom w:val="nil"/>
              <w:right w:val="nil"/>
            </w:tcBorders>
            <w:shd w:val="clear" w:color="000000" w:fill="FFFFE1"/>
            <w:noWrap/>
            <w:vAlign w:val="center"/>
            <w:hideMark/>
          </w:tcPr>
          <w:p w:rsidR="00C87DEA" w:rsidRPr="00D2483D" w:rsidRDefault="00C87DEA" w:rsidP="00E56B71">
            <w:pPr>
              <w:jc w:val="center"/>
              <w:rPr>
                <w:rFonts w:ascii="Arial" w:hAnsi="Arial" w:cs="Arial"/>
                <w:b/>
                <w:bCs/>
                <w:color w:val="000000"/>
                <w:sz w:val="16"/>
                <w:szCs w:val="16"/>
              </w:rPr>
            </w:pPr>
            <w:r w:rsidRPr="00D2483D">
              <w:rPr>
                <w:rFonts w:ascii="Arial" w:hAnsi="Arial" w:cs="Arial"/>
                <w:b/>
                <w:bCs/>
                <w:color w:val="000000"/>
                <w:sz w:val="16"/>
                <w:szCs w:val="16"/>
              </w:rPr>
              <w:t xml:space="preserve">Low </w:t>
            </w:r>
          </w:p>
        </w:tc>
        <w:tc>
          <w:tcPr>
            <w:tcW w:w="1357" w:type="dxa"/>
            <w:tcBorders>
              <w:top w:val="nil"/>
              <w:left w:val="nil"/>
              <w:bottom w:val="nil"/>
              <w:right w:val="nil"/>
            </w:tcBorders>
            <w:shd w:val="clear" w:color="000000" w:fill="FFFFE1"/>
            <w:noWrap/>
            <w:vAlign w:val="center"/>
            <w:hideMark/>
          </w:tcPr>
          <w:p w:rsidR="00C87DEA" w:rsidRPr="00D2483D" w:rsidRDefault="00C87DEA" w:rsidP="00E56B71">
            <w:pPr>
              <w:jc w:val="center"/>
              <w:rPr>
                <w:rFonts w:ascii="Arial" w:hAnsi="Arial" w:cs="Arial"/>
                <w:b/>
                <w:bCs/>
                <w:color w:val="000000"/>
                <w:sz w:val="16"/>
                <w:szCs w:val="16"/>
              </w:rPr>
            </w:pPr>
            <w:r w:rsidRPr="00D2483D">
              <w:rPr>
                <w:rFonts w:ascii="Arial" w:hAnsi="Arial" w:cs="Arial"/>
                <w:b/>
                <w:bCs/>
                <w:color w:val="000000"/>
                <w:sz w:val="16"/>
                <w:szCs w:val="16"/>
              </w:rPr>
              <w:t xml:space="preserve">Medium </w:t>
            </w:r>
          </w:p>
        </w:tc>
        <w:tc>
          <w:tcPr>
            <w:tcW w:w="902" w:type="dxa"/>
            <w:tcBorders>
              <w:top w:val="nil"/>
              <w:left w:val="nil"/>
              <w:bottom w:val="nil"/>
              <w:right w:val="nil"/>
            </w:tcBorders>
            <w:shd w:val="clear" w:color="000000" w:fill="FFFFE1"/>
            <w:noWrap/>
            <w:vAlign w:val="center"/>
            <w:hideMark/>
          </w:tcPr>
          <w:p w:rsidR="00C87DEA" w:rsidRPr="00D2483D" w:rsidRDefault="00C87DEA" w:rsidP="00E56B71">
            <w:pPr>
              <w:jc w:val="center"/>
              <w:rPr>
                <w:rFonts w:ascii="Arial" w:hAnsi="Arial" w:cs="Arial"/>
                <w:b/>
                <w:bCs/>
                <w:color w:val="000000"/>
                <w:sz w:val="16"/>
                <w:szCs w:val="16"/>
              </w:rPr>
            </w:pPr>
            <w:r w:rsidRPr="00D2483D">
              <w:rPr>
                <w:rFonts w:ascii="Arial" w:hAnsi="Arial" w:cs="Arial"/>
                <w:b/>
                <w:bCs/>
                <w:color w:val="000000"/>
                <w:sz w:val="16"/>
                <w:szCs w:val="16"/>
              </w:rPr>
              <w:t xml:space="preserve">High </w:t>
            </w:r>
          </w:p>
        </w:tc>
        <w:tc>
          <w:tcPr>
            <w:tcW w:w="1695" w:type="dxa"/>
            <w:vMerge w:val="restart"/>
            <w:tcBorders>
              <w:top w:val="nil"/>
              <w:left w:val="nil"/>
              <w:bottom w:val="single" w:sz="8" w:space="0" w:color="009900"/>
              <w:right w:val="nil"/>
            </w:tcBorders>
            <w:shd w:val="clear" w:color="000000" w:fill="FFFFE1"/>
            <w:vAlign w:val="center"/>
            <w:hideMark/>
          </w:tcPr>
          <w:p w:rsidR="00C87DEA" w:rsidRPr="00D2483D" w:rsidRDefault="00C87DEA" w:rsidP="00E56B71">
            <w:pPr>
              <w:jc w:val="center"/>
              <w:rPr>
                <w:rFonts w:ascii="Arial" w:hAnsi="Arial" w:cs="Arial"/>
                <w:b/>
                <w:bCs/>
                <w:color w:val="000000"/>
                <w:sz w:val="16"/>
                <w:szCs w:val="16"/>
              </w:rPr>
            </w:pPr>
            <w:r w:rsidRPr="00D2483D">
              <w:rPr>
                <w:rFonts w:ascii="Arial" w:hAnsi="Arial" w:cs="Arial"/>
                <w:b/>
                <w:bCs/>
                <w:color w:val="000000"/>
                <w:sz w:val="16"/>
                <w:szCs w:val="16"/>
              </w:rPr>
              <w:t>Missing</w:t>
            </w:r>
          </w:p>
        </w:tc>
        <w:tc>
          <w:tcPr>
            <w:tcW w:w="1467" w:type="dxa"/>
            <w:vMerge w:val="restart"/>
            <w:tcBorders>
              <w:top w:val="nil"/>
              <w:left w:val="nil"/>
              <w:bottom w:val="single" w:sz="8" w:space="0" w:color="009900"/>
              <w:right w:val="single" w:sz="8" w:space="0" w:color="009900"/>
            </w:tcBorders>
            <w:shd w:val="clear" w:color="000000" w:fill="FFFFE1"/>
            <w:vAlign w:val="center"/>
            <w:hideMark/>
          </w:tcPr>
          <w:p w:rsidR="00C87DEA" w:rsidRPr="00D2483D" w:rsidRDefault="00C87DEA" w:rsidP="00E56B71">
            <w:pPr>
              <w:jc w:val="center"/>
              <w:rPr>
                <w:rFonts w:ascii="Arial" w:hAnsi="Arial" w:cs="Arial"/>
                <w:b/>
                <w:bCs/>
                <w:color w:val="000000"/>
                <w:sz w:val="16"/>
                <w:szCs w:val="16"/>
              </w:rPr>
            </w:pPr>
            <w:r w:rsidRPr="00D2483D">
              <w:rPr>
                <w:rFonts w:ascii="Arial" w:hAnsi="Arial" w:cs="Arial"/>
                <w:b/>
                <w:bCs/>
                <w:color w:val="000000"/>
                <w:sz w:val="16"/>
                <w:szCs w:val="16"/>
              </w:rPr>
              <w:t>Total</w:t>
            </w:r>
          </w:p>
        </w:tc>
      </w:tr>
      <w:tr w:rsidR="00C87DEA" w:rsidRPr="00D2483D" w:rsidTr="00E56B71">
        <w:trPr>
          <w:trHeight w:val="315"/>
          <w:jc w:val="center"/>
        </w:trPr>
        <w:tc>
          <w:tcPr>
            <w:tcW w:w="2335" w:type="dxa"/>
            <w:vMerge/>
            <w:tcBorders>
              <w:top w:val="nil"/>
              <w:left w:val="single" w:sz="8" w:space="0" w:color="009900"/>
              <w:bottom w:val="single" w:sz="8" w:space="0" w:color="009900"/>
              <w:right w:val="nil"/>
            </w:tcBorders>
            <w:vAlign w:val="center"/>
            <w:hideMark/>
          </w:tcPr>
          <w:p w:rsidR="00C87DEA" w:rsidRPr="00D2483D" w:rsidRDefault="00C87DEA" w:rsidP="00E56B71">
            <w:pPr>
              <w:rPr>
                <w:rFonts w:ascii="Arial" w:hAnsi="Arial" w:cs="Arial"/>
                <w:b/>
                <w:bCs/>
                <w:color w:val="000000"/>
                <w:sz w:val="16"/>
                <w:szCs w:val="16"/>
              </w:rPr>
            </w:pPr>
          </w:p>
        </w:tc>
        <w:tc>
          <w:tcPr>
            <w:tcW w:w="902" w:type="dxa"/>
            <w:tcBorders>
              <w:top w:val="nil"/>
              <w:left w:val="nil"/>
              <w:bottom w:val="single" w:sz="8" w:space="0" w:color="009900"/>
              <w:right w:val="nil"/>
            </w:tcBorders>
            <w:shd w:val="clear" w:color="000000" w:fill="FFFFE1"/>
            <w:noWrap/>
            <w:vAlign w:val="center"/>
            <w:hideMark/>
          </w:tcPr>
          <w:p w:rsidR="00C87DEA" w:rsidRPr="00D2483D" w:rsidRDefault="00C87DEA" w:rsidP="00E56B71">
            <w:pPr>
              <w:jc w:val="center"/>
              <w:rPr>
                <w:rFonts w:ascii="Arial" w:hAnsi="Arial" w:cs="Arial"/>
                <w:b/>
                <w:bCs/>
                <w:color w:val="000000"/>
                <w:sz w:val="16"/>
                <w:szCs w:val="16"/>
              </w:rPr>
            </w:pPr>
            <w:r w:rsidRPr="00D2483D">
              <w:rPr>
                <w:rFonts w:ascii="Arial" w:hAnsi="Arial" w:cs="Arial"/>
                <w:b/>
                <w:bCs/>
                <w:color w:val="000000"/>
                <w:sz w:val="16"/>
                <w:szCs w:val="16"/>
              </w:rPr>
              <w:t>Need</w:t>
            </w:r>
          </w:p>
        </w:tc>
        <w:tc>
          <w:tcPr>
            <w:tcW w:w="902" w:type="dxa"/>
            <w:tcBorders>
              <w:top w:val="nil"/>
              <w:left w:val="nil"/>
              <w:bottom w:val="single" w:sz="8" w:space="0" w:color="009900"/>
              <w:right w:val="nil"/>
            </w:tcBorders>
            <w:shd w:val="clear" w:color="000000" w:fill="FFFFE1"/>
            <w:noWrap/>
            <w:vAlign w:val="center"/>
            <w:hideMark/>
          </w:tcPr>
          <w:p w:rsidR="00C87DEA" w:rsidRPr="00D2483D" w:rsidRDefault="00C87DEA" w:rsidP="00E56B71">
            <w:pPr>
              <w:jc w:val="center"/>
              <w:rPr>
                <w:rFonts w:ascii="Arial" w:hAnsi="Arial" w:cs="Arial"/>
                <w:b/>
                <w:bCs/>
                <w:color w:val="000000"/>
                <w:sz w:val="16"/>
                <w:szCs w:val="16"/>
              </w:rPr>
            </w:pPr>
            <w:r w:rsidRPr="00D2483D">
              <w:rPr>
                <w:rFonts w:ascii="Arial" w:hAnsi="Arial" w:cs="Arial"/>
                <w:b/>
                <w:bCs/>
                <w:color w:val="000000"/>
                <w:sz w:val="16"/>
                <w:szCs w:val="16"/>
              </w:rPr>
              <w:t>Need</w:t>
            </w:r>
          </w:p>
        </w:tc>
        <w:tc>
          <w:tcPr>
            <w:tcW w:w="1357" w:type="dxa"/>
            <w:tcBorders>
              <w:top w:val="nil"/>
              <w:left w:val="nil"/>
              <w:bottom w:val="single" w:sz="8" w:space="0" w:color="009900"/>
              <w:right w:val="nil"/>
            </w:tcBorders>
            <w:shd w:val="clear" w:color="000000" w:fill="FFFFE1"/>
            <w:noWrap/>
            <w:vAlign w:val="center"/>
            <w:hideMark/>
          </w:tcPr>
          <w:p w:rsidR="00C87DEA" w:rsidRPr="00D2483D" w:rsidRDefault="00C87DEA" w:rsidP="00E56B71">
            <w:pPr>
              <w:jc w:val="center"/>
              <w:rPr>
                <w:rFonts w:ascii="Arial" w:hAnsi="Arial" w:cs="Arial"/>
                <w:b/>
                <w:bCs/>
                <w:color w:val="000000"/>
                <w:sz w:val="16"/>
                <w:szCs w:val="16"/>
              </w:rPr>
            </w:pPr>
            <w:r w:rsidRPr="00D2483D">
              <w:rPr>
                <w:rFonts w:ascii="Arial" w:hAnsi="Arial" w:cs="Arial"/>
                <w:b/>
                <w:bCs/>
                <w:color w:val="000000"/>
                <w:sz w:val="16"/>
                <w:szCs w:val="16"/>
              </w:rPr>
              <w:t>Need</w:t>
            </w:r>
          </w:p>
        </w:tc>
        <w:tc>
          <w:tcPr>
            <w:tcW w:w="902" w:type="dxa"/>
            <w:tcBorders>
              <w:top w:val="nil"/>
              <w:left w:val="nil"/>
              <w:bottom w:val="single" w:sz="8" w:space="0" w:color="009900"/>
              <w:right w:val="nil"/>
            </w:tcBorders>
            <w:shd w:val="clear" w:color="000000" w:fill="FFFFE1"/>
            <w:noWrap/>
            <w:vAlign w:val="center"/>
            <w:hideMark/>
          </w:tcPr>
          <w:p w:rsidR="00C87DEA" w:rsidRPr="00D2483D" w:rsidRDefault="00C87DEA" w:rsidP="00E56B71">
            <w:pPr>
              <w:jc w:val="center"/>
              <w:rPr>
                <w:rFonts w:ascii="Arial" w:hAnsi="Arial" w:cs="Arial"/>
                <w:b/>
                <w:bCs/>
                <w:color w:val="000000"/>
                <w:sz w:val="16"/>
                <w:szCs w:val="16"/>
              </w:rPr>
            </w:pPr>
            <w:r w:rsidRPr="00D2483D">
              <w:rPr>
                <w:rFonts w:ascii="Arial" w:hAnsi="Arial" w:cs="Arial"/>
                <w:b/>
                <w:bCs/>
                <w:color w:val="000000"/>
                <w:sz w:val="16"/>
                <w:szCs w:val="16"/>
              </w:rPr>
              <w:t>Need</w:t>
            </w:r>
          </w:p>
        </w:tc>
        <w:tc>
          <w:tcPr>
            <w:tcW w:w="1695" w:type="dxa"/>
            <w:vMerge/>
            <w:tcBorders>
              <w:top w:val="nil"/>
              <w:left w:val="nil"/>
              <w:bottom w:val="single" w:sz="8" w:space="0" w:color="009900"/>
              <w:right w:val="nil"/>
            </w:tcBorders>
            <w:vAlign w:val="center"/>
            <w:hideMark/>
          </w:tcPr>
          <w:p w:rsidR="00C87DEA" w:rsidRPr="00D2483D" w:rsidRDefault="00C87DEA" w:rsidP="00E56B71">
            <w:pPr>
              <w:rPr>
                <w:rFonts w:ascii="Arial" w:hAnsi="Arial" w:cs="Arial"/>
                <w:b/>
                <w:bCs/>
                <w:color w:val="000000"/>
                <w:sz w:val="16"/>
                <w:szCs w:val="16"/>
              </w:rPr>
            </w:pPr>
          </w:p>
        </w:tc>
        <w:tc>
          <w:tcPr>
            <w:tcW w:w="1467" w:type="dxa"/>
            <w:vMerge/>
            <w:tcBorders>
              <w:top w:val="nil"/>
              <w:left w:val="nil"/>
              <w:bottom w:val="single" w:sz="8" w:space="0" w:color="009900"/>
              <w:right w:val="single" w:sz="8" w:space="0" w:color="009900"/>
            </w:tcBorders>
            <w:vAlign w:val="center"/>
            <w:hideMark/>
          </w:tcPr>
          <w:p w:rsidR="00C87DEA" w:rsidRPr="00D2483D" w:rsidRDefault="00C87DEA" w:rsidP="00E56B71">
            <w:pPr>
              <w:rPr>
                <w:rFonts w:ascii="Arial" w:hAnsi="Arial" w:cs="Arial"/>
                <w:b/>
                <w:bCs/>
                <w:color w:val="000000"/>
                <w:sz w:val="16"/>
                <w:szCs w:val="16"/>
              </w:rPr>
            </w:pPr>
          </w:p>
        </w:tc>
      </w:tr>
      <w:tr w:rsidR="00C87DEA" w:rsidRPr="00D2483D" w:rsidTr="00E56B71">
        <w:trPr>
          <w:trHeight w:val="315"/>
          <w:jc w:val="center"/>
        </w:trPr>
        <w:tc>
          <w:tcPr>
            <w:tcW w:w="2335" w:type="dxa"/>
            <w:tcBorders>
              <w:top w:val="nil"/>
              <w:left w:val="single" w:sz="8" w:space="0" w:color="009900"/>
              <w:bottom w:val="single" w:sz="8" w:space="0" w:color="009900"/>
              <w:right w:val="nil"/>
            </w:tcBorders>
            <w:shd w:val="clear" w:color="000000" w:fill="FFFFE1"/>
            <w:noWrap/>
            <w:vAlign w:val="center"/>
            <w:hideMark/>
          </w:tcPr>
          <w:p w:rsidR="00C87DEA" w:rsidRPr="00D2483D" w:rsidRDefault="00C87DEA" w:rsidP="00E56B71">
            <w:pPr>
              <w:rPr>
                <w:rFonts w:ascii="Arial" w:hAnsi="Arial" w:cs="Arial"/>
                <w:color w:val="000000"/>
                <w:sz w:val="16"/>
                <w:szCs w:val="16"/>
              </w:rPr>
            </w:pPr>
            <w:r w:rsidRPr="00D2483D">
              <w:rPr>
                <w:rFonts w:ascii="Arial" w:hAnsi="Arial" w:cs="Arial"/>
                <w:color w:val="000000"/>
                <w:sz w:val="16"/>
                <w:szCs w:val="16"/>
              </w:rPr>
              <w:t>Homeless persons</w:t>
            </w:r>
          </w:p>
        </w:tc>
        <w:tc>
          <w:tcPr>
            <w:tcW w:w="902" w:type="dxa"/>
            <w:tcBorders>
              <w:top w:val="nil"/>
              <w:left w:val="nil"/>
              <w:bottom w:val="single" w:sz="8" w:space="0" w:color="009900"/>
              <w:right w:val="nil"/>
            </w:tcBorders>
            <w:shd w:val="clear" w:color="000000" w:fill="FFFFE1"/>
            <w:noWrap/>
            <w:vAlign w:val="center"/>
            <w:hideMark/>
          </w:tcPr>
          <w:p w:rsidR="00C87DEA" w:rsidRPr="00D2483D" w:rsidRDefault="00C87DEA" w:rsidP="00E56B71">
            <w:pPr>
              <w:jc w:val="center"/>
              <w:rPr>
                <w:rFonts w:ascii="Arial" w:hAnsi="Arial" w:cs="Arial"/>
                <w:color w:val="000000"/>
                <w:sz w:val="16"/>
                <w:szCs w:val="16"/>
              </w:rPr>
            </w:pPr>
            <w:r w:rsidRPr="00D2483D">
              <w:rPr>
                <w:rFonts w:ascii="Arial" w:hAnsi="Arial" w:cs="Arial"/>
                <w:noProof/>
                <w:color w:val="000000"/>
                <w:sz w:val="16"/>
                <w:szCs w:val="16"/>
              </w:rPr>
              <w:t>2</w:t>
            </w:r>
          </w:p>
        </w:tc>
        <w:tc>
          <w:tcPr>
            <w:tcW w:w="902" w:type="dxa"/>
            <w:tcBorders>
              <w:top w:val="nil"/>
              <w:left w:val="nil"/>
              <w:bottom w:val="single" w:sz="8" w:space="0" w:color="009900"/>
              <w:right w:val="nil"/>
            </w:tcBorders>
            <w:shd w:val="clear" w:color="000000" w:fill="FFFFE1"/>
            <w:noWrap/>
            <w:vAlign w:val="center"/>
            <w:hideMark/>
          </w:tcPr>
          <w:p w:rsidR="00C87DEA" w:rsidRPr="00D2483D" w:rsidRDefault="00C87DEA" w:rsidP="00E56B71">
            <w:pPr>
              <w:jc w:val="center"/>
              <w:rPr>
                <w:rFonts w:ascii="Arial" w:hAnsi="Arial" w:cs="Arial"/>
                <w:color w:val="000000"/>
                <w:sz w:val="16"/>
                <w:szCs w:val="16"/>
              </w:rPr>
            </w:pPr>
            <w:r w:rsidRPr="00D2483D">
              <w:rPr>
                <w:rFonts w:ascii="Arial" w:hAnsi="Arial" w:cs="Arial"/>
                <w:noProof/>
                <w:color w:val="000000"/>
                <w:sz w:val="16"/>
                <w:szCs w:val="16"/>
              </w:rPr>
              <w:t>23</w:t>
            </w:r>
          </w:p>
        </w:tc>
        <w:tc>
          <w:tcPr>
            <w:tcW w:w="1357" w:type="dxa"/>
            <w:tcBorders>
              <w:top w:val="nil"/>
              <w:left w:val="nil"/>
              <w:bottom w:val="single" w:sz="8" w:space="0" w:color="009900"/>
              <w:right w:val="nil"/>
            </w:tcBorders>
            <w:shd w:val="clear" w:color="000000" w:fill="FFFFE1"/>
            <w:noWrap/>
            <w:vAlign w:val="center"/>
            <w:hideMark/>
          </w:tcPr>
          <w:p w:rsidR="00C87DEA" w:rsidRPr="00D2483D" w:rsidRDefault="00C87DEA" w:rsidP="00E56B71">
            <w:pPr>
              <w:jc w:val="center"/>
              <w:rPr>
                <w:rFonts w:ascii="Arial" w:hAnsi="Arial" w:cs="Arial"/>
                <w:color w:val="000000"/>
                <w:sz w:val="16"/>
                <w:szCs w:val="16"/>
              </w:rPr>
            </w:pPr>
            <w:r w:rsidRPr="00D2483D">
              <w:rPr>
                <w:rFonts w:ascii="Arial" w:hAnsi="Arial" w:cs="Arial"/>
                <w:noProof/>
                <w:color w:val="000000"/>
                <w:sz w:val="16"/>
                <w:szCs w:val="16"/>
              </w:rPr>
              <w:t>66</w:t>
            </w:r>
          </w:p>
        </w:tc>
        <w:tc>
          <w:tcPr>
            <w:tcW w:w="902" w:type="dxa"/>
            <w:tcBorders>
              <w:top w:val="nil"/>
              <w:left w:val="nil"/>
              <w:bottom w:val="single" w:sz="8" w:space="0" w:color="009900"/>
              <w:right w:val="nil"/>
            </w:tcBorders>
            <w:shd w:val="clear" w:color="000000" w:fill="FFFFE1"/>
            <w:noWrap/>
            <w:vAlign w:val="center"/>
            <w:hideMark/>
          </w:tcPr>
          <w:p w:rsidR="00C87DEA" w:rsidRPr="00D2483D" w:rsidRDefault="00C87DEA" w:rsidP="00E56B71">
            <w:pPr>
              <w:jc w:val="center"/>
              <w:rPr>
                <w:rFonts w:ascii="Arial" w:hAnsi="Arial" w:cs="Arial"/>
                <w:color w:val="000000"/>
                <w:sz w:val="16"/>
                <w:szCs w:val="16"/>
              </w:rPr>
            </w:pPr>
            <w:r w:rsidRPr="00D2483D">
              <w:rPr>
                <w:rFonts w:ascii="Arial" w:hAnsi="Arial" w:cs="Arial"/>
                <w:noProof/>
                <w:color w:val="000000"/>
                <w:sz w:val="16"/>
                <w:szCs w:val="16"/>
              </w:rPr>
              <w:t>139</w:t>
            </w:r>
          </w:p>
        </w:tc>
        <w:tc>
          <w:tcPr>
            <w:tcW w:w="1695" w:type="dxa"/>
            <w:tcBorders>
              <w:top w:val="nil"/>
              <w:left w:val="nil"/>
              <w:bottom w:val="single" w:sz="8" w:space="0" w:color="009900"/>
              <w:right w:val="nil"/>
            </w:tcBorders>
            <w:shd w:val="clear" w:color="000000" w:fill="FFFFE1"/>
            <w:vAlign w:val="center"/>
            <w:hideMark/>
          </w:tcPr>
          <w:p w:rsidR="00C87DEA" w:rsidRPr="00D2483D" w:rsidRDefault="00C87DEA" w:rsidP="00E56B71">
            <w:pPr>
              <w:jc w:val="center"/>
              <w:rPr>
                <w:rFonts w:ascii="Arial" w:hAnsi="Arial" w:cs="Arial"/>
                <w:color w:val="000000"/>
                <w:sz w:val="16"/>
                <w:szCs w:val="16"/>
              </w:rPr>
            </w:pPr>
            <w:r w:rsidRPr="00D2483D">
              <w:rPr>
                <w:rFonts w:ascii="Arial" w:hAnsi="Arial" w:cs="Arial"/>
                <w:noProof/>
                <w:color w:val="000000"/>
                <w:sz w:val="16"/>
                <w:szCs w:val="16"/>
              </w:rPr>
              <w:t>113</w:t>
            </w:r>
          </w:p>
        </w:tc>
        <w:tc>
          <w:tcPr>
            <w:tcW w:w="1467" w:type="dxa"/>
            <w:tcBorders>
              <w:top w:val="nil"/>
              <w:left w:val="nil"/>
              <w:bottom w:val="single" w:sz="8" w:space="0" w:color="009900"/>
              <w:right w:val="single" w:sz="8" w:space="0" w:color="009900"/>
            </w:tcBorders>
            <w:shd w:val="clear" w:color="000000" w:fill="FFFFE1"/>
            <w:vAlign w:val="center"/>
            <w:hideMark/>
          </w:tcPr>
          <w:p w:rsidR="00C87DEA" w:rsidRPr="00D2483D" w:rsidRDefault="00C87DEA" w:rsidP="00E56B71">
            <w:pPr>
              <w:jc w:val="center"/>
              <w:rPr>
                <w:rFonts w:ascii="Arial" w:hAnsi="Arial" w:cs="Arial"/>
                <w:color w:val="000000"/>
                <w:sz w:val="16"/>
                <w:szCs w:val="16"/>
              </w:rPr>
            </w:pPr>
            <w:r w:rsidRPr="00D2483D">
              <w:rPr>
                <w:rFonts w:ascii="Arial" w:hAnsi="Arial" w:cs="Arial"/>
                <w:noProof/>
                <w:color w:val="000000"/>
                <w:sz w:val="16"/>
                <w:szCs w:val="16"/>
              </w:rPr>
              <w:t>343</w:t>
            </w:r>
          </w:p>
        </w:tc>
      </w:tr>
    </w:tbl>
    <w:p w:rsidR="00C87DEA" w:rsidRPr="007F6B6C" w:rsidRDefault="00C87DEA" w:rsidP="00C87DEA">
      <w:pPr>
        <w:pStyle w:val="BodyText"/>
        <w:tabs>
          <w:tab w:val="num" w:pos="360"/>
        </w:tabs>
        <w:rPr>
          <w:rFonts w:ascii="CG Omega" w:hAnsi="CG Omega"/>
          <w:bCs/>
          <w:sz w:val="16"/>
          <w:szCs w:val="16"/>
          <w:highlight w:val="yellow"/>
        </w:rPr>
      </w:pPr>
    </w:p>
    <w:p w:rsidR="00542F38" w:rsidRDefault="00542F38" w:rsidP="00C87DEA">
      <w:pPr>
        <w:pStyle w:val="BodyText"/>
        <w:tabs>
          <w:tab w:val="num" w:pos="360"/>
        </w:tabs>
        <w:rPr>
          <w:rFonts w:ascii="CG Omega" w:hAnsi="CG Omega"/>
          <w:bCs/>
        </w:rPr>
      </w:pPr>
    </w:p>
    <w:p w:rsidR="00542F38" w:rsidRDefault="00542F38" w:rsidP="00C87DEA">
      <w:pPr>
        <w:pStyle w:val="BodyText"/>
        <w:tabs>
          <w:tab w:val="num" w:pos="360"/>
        </w:tabs>
        <w:rPr>
          <w:rFonts w:ascii="CG Omega" w:hAnsi="CG Omega"/>
          <w:bCs/>
        </w:rPr>
      </w:pPr>
    </w:p>
    <w:p w:rsidR="00542F38" w:rsidRDefault="00542F38">
      <w:pPr>
        <w:rPr>
          <w:rFonts w:ascii="CG Omega" w:hAnsi="CG Omega"/>
          <w:bCs/>
          <w:szCs w:val="20"/>
        </w:rPr>
      </w:pPr>
      <w:r>
        <w:rPr>
          <w:rFonts w:ascii="CG Omega" w:hAnsi="CG Omega"/>
          <w:bCs/>
        </w:rPr>
        <w:br w:type="page"/>
      </w:r>
    </w:p>
    <w:p w:rsidR="00C87DEA" w:rsidRDefault="00C87DEA" w:rsidP="00C87DEA">
      <w:pPr>
        <w:pStyle w:val="BodyText"/>
        <w:tabs>
          <w:tab w:val="num" w:pos="360"/>
        </w:tabs>
        <w:rPr>
          <w:rFonts w:ascii="CG Omega" w:hAnsi="CG Omega"/>
          <w:bCs/>
        </w:rPr>
      </w:pPr>
      <w:r w:rsidRPr="00782FF7">
        <w:rPr>
          <w:rFonts w:ascii="CG Omega" w:hAnsi="CG Omega"/>
          <w:bCs/>
        </w:rPr>
        <w:t>Addit</w:t>
      </w:r>
      <w:r>
        <w:rPr>
          <w:rFonts w:ascii="CG Omega" w:hAnsi="CG Omega"/>
          <w:bCs/>
        </w:rPr>
        <w:t xml:space="preserve">ionally, the </w:t>
      </w:r>
      <w:r w:rsidRPr="00542F38">
        <w:rPr>
          <w:rFonts w:ascii="CG Omega" w:hAnsi="CG Omega"/>
          <w:bCs/>
          <w:i/>
        </w:rPr>
        <w:t>Housing and Community Development Survey</w:t>
      </w:r>
      <w:r>
        <w:rPr>
          <w:rFonts w:ascii="CG Omega" w:hAnsi="CG Omega"/>
          <w:bCs/>
        </w:rPr>
        <w:t xml:space="preserve"> asked about the need for various housing types that serve the homeless population.  As seen in </w:t>
      </w:r>
      <w:r w:rsidRPr="00542F38">
        <w:rPr>
          <w:rFonts w:ascii="CG Omega" w:hAnsi="CG Omega"/>
          <w:b/>
          <w:bCs/>
        </w:rPr>
        <w:t>Table</w:t>
      </w:r>
      <w:r w:rsidR="00E84AA1" w:rsidRPr="00542F38">
        <w:rPr>
          <w:rFonts w:ascii="CG Omega" w:hAnsi="CG Omega"/>
          <w:b/>
          <w:bCs/>
        </w:rPr>
        <w:t xml:space="preserve"> V.1</w:t>
      </w:r>
      <w:r w:rsidR="000155B6" w:rsidRPr="00542F38">
        <w:rPr>
          <w:rFonts w:ascii="CG Omega" w:hAnsi="CG Omega"/>
          <w:b/>
          <w:bCs/>
        </w:rPr>
        <w:t>7</w:t>
      </w:r>
      <w:r>
        <w:rPr>
          <w:rFonts w:ascii="CG Omega" w:hAnsi="CG Omega"/>
          <w:bCs/>
        </w:rPr>
        <w:t xml:space="preserve">, </w:t>
      </w:r>
      <w:r w:rsidR="009E747D">
        <w:rPr>
          <w:rFonts w:ascii="CG Omega" w:hAnsi="CG Omega"/>
          <w:bCs/>
        </w:rPr>
        <w:t>a</w:t>
      </w:r>
      <w:r>
        <w:rPr>
          <w:rFonts w:ascii="CG Omega" w:hAnsi="CG Omega"/>
          <w:bCs/>
        </w:rPr>
        <w:t xml:space="preserve"> majority of respondents ranked the need for emergency shelters, transitional housing, shelters for youth, and rapid rehousing assistance for homeless households at medium to high need.</w:t>
      </w:r>
    </w:p>
    <w:p w:rsidR="007F6B6C" w:rsidRPr="00782FF7" w:rsidRDefault="007F6B6C" w:rsidP="00C87DEA">
      <w:pPr>
        <w:pStyle w:val="BodyText"/>
        <w:tabs>
          <w:tab w:val="num" w:pos="360"/>
        </w:tabs>
        <w:rPr>
          <w:rFonts w:ascii="CG Omega" w:hAnsi="CG Omega"/>
          <w:bCs/>
        </w:rPr>
      </w:pPr>
    </w:p>
    <w:tbl>
      <w:tblPr>
        <w:tblW w:w="8560" w:type="dxa"/>
        <w:jc w:val="center"/>
        <w:tblLook w:val="04A0" w:firstRow="1" w:lastRow="0" w:firstColumn="1" w:lastColumn="0" w:noHBand="0" w:noVBand="1"/>
      </w:tblPr>
      <w:tblGrid>
        <w:gridCol w:w="3311"/>
        <w:gridCol w:w="655"/>
        <w:gridCol w:w="655"/>
        <w:gridCol w:w="986"/>
        <w:gridCol w:w="655"/>
        <w:gridCol w:w="1232"/>
        <w:gridCol w:w="1066"/>
      </w:tblGrid>
      <w:tr w:rsidR="00875E4A" w:rsidTr="00875E4A">
        <w:trPr>
          <w:trHeight w:val="255"/>
          <w:jc w:val="center"/>
        </w:trPr>
        <w:tc>
          <w:tcPr>
            <w:tcW w:w="8560" w:type="dxa"/>
            <w:gridSpan w:val="7"/>
            <w:tcBorders>
              <w:top w:val="nil"/>
              <w:left w:val="nil"/>
              <w:bottom w:val="nil"/>
              <w:right w:val="nil"/>
            </w:tcBorders>
            <w:shd w:val="clear" w:color="auto" w:fill="auto"/>
            <w:noWrap/>
            <w:vAlign w:val="center"/>
            <w:hideMark/>
          </w:tcPr>
          <w:p w:rsidR="00875E4A" w:rsidRDefault="00875E4A" w:rsidP="000155B6">
            <w:pPr>
              <w:jc w:val="center"/>
              <w:rPr>
                <w:rFonts w:ascii="Arial" w:hAnsi="Arial" w:cs="Arial"/>
                <w:b/>
                <w:bCs/>
                <w:color w:val="000000"/>
                <w:sz w:val="22"/>
                <w:szCs w:val="22"/>
              </w:rPr>
            </w:pPr>
            <w:r>
              <w:rPr>
                <w:rFonts w:ascii="Arial" w:hAnsi="Arial" w:cs="Arial"/>
                <w:b/>
                <w:bCs/>
                <w:color w:val="000000"/>
                <w:sz w:val="22"/>
                <w:szCs w:val="22"/>
              </w:rPr>
              <w:t>Table V.1</w:t>
            </w:r>
            <w:r w:rsidR="000155B6">
              <w:rPr>
                <w:rFonts w:ascii="Arial" w:hAnsi="Arial" w:cs="Arial"/>
                <w:b/>
                <w:bCs/>
                <w:color w:val="000000"/>
                <w:sz w:val="22"/>
                <w:szCs w:val="22"/>
              </w:rPr>
              <w:t>7</w:t>
            </w:r>
          </w:p>
        </w:tc>
      </w:tr>
      <w:tr w:rsidR="00875E4A" w:rsidTr="00875E4A">
        <w:trPr>
          <w:trHeight w:val="240"/>
          <w:jc w:val="center"/>
        </w:trPr>
        <w:tc>
          <w:tcPr>
            <w:tcW w:w="8560" w:type="dxa"/>
            <w:gridSpan w:val="7"/>
            <w:tcBorders>
              <w:top w:val="nil"/>
              <w:left w:val="nil"/>
              <w:bottom w:val="nil"/>
              <w:right w:val="nil"/>
            </w:tcBorders>
            <w:shd w:val="clear" w:color="auto" w:fill="auto"/>
            <w:noWrap/>
            <w:vAlign w:val="center"/>
            <w:hideMark/>
          </w:tcPr>
          <w:p w:rsidR="00875E4A" w:rsidRDefault="00875E4A">
            <w:pPr>
              <w:jc w:val="center"/>
              <w:rPr>
                <w:rFonts w:ascii="Arial" w:hAnsi="Arial" w:cs="Arial"/>
                <w:b/>
                <w:bCs/>
                <w:color w:val="000000"/>
                <w:sz w:val="20"/>
                <w:szCs w:val="20"/>
              </w:rPr>
            </w:pPr>
            <w:r>
              <w:rPr>
                <w:rFonts w:ascii="Arial" w:hAnsi="Arial" w:cs="Arial"/>
                <w:b/>
                <w:bCs/>
                <w:color w:val="000000"/>
                <w:sz w:val="20"/>
                <w:szCs w:val="20"/>
              </w:rPr>
              <w:t>Please rate the need for the following housing types for special needs populations</w:t>
            </w:r>
          </w:p>
        </w:tc>
      </w:tr>
      <w:tr w:rsidR="00875E4A" w:rsidTr="00875E4A">
        <w:trPr>
          <w:trHeight w:val="225"/>
          <w:jc w:val="center"/>
        </w:trPr>
        <w:tc>
          <w:tcPr>
            <w:tcW w:w="8560" w:type="dxa"/>
            <w:gridSpan w:val="7"/>
            <w:tcBorders>
              <w:top w:val="nil"/>
              <w:left w:val="nil"/>
              <w:bottom w:val="nil"/>
              <w:right w:val="nil"/>
            </w:tcBorders>
            <w:shd w:val="clear" w:color="auto" w:fill="auto"/>
            <w:noWrap/>
            <w:vAlign w:val="center"/>
            <w:hideMark/>
          </w:tcPr>
          <w:p w:rsidR="00875E4A" w:rsidRDefault="00875E4A">
            <w:pPr>
              <w:jc w:val="center"/>
              <w:rPr>
                <w:rFonts w:ascii="Arial" w:hAnsi="Arial" w:cs="Arial"/>
                <w:color w:val="000000"/>
                <w:sz w:val="16"/>
                <w:szCs w:val="16"/>
              </w:rPr>
            </w:pPr>
            <w:r>
              <w:rPr>
                <w:rFonts w:ascii="Arial" w:hAnsi="Arial" w:cs="Arial"/>
                <w:noProof/>
                <w:color w:val="000000"/>
                <w:sz w:val="16"/>
                <w:szCs w:val="16"/>
              </w:rPr>
              <w:t>State of New Mexico</w:t>
            </w:r>
          </w:p>
        </w:tc>
      </w:tr>
      <w:tr w:rsidR="00875E4A" w:rsidTr="00875E4A">
        <w:trPr>
          <w:trHeight w:val="255"/>
          <w:jc w:val="center"/>
        </w:trPr>
        <w:tc>
          <w:tcPr>
            <w:tcW w:w="8560" w:type="dxa"/>
            <w:gridSpan w:val="7"/>
            <w:tcBorders>
              <w:top w:val="nil"/>
              <w:left w:val="nil"/>
              <w:bottom w:val="single" w:sz="8" w:space="0" w:color="009900"/>
              <w:right w:val="nil"/>
            </w:tcBorders>
            <w:shd w:val="clear" w:color="auto" w:fill="auto"/>
            <w:noWrap/>
            <w:vAlign w:val="center"/>
            <w:hideMark/>
          </w:tcPr>
          <w:p w:rsidR="00875E4A" w:rsidRDefault="00875E4A">
            <w:pPr>
              <w:jc w:val="center"/>
              <w:rPr>
                <w:rFonts w:ascii="Arial" w:hAnsi="Arial" w:cs="Arial"/>
                <w:color w:val="000000"/>
                <w:sz w:val="16"/>
                <w:szCs w:val="16"/>
              </w:rPr>
            </w:pPr>
            <w:r>
              <w:rPr>
                <w:rFonts w:ascii="Arial" w:hAnsi="Arial" w:cs="Arial"/>
                <w:bCs/>
                <w:color w:val="000000"/>
                <w:sz w:val="16"/>
                <w:szCs w:val="16"/>
              </w:rPr>
              <w:t>2014 Housing and Community Development Survey</w:t>
            </w:r>
          </w:p>
        </w:tc>
      </w:tr>
      <w:tr w:rsidR="00875E4A" w:rsidTr="00875E4A">
        <w:trPr>
          <w:trHeight w:val="300"/>
          <w:jc w:val="center"/>
        </w:trPr>
        <w:tc>
          <w:tcPr>
            <w:tcW w:w="3311" w:type="dxa"/>
            <w:vMerge w:val="restart"/>
            <w:tcBorders>
              <w:top w:val="nil"/>
              <w:left w:val="single" w:sz="8" w:space="0" w:color="009900"/>
              <w:bottom w:val="single" w:sz="8" w:space="0" w:color="009900"/>
              <w:right w:val="nil"/>
            </w:tcBorders>
            <w:shd w:val="clear" w:color="000000" w:fill="FFFFE1"/>
            <w:noWrap/>
            <w:vAlign w:val="center"/>
            <w:hideMark/>
          </w:tcPr>
          <w:p w:rsidR="00875E4A" w:rsidRDefault="00875E4A">
            <w:pPr>
              <w:rPr>
                <w:rFonts w:ascii="Arial" w:hAnsi="Arial" w:cs="Arial"/>
                <w:b/>
                <w:bCs/>
                <w:color w:val="000000"/>
                <w:sz w:val="16"/>
                <w:szCs w:val="16"/>
              </w:rPr>
            </w:pPr>
            <w:r>
              <w:rPr>
                <w:rFonts w:ascii="Arial" w:hAnsi="Arial" w:cs="Arial"/>
                <w:b/>
                <w:bCs/>
                <w:color w:val="000000"/>
                <w:sz w:val="16"/>
                <w:szCs w:val="16"/>
              </w:rPr>
              <w:t>Question</w:t>
            </w:r>
          </w:p>
        </w:tc>
        <w:tc>
          <w:tcPr>
            <w:tcW w:w="655" w:type="dxa"/>
            <w:tcBorders>
              <w:top w:val="nil"/>
              <w:left w:val="nil"/>
              <w:bottom w:val="nil"/>
              <w:right w:val="nil"/>
            </w:tcBorders>
            <w:shd w:val="clear" w:color="000000" w:fill="FFFFE1"/>
            <w:noWrap/>
            <w:vAlign w:val="center"/>
            <w:hideMark/>
          </w:tcPr>
          <w:p w:rsidR="00875E4A" w:rsidRDefault="00875E4A">
            <w:pPr>
              <w:jc w:val="center"/>
              <w:rPr>
                <w:rFonts w:ascii="Arial" w:hAnsi="Arial" w:cs="Arial"/>
                <w:b/>
                <w:bCs/>
                <w:color w:val="000000"/>
                <w:sz w:val="16"/>
                <w:szCs w:val="16"/>
              </w:rPr>
            </w:pPr>
            <w:r>
              <w:rPr>
                <w:rFonts w:ascii="Arial" w:hAnsi="Arial" w:cs="Arial"/>
                <w:b/>
                <w:bCs/>
                <w:color w:val="000000"/>
                <w:sz w:val="16"/>
                <w:szCs w:val="16"/>
              </w:rPr>
              <w:t xml:space="preserve">No </w:t>
            </w:r>
          </w:p>
        </w:tc>
        <w:tc>
          <w:tcPr>
            <w:tcW w:w="655" w:type="dxa"/>
            <w:tcBorders>
              <w:top w:val="nil"/>
              <w:left w:val="nil"/>
              <w:bottom w:val="nil"/>
              <w:right w:val="nil"/>
            </w:tcBorders>
            <w:shd w:val="clear" w:color="000000" w:fill="FFFFE1"/>
            <w:noWrap/>
            <w:vAlign w:val="center"/>
            <w:hideMark/>
          </w:tcPr>
          <w:p w:rsidR="00875E4A" w:rsidRDefault="00875E4A">
            <w:pPr>
              <w:jc w:val="center"/>
              <w:rPr>
                <w:rFonts w:ascii="Arial" w:hAnsi="Arial" w:cs="Arial"/>
                <w:b/>
                <w:bCs/>
                <w:color w:val="000000"/>
                <w:sz w:val="16"/>
                <w:szCs w:val="16"/>
              </w:rPr>
            </w:pPr>
            <w:r>
              <w:rPr>
                <w:rFonts w:ascii="Arial" w:hAnsi="Arial" w:cs="Arial"/>
                <w:b/>
                <w:bCs/>
                <w:color w:val="000000"/>
                <w:sz w:val="16"/>
                <w:szCs w:val="16"/>
              </w:rPr>
              <w:t xml:space="preserve">Low </w:t>
            </w:r>
          </w:p>
        </w:tc>
        <w:tc>
          <w:tcPr>
            <w:tcW w:w="986" w:type="dxa"/>
            <w:tcBorders>
              <w:top w:val="nil"/>
              <w:left w:val="nil"/>
              <w:bottom w:val="nil"/>
              <w:right w:val="nil"/>
            </w:tcBorders>
            <w:shd w:val="clear" w:color="000000" w:fill="FFFFE1"/>
            <w:noWrap/>
            <w:vAlign w:val="center"/>
            <w:hideMark/>
          </w:tcPr>
          <w:p w:rsidR="00875E4A" w:rsidRDefault="00875E4A">
            <w:pPr>
              <w:jc w:val="center"/>
              <w:rPr>
                <w:rFonts w:ascii="Arial" w:hAnsi="Arial" w:cs="Arial"/>
                <w:b/>
                <w:bCs/>
                <w:color w:val="000000"/>
                <w:sz w:val="16"/>
                <w:szCs w:val="16"/>
              </w:rPr>
            </w:pPr>
            <w:r>
              <w:rPr>
                <w:rFonts w:ascii="Arial" w:hAnsi="Arial" w:cs="Arial"/>
                <w:b/>
                <w:bCs/>
                <w:color w:val="000000"/>
                <w:sz w:val="16"/>
                <w:szCs w:val="16"/>
              </w:rPr>
              <w:t xml:space="preserve">Medium </w:t>
            </w:r>
          </w:p>
        </w:tc>
        <w:tc>
          <w:tcPr>
            <w:tcW w:w="655" w:type="dxa"/>
            <w:tcBorders>
              <w:top w:val="nil"/>
              <w:left w:val="nil"/>
              <w:bottom w:val="nil"/>
              <w:right w:val="nil"/>
            </w:tcBorders>
            <w:shd w:val="clear" w:color="000000" w:fill="FFFFE1"/>
            <w:noWrap/>
            <w:vAlign w:val="center"/>
            <w:hideMark/>
          </w:tcPr>
          <w:p w:rsidR="00875E4A" w:rsidRDefault="00875E4A">
            <w:pPr>
              <w:jc w:val="center"/>
              <w:rPr>
                <w:rFonts w:ascii="Arial" w:hAnsi="Arial" w:cs="Arial"/>
                <w:b/>
                <w:bCs/>
                <w:color w:val="000000"/>
                <w:sz w:val="16"/>
                <w:szCs w:val="16"/>
              </w:rPr>
            </w:pPr>
            <w:r>
              <w:rPr>
                <w:rFonts w:ascii="Arial" w:hAnsi="Arial" w:cs="Arial"/>
                <w:b/>
                <w:bCs/>
                <w:color w:val="000000"/>
                <w:sz w:val="16"/>
                <w:szCs w:val="16"/>
              </w:rPr>
              <w:t xml:space="preserve">High </w:t>
            </w:r>
          </w:p>
        </w:tc>
        <w:tc>
          <w:tcPr>
            <w:tcW w:w="1232" w:type="dxa"/>
            <w:vMerge w:val="restart"/>
            <w:tcBorders>
              <w:top w:val="nil"/>
              <w:left w:val="nil"/>
              <w:bottom w:val="single" w:sz="8" w:space="0" w:color="009900"/>
              <w:right w:val="nil"/>
            </w:tcBorders>
            <w:shd w:val="clear" w:color="000000" w:fill="FFFFE1"/>
            <w:vAlign w:val="center"/>
            <w:hideMark/>
          </w:tcPr>
          <w:p w:rsidR="00875E4A" w:rsidRDefault="00875E4A">
            <w:pPr>
              <w:jc w:val="center"/>
              <w:rPr>
                <w:rFonts w:ascii="Arial" w:hAnsi="Arial" w:cs="Arial"/>
                <w:b/>
                <w:bCs/>
                <w:color w:val="000000"/>
                <w:sz w:val="16"/>
                <w:szCs w:val="16"/>
              </w:rPr>
            </w:pPr>
            <w:r>
              <w:rPr>
                <w:rFonts w:ascii="Arial" w:hAnsi="Arial" w:cs="Arial"/>
                <w:b/>
                <w:bCs/>
                <w:color w:val="000000"/>
                <w:sz w:val="16"/>
                <w:szCs w:val="16"/>
              </w:rPr>
              <w:t>Missing</w:t>
            </w:r>
          </w:p>
        </w:tc>
        <w:tc>
          <w:tcPr>
            <w:tcW w:w="1066" w:type="dxa"/>
            <w:vMerge w:val="restart"/>
            <w:tcBorders>
              <w:top w:val="nil"/>
              <w:left w:val="nil"/>
              <w:bottom w:val="single" w:sz="8" w:space="0" w:color="009900"/>
              <w:right w:val="single" w:sz="8" w:space="0" w:color="009900"/>
            </w:tcBorders>
            <w:shd w:val="clear" w:color="000000" w:fill="FFFFE1"/>
            <w:vAlign w:val="center"/>
            <w:hideMark/>
          </w:tcPr>
          <w:p w:rsidR="00875E4A" w:rsidRDefault="00875E4A">
            <w:pPr>
              <w:jc w:val="center"/>
              <w:rPr>
                <w:rFonts w:ascii="Arial" w:hAnsi="Arial" w:cs="Arial"/>
                <w:b/>
                <w:bCs/>
                <w:color w:val="000000"/>
                <w:sz w:val="16"/>
                <w:szCs w:val="16"/>
              </w:rPr>
            </w:pPr>
            <w:r>
              <w:rPr>
                <w:rFonts w:ascii="Arial" w:hAnsi="Arial" w:cs="Arial"/>
                <w:b/>
                <w:bCs/>
                <w:color w:val="000000"/>
                <w:sz w:val="16"/>
                <w:szCs w:val="16"/>
              </w:rPr>
              <w:t>Total</w:t>
            </w:r>
          </w:p>
        </w:tc>
      </w:tr>
      <w:tr w:rsidR="00875E4A" w:rsidTr="00875E4A">
        <w:trPr>
          <w:trHeight w:val="315"/>
          <w:jc w:val="center"/>
        </w:trPr>
        <w:tc>
          <w:tcPr>
            <w:tcW w:w="3311" w:type="dxa"/>
            <w:vMerge/>
            <w:tcBorders>
              <w:top w:val="nil"/>
              <w:left w:val="single" w:sz="8" w:space="0" w:color="009900"/>
              <w:bottom w:val="single" w:sz="8" w:space="0" w:color="009900"/>
              <w:right w:val="nil"/>
            </w:tcBorders>
            <w:vAlign w:val="center"/>
            <w:hideMark/>
          </w:tcPr>
          <w:p w:rsidR="00875E4A" w:rsidRDefault="00875E4A">
            <w:pPr>
              <w:rPr>
                <w:rFonts w:ascii="Arial" w:hAnsi="Arial" w:cs="Arial"/>
                <w:b/>
                <w:bCs/>
                <w:color w:val="000000"/>
                <w:sz w:val="16"/>
                <w:szCs w:val="16"/>
              </w:rPr>
            </w:pPr>
          </w:p>
        </w:tc>
        <w:tc>
          <w:tcPr>
            <w:tcW w:w="655" w:type="dxa"/>
            <w:tcBorders>
              <w:top w:val="nil"/>
              <w:left w:val="nil"/>
              <w:bottom w:val="single" w:sz="8" w:space="0" w:color="009900"/>
              <w:right w:val="nil"/>
            </w:tcBorders>
            <w:shd w:val="clear" w:color="000000" w:fill="FFFFE1"/>
            <w:noWrap/>
            <w:vAlign w:val="center"/>
            <w:hideMark/>
          </w:tcPr>
          <w:p w:rsidR="00875E4A" w:rsidRDefault="00875E4A">
            <w:pPr>
              <w:jc w:val="center"/>
              <w:rPr>
                <w:rFonts w:ascii="Arial" w:hAnsi="Arial" w:cs="Arial"/>
                <w:b/>
                <w:bCs/>
                <w:color w:val="000000"/>
                <w:sz w:val="16"/>
                <w:szCs w:val="16"/>
              </w:rPr>
            </w:pPr>
            <w:r>
              <w:rPr>
                <w:rFonts w:ascii="Arial" w:hAnsi="Arial" w:cs="Arial"/>
                <w:b/>
                <w:bCs/>
                <w:color w:val="000000"/>
                <w:sz w:val="16"/>
                <w:szCs w:val="16"/>
              </w:rPr>
              <w:t>Need</w:t>
            </w:r>
          </w:p>
        </w:tc>
        <w:tc>
          <w:tcPr>
            <w:tcW w:w="655" w:type="dxa"/>
            <w:tcBorders>
              <w:top w:val="nil"/>
              <w:left w:val="nil"/>
              <w:bottom w:val="single" w:sz="8" w:space="0" w:color="009900"/>
              <w:right w:val="nil"/>
            </w:tcBorders>
            <w:shd w:val="clear" w:color="000000" w:fill="FFFFE1"/>
            <w:noWrap/>
            <w:vAlign w:val="center"/>
            <w:hideMark/>
          </w:tcPr>
          <w:p w:rsidR="00875E4A" w:rsidRDefault="00875E4A">
            <w:pPr>
              <w:jc w:val="center"/>
              <w:rPr>
                <w:rFonts w:ascii="Arial" w:hAnsi="Arial" w:cs="Arial"/>
                <w:b/>
                <w:bCs/>
                <w:color w:val="000000"/>
                <w:sz w:val="16"/>
                <w:szCs w:val="16"/>
              </w:rPr>
            </w:pPr>
            <w:r>
              <w:rPr>
                <w:rFonts w:ascii="Arial" w:hAnsi="Arial" w:cs="Arial"/>
                <w:b/>
                <w:bCs/>
                <w:color w:val="000000"/>
                <w:sz w:val="16"/>
                <w:szCs w:val="16"/>
              </w:rPr>
              <w:t>Need</w:t>
            </w:r>
          </w:p>
        </w:tc>
        <w:tc>
          <w:tcPr>
            <w:tcW w:w="986" w:type="dxa"/>
            <w:tcBorders>
              <w:top w:val="nil"/>
              <w:left w:val="nil"/>
              <w:bottom w:val="single" w:sz="8" w:space="0" w:color="009900"/>
              <w:right w:val="nil"/>
            </w:tcBorders>
            <w:shd w:val="clear" w:color="000000" w:fill="FFFFE1"/>
            <w:noWrap/>
            <w:vAlign w:val="center"/>
            <w:hideMark/>
          </w:tcPr>
          <w:p w:rsidR="00875E4A" w:rsidRDefault="00875E4A">
            <w:pPr>
              <w:jc w:val="center"/>
              <w:rPr>
                <w:rFonts w:ascii="Arial" w:hAnsi="Arial" w:cs="Arial"/>
                <w:b/>
                <w:bCs/>
                <w:color w:val="000000"/>
                <w:sz w:val="16"/>
                <w:szCs w:val="16"/>
              </w:rPr>
            </w:pPr>
            <w:r>
              <w:rPr>
                <w:rFonts w:ascii="Arial" w:hAnsi="Arial" w:cs="Arial"/>
                <w:b/>
                <w:bCs/>
                <w:color w:val="000000"/>
                <w:sz w:val="16"/>
                <w:szCs w:val="16"/>
              </w:rPr>
              <w:t>Need</w:t>
            </w:r>
          </w:p>
        </w:tc>
        <w:tc>
          <w:tcPr>
            <w:tcW w:w="655" w:type="dxa"/>
            <w:tcBorders>
              <w:top w:val="nil"/>
              <w:left w:val="nil"/>
              <w:bottom w:val="single" w:sz="8" w:space="0" w:color="009900"/>
              <w:right w:val="nil"/>
            </w:tcBorders>
            <w:shd w:val="clear" w:color="000000" w:fill="FFFFE1"/>
            <w:noWrap/>
            <w:vAlign w:val="center"/>
            <w:hideMark/>
          </w:tcPr>
          <w:p w:rsidR="00875E4A" w:rsidRDefault="00875E4A">
            <w:pPr>
              <w:jc w:val="center"/>
              <w:rPr>
                <w:rFonts w:ascii="Arial" w:hAnsi="Arial" w:cs="Arial"/>
                <w:b/>
                <w:bCs/>
                <w:color w:val="000000"/>
                <w:sz w:val="16"/>
                <w:szCs w:val="16"/>
              </w:rPr>
            </w:pPr>
            <w:r>
              <w:rPr>
                <w:rFonts w:ascii="Arial" w:hAnsi="Arial" w:cs="Arial"/>
                <w:b/>
                <w:bCs/>
                <w:color w:val="000000"/>
                <w:sz w:val="16"/>
                <w:szCs w:val="16"/>
              </w:rPr>
              <w:t>Need</w:t>
            </w:r>
          </w:p>
        </w:tc>
        <w:tc>
          <w:tcPr>
            <w:tcW w:w="1232" w:type="dxa"/>
            <w:vMerge/>
            <w:tcBorders>
              <w:top w:val="nil"/>
              <w:left w:val="nil"/>
              <w:bottom w:val="single" w:sz="8" w:space="0" w:color="009900"/>
              <w:right w:val="nil"/>
            </w:tcBorders>
            <w:vAlign w:val="center"/>
            <w:hideMark/>
          </w:tcPr>
          <w:p w:rsidR="00875E4A" w:rsidRDefault="00875E4A">
            <w:pPr>
              <w:rPr>
                <w:rFonts w:ascii="Arial" w:hAnsi="Arial" w:cs="Arial"/>
                <w:b/>
                <w:bCs/>
                <w:color w:val="000000"/>
                <w:sz w:val="16"/>
                <w:szCs w:val="16"/>
              </w:rPr>
            </w:pPr>
          </w:p>
        </w:tc>
        <w:tc>
          <w:tcPr>
            <w:tcW w:w="1066" w:type="dxa"/>
            <w:vMerge/>
            <w:tcBorders>
              <w:top w:val="nil"/>
              <w:left w:val="nil"/>
              <w:bottom w:val="single" w:sz="8" w:space="0" w:color="009900"/>
              <w:right w:val="single" w:sz="8" w:space="0" w:color="009900"/>
            </w:tcBorders>
            <w:vAlign w:val="center"/>
            <w:hideMark/>
          </w:tcPr>
          <w:p w:rsidR="00875E4A" w:rsidRDefault="00875E4A">
            <w:pPr>
              <w:rPr>
                <w:rFonts w:ascii="Arial" w:hAnsi="Arial" w:cs="Arial"/>
                <w:b/>
                <w:bCs/>
                <w:color w:val="000000"/>
                <w:sz w:val="16"/>
                <w:szCs w:val="16"/>
              </w:rPr>
            </w:pPr>
          </w:p>
        </w:tc>
      </w:tr>
      <w:tr w:rsidR="00875E4A" w:rsidTr="00875E4A">
        <w:trPr>
          <w:trHeight w:val="450"/>
          <w:jc w:val="center"/>
        </w:trPr>
        <w:tc>
          <w:tcPr>
            <w:tcW w:w="3311" w:type="dxa"/>
            <w:tcBorders>
              <w:top w:val="nil"/>
              <w:left w:val="single" w:sz="8" w:space="0" w:color="009900"/>
              <w:bottom w:val="nil"/>
              <w:right w:val="nil"/>
            </w:tcBorders>
            <w:shd w:val="clear" w:color="000000" w:fill="FFFFE1"/>
            <w:vAlign w:val="center"/>
            <w:hideMark/>
          </w:tcPr>
          <w:p w:rsidR="00875E4A" w:rsidRDefault="00875E4A">
            <w:pPr>
              <w:rPr>
                <w:rFonts w:ascii="Arial" w:hAnsi="Arial" w:cs="Arial"/>
                <w:color w:val="000000"/>
                <w:sz w:val="16"/>
                <w:szCs w:val="16"/>
              </w:rPr>
            </w:pPr>
            <w:r>
              <w:rPr>
                <w:rFonts w:ascii="Arial" w:hAnsi="Arial" w:cs="Arial"/>
                <w:color w:val="000000"/>
                <w:sz w:val="16"/>
                <w:szCs w:val="16"/>
              </w:rPr>
              <w:t>Rapid rehousing rental assistance for homeless households</w:t>
            </w:r>
          </w:p>
        </w:tc>
        <w:tc>
          <w:tcPr>
            <w:tcW w:w="655" w:type="dxa"/>
            <w:tcBorders>
              <w:top w:val="nil"/>
              <w:left w:val="nil"/>
              <w:bottom w:val="nil"/>
              <w:right w:val="nil"/>
            </w:tcBorders>
            <w:shd w:val="clear" w:color="000000" w:fill="FFFFE1"/>
            <w:noWrap/>
            <w:vAlign w:val="center"/>
            <w:hideMark/>
          </w:tcPr>
          <w:p w:rsidR="00875E4A" w:rsidRDefault="00875E4A">
            <w:pPr>
              <w:jc w:val="center"/>
              <w:rPr>
                <w:rFonts w:ascii="Arial" w:hAnsi="Arial" w:cs="Arial"/>
                <w:color w:val="000000"/>
                <w:sz w:val="16"/>
                <w:szCs w:val="16"/>
              </w:rPr>
            </w:pPr>
            <w:r>
              <w:rPr>
                <w:rFonts w:ascii="Arial" w:hAnsi="Arial" w:cs="Arial"/>
                <w:noProof/>
                <w:color w:val="000000"/>
                <w:sz w:val="16"/>
                <w:szCs w:val="16"/>
              </w:rPr>
              <w:t>3</w:t>
            </w:r>
          </w:p>
        </w:tc>
        <w:tc>
          <w:tcPr>
            <w:tcW w:w="655" w:type="dxa"/>
            <w:tcBorders>
              <w:top w:val="nil"/>
              <w:left w:val="nil"/>
              <w:bottom w:val="nil"/>
              <w:right w:val="nil"/>
            </w:tcBorders>
            <w:shd w:val="clear" w:color="000000" w:fill="FFFFE1"/>
            <w:noWrap/>
            <w:vAlign w:val="center"/>
            <w:hideMark/>
          </w:tcPr>
          <w:p w:rsidR="00875E4A" w:rsidRDefault="00875E4A">
            <w:pPr>
              <w:jc w:val="center"/>
              <w:rPr>
                <w:rFonts w:ascii="Arial" w:hAnsi="Arial" w:cs="Arial"/>
                <w:color w:val="000000"/>
                <w:sz w:val="16"/>
                <w:szCs w:val="16"/>
              </w:rPr>
            </w:pPr>
            <w:r>
              <w:rPr>
                <w:rFonts w:ascii="Arial" w:hAnsi="Arial" w:cs="Arial"/>
                <w:noProof/>
                <w:color w:val="000000"/>
                <w:sz w:val="16"/>
                <w:szCs w:val="16"/>
              </w:rPr>
              <w:t>26</w:t>
            </w:r>
          </w:p>
        </w:tc>
        <w:tc>
          <w:tcPr>
            <w:tcW w:w="986" w:type="dxa"/>
            <w:tcBorders>
              <w:top w:val="nil"/>
              <w:left w:val="nil"/>
              <w:bottom w:val="nil"/>
              <w:right w:val="nil"/>
            </w:tcBorders>
            <w:shd w:val="clear" w:color="000000" w:fill="FFFFE1"/>
            <w:noWrap/>
            <w:vAlign w:val="center"/>
            <w:hideMark/>
          </w:tcPr>
          <w:p w:rsidR="00875E4A" w:rsidRDefault="00875E4A">
            <w:pPr>
              <w:jc w:val="center"/>
              <w:rPr>
                <w:rFonts w:ascii="Arial" w:hAnsi="Arial" w:cs="Arial"/>
                <w:color w:val="000000"/>
                <w:sz w:val="16"/>
                <w:szCs w:val="16"/>
              </w:rPr>
            </w:pPr>
            <w:r>
              <w:rPr>
                <w:rFonts w:ascii="Arial" w:hAnsi="Arial" w:cs="Arial"/>
                <w:noProof/>
                <w:color w:val="000000"/>
                <w:sz w:val="16"/>
                <w:szCs w:val="16"/>
              </w:rPr>
              <w:t>63</w:t>
            </w:r>
          </w:p>
        </w:tc>
        <w:tc>
          <w:tcPr>
            <w:tcW w:w="655" w:type="dxa"/>
            <w:tcBorders>
              <w:top w:val="nil"/>
              <w:left w:val="nil"/>
              <w:bottom w:val="nil"/>
              <w:right w:val="nil"/>
            </w:tcBorders>
            <w:shd w:val="clear" w:color="000000" w:fill="FFFFE1"/>
            <w:noWrap/>
            <w:vAlign w:val="center"/>
            <w:hideMark/>
          </w:tcPr>
          <w:p w:rsidR="00875E4A" w:rsidRDefault="00875E4A">
            <w:pPr>
              <w:jc w:val="center"/>
              <w:rPr>
                <w:rFonts w:ascii="Arial" w:hAnsi="Arial" w:cs="Arial"/>
                <w:color w:val="000000"/>
                <w:sz w:val="16"/>
                <w:szCs w:val="16"/>
              </w:rPr>
            </w:pPr>
            <w:r>
              <w:rPr>
                <w:rFonts w:ascii="Arial" w:hAnsi="Arial" w:cs="Arial"/>
                <w:noProof/>
                <w:color w:val="000000"/>
                <w:sz w:val="16"/>
                <w:szCs w:val="16"/>
              </w:rPr>
              <w:t>134</w:t>
            </w:r>
          </w:p>
        </w:tc>
        <w:tc>
          <w:tcPr>
            <w:tcW w:w="1232" w:type="dxa"/>
            <w:tcBorders>
              <w:top w:val="nil"/>
              <w:left w:val="nil"/>
              <w:bottom w:val="nil"/>
              <w:right w:val="nil"/>
            </w:tcBorders>
            <w:shd w:val="clear" w:color="000000" w:fill="FFFFE1"/>
            <w:vAlign w:val="center"/>
            <w:hideMark/>
          </w:tcPr>
          <w:p w:rsidR="00875E4A" w:rsidRDefault="00875E4A">
            <w:pPr>
              <w:jc w:val="center"/>
              <w:rPr>
                <w:rFonts w:ascii="Arial" w:hAnsi="Arial" w:cs="Arial"/>
                <w:color w:val="000000"/>
                <w:sz w:val="16"/>
                <w:szCs w:val="16"/>
              </w:rPr>
            </w:pPr>
            <w:r>
              <w:rPr>
                <w:rFonts w:ascii="Arial" w:hAnsi="Arial" w:cs="Arial"/>
                <w:noProof/>
                <w:color w:val="000000"/>
                <w:sz w:val="16"/>
                <w:szCs w:val="16"/>
              </w:rPr>
              <w:t>117</w:t>
            </w:r>
          </w:p>
        </w:tc>
        <w:tc>
          <w:tcPr>
            <w:tcW w:w="1066" w:type="dxa"/>
            <w:tcBorders>
              <w:top w:val="nil"/>
              <w:left w:val="nil"/>
              <w:bottom w:val="nil"/>
              <w:right w:val="single" w:sz="8" w:space="0" w:color="009900"/>
            </w:tcBorders>
            <w:shd w:val="clear" w:color="000000" w:fill="FFFFE1"/>
            <w:vAlign w:val="center"/>
            <w:hideMark/>
          </w:tcPr>
          <w:p w:rsidR="00875E4A" w:rsidRDefault="00875E4A">
            <w:pPr>
              <w:jc w:val="center"/>
              <w:rPr>
                <w:rFonts w:ascii="Arial" w:hAnsi="Arial" w:cs="Arial"/>
                <w:color w:val="000000"/>
                <w:sz w:val="16"/>
                <w:szCs w:val="16"/>
              </w:rPr>
            </w:pPr>
            <w:r>
              <w:rPr>
                <w:rFonts w:ascii="Arial" w:hAnsi="Arial" w:cs="Arial"/>
                <w:noProof/>
                <w:color w:val="000000"/>
                <w:sz w:val="16"/>
                <w:szCs w:val="16"/>
              </w:rPr>
              <w:t>343</w:t>
            </w:r>
          </w:p>
        </w:tc>
      </w:tr>
      <w:tr w:rsidR="00875E4A" w:rsidTr="00875E4A">
        <w:trPr>
          <w:trHeight w:val="240"/>
          <w:jc w:val="center"/>
        </w:trPr>
        <w:tc>
          <w:tcPr>
            <w:tcW w:w="3311" w:type="dxa"/>
            <w:tcBorders>
              <w:top w:val="nil"/>
              <w:left w:val="single" w:sz="8" w:space="0" w:color="009900"/>
              <w:bottom w:val="nil"/>
              <w:right w:val="nil"/>
            </w:tcBorders>
            <w:shd w:val="clear" w:color="000000" w:fill="FFFFE1"/>
            <w:noWrap/>
            <w:vAlign w:val="center"/>
            <w:hideMark/>
          </w:tcPr>
          <w:p w:rsidR="00875E4A" w:rsidRDefault="00875E4A">
            <w:pPr>
              <w:rPr>
                <w:rFonts w:ascii="Arial" w:hAnsi="Arial" w:cs="Arial"/>
                <w:color w:val="000000"/>
                <w:sz w:val="16"/>
                <w:szCs w:val="16"/>
              </w:rPr>
            </w:pPr>
            <w:r>
              <w:rPr>
                <w:rFonts w:ascii="Arial" w:hAnsi="Arial" w:cs="Arial"/>
                <w:color w:val="000000"/>
                <w:sz w:val="16"/>
                <w:szCs w:val="16"/>
              </w:rPr>
              <w:t>Transitional housing</w:t>
            </w:r>
          </w:p>
        </w:tc>
        <w:tc>
          <w:tcPr>
            <w:tcW w:w="655" w:type="dxa"/>
            <w:tcBorders>
              <w:top w:val="nil"/>
              <w:left w:val="nil"/>
              <w:bottom w:val="nil"/>
              <w:right w:val="nil"/>
            </w:tcBorders>
            <w:shd w:val="clear" w:color="000000" w:fill="FFFFE1"/>
            <w:noWrap/>
            <w:vAlign w:val="center"/>
            <w:hideMark/>
          </w:tcPr>
          <w:p w:rsidR="00875E4A" w:rsidRDefault="00875E4A">
            <w:pPr>
              <w:jc w:val="center"/>
              <w:rPr>
                <w:rFonts w:ascii="Arial" w:hAnsi="Arial" w:cs="Arial"/>
                <w:color w:val="000000"/>
                <w:sz w:val="16"/>
                <w:szCs w:val="16"/>
              </w:rPr>
            </w:pPr>
            <w:r>
              <w:rPr>
                <w:rFonts w:ascii="Arial" w:hAnsi="Arial" w:cs="Arial"/>
                <w:noProof/>
                <w:color w:val="000000"/>
                <w:sz w:val="16"/>
                <w:szCs w:val="16"/>
              </w:rPr>
              <w:t>4</w:t>
            </w:r>
          </w:p>
        </w:tc>
        <w:tc>
          <w:tcPr>
            <w:tcW w:w="655" w:type="dxa"/>
            <w:tcBorders>
              <w:top w:val="nil"/>
              <w:left w:val="nil"/>
              <w:bottom w:val="nil"/>
              <w:right w:val="nil"/>
            </w:tcBorders>
            <w:shd w:val="clear" w:color="000000" w:fill="FFFFE1"/>
            <w:noWrap/>
            <w:vAlign w:val="center"/>
            <w:hideMark/>
          </w:tcPr>
          <w:p w:rsidR="00875E4A" w:rsidRDefault="00875E4A">
            <w:pPr>
              <w:jc w:val="center"/>
              <w:rPr>
                <w:rFonts w:ascii="Arial" w:hAnsi="Arial" w:cs="Arial"/>
                <w:color w:val="000000"/>
                <w:sz w:val="16"/>
                <w:szCs w:val="16"/>
              </w:rPr>
            </w:pPr>
            <w:r>
              <w:rPr>
                <w:rFonts w:ascii="Arial" w:hAnsi="Arial" w:cs="Arial"/>
                <w:noProof/>
                <w:color w:val="000000"/>
                <w:sz w:val="16"/>
                <w:szCs w:val="16"/>
              </w:rPr>
              <w:t>24</w:t>
            </w:r>
          </w:p>
        </w:tc>
        <w:tc>
          <w:tcPr>
            <w:tcW w:w="986" w:type="dxa"/>
            <w:tcBorders>
              <w:top w:val="nil"/>
              <w:left w:val="nil"/>
              <w:bottom w:val="nil"/>
              <w:right w:val="nil"/>
            </w:tcBorders>
            <w:shd w:val="clear" w:color="000000" w:fill="FFFFE1"/>
            <w:noWrap/>
            <w:vAlign w:val="center"/>
            <w:hideMark/>
          </w:tcPr>
          <w:p w:rsidR="00875E4A" w:rsidRDefault="00875E4A">
            <w:pPr>
              <w:jc w:val="center"/>
              <w:rPr>
                <w:rFonts w:ascii="Arial" w:hAnsi="Arial" w:cs="Arial"/>
                <w:color w:val="000000"/>
                <w:sz w:val="16"/>
                <w:szCs w:val="16"/>
              </w:rPr>
            </w:pPr>
            <w:r>
              <w:rPr>
                <w:rFonts w:ascii="Arial" w:hAnsi="Arial" w:cs="Arial"/>
                <w:noProof/>
                <w:color w:val="000000"/>
                <w:sz w:val="16"/>
                <w:szCs w:val="16"/>
              </w:rPr>
              <w:t>85</w:t>
            </w:r>
          </w:p>
        </w:tc>
        <w:tc>
          <w:tcPr>
            <w:tcW w:w="655" w:type="dxa"/>
            <w:tcBorders>
              <w:top w:val="nil"/>
              <w:left w:val="nil"/>
              <w:bottom w:val="nil"/>
              <w:right w:val="nil"/>
            </w:tcBorders>
            <w:shd w:val="clear" w:color="000000" w:fill="FFFFE1"/>
            <w:noWrap/>
            <w:vAlign w:val="center"/>
            <w:hideMark/>
          </w:tcPr>
          <w:p w:rsidR="00875E4A" w:rsidRDefault="00875E4A">
            <w:pPr>
              <w:jc w:val="center"/>
              <w:rPr>
                <w:rFonts w:ascii="Arial" w:hAnsi="Arial" w:cs="Arial"/>
                <w:color w:val="000000"/>
                <w:sz w:val="16"/>
                <w:szCs w:val="16"/>
              </w:rPr>
            </w:pPr>
            <w:r>
              <w:rPr>
                <w:rFonts w:ascii="Arial" w:hAnsi="Arial" w:cs="Arial"/>
                <w:noProof/>
                <w:color w:val="000000"/>
                <w:sz w:val="16"/>
                <w:szCs w:val="16"/>
              </w:rPr>
              <w:t>113</w:t>
            </w:r>
          </w:p>
        </w:tc>
        <w:tc>
          <w:tcPr>
            <w:tcW w:w="1232" w:type="dxa"/>
            <w:tcBorders>
              <w:top w:val="nil"/>
              <w:left w:val="nil"/>
              <w:bottom w:val="nil"/>
              <w:right w:val="nil"/>
            </w:tcBorders>
            <w:shd w:val="clear" w:color="000000" w:fill="FFFFE1"/>
            <w:vAlign w:val="center"/>
            <w:hideMark/>
          </w:tcPr>
          <w:p w:rsidR="00875E4A" w:rsidRDefault="00875E4A">
            <w:pPr>
              <w:jc w:val="center"/>
              <w:rPr>
                <w:rFonts w:ascii="Arial" w:hAnsi="Arial" w:cs="Arial"/>
                <w:color w:val="000000"/>
                <w:sz w:val="16"/>
                <w:szCs w:val="16"/>
              </w:rPr>
            </w:pPr>
            <w:r>
              <w:rPr>
                <w:rFonts w:ascii="Arial" w:hAnsi="Arial" w:cs="Arial"/>
                <w:noProof/>
                <w:color w:val="000000"/>
                <w:sz w:val="16"/>
                <w:szCs w:val="16"/>
              </w:rPr>
              <w:t>117</w:t>
            </w:r>
          </w:p>
        </w:tc>
        <w:tc>
          <w:tcPr>
            <w:tcW w:w="1066" w:type="dxa"/>
            <w:tcBorders>
              <w:top w:val="nil"/>
              <w:left w:val="nil"/>
              <w:bottom w:val="nil"/>
              <w:right w:val="single" w:sz="8" w:space="0" w:color="009900"/>
            </w:tcBorders>
            <w:shd w:val="clear" w:color="000000" w:fill="FFFFE1"/>
            <w:vAlign w:val="center"/>
            <w:hideMark/>
          </w:tcPr>
          <w:p w:rsidR="00875E4A" w:rsidRDefault="00875E4A">
            <w:pPr>
              <w:jc w:val="center"/>
              <w:rPr>
                <w:rFonts w:ascii="Arial" w:hAnsi="Arial" w:cs="Arial"/>
                <w:color w:val="000000"/>
                <w:sz w:val="16"/>
                <w:szCs w:val="16"/>
              </w:rPr>
            </w:pPr>
            <w:r>
              <w:rPr>
                <w:rFonts w:ascii="Arial" w:hAnsi="Arial" w:cs="Arial"/>
                <w:noProof/>
                <w:color w:val="000000"/>
                <w:sz w:val="16"/>
                <w:szCs w:val="16"/>
              </w:rPr>
              <w:t>343</w:t>
            </w:r>
          </w:p>
        </w:tc>
      </w:tr>
      <w:tr w:rsidR="00875E4A" w:rsidTr="00875E4A">
        <w:trPr>
          <w:trHeight w:val="240"/>
          <w:jc w:val="center"/>
        </w:trPr>
        <w:tc>
          <w:tcPr>
            <w:tcW w:w="3311" w:type="dxa"/>
            <w:tcBorders>
              <w:top w:val="nil"/>
              <w:left w:val="single" w:sz="8" w:space="0" w:color="009900"/>
              <w:bottom w:val="nil"/>
              <w:right w:val="nil"/>
            </w:tcBorders>
            <w:shd w:val="clear" w:color="000000" w:fill="FFFFE1"/>
            <w:noWrap/>
            <w:vAlign w:val="center"/>
            <w:hideMark/>
          </w:tcPr>
          <w:p w:rsidR="00875E4A" w:rsidRDefault="00875E4A">
            <w:pPr>
              <w:rPr>
                <w:rFonts w:ascii="Arial" w:hAnsi="Arial" w:cs="Arial"/>
                <w:color w:val="000000"/>
                <w:sz w:val="16"/>
                <w:szCs w:val="16"/>
              </w:rPr>
            </w:pPr>
            <w:r>
              <w:rPr>
                <w:rFonts w:ascii="Arial" w:hAnsi="Arial" w:cs="Arial"/>
                <w:color w:val="000000"/>
                <w:sz w:val="16"/>
                <w:szCs w:val="16"/>
              </w:rPr>
              <w:t>Shelters for youth</w:t>
            </w:r>
          </w:p>
        </w:tc>
        <w:tc>
          <w:tcPr>
            <w:tcW w:w="655" w:type="dxa"/>
            <w:tcBorders>
              <w:top w:val="nil"/>
              <w:left w:val="nil"/>
              <w:bottom w:val="nil"/>
              <w:right w:val="nil"/>
            </w:tcBorders>
            <w:shd w:val="clear" w:color="000000" w:fill="FFFFE1"/>
            <w:noWrap/>
            <w:vAlign w:val="center"/>
            <w:hideMark/>
          </w:tcPr>
          <w:p w:rsidR="00875E4A" w:rsidRDefault="00875E4A">
            <w:pPr>
              <w:jc w:val="center"/>
              <w:rPr>
                <w:rFonts w:ascii="Arial" w:hAnsi="Arial" w:cs="Arial"/>
                <w:color w:val="000000"/>
                <w:sz w:val="16"/>
                <w:szCs w:val="16"/>
              </w:rPr>
            </w:pPr>
            <w:r>
              <w:rPr>
                <w:rFonts w:ascii="Arial" w:hAnsi="Arial" w:cs="Arial"/>
                <w:noProof/>
                <w:color w:val="000000"/>
                <w:sz w:val="16"/>
                <w:szCs w:val="16"/>
              </w:rPr>
              <w:t>5</w:t>
            </w:r>
          </w:p>
        </w:tc>
        <w:tc>
          <w:tcPr>
            <w:tcW w:w="655" w:type="dxa"/>
            <w:tcBorders>
              <w:top w:val="nil"/>
              <w:left w:val="nil"/>
              <w:bottom w:val="nil"/>
              <w:right w:val="nil"/>
            </w:tcBorders>
            <w:shd w:val="clear" w:color="000000" w:fill="FFFFE1"/>
            <w:noWrap/>
            <w:vAlign w:val="center"/>
            <w:hideMark/>
          </w:tcPr>
          <w:p w:rsidR="00875E4A" w:rsidRDefault="00875E4A">
            <w:pPr>
              <w:jc w:val="center"/>
              <w:rPr>
                <w:rFonts w:ascii="Arial" w:hAnsi="Arial" w:cs="Arial"/>
                <w:color w:val="000000"/>
                <w:sz w:val="16"/>
                <w:szCs w:val="16"/>
              </w:rPr>
            </w:pPr>
            <w:r>
              <w:rPr>
                <w:rFonts w:ascii="Arial" w:hAnsi="Arial" w:cs="Arial"/>
                <w:noProof/>
                <w:color w:val="000000"/>
                <w:sz w:val="16"/>
                <w:szCs w:val="16"/>
              </w:rPr>
              <w:t>30</w:t>
            </w:r>
          </w:p>
        </w:tc>
        <w:tc>
          <w:tcPr>
            <w:tcW w:w="986" w:type="dxa"/>
            <w:tcBorders>
              <w:top w:val="nil"/>
              <w:left w:val="nil"/>
              <w:bottom w:val="nil"/>
              <w:right w:val="nil"/>
            </w:tcBorders>
            <w:shd w:val="clear" w:color="000000" w:fill="FFFFE1"/>
            <w:noWrap/>
            <w:vAlign w:val="center"/>
            <w:hideMark/>
          </w:tcPr>
          <w:p w:rsidR="00875E4A" w:rsidRDefault="00875E4A">
            <w:pPr>
              <w:jc w:val="center"/>
              <w:rPr>
                <w:rFonts w:ascii="Arial" w:hAnsi="Arial" w:cs="Arial"/>
                <w:color w:val="000000"/>
                <w:sz w:val="16"/>
                <w:szCs w:val="16"/>
              </w:rPr>
            </w:pPr>
            <w:r>
              <w:rPr>
                <w:rFonts w:ascii="Arial" w:hAnsi="Arial" w:cs="Arial"/>
                <w:noProof/>
                <w:color w:val="000000"/>
                <w:sz w:val="16"/>
                <w:szCs w:val="16"/>
              </w:rPr>
              <w:t>82</w:t>
            </w:r>
          </w:p>
        </w:tc>
        <w:tc>
          <w:tcPr>
            <w:tcW w:w="655" w:type="dxa"/>
            <w:tcBorders>
              <w:top w:val="nil"/>
              <w:left w:val="nil"/>
              <w:bottom w:val="nil"/>
              <w:right w:val="nil"/>
            </w:tcBorders>
            <w:shd w:val="clear" w:color="000000" w:fill="FFFFE1"/>
            <w:noWrap/>
            <w:vAlign w:val="center"/>
            <w:hideMark/>
          </w:tcPr>
          <w:p w:rsidR="00875E4A" w:rsidRDefault="00875E4A">
            <w:pPr>
              <w:jc w:val="center"/>
              <w:rPr>
                <w:rFonts w:ascii="Arial" w:hAnsi="Arial" w:cs="Arial"/>
                <w:color w:val="000000"/>
                <w:sz w:val="16"/>
                <w:szCs w:val="16"/>
              </w:rPr>
            </w:pPr>
            <w:r>
              <w:rPr>
                <w:rFonts w:ascii="Arial" w:hAnsi="Arial" w:cs="Arial"/>
                <w:noProof/>
                <w:color w:val="000000"/>
                <w:sz w:val="16"/>
                <w:szCs w:val="16"/>
              </w:rPr>
              <w:t>111</w:t>
            </w:r>
          </w:p>
        </w:tc>
        <w:tc>
          <w:tcPr>
            <w:tcW w:w="1232" w:type="dxa"/>
            <w:tcBorders>
              <w:top w:val="nil"/>
              <w:left w:val="nil"/>
              <w:bottom w:val="nil"/>
              <w:right w:val="nil"/>
            </w:tcBorders>
            <w:shd w:val="clear" w:color="000000" w:fill="FFFFE1"/>
            <w:vAlign w:val="center"/>
            <w:hideMark/>
          </w:tcPr>
          <w:p w:rsidR="00875E4A" w:rsidRDefault="00875E4A">
            <w:pPr>
              <w:jc w:val="center"/>
              <w:rPr>
                <w:rFonts w:ascii="Arial" w:hAnsi="Arial" w:cs="Arial"/>
                <w:color w:val="000000"/>
                <w:sz w:val="16"/>
                <w:szCs w:val="16"/>
              </w:rPr>
            </w:pPr>
            <w:r>
              <w:rPr>
                <w:rFonts w:ascii="Arial" w:hAnsi="Arial" w:cs="Arial"/>
                <w:noProof/>
                <w:color w:val="000000"/>
                <w:sz w:val="16"/>
                <w:szCs w:val="16"/>
              </w:rPr>
              <w:t>115</w:t>
            </w:r>
          </w:p>
        </w:tc>
        <w:tc>
          <w:tcPr>
            <w:tcW w:w="1066" w:type="dxa"/>
            <w:tcBorders>
              <w:top w:val="nil"/>
              <w:left w:val="nil"/>
              <w:bottom w:val="nil"/>
              <w:right w:val="single" w:sz="8" w:space="0" w:color="009900"/>
            </w:tcBorders>
            <w:shd w:val="clear" w:color="000000" w:fill="FFFFE1"/>
            <w:vAlign w:val="center"/>
            <w:hideMark/>
          </w:tcPr>
          <w:p w:rsidR="00875E4A" w:rsidRDefault="00875E4A">
            <w:pPr>
              <w:jc w:val="center"/>
              <w:rPr>
                <w:rFonts w:ascii="Arial" w:hAnsi="Arial" w:cs="Arial"/>
                <w:color w:val="000000"/>
                <w:sz w:val="16"/>
                <w:szCs w:val="16"/>
              </w:rPr>
            </w:pPr>
            <w:r>
              <w:rPr>
                <w:rFonts w:ascii="Arial" w:hAnsi="Arial" w:cs="Arial"/>
                <w:noProof/>
                <w:color w:val="000000"/>
                <w:sz w:val="16"/>
                <w:szCs w:val="16"/>
              </w:rPr>
              <w:t>343</w:t>
            </w:r>
          </w:p>
        </w:tc>
      </w:tr>
      <w:tr w:rsidR="00875E4A" w:rsidTr="00875E4A">
        <w:trPr>
          <w:trHeight w:val="240"/>
          <w:jc w:val="center"/>
        </w:trPr>
        <w:tc>
          <w:tcPr>
            <w:tcW w:w="3311" w:type="dxa"/>
            <w:tcBorders>
              <w:top w:val="nil"/>
              <w:left w:val="single" w:sz="8" w:space="0" w:color="009900"/>
              <w:bottom w:val="single" w:sz="8" w:space="0" w:color="009900"/>
              <w:right w:val="nil"/>
            </w:tcBorders>
            <w:shd w:val="clear" w:color="000000" w:fill="FFFFE1"/>
            <w:noWrap/>
            <w:vAlign w:val="center"/>
            <w:hideMark/>
          </w:tcPr>
          <w:p w:rsidR="00875E4A" w:rsidRDefault="00875E4A">
            <w:pPr>
              <w:rPr>
                <w:rFonts w:ascii="Arial" w:hAnsi="Arial" w:cs="Arial"/>
                <w:color w:val="000000"/>
                <w:sz w:val="16"/>
                <w:szCs w:val="16"/>
              </w:rPr>
            </w:pPr>
            <w:r>
              <w:rPr>
                <w:rFonts w:ascii="Arial" w:hAnsi="Arial" w:cs="Arial"/>
                <w:color w:val="000000"/>
                <w:sz w:val="16"/>
                <w:szCs w:val="16"/>
              </w:rPr>
              <w:t>Emergency shelters</w:t>
            </w:r>
          </w:p>
        </w:tc>
        <w:tc>
          <w:tcPr>
            <w:tcW w:w="655" w:type="dxa"/>
            <w:tcBorders>
              <w:top w:val="nil"/>
              <w:left w:val="nil"/>
              <w:bottom w:val="single" w:sz="8" w:space="0" w:color="009900"/>
              <w:right w:val="nil"/>
            </w:tcBorders>
            <w:shd w:val="clear" w:color="000000" w:fill="FFFFE1"/>
            <w:noWrap/>
            <w:vAlign w:val="center"/>
            <w:hideMark/>
          </w:tcPr>
          <w:p w:rsidR="00875E4A" w:rsidRDefault="00875E4A">
            <w:pPr>
              <w:jc w:val="center"/>
              <w:rPr>
                <w:rFonts w:ascii="Arial" w:hAnsi="Arial" w:cs="Arial"/>
                <w:color w:val="000000"/>
                <w:sz w:val="16"/>
                <w:szCs w:val="16"/>
              </w:rPr>
            </w:pPr>
            <w:r>
              <w:rPr>
                <w:rFonts w:ascii="Arial" w:hAnsi="Arial" w:cs="Arial"/>
                <w:noProof/>
                <w:color w:val="000000"/>
                <w:sz w:val="16"/>
                <w:szCs w:val="16"/>
              </w:rPr>
              <w:t>6</w:t>
            </w:r>
          </w:p>
        </w:tc>
        <w:tc>
          <w:tcPr>
            <w:tcW w:w="655" w:type="dxa"/>
            <w:tcBorders>
              <w:top w:val="nil"/>
              <w:left w:val="nil"/>
              <w:bottom w:val="single" w:sz="8" w:space="0" w:color="009900"/>
              <w:right w:val="nil"/>
            </w:tcBorders>
            <w:shd w:val="clear" w:color="000000" w:fill="FFFFE1"/>
            <w:noWrap/>
            <w:vAlign w:val="center"/>
            <w:hideMark/>
          </w:tcPr>
          <w:p w:rsidR="00875E4A" w:rsidRDefault="00875E4A">
            <w:pPr>
              <w:jc w:val="center"/>
              <w:rPr>
                <w:rFonts w:ascii="Arial" w:hAnsi="Arial" w:cs="Arial"/>
                <w:color w:val="000000"/>
                <w:sz w:val="16"/>
                <w:szCs w:val="16"/>
              </w:rPr>
            </w:pPr>
            <w:r>
              <w:rPr>
                <w:rFonts w:ascii="Arial" w:hAnsi="Arial" w:cs="Arial"/>
                <w:noProof/>
                <w:color w:val="000000"/>
                <w:sz w:val="16"/>
                <w:szCs w:val="16"/>
              </w:rPr>
              <w:t>40</w:t>
            </w:r>
          </w:p>
        </w:tc>
        <w:tc>
          <w:tcPr>
            <w:tcW w:w="986" w:type="dxa"/>
            <w:tcBorders>
              <w:top w:val="nil"/>
              <w:left w:val="nil"/>
              <w:bottom w:val="single" w:sz="8" w:space="0" w:color="009900"/>
              <w:right w:val="nil"/>
            </w:tcBorders>
            <w:shd w:val="clear" w:color="000000" w:fill="FFFFE1"/>
            <w:noWrap/>
            <w:vAlign w:val="center"/>
            <w:hideMark/>
          </w:tcPr>
          <w:p w:rsidR="00875E4A" w:rsidRDefault="00875E4A">
            <w:pPr>
              <w:jc w:val="center"/>
              <w:rPr>
                <w:rFonts w:ascii="Arial" w:hAnsi="Arial" w:cs="Arial"/>
                <w:color w:val="000000"/>
                <w:sz w:val="16"/>
                <w:szCs w:val="16"/>
              </w:rPr>
            </w:pPr>
            <w:r>
              <w:rPr>
                <w:rFonts w:ascii="Arial" w:hAnsi="Arial" w:cs="Arial"/>
                <w:noProof/>
                <w:color w:val="000000"/>
                <w:sz w:val="16"/>
                <w:szCs w:val="16"/>
              </w:rPr>
              <w:t>79</w:t>
            </w:r>
          </w:p>
        </w:tc>
        <w:tc>
          <w:tcPr>
            <w:tcW w:w="655" w:type="dxa"/>
            <w:tcBorders>
              <w:top w:val="nil"/>
              <w:left w:val="nil"/>
              <w:bottom w:val="single" w:sz="8" w:space="0" w:color="009900"/>
              <w:right w:val="nil"/>
            </w:tcBorders>
            <w:shd w:val="clear" w:color="000000" w:fill="FFFFE1"/>
            <w:noWrap/>
            <w:vAlign w:val="center"/>
            <w:hideMark/>
          </w:tcPr>
          <w:p w:rsidR="00875E4A" w:rsidRDefault="00875E4A">
            <w:pPr>
              <w:jc w:val="center"/>
              <w:rPr>
                <w:rFonts w:ascii="Arial" w:hAnsi="Arial" w:cs="Arial"/>
                <w:color w:val="000000"/>
                <w:sz w:val="16"/>
                <w:szCs w:val="16"/>
              </w:rPr>
            </w:pPr>
            <w:r>
              <w:rPr>
                <w:rFonts w:ascii="Arial" w:hAnsi="Arial" w:cs="Arial"/>
                <w:noProof/>
                <w:color w:val="000000"/>
                <w:sz w:val="16"/>
                <w:szCs w:val="16"/>
              </w:rPr>
              <w:t>104</w:t>
            </w:r>
          </w:p>
        </w:tc>
        <w:tc>
          <w:tcPr>
            <w:tcW w:w="1232" w:type="dxa"/>
            <w:tcBorders>
              <w:top w:val="nil"/>
              <w:left w:val="nil"/>
              <w:bottom w:val="single" w:sz="8" w:space="0" w:color="009900"/>
              <w:right w:val="nil"/>
            </w:tcBorders>
            <w:shd w:val="clear" w:color="000000" w:fill="FFFFE1"/>
            <w:vAlign w:val="center"/>
            <w:hideMark/>
          </w:tcPr>
          <w:p w:rsidR="00875E4A" w:rsidRDefault="00875E4A">
            <w:pPr>
              <w:jc w:val="center"/>
              <w:rPr>
                <w:rFonts w:ascii="Arial" w:hAnsi="Arial" w:cs="Arial"/>
                <w:color w:val="000000"/>
                <w:sz w:val="16"/>
                <w:szCs w:val="16"/>
              </w:rPr>
            </w:pPr>
            <w:r>
              <w:rPr>
                <w:rFonts w:ascii="Arial" w:hAnsi="Arial" w:cs="Arial"/>
                <w:noProof/>
                <w:color w:val="000000"/>
                <w:sz w:val="16"/>
                <w:szCs w:val="16"/>
              </w:rPr>
              <w:t>114</w:t>
            </w:r>
          </w:p>
        </w:tc>
        <w:tc>
          <w:tcPr>
            <w:tcW w:w="1066" w:type="dxa"/>
            <w:tcBorders>
              <w:top w:val="nil"/>
              <w:left w:val="nil"/>
              <w:bottom w:val="single" w:sz="8" w:space="0" w:color="009900"/>
              <w:right w:val="single" w:sz="8" w:space="0" w:color="009900"/>
            </w:tcBorders>
            <w:shd w:val="clear" w:color="000000" w:fill="FFFFE1"/>
            <w:vAlign w:val="center"/>
            <w:hideMark/>
          </w:tcPr>
          <w:p w:rsidR="00875E4A" w:rsidRDefault="00875E4A">
            <w:pPr>
              <w:jc w:val="center"/>
              <w:rPr>
                <w:rFonts w:ascii="Arial" w:hAnsi="Arial" w:cs="Arial"/>
                <w:color w:val="000000"/>
                <w:sz w:val="16"/>
                <w:szCs w:val="16"/>
              </w:rPr>
            </w:pPr>
            <w:r>
              <w:rPr>
                <w:rFonts w:ascii="Arial" w:hAnsi="Arial" w:cs="Arial"/>
                <w:noProof/>
                <w:color w:val="000000"/>
                <w:sz w:val="16"/>
                <w:szCs w:val="16"/>
              </w:rPr>
              <w:t>343</w:t>
            </w:r>
          </w:p>
        </w:tc>
      </w:tr>
    </w:tbl>
    <w:p w:rsidR="009547F1" w:rsidRPr="00542F38" w:rsidRDefault="009547F1" w:rsidP="009547F1"/>
    <w:p w:rsidR="003D697D" w:rsidRDefault="003D697D" w:rsidP="00C95498">
      <w:pPr>
        <w:spacing w:after="120"/>
        <w:jc w:val="both"/>
        <w:rPr>
          <w:rFonts w:ascii="CG Omega" w:hAnsi="CG Omega"/>
        </w:rPr>
      </w:pPr>
      <w:r w:rsidRPr="009859AB">
        <w:rPr>
          <w:rFonts w:ascii="CG Omega" w:hAnsi="CG Omega"/>
        </w:rPr>
        <w:t xml:space="preserve">The Homeless Needs Focus Group </w:t>
      </w:r>
      <w:r>
        <w:rPr>
          <w:rFonts w:ascii="CG Omega" w:hAnsi="CG Omega"/>
        </w:rPr>
        <w:t>addressed various challenges and suggestions to meeting the needs of the New Mexico homeless population. These are summarized as follows:</w:t>
      </w:r>
    </w:p>
    <w:p w:rsidR="003D697D" w:rsidRDefault="003D697D" w:rsidP="0049477B">
      <w:pPr>
        <w:pStyle w:val="ListParagraph"/>
        <w:widowControl/>
        <w:numPr>
          <w:ilvl w:val="0"/>
          <w:numId w:val="39"/>
        </w:numPr>
        <w:autoSpaceDE/>
        <w:autoSpaceDN/>
        <w:adjustRightInd/>
        <w:spacing w:after="200"/>
        <w:contextualSpacing/>
        <w:rPr>
          <w:rFonts w:ascii="CG Omega" w:hAnsi="CG Omega"/>
          <w:sz w:val="24"/>
        </w:rPr>
      </w:pPr>
      <w:r>
        <w:rPr>
          <w:rFonts w:ascii="CG Omega" w:hAnsi="CG Omega"/>
          <w:sz w:val="24"/>
        </w:rPr>
        <w:t>Providing housing without mandating services is essential to working towards ending homelessness.</w:t>
      </w:r>
    </w:p>
    <w:p w:rsidR="003D697D" w:rsidRDefault="003D697D" w:rsidP="0049477B">
      <w:pPr>
        <w:pStyle w:val="ListParagraph"/>
        <w:widowControl/>
        <w:numPr>
          <w:ilvl w:val="0"/>
          <w:numId w:val="39"/>
        </w:numPr>
        <w:autoSpaceDE/>
        <w:autoSpaceDN/>
        <w:adjustRightInd/>
        <w:spacing w:after="200"/>
        <w:contextualSpacing/>
        <w:rPr>
          <w:rFonts w:ascii="CG Omega" w:hAnsi="CG Omega"/>
          <w:sz w:val="24"/>
        </w:rPr>
      </w:pPr>
      <w:r>
        <w:rPr>
          <w:rFonts w:ascii="CG Omega" w:hAnsi="CG Omega"/>
          <w:sz w:val="24"/>
        </w:rPr>
        <w:t>The location of housing, availability of services, and life skills trainings are important to ensure a lower rate of returning to homelessness.</w:t>
      </w:r>
    </w:p>
    <w:p w:rsidR="003D697D" w:rsidRDefault="003D697D" w:rsidP="0049477B">
      <w:pPr>
        <w:pStyle w:val="ListParagraph"/>
        <w:widowControl/>
        <w:numPr>
          <w:ilvl w:val="0"/>
          <w:numId w:val="39"/>
        </w:numPr>
        <w:autoSpaceDE/>
        <w:autoSpaceDN/>
        <w:adjustRightInd/>
        <w:spacing w:after="200"/>
        <w:contextualSpacing/>
        <w:rPr>
          <w:rFonts w:ascii="CG Omega" w:hAnsi="CG Omega"/>
          <w:sz w:val="24"/>
        </w:rPr>
      </w:pPr>
      <w:r>
        <w:rPr>
          <w:rFonts w:ascii="CG Omega" w:hAnsi="CG Omega"/>
          <w:sz w:val="24"/>
        </w:rPr>
        <w:t>Increased communication and coordination among service providers will allow for providers to more successfully meet needs.</w:t>
      </w:r>
    </w:p>
    <w:p w:rsidR="003D697D" w:rsidRPr="007F6B6C" w:rsidRDefault="003D697D" w:rsidP="0049477B">
      <w:pPr>
        <w:pStyle w:val="ListParagraph"/>
        <w:widowControl/>
        <w:numPr>
          <w:ilvl w:val="0"/>
          <w:numId w:val="39"/>
        </w:numPr>
        <w:autoSpaceDE/>
        <w:autoSpaceDN/>
        <w:adjustRightInd/>
        <w:spacing w:after="200"/>
        <w:contextualSpacing/>
        <w:rPr>
          <w:rFonts w:ascii="CG Omega" w:hAnsi="CG Omega"/>
          <w:sz w:val="24"/>
        </w:rPr>
      </w:pPr>
      <w:r>
        <w:rPr>
          <w:rFonts w:ascii="CG Omega" w:hAnsi="CG Omega"/>
          <w:sz w:val="24"/>
        </w:rPr>
        <w:t>Increased resources and public awareness are necessary to continue to combat homelessness.</w:t>
      </w:r>
    </w:p>
    <w:p w:rsidR="008026A9" w:rsidRDefault="008026A9" w:rsidP="00BB666B">
      <w:pPr>
        <w:pStyle w:val="FirstHead"/>
      </w:pPr>
      <w:bookmarkStart w:id="109" w:name="_Toc233426588"/>
      <w:bookmarkStart w:id="110" w:name="_Toc233426773"/>
    </w:p>
    <w:p w:rsidR="00126EB2" w:rsidRPr="00B52F42" w:rsidRDefault="00047D06" w:rsidP="00BB666B">
      <w:pPr>
        <w:pStyle w:val="FirstHead"/>
      </w:pPr>
      <w:bookmarkStart w:id="111" w:name="_Toc399834583"/>
      <w:r w:rsidRPr="00B52F42">
        <w:t>E</w:t>
      </w:r>
      <w:r w:rsidR="00DA7CBD" w:rsidRPr="00B52F42">
        <w:t>. Non-Homeless Special Needs</w:t>
      </w:r>
      <w:bookmarkEnd w:id="109"/>
      <w:bookmarkEnd w:id="110"/>
      <w:r w:rsidR="004A5272" w:rsidRPr="00B52F42">
        <w:t xml:space="preserve"> Assessment</w:t>
      </w:r>
      <w:bookmarkEnd w:id="111"/>
    </w:p>
    <w:p w:rsidR="00216052" w:rsidRPr="007F6B6C" w:rsidRDefault="00216052" w:rsidP="00126EB2">
      <w:pPr>
        <w:jc w:val="both"/>
        <w:rPr>
          <w:rFonts w:ascii="CG Omega" w:hAnsi="CG Omega" w:cs="Arial"/>
          <w:snapToGrid w:val="0"/>
          <w:sz w:val="16"/>
          <w:szCs w:val="16"/>
        </w:rPr>
      </w:pPr>
    </w:p>
    <w:p w:rsidR="00126EB2" w:rsidRPr="00B52F42" w:rsidRDefault="00126EB2" w:rsidP="00126EB2">
      <w:pPr>
        <w:jc w:val="both"/>
        <w:rPr>
          <w:rFonts w:ascii="CG Omega" w:hAnsi="CG Omega" w:cs="Arial"/>
          <w:snapToGrid w:val="0"/>
        </w:rPr>
      </w:pPr>
      <w:r w:rsidRPr="00B52F42">
        <w:rPr>
          <w:rFonts w:ascii="CG Omega" w:hAnsi="CG Omega" w:cs="Arial"/>
          <w:snapToGrid w:val="0"/>
        </w:rPr>
        <w:t>According to HUD, special needs populations are “not homeless but require supportive housing, including the elderly, frail elderly, persons with disabilities (mental, physical, developmental), persons with alcohol or other drug addiction, persons with HIV/AIDS and their families, public housing residents and any other categories the jurisdiction may specify.”</w:t>
      </w:r>
      <w:r w:rsidRPr="00B52F42">
        <w:rPr>
          <w:rStyle w:val="FootnoteReference"/>
          <w:rFonts w:ascii="CG Omega" w:hAnsi="CG Omega" w:cs="Arial"/>
          <w:snapToGrid w:val="0"/>
        </w:rPr>
        <w:footnoteReference w:id="55"/>
      </w:r>
      <w:r w:rsidRPr="00B52F42">
        <w:rPr>
          <w:rFonts w:ascii="CG Omega" w:hAnsi="CG Omega" w:cs="Arial"/>
          <w:snapToGrid w:val="0"/>
        </w:rPr>
        <w:t xml:space="preserve">  Because individuals in these groups face unique housing challenges and are vulnerable to becoming homeless, a variety of support services are needed in order for them to achieve and maintain a suitable and stable living environment.  Each of these special needs populations will be discussed in terms of their size and characteristics, services and housing currently provided, and services and housing still needed.</w:t>
      </w:r>
      <w:r w:rsidR="009D522E" w:rsidRPr="00B52F42">
        <w:rPr>
          <w:rFonts w:ascii="CG Omega" w:hAnsi="CG Omega" w:cs="Arial"/>
          <w:snapToGrid w:val="0"/>
        </w:rPr>
        <w:t xml:space="preserve">  </w:t>
      </w:r>
    </w:p>
    <w:p w:rsidR="00BD276B" w:rsidRPr="00DE3F87" w:rsidRDefault="00BD276B" w:rsidP="00BD276B">
      <w:pPr>
        <w:pStyle w:val="BodyTextIndent"/>
        <w:ind w:left="0"/>
        <w:rPr>
          <w:rFonts w:ascii="CG Omega" w:hAnsi="CG Omega"/>
          <w:szCs w:val="24"/>
          <w:highlight w:val="yellow"/>
        </w:rPr>
      </w:pPr>
    </w:p>
    <w:p w:rsidR="00374F3E" w:rsidRPr="00DE3F87" w:rsidRDefault="00374F3E" w:rsidP="00374F3E">
      <w:pPr>
        <w:jc w:val="both"/>
        <w:rPr>
          <w:rFonts w:ascii="CG Omega" w:hAnsi="CG Omega"/>
          <w:highlight w:val="yellow"/>
        </w:rPr>
      </w:pPr>
      <w:r w:rsidRPr="00DE3F87">
        <w:rPr>
          <w:rFonts w:ascii="CG Omega" w:hAnsi="CG Omega"/>
        </w:rPr>
        <w:t xml:space="preserve">A portion of the </w:t>
      </w:r>
      <w:r w:rsidRPr="00DE3F87">
        <w:rPr>
          <w:rFonts w:ascii="CG Omega" w:hAnsi="CG Omega"/>
          <w:i/>
        </w:rPr>
        <w:t>2014 Housing and Community Development Survey</w:t>
      </w:r>
      <w:r w:rsidRPr="00DE3F87">
        <w:rPr>
          <w:rFonts w:ascii="CG Omega" w:hAnsi="CG Omega"/>
        </w:rPr>
        <w:t xml:space="preserve"> asked respondents to rank the need for services and facilities for non-homeless special needs groups in New Mexico. The responses to this question are tabulated in </w:t>
      </w:r>
      <w:r w:rsidR="00281938" w:rsidRPr="00DE3F87">
        <w:rPr>
          <w:rFonts w:ascii="CG Omega" w:hAnsi="CG Omega"/>
          <w:b/>
        </w:rPr>
        <w:t>Table V.1</w:t>
      </w:r>
      <w:r w:rsidR="000155B6" w:rsidRPr="00DE3F87">
        <w:rPr>
          <w:rFonts w:ascii="CG Omega" w:hAnsi="CG Omega"/>
          <w:b/>
        </w:rPr>
        <w:t>8</w:t>
      </w:r>
      <w:r w:rsidRPr="00DE3F87">
        <w:rPr>
          <w:rFonts w:ascii="CG Omega" w:hAnsi="CG Omega"/>
        </w:rPr>
        <w:t xml:space="preserve">, below. While most special needs groups were perceived to have a high level of need, the frail elderly were perceived as having the highest level of need. Persons with severe mental illness and veterans were also identified as having high levels of need for services. </w:t>
      </w:r>
    </w:p>
    <w:p w:rsidR="00374F3E" w:rsidRPr="00DE3F87" w:rsidRDefault="00374F3E" w:rsidP="00374F3E">
      <w:pPr>
        <w:jc w:val="both"/>
        <w:rPr>
          <w:rFonts w:ascii="CG Omega" w:hAnsi="CG Omega"/>
          <w:highlight w:val="yellow"/>
        </w:rPr>
      </w:pPr>
    </w:p>
    <w:tbl>
      <w:tblPr>
        <w:tblW w:w="9202" w:type="dxa"/>
        <w:tblInd w:w="93" w:type="dxa"/>
        <w:tblLook w:val="04A0" w:firstRow="1" w:lastRow="0" w:firstColumn="1" w:lastColumn="0" w:noHBand="0" w:noVBand="1"/>
      </w:tblPr>
      <w:tblGrid>
        <w:gridCol w:w="4300"/>
        <w:gridCol w:w="612"/>
        <w:gridCol w:w="612"/>
        <w:gridCol w:w="921"/>
        <w:gridCol w:w="612"/>
        <w:gridCol w:w="1150"/>
        <w:gridCol w:w="995"/>
      </w:tblGrid>
      <w:tr w:rsidR="00360CE1" w:rsidTr="00360CE1">
        <w:trPr>
          <w:trHeight w:val="255"/>
        </w:trPr>
        <w:tc>
          <w:tcPr>
            <w:tcW w:w="9202" w:type="dxa"/>
            <w:gridSpan w:val="7"/>
            <w:tcBorders>
              <w:top w:val="nil"/>
              <w:left w:val="nil"/>
              <w:bottom w:val="nil"/>
              <w:right w:val="nil"/>
            </w:tcBorders>
            <w:shd w:val="clear" w:color="auto" w:fill="auto"/>
            <w:noWrap/>
            <w:vAlign w:val="center"/>
            <w:hideMark/>
          </w:tcPr>
          <w:p w:rsidR="00360CE1" w:rsidRDefault="00360CE1" w:rsidP="000155B6">
            <w:pPr>
              <w:jc w:val="center"/>
              <w:rPr>
                <w:rFonts w:ascii="Arial" w:hAnsi="Arial" w:cs="Arial"/>
                <w:b/>
                <w:bCs/>
                <w:color w:val="000000"/>
                <w:sz w:val="22"/>
                <w:szCs w:val="22"/>
              </w:rPr>
            </w:pPr>
            <w:r>
              <w:rPr>
                <w:rFonts w:ascii="Arial" w:hAnsi="Arial" w:cs="Arial"/>
                <w:b/>
                <w:bCs/>
                <w:color w:val="000000"/>
                <w:sz w:val="22"/>
                <w:szCs w:val="22"/>
              </w:rPr>
              <w:t>Table V.1</w:t>
            </w:r>
            <w:r w:rsidR="000155B6">
              <w:rPr>
                <w:rFonts w:ascii="Arial" w:hAnsi="Arial" w:cs="Arial"/>
                <w:b/>
                <w:bCs/>
                <w:color w:val="000000"/>
                <w:sz w:val="22"/>
                <w:szCs w:val="22"/>
              </w:rPr>
              <w:t>8</w:t>
            </w:r>
          </w:p>
        </w:tc>
      </w:tr>
      <w:tr w:rsidR="00360CE1" w:rsidTr="00360CE1">
        <w:trPr>
          <w:trHeight w:val="240"/>
        </w:trPr>
        <w:tc>
          <w:tcPr>
            <w:tcW w:w="9202" w:type="dxa"/>
            <w:gridSpan w:val="7"/>
            <w:tcBorders>
              <w:top w:val="nil"/>
              <w:left w:val="nil"/>
              <w:bottom w:val="nil"/>
              <w:right w:val="nil"/>
            </w:tcBorders>
            <w:shd w:val="clear" w:color="auto" w:fill="auto"/>
            <w:noWrap/>
            <w:vAlign w:val="center"/>
            <w:hideMark/>
          </w:tcPr>
          <w:p w:rsidR="00360CE1" w:rsidRDefault="00360CE1">
            <w:pPr>
              <w:jc w:val="center"/>
              <w:rPr>
                <w:rFonts w:ascii="Arial" w:hAnsi="Arial" w:cs="Arial"/>
                <w:b/>
                <w:bCs/>
                <w:color w:val="000000"/>
                <w:sz w:val="20"/>
                <w:szCs w:val="20"/>
              </w:rPr>
            </w:pPr>
            <w:r>
              <w:rPr>
                <w:rFonts w:ascii="Arial" w:hAnsi="Arial" w:cs="Arial"/>
                <w:b/>
                <w:bCs/>
                <w:color w:val="000000"/>
                <w:sz w:val="20"/>
                <w:szCs w:val="20"/>
              </w:rPr>
              <w:t>Please rate the need for services and facilities for each of the following special needs groups.</w:t>
            </w:r>
          </w:p>
        </w:tc>
      </w:tr>
      <w:tr w:rsidR="00360CE1" w:rsidTr="002A2BE1">
        <w:trPr>
          <w:trHeight w:val="99"/>
        </w:trPr>
        <w:tc>
          <w:tcPr>
            <w:tcW w:w="9202" w:type="dxa"/>
            <w:gridSpan w:val="7"/>
            <w:tcBorders>
              <w:top w:val="nil"/>
              <w:left w:val="nil"/>
              <w:bottom w:val="nil"/>
              <w:right w:val="nil"/>
            </w:tcBorders>
            <w:shd w:val="clear" w:color="auto" w:fill="auto"/>
            <w:noWrap/>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State of New Mexico</w:t>
            </w:r>
          </w:p>
        </w:tc>
      </w:tr>
      <w:tr w:rsidR="00360CE1" w:rsidTr="002A2BE1">
        <w:trPr>
          <w:trHeight w:val="99"/>
        </w:trPr>
        <w:tc>
          <w:tcPr>
            <w:tcW w:w="9202" w:type="dxa"/>
            <w:gridSpan w:val="7"/>
            <w:tcBorders>
              <w:top w:val="nil"/>
              <w:left w:val="nil"/>
              <w:bottom w:val="single" w:sz="8" w:space="0" w:color="009900"/>
              <w:right w:val="nil"/>
            </w:tcBorders>
            <w:shd w:val="clear" w:color="auto" w:fill="auto"/>
            <w:noWrap/>
            <w:vAlign w:val="center"/>
            <w:hideMark/>
          </w:tcPr>
          <w:p w:rsidR="00360CE1" w:rsidRDefault="00360CE1">
            <w:pPr>
              <w:jc w:val="center"/>
              <w:rPr>
                <w:rFonts w:ascii="Arial" w:hAnsi="Arial" w:cs="Arial"/>
                <w:color w:val="000000"/>
                <w:sz w:val="16"/>
                <w:szCs w:val="16"/>
              </w:rPr>
            </w:pPr>
            <w:r>
              <w:rPr>
                <w:rFonts w:ascii="Arial" w:hAnsi="Arial" w:cs="Arial"/>
                <w:bCs/>
                <w:color w:val="000000"/>
                <w:sz w:val="16"/>
                <w:szCs w:val="16"/>
              </w:rPr>
              <w:t>2014 Housing and Community Development Survey</w:t>
            </w:r>
          </w:p>
        </w:tc>
      </w:tr>
      <w:tr w:rsidR="00360CE1" w:rsidTr="00360CE1">
        <w:trPr>
          <w:trHeight w:val="300"/>
        </w:trPr>
        <w:tc>
          <w:tcPr>
            <w:tcW w:w="4300" w:type="dxa"/>
            <w:vMerge w:val="restart"/>
            <w:tcBorders>
              <w:top w:val="nil"/>
              <w:left w:val="single" w:sz="8" w:space="0" w:color="009900"/>
              <w:bottom w:val="single" w:sz="8" w:space="0" w:color="009900"/>
              <w:right w:val="nil"/>
            </w:tcBorders>
            <w:shd w:val="clear" w:color="000000" w:fill="FFFFE1"/>
            <w:noWrap/>
            <w:vAlign w:val="center"/>
            <w:hideMark/>
          </w:tcPr>
          <w:p w:rsidR="00360CE1" w:rsidRDefault="00360CE1">
            <w:pPr>
              <w:rPr>
                <w:rFonts w:ascii="Arial" w:hAnsi="Arial" w:cs="Arial"/>
                <w:b/>
                <w:bCs/>
                <w:color w:val="000000"/>
                <w:sz w:val="16"/>
                <w:szCs w:val="16"/>
              </w:rPr>
            </w:pPr>
            <w:r>
              <w:rPr>
                <w:rFonts w:ascii="Arial" w:hAnsi="Arial" w:cs="Arial"/>
                <w:b/>
                <w:bCs/>
                <w:color w:val="000000"/>
                <w:sz w:val="16"/>
                <w:szCs w:val="16"/>
              </w:rPr>
              <w:t>Question</w:t>
            </w:r>
          </w:p>
        </w:tc>
        <w:tc>
          <w:tcPr>
            <w:tcW w:w="612" w:type="dxa"/>
            <w:tcBorders>
              <w:top w:val="nil"/>
              <w:left w:val="nil"/>
              <w:bottom w:val="nil"/>
              <w:right w:val="nil"/>
            </w:tcBorders>
            <w:shd w:val="clear" w:color="000000" w:fill="FFFFE1"/>
            <w:noWrap/>
            <w:vAlign w:val="center"/>
            <w:hideMark/>
          </w:tcPr>
          <w:p w:rsidR="00360CE1" w:rsidRDefault="00360CE1">
            <w:pPr>
              <w:jc w:val="center"/>
              <w:rPr>
                <w:rFonts w:ascii="Arial" w:hAnsi="Arial" w:cs="Arial"/>
                <w:b/>
                <w:bCs/>
                <w:color w:val="000000"/>
                <w:sz w:val="16"/>
                <w:szCs w:val="16"/>
              </w:rPr>
            </w:pPr>
            <w:r>
              <w:rPr>
                <w:rFonts w:ascii="Arial" w:hAnsi="Arial" w:cs="Arial"/>
                <w:b/>
                <w:bCs/>
                <w:color w:val="000000"/>
                <w:sz w:val="16"/>
                <w:szCs w:val="16"/>
              </w:rPr>
              <w:t xml:space="preserve">No </w:t>
            </w:r>
          </w:p>
        </w:tc>
        <w:tc>
          <w:tcPr>
            <w:tcW w:w="612" w:type="dxa"/>
            <w:tcBorders>
              <w:top w:val="nil"/>
              <w:left w:val="nil"/>
              <w:bottom w:val="nil"/>
              <w:right w:val="nil"/>
            </w:tcBorders>
            <w:shd w:val="clear" w:color="000000" w:fill="FFFFE1"/>
            <w:noWrap/>
            <w:vAlign w:val="center"/>
            <w:hideMark/>
          </w:tcPr>
          <w:p w:rsidR="00360CE1" w:rsidRDefault="00360CE1">
            <w:pPr>
              <w:jc w:val="center"/>
              <w:rPr>
                <w:rFonts w:ascii="Arial" w:hAnsi="Arial" w:cs="Arial"/>
                <w:b/>
                <w:bCs/>
                <w:color w:val="000000"/>
                <w:sz w:val="16"/>
                <w:szCs w:val="16"/>
              </w:rPr>
            </w:pPr>
            <w:r>
              <w:rPr>
                <w:rFonts w:ascii="Arial" w:hAnsi="Arial" w:cs="Arial"/>
                <w:b/>
                <w:bCs/>
                <w:color w:val="000000"/>
                <w:sz w:val="16"/>
                <w:szCs w:val="16"/>
              </w:rPr>
              <w:t xml:space="preserve">Low </w:t>
            </w:r>
          </w:p>
        </w:tc>
        <w:tc>
          <w:tcPr>
            <w:tcW w:w="921" w:type="dxa"/>
            <w:tcBorders>
              <w:top w:val="nil"/>
              <w:left w:val="nil"/>
              <w:bottom w:val="nil"/>
              <w:right w:val="nil"/>
            </w:tcBorders>
            <w:shd w:val="clear" w:color="000000" w:fill="FFFFE1"/>
            <w:noWrap/>
            <w:vAlign w:val="center"/>
            <w:hideMark/>
          </w:tcPr>
          <w:p w:rsidR="00360CE1" w:rsidRDefault="00360CE1">
            <w:pPr>
              <w:jc w:val="center"/>
              <w:rPr>
                <w:rFonts w:ascii="Arial" w:hAnsi="Arial" w:cs="Arial"/>
                <w:b/>
                <w:bCs/>
                <w:color w:val="000000"/>
                <w:sz w:val="16"/>
                <w:szCs w:val="16"/>
              </w:rPr>
            </w:pPr>
            <w:r>
              <w:rPr>
                <w:rFonts w:ascii="Arial" w:hAnsi="Arial" w:cs="Arial"/>
                <w:b/>
                <w:bCs/>
                <w:color w:val="000000"/>
                <w:sz w:val="16"/>
                <w:szCs w:val="16"/>
              </w:rPr>
              <w:t xml:space="preserve">Medium </w:t>
            </w:r>
          </w:p>
        </w:tc>
        <w:tc>
          <w:tcPr>
            <w:tcW w:w="612" w:type="dxa"/>
            <w:tcBorders>
              <w:top w:val="nil"/>
              <w:left w:val="nil"/>
              <w:bottom w:val="nil"/>
              <w:right w:val="nil"/>
            </w:tcBorders>
            <w:shd w:val="clear" w:color="000000" w:fill="FFFFE1"/>
            <w:noWrap/>
            <w:vAlign w:val="center"/>
            <w:hideMark/>
          </w:tcPr>
          <w:p w:rsidR="00360CE1" w:rsidRDefault="00360CE1">
            <w:pPr>
              <w:jc w:val="center"/>
              <w:rPr>
                <w:rFonts w:ascii="Arial" w:hAnsi="Arial" w:cs="Arial"/>
                <w:b/>
                <w:bCs/>
                <w:color w:val="000000"/>
                <w:sz w:val="16"/>
                <w:szCs w:val="16"/>
              </w:rPr>
            </w:pPr>
            <w:r>
              <w:rPr>
                <w:rFonts w:ascii="Arial" w:hAnsi="Arial" w:cs="Arial"/>
                <w:b/>
                <w:bCs/>
                <w:color w:val="000000"/>
                <w:sz w:val="16"/>
                <w:szCs w:val="16"/>
              </w:rPr>
              <w:t xml:space="preserve">High </w:t>
            </w:r>
          </w:p>
        </w:tc>
        <w:tc>
          <w:tcPr>
            <w:tcW w:w="1150" w:type="dxa"/>
            <w:vMerge w:val="restart"/>
            <w:tcBorders>
              <w:top w:val="nil"/>
              <w:left w:val="nil"/>
              <w:bottom w:val="single" w:sz="8" w:space="0" w:color="009900"/>
              <w:right w:val="nil"/>
            </w:tcBorders>
            <w:shd w:val="clear" w:color="000000" w:fill="FFFFE1"/>
            <w:vAlign w:val="center"/>
            <w:hideMark/>
          </w:tcPr>
          <w:p w:rsidR="00360CE1" w:rsidRDefault="00360CE1">
            <w:pPr>
              <w:jc w:val="center"/>
              <w:rPr>
                <w:rFonts w:ascii="Arial" w:hAnsi="Arial" w:cs="Arial"/>
                <w:b/>
                <w:bCs/>
                <w:color w:val="000000"/>
                <w:sz w:val="16"/>
                <w:szCs w:val="16"/>
              </w:rPr>
            </w:pPr>
            <w:r>
              <w:rPr>
                <w:rFonts w:ascii="Arial" w:hAnsi="Arial" w:cs="Arial"/>
                <w:b/>
                <w:bCs/>
                <w:color w:val="000000"/>
                <w:sz w:val="16"/>
                <w:szCs w:val="16"/>
              </w:rPr>
              <w:t>Missing</w:t>
            </w:r>
          </w:p>
        </w:tc>
        <w:tc>
          <w:tcPr>
            <w:tcW w:w="995" w:type="dxa"/>
            <w:vMerge w:val="restart"/>
            <w:tcBorders>
              <w:top w:val="nil"/>
              <w:left w:val="nil"/>
              <w:bottom w:val="single" w:sz="8" w:space="0" w:color="009900"/>
              <w:right w:val="single" w:sz="8" w:space="0" w:color="009900"/>
            </w:tcBorders>
            <w:shd w:val="clear" w:color="000000" w:fill="FFFFE1"/>
            <w:vAlign w:val="center"/>
            <w:hideMark/>
          </w:tcPr>
          <w:p w:rsidR="00360CE1" w:rsidRDefault="00360CE1">
            <w:pPr>
              <w:jc w:val="center"/>
              <w:rPr>
                <w:rFonts w:ascii="Arial" w:hAnsi="Arial" w:cs="Arial"/>
                <w:b/>
                <w:bCs/>
                <w:color w:val="000000"/>
                <w:sz w:val="16"/>
                <w:szCs w:val="16"/>
              </w:rPr>
            </w:pPr>
            <w:r>
              <w:rPr>
                <w:rFonts w:ascii="Arial" w:hAnsi="Arial" w:cs="Arial"/>
                <w:b/>
                <w:bCs/>
                <w:color w:val="000000"/>
                <w:sz w:val="16"/>
                <w:szCs w:val="16"/>
              </w:rPr>
              <w:t>Total</w:t>
            </w:r>
          </w:p>
        </w:tc>
      </w:tr>
      <w:tr w:rsidR="00360CE1" w:rsidTr="00360CE1">
        <w:trPr>
          <w:trHeight w:val="315"/>
        </w:trPr>
        <w:tc>
          <w:tcPr>
            <w:tcW w:w="4300" w:type="dxa"/>
            <w:vMerge/>
            <w:tcBorders>
              <w:top w:val="nil"/>
              <w:left w:val="single" w:sz="8" w:space="0" w:color="009900"/>
              <w:bottom w:val="single" w:sz="8" w:space="0" w:color="009900"/>
              <w:right w:val="nil"/>
            </w:tcBorders>
            <w:vAlign w:val="center"/>
            <w:hideMark/>
          </w:tcPr>
          <w:p w:rsidR="00360CE1" w:rsidRDefault="00360CE1">
            <w:pPr>
              <w:rPr>
                <w:rFonts w:ascii="Arial" w:hAnsi="Arial" w:cs="Arial"/>
                <w:b/>
                <w:bCs/>
                <w:color w:val="000000"/>
                <w:sz w:val="16"/>
                <w:szCs w:val="16"/>
              </w:rPr>
            </w:pPr>
          </w:p>
        </w:tc>
        <w:tc>
          <w:tcPr>
            <w:tcW w:w="612" w:type="dxa"/>
            <w:tcBorders>
              <w:top w:val="nil"/>
              <w:left w:val="nil"/>
              <w:bottom w:val="single" w:sz="8" w:space="0" w:color="009900"/>
              <w:right w:val="nil"/>
            </w:tcBorders>
            <w:shd w:val="clear" w:color="000000" w:fill="FFFFE1"/>
            <w:noWrap/>
            <w:vAlign w:val="center"/>
            <w:hideMark/>
          </w:tcPr>
          <w:p w:rsidR="00360CE1" w:rsidRDefault="00360CE1">
            <w:pPr>
              <w:jc w:val="center"/>
              <w:rPr>
                <w:rFonts w:ascii="Arial" w:hAnsi="Arial" w:cs="Arial"/>
                <w:b/>
                <w:bCs/>
                <w:color w:val="000000"/>
                <w:sz w:val="16"/>
                <w:szCs w:val="16"/>
              </w:rPr>
            </w:pPr>
            <w:r>
              <w:rPr>
                <w:rFonts w:ascii="Arial" w:hAnsi="Arial" w:cs="Arial"/>
                <w:b/>
                <w:bCs/>
                <w:color w:val="000000"/>
                <w:sz w:val="16"/>
                <w:szCs w:val="16"/>
              </w:rPr>
              <w:t>Need</w:t>
            </w:r>
          </w:p>
        </w:tc>
        <w:tc>
          <w:tcPr>
            <w:tcW w:w="612" w:type="dxa"/>
            <w:tcBorders>
              <w:top w:val="nil"/>
              <w:left w:val="nil"/>
              <w:bottom w:val="single" w:sz="8" w:space="0" w:color="009900"/>
              <w:right w:val="nil"/>
            </w:tcBorders>
            <w:shd w:val="clear" w:color="000000" w:fill="FFFFE1"/>
            <w:noWrap/>
            <w:vAlign w:val="center"/>
            <w:hideMark/>
          </w:tcPr>
          <w:p w:rsidR="00360CE1" w:rsidRDefault="00360CE1">
            <w:pPr>
              <w:jc w:val="center"/>
              <w:rPr>
                <w:rFonts w:ascii="Arial" w:hAnsi="Arial" w:cs="Arial"/>
                <w:b/>
                <w:bCs/>
                <w:color w:val="000000"/>
                <w:sz w:val="16"/>
                <w:szCs w:val="16"/>
              </w:rPr>
            </w:pPr>
            <w:r>
              <w:rPr>
                <w:rFonts w:ascii="Arial" w:hAnsi="Arial" w:cs="Arial"/>
                <w:b/>
                <w:bCs/>
                <w:color w:val="000000"/>
                <w:sz w:val="16"/>
                <w:szCs w:val="16"/>
              </w:rPr>
              <w:t>Need</w:t>
            </w:r>
          </w:p>
        </w:tc>
        <w:tc>
          <w:tcPr>
            <w:tcW w:w="921" w:type="dxa"/>
            <w:tcBorders>
              <w:top w:val="nil"/>
              <w:left w:val="nil"/>
              <w:bottom w:val="single" w:sz="8" w:space="0" w:color="009900"/>
              <w:right w:val="nil"/>
            </w:tcBorders>
            <w:shd w:val="clear" w:color="000000" w:fill="FFFFE1"/>
            <w:noWrap/>
            <w:vAlign w:val="center"/>
            <w:hideMark/>
          </w:tcPr>
          <w:p w:rsidR="00360CE1" w:rsidRDefault="00360CE1">
            <w:pPr>
              <w:jc w:val="center"/>
              <w:rPr>
                <w:rFonts w:ascii="Arial" w:hAnsi="Arial" w:cs="Arial"/>
                <w:b/>
                <w:bCs/>
                <w:color w:val="000000"/>
                <w:sz w:val="16"/>
                <w:szCs w:val="16"/>
              </w:rPr>
            </w:pPr>
            <w:r>
              <w:rPr>
                <w:rFonts w:ascii="Arial" w:hAnsi="Arial" w:cs="Arial"/>
                <w:b/>
                <w:bCs/>
                <w:color w:val="000000"/>
                <w:sz w:val="16"/>
                <w:szCs w:val="16"/>
              </w:rPr>
              <w:t>Need</w:t>
            </w:r>
          </w:p>
        </w:tc>
        <w:tc>
          <w:tcPr>
            <w:tcW w:w="612" w:type="dxa"/>
            <w:tcBorders>
              <w:top w:val="nil"/>
              <w:left w:val="nil"/>
              <w:bottom w:val="single" w:sz="8" w:space="0" w:color="009900"/>
              <w:right w:val="nil"/>
            </w:tcBorders>
            <w:shd w:val="clear" w:color="000000" w:fill="FFFFE1"/>
            <w:noWrap/>
            <w:vAlign w:val="center"/>
            <w:hideMark/>
          </w:tcPr>
          <w:p w:rsidR="00360CE1" w:rsidRDefault="00360CE1">
            <w:pPr>
              <w:jc w:val="center"/>
              <w:rPr>
                <w:rFonts w:ascii="Arial" w:hAnsi="Arial" w:cs="Arial"/>
                <w:b/>
                <w:bCs/>
                <w:color w:val="000000"/>
                <w:sz w:val="16"/>
                <w:szCs w:val="16"/>
              </w:rPr>
            </w:pPr>
            <w:r>
              <w:rPr>
                <w:rFonts w:ascii="Arial" w:hAnsi="Arial" w:cs="Arial"/>
                <w:b/>
                <w:bCs/>
                <w:color w:val="000000"/>
                <w:sz w:val="16"/>
                <w:szCs w:val="16"/>
              </w:rPr>
              <w:t>Need</w:t>
            </w:r>
          </w:p>
        </w:tc>
        <w:tc>
          <w:tcPr>
            <w:tcW w:w="1150" w:type="dxa"/>
            <w:vMerge/>
            <w:tcBorders>
              <w:top w:val="nil"/>
              <w:left w:val="nil"/>
              <w:bottom w:val="single" w:sz="8" w:space="0" w:color="009900"/>
              <w:right w:val="nil"/>
            </w:tcBorders>
            <w:vAlign w:val="center"/>
            <w:hideMark/>
          </w:tcPr>
          <w:p w:rsidR="00360CE1" w:rsidRDefault="00360CE1">
            <w:pPr>
              <w:rPr>
                <w:rFonts w:ascii="Arial" w:hAnsi="Arial" w:cs="Arial"/>
                <w:b/>
                <w:bCs/>
                <w:color w:val="000000"/>
                <w:sz w:val="16"/>
                <w:szCs w:val="16"/>
              </w:rPr>
            </w:pPr>
          </w:p>
        </w:tc>
        <w:tc>
          <w:tcPr>
            <w:tcW w:w="995" w:type="dxa"/>
            <w:vMerge/>
            <w:tcBorders>
              <w:top w:val="nil"/>
              <w:left w:val="nil"/>
              <w:bottom w:val="single" w:sz="8" w:space="0" w:color="009900"/>
              <w:right w:val="single" w:sz="8" w:space="0" w:color="009900"/>
            </w:tcBorders>
            <w:vAlign w:val="center"/>
            <w:hideMark/>
          </w:tcPr>
          <w:p w:rsidR="00360CE1" w:rsidRDefault="00360CE1">
            <w:pPr>
              <w:rPr>
                <w:rFonts w:ascii="Arial" w:hAnsi="Arial" w:cs="Arial"/>
                <w:b/>
                <w:bCs/>
                <w:color w:val="000000"/>
                <w:sz w:val="16"/>
                <w:szCs w:val="16"/>
              </w:rPr>
            </w:pPr>
          </w:p>
        </w:tc>
      </w:tr>
      <w:tr w:rsidR="00360CE1" w:rsidTr="00360CE1">
        <w:trPr>
          <w:trHeight w:val="240"/>
        </w:trPr>
        <w:tc>
          <w:tcPr>
            <w:tcW w:w="4300" w:type="dxa"/>
            <w:tcBorders>
              <w:top w:val="nil"/>
              <w:left w:val="single" w:sz="8" w:space="0" w:color="009900"/>
              <w:bottom w:val="nil"/>
              <w:right w:val="nil"/>
            </w:tcBorders>
            <w:shd w:val="clear" w:color="000000" w:fill="FFFFE1"/>
            <w:noWrap/>
            <w:vAlign w:val="center"/>
            <w:hideMark/>
          </w:tcPr>
          <w:p w:rsidR="00360CE1" w:rsidRDefault="00360CE1">
            <w:pPr>
              <w:rPr>
                <w:rFonts w:ascii="Arial" w:hAnsi="Arial" w:cs="Arial"/>
                <w:color w:val="000000"/>
                <w:sz w:val="16"/>
                <w:szCs w:val="16"/>
              </w:rPr>
            </w:pPr>
            <w:r>
              <w:rPr>
                <w:rFonts w:ascii="Arial" w:hAnsi="Arial" w:cs="Arial"/>
                <w:color w:val="000000"/>
                <w:sz w:val="16"/>
                <w:szCs w:val="16"/>
              </w:rPr>
              <w:t>The frail elderly (age 85+)</w:t>
            </w:r>
          </w:p>
        </w:tc>
        <w:tc>
          <w:tcPr>
            <w:tcW w:w="612" w:type="dxa"/>
            <w:tcBorders>
              <w:top w:val="nil"/>
              <w:left w:val="nil"/>
              <w:bottom w:val="nil"/>
              <w:right w:val="nil"/>
            </w:tcBorders>
            <w:shd w:val="clear" w:color="000000" w:fill="FFFFE1"/>
            <w:noWrap/>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1</w:t>
            </w:r>
          </w:p>
        </w:tc>
        <w:tc>
          <w:tcPr>
            <w:tcW w:w="612" w:type="dxa"/>
            <w:tcBorders>
              <w:top w:val="nil"/>
              <w:left w:val="nil"/>
              <w:bottom w:val="nil"/>
              <w:right w:val="nil"/>
            </w:tcBorders>
            <w:shd w:val="clear" w:color="000000" w:fill="FFFFE1"/>
            <w:noWrap/>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14</w:t>
            </w:r>
          </w:p>
        </w:tc>
        <w:tc>
          <w:tcPr>
            <w:tcW w:w="921" w:type="dxa"/>
            <w:tcBorders>
              <w:top w:val="nil"/>
              <w:left w:val="nil"/>
              <w:bottom w:val="nil"/>
              <w:right w:val="nil"/>
            </w:tcBorders>
            <w:shd w:val="clear" w:color="000000" w:fill="FFFFE1"/>
            <w:noWrap/>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62</w:t>
            </w:r>
          </w:p>
        </w:tc>
        <w:tc>
          <w:tcPr>
            <w:tcW w:w="612" w:type="dxa"/>
            <w:tcBorders>
              <w:top w:val="nil"/>
              <w:left w:val="nil"/>
              <w:bottom w:val="nil"/>
              <w:right w:val="nil"/>
            </w:tcBorders>
            <w:shd w:val="clear" w:color="000000" w:fill="FFFFE1"/>
            <w:noWrap/>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151</w:t>
            </w:r>
          </w:p>
        </w:tc>
        <w:tc>
          <w:tcPr>
            <w:tcW w:w="1150" w:type="dxa"/>
            <w:tcBorders>
              <w:top w:val="nil"/>
              <w:left w:val="nil"/>
              <w:bottom w:val="nil"/>
              <w:right w:val="nil"/>
            </w:tcBorders>
            <w:shd w:val="clear" w:color="000000" w:fill="FFFFE1"/>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115</w:t>
            </w:r>
          </w:p>
        </w:tc>
        <w:tc>
          <w:tcPr>
            <w:tcW w:w="995" w:type="dxa"/>
            <w:tcBorders>
              <w:top w:val="nil"/>
              <w:left w:val="nil"/>
              <w:bottom w:val="nil"/>
              <w:right w:val="single" w:sz="8" w:space="0" w:color="009900"/>
            </w:tcBorders>
            <w:shd w:val="clear" w:color="000000" w:fill="FFFFE1"/>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343</w:t>
            </w:r>
          </w:p>
        </w:tc>
      </w:tr>
      <w:tr w:rsidR="00360CE1" w:rsidTr="00360CE1">
        <w:trPr>
          <w:trHeight w:val="240"/>
        </w:trPr>
        <w:tc>
          <w:tcPr>
            <w:tcW w:w="4300" w:type="dxa"/>
            <w:tcBorders>
              <w:top w:val="nil"/>
              <w:left w:val="single" w:sz="8" w:space="0" w:color="009900"/>
              <w:bottom w:val="nil"/>
              <w:right w:val="nil"/>
            </w:tcBorders>
            <w:shd w:val="clear" w:color="000000" w:fill="FFFFE1"/>
            <w:noWrap/>
            <w:vAlign w:val="center"/>
            <w:hideMark/>
          </w:tcPr>
          <w:p w:rsidR="00360CE1" w:rsidRDefault="00360CE1">
            <w:pPr>
              <w:rPr>
                <w:rFonts w:ascii="Arial" w:hAnsi="Arial" w:cs="Arial"/>
                <w:color w:val="000000"/>
                <w:sz w:val="16"/>
                <w:szCs w:val="16"/>
              </w:rPr>
            </w:pPr>
            <w:r>
              <w:rPr>
                <w:rFonts w:ascii="Arial" w:hAnsi="Arial" w:cs="Arial"/>
                <w:color w:val="000000"/>
                <w:sz w:val="16"/>
                <w:szCs w:val="16"/>
              </w:rPr>
              <w:t>Veterans</w:t>
            </w:r>
          </w:p>
        </w:tc>
        <w:tc>
          <w:tcPr>
            <w:tcW w:w="612" w:type="dxa"/>
            <w:tcBorders>
              <w:top w:val="nil"/>
              <w:left w:val="nil"/>
              <w:bottom w:val="nil"/>
              <w:right w:val="nil"/>
            </w:tcBorders>
            <w:shd w:val="clear" w:color="000000" w:fill="FFFFE1"/>
            <w:noWrap/>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1</w:t>
            </w:r>
          </w:p>
        </w:tc>
        <w:tc>
          <w:tcPr>
            <w:tcW w:w="612" w:type="dxa"/>
            <w:tcBorders>
              <w:top w:val="nil"/>
              <w:left w:val="nil"/>
              <w:bottom w:val="nil"/>
              <w:right w:val="nil"/>
            </w:tcBorders>
            <w:shd w:val="clear" w:color="000000" w:fill="FFFFE1"/>
            <w:noWrap/>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17</w:t>
            </w:r>
          </w:p>
        </w:tc>
        <w:tc>
          <w:tcPr>
            <w:tcW w:w="921" w:type="dxa"/>
            <w:tcBorders>
              <w:top w:val="nil"/>
              <w:left w:val="nil"/>
              <w:bottom w:val="nil"/>
              <w:right w:val="nil"/>
            </w:tcBorders>
            <w:shd w:val="clear" w:color="000000" w:fill="FFFFE1"/>
            <w:noWrap/>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66</w:t>
            </w:r>
          </w:p>
        </w:tc>
        <w:tc>
          <w:tcPr>
            <w:tcW w:w="612" w:type="dxa"/>
            <w:tcBorders>
              <w:top w:val="nil"/>
              <w:left w:val="nil"/>
              <w:bottom w:val="nil"/>
              <w:right w:val="nil"/>
            </w:tcBorders>
            <w:shd w:val="clear" w:color="000000" w:fill="FFFFE1"/>
            <w:noWrap/>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145</w:t>
            </w:r>
          </w:p>
        </w:tc>
        <w:tc>
          <w:tcPr>
            <w:tcW w:w="1150" w:type="dxa"/>
            <w:tcBorders>
              <w:top w:val="nil"/>
              <w:left w:val="nil"/>
              <w:bottom w:val="nil"/>
              <w:right w:val="nil"/>
            </w:tcBorders>
            <w:shd w:val="clear" w:color="000000" w:fill="FFFFE1"/>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114</w:t>
            </w:r>
          </w:p>
        </w:tc>
        <w:tc>
          <w:tcPr>
            <w:tcW w:w="995" w:type="dxa"/>
            <w:tcBorders>
              <w:top w:val="nil"/>
              <w:left w:val="nil"/>
              <w:bottom w:val="nil"/>
              <w:right w:val="single" w:sz="8" w:space="0" w:color="009900"/>
            </w:tcBorders>
            <w:shd w:val="clear" w:color="000000" w:fill="FFFFE1"/>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343</w:t>
            </w:r>
          </w:p>
        </w:tc>
      </w:tr>
      <w:tr w:rsidR="00360CE1" w:rsidTr="00360CE1">
        <w:trPr>
          <w:trHeight w:val="240"/>
        </w:trPr>
        <w:tc>
          <w:tcPr>
            <w:tcW w:w="4300" w:type="dxa"/>
            <w:tcBorders>
              <w:top w:val="nil"/>
              <w:left w:val="single" w:sz="8" w:space="0" w:color="009900"/>
              <w:bottom w:val="nil"/>
              <w:right w:val="nil"/>
            </w:tcBorders>
            <w:shd w:val="clear" w:color="000000" w:fill="FFFFE1"/>
            <w:noWrap/>
            <w:vAlign w:val="center"/>
            <w:hideMark/>
          </w:tcPr>
          <w:p w:rsidR="00360CE1" w:rsidRDefault="00360CE1">
            <w:pPr>
              <w:rPr>
                <w:rFonts w:ascii="Arial" w:hAnsi="Arial" w:cs="Arial"/>
                <w:color w:val="000000"/>
                <w:sz w:val="16"/>
                <w:szCs w:val="16"/>
              </w:rPr>
            </w:pPr>
            <w:r>
              <w:rPr>
                <w:rFonts w:ascii="Arial" w:hAnsi="Arial" w:cs="Arial"/>
                <w:color w:val="000000"/>
                <w:sz w:val="16"/>
                <w:szCs w:val="16"/>
              </w:rPr>
              <w:t>Persons with severe mental illness</w:t>
            </w:r>
          </w:p>
        </w:tc>
        <w:tc>
          <w:tcPr>
            <w:tcW w:w="612" w:type="dxa"/>
            <w:tcBorders>
              <w:top w:val="nil"/>
              <w:left w:val="nil"/>
              <w:bottom w:val="nil"/>
              <w:right w:val="nil"/>
            </w:tcBorders>
            <w:shd w:val="clear" w:color="000000" w:fill="FFFFE1"/>
            <w:noWrap/>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1</w:t>
            </w:r>
          </w:p>
        </w:tc>
        <w:tc>
          <w:tcPr>
            <w:tcW w:w="612" w:type="dxa"/>
            <w:tcBorders>
              <w:top w:val="nil"/>
              <w:left w:val="nil"/>
              <w:bottom w:val="nil"/>
              <w:right w:val="nil"/>
            </w:tcBorders>
            <w:shd w:val="clear" w:color="000000" w:fill="FFFFE1"/>
            <w:noWrap/>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15</w:t>
            </w:r>
          </w:p>
        </w:tc>
        <w:tc>
          <w:tcPr>
            <w:tcW w:w="921" w:type="dxa"/>
            <w:tcBorders>
              <w:top w:val="nil"/>
              <w:left w:val="nil"/>
              <w:bottom w:val="nil"/>
              <w:right w:val="nil"/>
            </w:tcBorders>
            <w:shd w:val="clear" w:color="000000" w:fill="FFFFE1"/>
            <w:noWrap/>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69</w:t>
            </w:r>
          </w:p>
        </w:tc>
        <w:tc>
          <w:tcPr>
            <w:tcW w:w="612" w:type="dxa"/>
            <w:tcBorders>
              <w:top w:val="nil"/>
              <w:left w:val="nil"/>
              <w:bottom w:val="nil"/>
              <w:right w:val="nil"/>
            </w:tcBorders>
            <w:shd w:val="clear" w:color="000000" w:fill="FFFFE1"/>
            <w:noWrap/>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143</w:t>
            </w:r>
          </w:p>
        </w:tc>
        <w:tc>
          <w:tcPr>
            <w:tcW w:w="1150" w:type="dxa"/>
            <w:tcBorders>
              <w:top w:val="nil"/>
              <w:left w:val="nil"/>
              <w:bottom w:val="nil"/>
              <w:right w:val="nil"/>
            </w:tcBorders>
            <w:shd w:val="clear" w:color="000000" w:fill="FFFFE1"/>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115</w:t>
            </w:r>
          </w:p>
        </w:tc>
        <w:tc>
          <w:tcPr>
            <w:tcW w:w="995" w:type="dxa"/>
            <w:tcBorders>
              <w:top w:val="nil"/>
              <w:left w:val="nil"/>
              <w:bottom w:val="nil"/>
              <w:right w:val="single" w:sz="8" w:space="0" w:color="009900"/>
            </w:tcBorders>
            <w:shd w:val="clear" w:color="000000" w:fill="FFFFE1"/>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343</w:t>
            </w:r>
          </w:p>
        </w:tc>
      </w:tr>
      <w:tr w:rsidR="00360CE1" w:rsidTr="00360CE1">
        <w:trPr>
          <w:trHeight w:val="240"/>
        </w:trPr>
        <w:tc>
          <w:tcPr>
            <w:tcW w:w="4300" w:type="dxa"/>
            <w:tcBorders>
              <w:top w:val="nil"/>
              <w:left w:val="single" w:sz="8" w:space="0" w:color="009900"/>
              <w:bottom w:val="nil"/>
              <w:right w:val="nil"/>
            </w:tcBorders>
            <w:shd w:val="clear" w:color="000000" w:fill="FFFFE1"/>
            <w:noWrap/>
            <w:vAlign w:val="center"/>
            <w:hideMark/>
          </w:tcPr>
          <w:p w:rsidR="00360CE1" w:rsidRDefault="00360CE1">
            <w:pPr>
              <w:rPr>
                <w:rFonts w:ascii="Arial" w:hAnsi="Arial" w:cs="Arial"/>
                <w:color w:val="000000"/>
                <w:sz w:val="16"/>
                <w:szCs w:val="16"/>
              </w:rPr>
            </w:pPr>
            <w:r>
              <w:rPr>
                <w:rFonts w:ascii="Arial" w:hAnsi="Arial" w:cs="Arial"/>
                <w:color w:val="000000"/>
                <w:sz w:val="16"/>
                <w:szCs w:val="16"/>
              </w:rPr>
              <w:t>Homeless persons</w:t>
            </w:r>
          </w:p>
        </w:tc>
        <w:tc>
          <w:tcPr>
            <w:tcW w:w="612" w:type="dxa"/>
            <w:tcBorders>
              <w:top w:val="nil"/>
              <w:left w:val="nil"/>
              <w:bottom w:val="nil"/>
              <w:right w:val="nil"/>
            </w:tcBorders>
            <w:shd w:val="clear" w:color="000000" w:fill="FFFFE1"/>
            <w:noWrap/>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2</w:t>
            </w:r>
          </w:p>
        </w:tc>
        <w:tc>
          <w:tcPr>
            <w:tcW w:w="612" w:type="dxa"/>
            <w:tcBorders>
              <w:top w:val="nil"/>
              <w:left w:val="nil"/>
              <w:bottom w:val="nil"/>
              <w:right w:val="nil"/>
            </w:tcBorders>
            <w:shd w:val="clear" w:color="000000" w:fill="FFFFE1"/>
            <w:noWrap/>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23</w:t>
            </w:r>
          </w:p>
        </w:tc>
        <w:tc>
          <w:tcPr>
            <w:tcW w:w="921" w:type="dxa"/>
            <w:tcBorders>
              <w:top w:val="nil"/>
              <w:left w:val="nil"/>
              <w:bottom w:val="nil"/>
              <w:right w:val="nil"/>
            </w:tcBorders>
            <w:shd w:val="clear" w:color="000000" w:fill="FFFFE1"/>
            <w:noWrap/>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66</w:t>
            </w:r>
          </w:p>
        </w:tc>
        <w:tc>
          <w:tcPr>
            <w:tcW w:w="612" w:type="dxa"/>
            <w:tcBorders>
              <w:top w:val="nil"/>
              <w:left w:val="nil"/>
              <w:bottom w:val="nil"/>
              <w:right w:val="nil"/>
            </w:tcBorders>
            <w:shd w:val="clear" w:color="000000" w:fill="FFFFE1"/>
            <w:noWrap/>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139</w:t>
            </w:r>
          </w:p>
        </w:tc>
        <w:tc>
          <w:tcPr>
            <w:tcW w:w="1150" w:type="dxa"/>
            <w:tcBorders>
              <w:top w:val="nil"/>
              <w:left w:val="nil"/>
              <w:bottom w:val="nil"/>
              <w:right w:val="nil"/>
            </w:tcBorders>
            <w:shd w:val="clear" w:color="000000" w:fill="FFFFE1"/>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113</w:t>
            </w:r>
          </w:p>
        </w:tc>
        <w:tc>
          <w:tcPr>
            <w:tcW w:w="995" w:type="dxa"/>
            <w:tcBorders>
              <w:top w:val="nil"/>
              <w:left w:val="nil"/>
              <w:bottom w:val="nil"/>
              <w:right w:val="single" w:sz="8" w:space="0" w:color="009900"/>
            </w:tcBorders>
            <w:shd w:val="clear" w:color="000000" w:fill="FFFFE1"/>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343</w:t>
            </w:r>
          </w:p>
        </w:tc>
      </w:tr>
      <w:tr w:rsidR="00360CE1" w:rsidTr="00360CE1">
        <w:trPr>
          <w:trHeight w:val="240"/>
        </w:trPr>
        <w:tc>
          <w:tcPr>
            <w:tcW w:w="4300" w:type="dxa"/>
            <w:tcBorders>
              <w:top w:val="nil"/>
              <w:left w:val="single" w:sz="8" w:space="0" w:color="009900"/>
              <w:bottom w:val="nil"/>
              <w:right w:val="nil"/>
            </w:tcBorders>
            <w:shd w:val="clear" w:color="000000" w:fill="FFFFE1"/>
            <w:noWrap/>
            <w:vAlign w:val="center"/>
            <w:hideMark/>
          </w:tcPr>
          <w:p w:rsidR="00360CE1" w:rsidRDefault="00360CE1">
            <w:pPr>
              <w:rPr>
                <w:rFonts w:ascii="Arial" w:hAnsi="Arial" w:cs="Arial"/>
                <w:color w:val="000000"/>
                <w:sz w:val="16"/>
                <w:szCs w:val="16"/>
              </w:rPr>
            </w:pPr>
            <w:r>
              <w:rPr>
                <w:rFonts w:ascii="Arial" w:hAnsi="Arial" w:cs="Arial"/>
                <w:color w:val="000000"/>
                <w:sz w:val="16"/>
                <w:szCs w:val="16"/>
              </w:rPr>
              <w:t>Persons with substance abuse addictions</w:t>
            </w:r>
          </w:p>
        </w:tc>
        <w:tc>
          <w:tcPr>
            <w:tcW w:w="612" w:type="dxa"/>
            <w:tcBorders>
              <w:top w:val="nil"/>
              <w:left w:val="nil"/>
              <w:bottom w:val="nil"/>
              <w:right w:val="nil"/>
            </w:tcBorders>
            <w:shd w:val="clear" w:color="000000" w:fill="FFFFE1"/>
            <w:noWrap/>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1</w:t>
            </w:r>
          </w:p>
        </w:tc>
        <w:tc>
          <w:tcPr>
            <w:tcW w:w="612" w:type="dxa"/>
            <w:tcBorders>
              <w:top w:val="nil"/>
              <w:left w:val="nil"/>
              <w:bottom w:val="nil"/>
              <w:right w:val="nil"/>
            </w:tcBorders>
            <w:shd w:val="clear" w:color="000000" w:fill="FFFFE1"/>
            <w:noWrap/>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17</w:t>
            </w:r>
          </w:p>
        </w:tc>
        <w:tc>
          <w:tcPr>
            <w:tcW w:w="921" w:type="dxa"/>
            <w:tcBorders>
              <w:top w:val="nil"/>
              <w:left w:val="nil"/>
              <w:bottom w:val="nil"/>
              <w:right w:val="nil"/>
            </w:tcBorders>
            <w:shd w:val="clear" w:color="000000" w:fill="FFFFE1"/>
            <w:noWrap/>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73</w:t>
            </w:r>
          </w:p>
        </w:tc>
        <w:tc>
          <w:tcPr>
            <w:tcW w:w="612" w:type="dxa"/>
            <w:tcBorders>
              <w:top w:val="nil"/>
              <w:left w:val="nil"/>
              <w:bottom w:val="nil"/>
              <w:right w:val="nil"/>
            </w:tcBorders>
            <w:shd w:val="clear" w:color="000000" w:fill="FFFFE1"/>
            <w:noWrap/>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135</w:t>
            </w:r>
          </w:p>
        </w:tc>
        <w:tc>
          <w:tcPr>
            <w:tcW w:w="1150" w:type="dxa"/>
            <w:tcBorders>
              <w:top w:val="nil"/>
              <w:left w:val="nil"/>
              <w:bottom w:val="nil"/>
              <w:right w:val="nil"/>
            </w:tcBorders>
            <w:shd w:val="clear" w:color="000000" w:fill="FFFFE1"/>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117</w:t>
            </w:r>
          </w:p>
        </w:tc>
        <w:tc>
          <w:tcPr>
            <w:tcW w:w="995" w:type="dxa"/>
            <w:tcBorders>
              <w:top w:val="nil"/>
              <w:left w:val="nil"/>
              <w:bottom w:val="nil"/>
              <w:right w:val="single" w:sz="8" w:space="0" w:color="009900"/>
            </w:tcBorders>
            <w:shd w:val="clear" w:color="000000" w:fill="FFFFE1"/>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343</w:t>
            </w:r>
          </w:p>
        </w:tc>
      </w:tr>
      <w:tr w:rsidR="00360CE1" w:rsidTr="00360CE1">
        <w:trPr>
          <w:trHeight w:val="240"/>
        </w:trPr>
        <w:tc>
          <w:tcPr>
            <w:tcW w:w="4300" w:type="dxa"/>
            <w:tcBorders>
              <w:top w:val="nil"/>
              <w:left w:val="single" w:sz="8" w:space="0" w:color="009900"/>
              <w:bottom w:val="nil"/>
              <w:right w:val="nil"/>
            </w:tcBorders>
            <w:shd w:val="clear" w:color="000000" w:fill="FFFFE1"/>
            <w:noWrap/>
            <w:vAlign w:val="center"/>
            <w:hideMark/>
          </w:tcPr>
          <w:p w:rsidR="00360CE1" w:rsidRDefault="00360CE1">
            <w:pPr>
              <w:rPr>
                <w:rFonts w:ascii="Arial" w:hAnsi="Arial" w:cs="Arial"/>
                <w:color w:val="000000"/>
                <w:sz w:val="16"/>
                <w:szCs w:val="16"/>
              </w:rPr>
            </w:pPr>
            <w:r>
              <w:rPr>
                <w:rFonts w:ascii="Arial" w:hAnsi="Arial" w:cs="Arial"/>
                <w:color w:val="000000"/>
                <w:sz w:val="16"/>
                <w:szCs w:val="16"/>
              </w:rPr>
              <w:t>Victims of domestic violence</w:t>
            </w:r>
          </w:p>
        </w:tc>
        <w:tc>
          <w:tcPr>
            <w:tcW w:w="612" w:type="dxa"/>
            <w:tcBorders>
              <w:top w:val="nil"/>
              <w:left w:val="nil"/>
              <w:bottom w:val="nil"/>
              <w:right w:val="nil"/>
            </w:tcBorders>
            <w:shd w:val="clear" w:color="000000" w:fill="FFFFE1"/>
            <w:noWrap/>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1</w:t>
            </w:r>
          </w:p>
        </w:tc>
        <w:tc>
          <w:tcPr>
            <w:tcW w:w="612" w:type="dxa"/>
            <w:tcBorders>
              <w:top w:val="nil"/>
              <w:left w:val="nil"/>
              <w:bottom w:val="nil"/>
              <w:right w:val="nil"/>
            </w:tcBorders>
            <w:shd w:val="clear" w:color="000000" w:fill="FFFFE1"/>
            <w:noWrap/>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8</w:t>
            </w:r>
          </w:p>
        </w:tc>
        <w:tc>
          <w:tcPr>
            <w:tcW w:w="921" w:type="dxa"/>
            <w:tcBorders>
              <w:top w:val="nil"/>
              <w:left w:val="nil"/>
              <w:bottom w:val="nil"/>
              <w:right w:val="nil"/>
            </w:tcBorders>
            <w:shd w:val="clear" w:color="000000" w:fill="FFFFE1"/>
            <w:noWrap/>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88</w:t>
            </w:r>
          </w:p>
        </w:tc>
        <w:tc>
          <w:tcPr>
            <w:tcW w:w="612" w:type="dxa"/>
            <w:tcBorders>
              <w:top w:val="nil"/>
              <w:left w:val="nil"/>
              <w:bottom w:val="nil"/>
              <w:right w:val="nil"/>
            </w:tcBorders>
            <w:shd w:val="clear" w:color="000000" w:fill="FFFFE1"/>
            <w:noWrap/>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130</w:t>
            </w:r>
          </w:p>
        </w:tc>
        <w:tc>
          <w:tcPr>
            <w:tcW w:w="1150" w:type="dxa"/>
            <w:tcBorders>
              <w:top w:val="nil"/>
              <w:left w:val="nil"/>
              <w:bottom w:val="nil"/>
              <w:right w:val="nil"/>
            </w:tcBorders>
            <w:shd w:val="clear" w:color="000000" w:fill="FFFFE1"/>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116</w:t>
            </w:r>
          </w:p>
        </w:tc>
        <w:tc>
          <w:tcPr>
            <w:tcW w:w="995" w:type="dxa"/>
            <w:tcBorders>
              <w:top w:val="nil"/>
              <w:left w:val="nil"/>
              <w:bottom w:val="nil"/>
              <w:right w:val="single" w:sz="8" w:space="0" w:color="009900"/>
            </w:tcBorders>
            <w:shd w:val="clear" w:color="000000" w:fill="FFFFE1"/>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343</w:t>
            </w:r>
          </w:p>
        </w:tc>
      </w:tr>
      <w:tr w:rsidR="00360CE1" w:rsidTr="00360CE1">
        <w:trPr>
          <w:trHeight w:val="240"/>
        </w:trPr>
        <w:tc>
          <w:tcPr>
            <w:tcW w:w="4300" w:type="dxa"/>
            <w:tcBorders>
              <w:top w:val="nil"/>
              <w:left w:val="single" w:sz="8" w:space="0" w:color="009900"/>
              <w:bottom w:val="nil"/>
              <w:right w:val="nil"/>
            </w:tcBorders>
            <w:shd w:val="clear" w:color="000000" w:fill="FFFFE1"/>
            <w:noWrap/>
            <w:vAlign w:val="center"/>
            <w:hideMark/>
          </w:tcPr>
          <w:p w:rsidR="00360CE1" w:rsidRDefault="00360CE1">
            <w:pPr>
              <w:rPr>
                <w:rFonts w:ascii="Arial" w:hAnsi="Arial" w:cs="Arial"/>
                <w:color w:val="000000"/>
                <w:sz w:val="16"/>
                <w:szCs w:val="16"/>
              </w:rPr>
            </w:pPr>
            <w:r>
              <w:rPr>
                <w:rFonts w:ascii="Arial" w:hAnsi="Arial" w:cs="Arial"/>
                <w:color w:val="000000"/>
                <w:sz w:val="16"/>
                <w:szCs w:val="16"/>
              </w:rPr>
              <w:t>The elderly (age 65+)</w:t>
            </w:r>
          </w:p>
        </w:tc>
        <w:tc>
          <w:tcPr>
            <w:tcW w:w="612" w:type="dxa"/>
            <w:tcBorders>
              <w:top w:val="nil"/>
              <w:left w:val="nil"/>
              <w:bottom w:val="nil"/>
              <w:right w:val="nil"/>
            </w:tcBorders>
            <w:shd w:val="clear" w:color="000000" w:fill="FFFFE1"/>
            <w:noWrap/>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1</w:t>
            </w:r>
          </w:p>
        </w:tc>
        <w:tc>
          <w:tcPr>
            <w:tcW w:w="612" w:type="dxa"/>
            <w:tcBorders>
              <w:top w:val="nil"/>
              <w:left w:val="nil"/>
              <w:bottom w:val="nil"/>
              <w:right w:val="nil"/>
            </w:tcBorders>
            <w:shd w:val="clear" w:color="000000" w:fill="FFFFE1"/>
            <w:noWrap/>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12</w:t>
            </w:r>
          </w:p>
        </w:tc>
        <w:tc>
          <w:tcPr>
            <w:tcW w:w="921" w:type="dxa"/>
            <w:tcBorders>
              <w:top w:val="nil"/>
              <w:left w:val="nil"/>
              <w:bottom w:val="nil"/>
              <w:right w:val="nil"/>
            </w:tcBorders>
            <w:shd w:val="clear" w:color="000000" w:fill="FFFFE1"/>
            <w:noWrap/>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95</w:t>
            </w:r>
          </w:p>
        </w:tc>
        <w:tc>
          <w:tcPr>
            <w:tcW w:w="612" w:type="dxa"/>
            <w:tcBorders>
              <w:top w:val="nil"/>
              <w:left w:val="nil"/>
              <w:bottom w:val="nil"/>
              <w:right w:val="nil"/>
            </w:tcBorders>
            <w:shd w:val="clear" w:color="000000" w:fill="FFFFE1"/>
            <w:noWrap/>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119</w:t>
            </w:r>
          </w:p>
        </w:tc>
        <w:tc>
          <w:tcPr>
            <w:tcW w:w="1150" w:type="dxa"/>
            <w:tcBorders>
              <w:top w:val="nil"/>
              <w:left w:val="nil"/>
              <w:bottom w:val="nil"/>
              <w:right w:val="nil"/>
            </w:tcBorders>
            <w:shd w:val="clear" w:color="000000" w:fill="FFFFE1"/>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116</w:t>
            </w:r>
          </w:p>
        </w:tc>
        <w:tc>
          <w:tcPr>
            <w:tcW w:w="995" w:type="dxa"/>
            <w:tcBorders>
              <w:top w:val="nil"/>
              <w:left w:val="nil"/>
              <w:bottom w:val="nil"/>
              <w:right w:val="single" w:sz="8" w:space="0" w:color="009900"/>
            </w:tcBorders>
            <w:shd w:val="clear" w:color="000000" w:fill="FFFFE1"/>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343</w:t>
            </w:r>
          </w:p>
        </w:tc>
      </w:tr>
      <w:tr w:rsidR="00360CE1" w:rsidTr="00360CE1">
        <w:trPr>
          <w:trHeight w:val="240"/>
        </w:trPr>
        <w:tc>
          <w:tcPr>
            <w:tcW w:w="4300" w:type="dxa"/>
            <w:tcBorders>
              <w:top w:val="nil"/>
              <w:left w:val="single" w:sz="8" w:space="0" w:color="009900"/>
              <w:bottom w:val="nil"/>
              <w:right w:val="nil"/>
            </w:tcBorders>
            <w:shd w:val="clear" w:color="000000" w:fill="FFFFE1"/>
            <w:noWrap/>
            <w:vAlign w:val="center"/>
            <w:hideMark/>
          </w:tcPr>
          <w:p w:rsidR="00360CE1" w:rsidRDefault="00360CE1">
            <w:pPr>
              <w:rPr>
                <w:rFonts w:ascii="Arial" w:hAnsi="Arial" w:cs="Arial"/>
                <w:color w:val="000000"/>
                <w:sz w:val="16"/>
                <w:szCs w:val="16"/>
              </w:rPr>
            </w:pPr>
            <w:r>
              <w:rPr>
                <w:rFonts w:ascii="Arial" w:hAnsi="Arial" w:cs="Arial"/>
                <w:color w:val="000000"/>
                <w:sz w:val="16"/>
                <w:szCs w:val="16"/>
              </w:rPr>
              <w:t>Persons with physical disabilities</w:t>
            </w:r>
          </w:p>
        </w:tc>
        <w:tc>
          <w:tcPr>
            <w:tcW w:w="612" w:type="dxa"/>
            <w:tcBorders>
              <w:top w:val="nil"/>
              <w:left w:val="nil"/>
              <w:bottom w:val="nil"/>
              <w:right w:val="nil"/>
            </w:tcBorders>
            <w:shd w:val="clear" w:color="000000" w:fill="FFFFE1"/>
            <w:noWrap/>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1</w:t>
            </w:r>
          </w:p>
        </w:tc>
        <w:tc>
          <w:tcPr>
            <w:tcW w:w="612" w:type="dxa"/>
            <w:tcBorders>
              <w:top w:val="nil"/>
              <w:left w:val="nil"/>
              <w:bottom w:val="nil"/>
              <w:right w:val="nil"/>
            </w:tcBorders>
            <w:shd w:val="clear" w:color="000000" w:fill="FFFFE1"/>
            <w:noWrap/>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15</w:t>
            </w:r>
          </w:p>
        </w:tc>
        <w:tc>
          <w:tcPr>
            <w:tcW w:w="921" w:type="dxa"/>
            <w:tcBorders>
              <w:top w:val="nil"/>
              <w:left w:val="nil"/>
              <w:bottom w:val="nil"/>
              <w:right w:val="nil"/>
            </w:tcBorders>
            <w:shd w:val="clear" w:color="000000" w:fill="FFFFE1"/>
            <w:noWrap/>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102</w:t>
            </w:r>
          </w:p>
        </w:tc>
        <w:tc>
          <w:tcPr>
            <w:tcW w:w="612" w:type="dxa"/>
            <w:tcBorders>
              <w:top w:val="nil"/>
              <w:left w:val="nil"/>
              <w:bottom w:val="nil"/>
              <w:right w:val="nil"/>
            </w:tcBorders>
            <w:shd w:val="clear" w:color="000000" w:fill="FFFFE1"/>
            <w:noWrap/>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111</w:t>
            </w:r>
          </w:p>
        </w:tc>
        <w:tc>
          <w:tcPr>
            <w:tcW w:w="1150" w:type="dxa"/>
            <w:tcBorders>
              <w:top w:val="nil"/>
              <w:left w:val="nil"/>
              <w:bottom w:val="nil"/>
              <w:right w:val="nil"/>
            </w:tcBorders>
            <w:shd w:val="clear" w:color="000000" w:fill="FFFFE1"/>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114</w:t>
            </w:r>
          </w:p>
        </w:tc>
        <w:tc>
          <w:tcPr>
            <w:tcW w:w="995" w:type="dxa"/>
            <w:tcBorders>
              <w:top w:val="nil"/>
              <w:left w:val="nil"/>
              <w:bottom w:val="nil"/>
              <w:right w:val="single" w:sz="8" w:space="0" w:color="009900"/>
            </w:tcBorders>
            <w:shd w:val="clear" w:color="000000" w:fill="FFFFE1"/>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343</w:t>
            </w:r>
          </w:p>
        </w:tc>
      </w:tr>
      <w:tr w:rsidR="00360CE1" w:rsidTr="00360CE1">
        <w:trPr>
          <w:trHeight w:val="240"/>
        </w:trPr>
        <w:tc>
          <w:tcPr>
            <w:tcW w:w="4300" w:type="dxa"/>
            <w:tcBorders>
              <w:top w:val="nil"/>
              <w:left w:val="single" w:sz="8" w:space="0" w:color="009900"/>
              <w:bottom w:val="nil"/>
              <w:right w:val="nil"/>
            </w:tcBorders>
            <w:shd w:val="clear" w:color="000000" w:fill="FFFFE1"/>
            <w:noWrap/>
            <w:vAlign w:val="center"/>
            <w:hideMark/>
          </w:tcPr>
          <w:p w:rsidR="00360CE1" w:rsidRDefault="00360CE1">
            <w:pPr>
              <w:rPr>
                <w:rFonts w:ascii="Arial" w:hAnsi="Arial" w:cs="Arial"/>
                <w:color w:val="000000"/>
                <w:sz w:val="16"/>
                <w:szCs w:val="16"/>
              </w:rPr>
            </w:pPr>
            <w:r>
              <w:rPr>
                <w:rFonts w:ascii="Arial" w:hAnsi="Arial" w:cs="Arial"/>
                <w:color w:val="000000"/>
                <w:sz w:val="16"/>
                <w:szCs w:val="16"/>
              </w:rPr>
              <w:t>Persons with developmental disabilities</w:t>
            </w:r>
          </w:p>
        </w:tc>
        <w:tc>
          <w:tcPr>
            <w:tcW w:w="612" w:type="dxa"/>
            <w:tcBorders>
              <w:top w:val="nil"/>
              <w:left w:val="nil"/>
              <w:bottom w:val="nil"/>
              <w:right w:val="nil"/>
            </w:tcBorders>
            <w:shd w:val="clear" w:color="000000" w:fill="FFFFE1"/>
            <w:noWrap/>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1</w:t>
            </w:r>
          </w:p>
        </w:tc>
        <w:tc>
          <w:tcPr>
            <w:tcW w:w="612" w:type="dxa"/>
            <w:tcBorders>
              <w:top w:val="nil"/>
              <w:left w:val="nil"/>
              <w:bottom w:val="nil"/>
              <w:right w:val="nil"/>
            </w:tcBorders>
            <w:shd w:val="clear" w:color="000000" w:fill="FFFFE1"/>
            <w:noWrap/>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14</w:t>
            </w:r>
          </w:p>
        </w:tc>
        <w:tc>
          <w:tcPr>
            <w:tcW w:w="921" w:type="dxa"/>
            <w:tcBorders>
              <w:top w:val="nil"/>
              <w:left w:val="nil"/>
              <w:bottom w:val="nil"/>
              <w:right w:val="nil"/>
            </w:tcBorders>
            <w:shd w:val="clear" w:color="000000" w:fill="FFFFE1"/>
            <w:noWrap/>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106</w:t>
            </w:r>
          </w:p>
        </w:tc>
        <w:tc>
          <w:tcPr>
            <w:tcW w:w="612" w:type="dxa"/>
            <w:tcBorders>
              <w:top w:val="nil"/>
              <w:left w:val="nil"/>
              <w:bottom w:val="nil"/>
              <w:right w:val="nil"/>
            </w:tcBorders>
            <w:shd w:val="clear" w:color="000000" w:fill="FFFFE1"/>
            <w:noWrap/>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108</w:t>
            </w:r>
          </w:p>
        </w:tc>
        <w:tc>
          <w:tcPr>
            <w:tcW w:w="1150" w:type="dxa"/>
            <w:tcBorders>
              <w:top w:val="nil"/>
              <w:left w:val="nil"/>
              <w:bottom w:val="nil"/>
              <w:right w:val="nil"/>
            </w:tcBorders>
            <w:shd w:val="clear" w:color="000000" w:fill="FFFFE1"/>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114</w:t>
            </w:r>
          </w:p>
        </w:tc>
        <w:tc>
          <w:tcPr>
            <w:tcW w:w="995" w:type="dxa"/>
            <w:tcBorders>
              <w:top w:val="nil"/>
              <w:left w:val="nil"/>
              <w:bottom w:val="nil"/>
              <w:right w:val="single" w:sz="8" w:space="0" w:color="009900"/>
            </w:tcBorders>
            <w:shd w:val="clear" w:color="000000" w:fill="FFFFE1"/>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343</w:t>
            </w:r>
          </w:p>
        </w:tc>
      </w:tr>
      <w:tr w:rsidR="00360CE1" w:rsidTr="00360CE1">
        <w:trPr>
          <w:trHeight w:val="240"/>
        </w:trPr>
        <w:tc>
          <w:tcPr>
            <w:tcW w:w="4300" w:type="dxa"/>
            <w:tcBorders>
              <w:top w:val="nil"/>
              <w:left w:val="single" w:sz="8" w:space="0" w:color="009900"/>
              <w:bottom w:val="nil"/>
              <w:right w:val="nil"/>
            </w:tcBorders>
            <w:shd w:val="clear" w:color="000000" w:fill="FFFFE1"/>
            <w:noWrap/>
            <w:vAlign w:val="center"/>
            <w:hideMark/>
          </w:tcPr>
          <w:p w:rsidR="00360CE1" w:rsidRDefault="00360CE1">
            <w:pPr>
              <w:rPr>
                <w:rFonts w:ascii="Arial" w:hAnsi="Arial" w:cs="Arial"/>
                <w:color w:val="000000"/>
                <w:sz w:val="16"/>
                <w:szCs w:val="16"/>
              </w:rPr>
            </w:pPr>
            <w:r>
              <w:rPr>
                <w:rFonts w:ascii="Arial" w:hAnsi="Arial" w:cs="Arial"/>
                <w:color w:val="000000"/>
                <w:sz w:val="16"/>
                <w:szCs w:val="16"/>
              </w:rPr>
              <w:t>Persons recently released from prison</w:t>
            </w:r>
          </w:p>
        </w:tc>
        <w:tc>
          <w:tcPr>
            <w:tcW w:w="612" w:type="dxa"/>
            <w:tcBorders>
              <w:top w:val="nil"/>
              <w:left w:val="nil"/>
              <w:bottom w:val="nil"/>
              <w:right w:val="nil"/>
            </w:tcBorders>
            <w:shd w:val="clear" w:color="000000" w:fill="FFFFE1"/>
            <w:noWrap/>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8</w:t>
            </w:r>
          </w:p>
        </w:tc>
        <w:tc>
          <w:tcPr>
            <w:tcW w:w="612" w:type="dxa"/>
            <w:tcBorders>
              <w:top w:val="nil"/>
              <w:left w:val="nil"/>
              <w:bottom w:val="nil"/>
              <w:right w:val="nil"/>
            </w:tcBorders>
            <w:shd w:val="clear" w:color="000000" w:fill="FFFFE1"/>
            <w:noWrap/>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35</w:t>
            </w:r>
          </w:p>
        </w:tc>
        <w:tc>
          <w:tcPr>
            <w:tcW w:w="921" w:type="dxa"/>
            <w:tcBorders>
              <w:top w:val="nil"/>
              <w:left w:val="nil"/>
              <w:bottom w:val="nil"/>
              <w:right w:val="nil"/>
            </w:tcBorders>
            <w:shd w:val="clear" w:color="000000" w:fill="FFFFE1"/>
            <w:noWrap/>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81</w:t>
            </w:r>
          </w:p>
        </w:tc>
        <w:tc>
          <w:tcPr>
            <w:tcW w:w="612" w:type="dxa"/>
            <w:tcBorders>
              <w:top w:val="nil"/>
              <w:left w:val="nil"/>
              <w:bottom w:val="nil"/>
              <w:right w:val="nil"/>
            </w:tcBorders>
            <w:shd w:val="clear" w:color="000000" w:fill="FFFFE1"/>
            <w:noWrap/>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98</w:t>
            </w:r>
          </w:p>
        </w:tc>
        <w:tc>
          <w:tcPr>
            <w:tcW w:w="1150" w:type="dxa"/>
            <w:tcBorders>
              <w:top w:val="nil"/>
              <w:left w:val="nil"/>
              <w:bottom w:val="nil"/>
              <w:right w:val="nil"/>
            </w:tcBorders>
            <w:shd w:val="clear" w:color="000000" w:fill="FFFFE1"/>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121</w:t>
            </w:r>
          </w:p>
        </w:tc>
        <w:tc>
          <w:tcPr>
            <w:tcW w:w="995" w:type="dxa"/>
            <w:tcBorders>
              <w:top w:val="nil"/>
              <w:left w:val="nil"/>
              <w:bottom w:val="nil"/>
              <w:right w:val="single" w:sz="8" w:space="0" w:color="009900"/>
            </w:tcBorders>
            <w:shd w:val="clear" w:color="000000" w:fill="FFFFE1"/>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343</w:t>
            </w:r>
          </w:p>
        </w:tc>
      </w:tr>
      <w:tr w:rsidR="00360CE1" w:rsidTr="00360CE1">
        <w:trPr>
          <w:trHeight w:val="240"/>
        </w:trPr>
        <w:tc>
          <w:tcPr>
            <w:tcW w:w="4300" w:type="dxa"/>
            <w:tcBorders>
              <w:top w:val="nil"/>
              <w:left w:val="single" w:sz="8" w:space="0" w:color="009900"/>
              <w:bottom w:val="nil"/>
              <w:right w:val="nil"/>
            </w:tcBorders>
            <w:shd w:val="clear" w:color="000000" w:fill="FFFFE1"/>
            <w:noWrap/>
            <w:vAlign w:val="center"/>
            <w:hideMark/>
          </w:tcPr>
          <w:p w:rsidR="00360CE1" w:rsidRDefault="00360CE1">
            <w:pPr>
              <w:rPr>
                <w:rFonts w:ascii="Arial" w:hAnsi="Arial" w:cs="Arial"/>
                <w:color w:val="000000"/>
                <w:sz w:val="16"/>
                <w:szCs w:val="16"/>
              </w:rPr>
            </w:pPr>
            <w:r>
              <w:rPr>
                <w:rFonts w:ascii="Arial" w:hAnsi="Arial" w:cs="Arial"/>
                <w:color w:val="000000"/>
                <w:sz w:val="16"/>
                <w:szCs w:val="16"/>
              </w:rPr>
              <w:t>Persons with HIV/AIDS</w:t>
            </w:r>
          </w:p>
        </w:tc>
        <w:tc>
          <w:tcPr>
            <w:tcW w:w="612" w:type="dxa"/>
            <w:tcBorders>
              <w:top w:val="nil"/>
              <w:left w:val="nil"/>
              <w:bottom w:val="nil"/>
              <w:right w:val="nil"/>
            </w:tcBorders>
            <w:shd w:val="clear" w:color="000000" w:fill="FFFFE1"/>
            <w:noWrap/>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5</w:t>
            </w:r>
          </w:p>
        </w:tc>
        <w:tc>
          <w:tcPr>
            <w:tcW w:w="612" w:type="dxa"/>
            <w:tcBorders>
              <w:top w:val="nil"/>
              <w:left w:val="nil"/>
              <w:bottom w:val="nil"/>
              <w:right w:val="nil"/>
            </w:tcBorders>
            <w:shd w:val="clear" w:color="000000" w:fill="FFFFE1"/>
            <w:noWrap/>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45</w:t>
            </w:r>
          </w:p>
        </w:tc>
        <w:tc>
          <w:tcPr>
            <w:tcW w:w="921" w:type="dxa"/>
            <w:tcBorders>
              <w:top w:val="nil"/>
              <w:left w:val="nil"/>
              <w:bottom w:val="nil"/>
              <w:right w:val="nil"/>
            </w:tcBorders>
            <w:shd w:val="clear" w:color="000000" w:fill="FFFFE1"/>
            <w:noWrap/>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110</w:t>
            </w:r>
          </w:p>
        </w:tc>
        <w:tc>
          <w:tcPr>
            <w:tcW w:w="612" w:type="dxa"/>
            <w:tcBorders>
              <w:top w:val="nil"/>
              <w:left w:val="nil"/>
              <w:bottom w:val="nil"/>
              <w:right w:val="nil"/>
            </w:tcBorders>
            <w:shd w:val="clear" w:color="000000" w:fill="FFFFE1"/>
            <w:noWrap/>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66</w:t>
            </w:r>
          </w:p>
        </w:tc>
        <w:tc>
          <w:tcPr>
            <w:tcW w:w="1150" w:type="dxa"/>
            <w:tcBorders>
              <w:top w:val="nil"/>
              <w:left w:val="nil"/>
              <w:bottom w:val="nil"/>
              <w:right w:val="nil"/>
            </w:tcBorders>
            <w:shd w:val="clear" w:color="000000" w:fill="FFFFE1"/>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117</w:t>
            </w:r>
          </w:p>
        </w:tc>
        <w:tc>
          <w:tcPr>
            <w:tcW w:w="995" w:type="dxa"/>
            <w:tcBorders>
              <w:top w:val="nil"/>
              <w:left w:val="nil"/>
              <w:bottom w:val="nil"/>
              <w:right w:val="single" w:sz="8" w:space="0" w:color="009900"/>
            </w:tcBorders>
            <w:shd w:val="clear" w:color="000000" w:fill="FFFFE1"/>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343</w:t>
            </w:r>
          </w:p>
        </w:tc>
      </w:tr>
      <w:tr w:rsidR="00360CE1" w:rsidTr="00360CE1">
        <w:trPr>
          <w:trHeight w:val="240"/>
        </w:trPr>
        <w:tc>
          <w:tcPr>
            <w:tcW w:w="4300" w:type="dxa"/>
            <w:tcBorders>
              <w:top w:val="nil"/>
              <w:left w:val="single" w:sz="8" w:space="0" w:color="009900"/>
              <w:bottom w:val="single" w:sz="8" w:space="0" w:color="009900"/>
              <w:right w:val="nil"/>
            </w:tcBorders>
            <w:shd w:val="clear" w:color="000000" w:fill="FFFFE1"/>
            <w:noWrap/>
            <w:vAlign w:val="center"/>
            <w:hideMark/>
          </w:tcPr>
          <w:p w:rsidR="00360CE1" w:rsidRDefault="00360CE1">
            <w:pPr>
              <w:rPr>
                <w:rFonts w:ascii="Arial" w:hAnsi="Arial" w:cs="Arial"/>
                <w:color w:val="000000"/>
                <w:sz w:val="16"/>
                <w:szCs w:val="16"/>
              </w:rPr>
            </w:pPr>
            <w:r>
              <w:rPr>
                <w:rFonts w:ascii="Arial" w:hAnsi="Arial" w:cs="Arial"/>
                <w:color w:val="000000"/>
                <w:sz w:val="16"/>
                <w:szCs w:val="16"/>
              </w:rPr>
              <w:t>Other groups</w:t>
            </w:r>
          </w:p>
        </w:tc>
        <w:tc>
          <w:tcPr>
            <w:tcW w:w="612" w:type="dxa"/>
            <w:tcBorders>
              <w:top w:val="nil"/>
              <w:left w:val="nil"/>
              <w:bottom w:val="single" w:sz="8" w:space="0" w:color="009900"/>
              <w:right w:val="nil"/>
            </w:tcBorders>
            <w:shd w:val="clear" w:color="000000" w:fill="FFFFE1"/>
            <w:noWrap/>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4</w:t>
            </w:r>
          </w:p>
        </w:tc>
        <w:tc>
          <w:tcPr>
            <w:tcW w:w="612" w:type="dxa"/>
            <w:tcBorders>
              <w:top w:val="nil"/>
              <w:left w:val="nil"/>
              <w:bottom w:val="single" w:sz="8" w:space="0" w:color="009900"/>
              <w:right w:val="nil"/>
            </w:tcBorders>
            <w:shd w:val="clear" w:color="000000" w:fill="FFFFE1"/>
            <w:noWrap/>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2</w:t>
            </w:r>
          </w:p>
        </w:tc>
        <w:tc>
          <w:tcPr>
            <w:tcW w:w="921" w:type="dxa"/>
            <w:tcBorders>
              <w:top w:val="nil"/>
              <w:left w:val="nil"/>
              <w:bottom w:val="single" w:sz="8" w:space="0" w:color="009900"/>
              <w:right w:val="nil"/>
            </w:tcBorders>
            <w:shd w:val="clear" w:color="000000" w:fill="FFFFE1"/>
            <w:noWrap/>
            <w:vAlign w:val="center"/>
            <w:hideMark/>
          </w:tcPr>
          <w:p w:rsidR="00360CE1" w:rsidRDefault="00360CE1">
            <w:pPr>
              <w:jc w:val="center"/>
              <w:rPr>
                <w:rFonts w:ascii="Arial" w:hAnsi="Arial" w:cs="Arial"/>
                <w:color w:val="000000"/>
                <w:sz w:val="16"/>
                <w:szCs w:val="16"/>
              </w:rPr>
            </w:pPr>
            <w:r>
              <w:rPr>
                <w:rFonts w:ascii="Arial" w:hAnsi="Arial" w:cs="Arial"/>
                <w:color w:val="000000"/>
                <w:sz w:val="16"/>
                <w:szCs w:val="16"/>
              </w:rPr>
              <w:t> </w:t>
            </w:r>
          </w:p>
        </w:tc>
        <w:tc>
          <w:tcPr>
            <w:tcW w:w="612" w:type="dxa"/>
            <w:tcBorders>
              <w:top w:val="nil"/>
              <w:left w:val="nil"/>
              <w:bottom w:val="single" w:sz="8" w:space="0" w:color="009900"/>
              <w:right w:val="nil"/>
            </w:tcBorders>
            <w:shd w:val="clear" w:color="000000" w:fill="FFFFE1"/>
            <w:noWrap/>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7</w:t>
            </w:r>
          </w:p>
        </w:tc>
        <w:tc>
          <w:tcPr>
            <w:tcW w:w="1150" w:type="dxa"/>
            <w:tcBorders>
              <w:top w:val="nil"/>
              <w:left w:val="nil"/>
              <w:bottom w:val="single" w:sz="8" w:space="0" w:color="009900"/>
              <w:right w:val="nil"/>
            </w:tcBorders>
            <w:shd w:val="clear" w:color="000000" w:fill="FFFFE1"/>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330</w:t>
            </w:r>
          </w:p>
        </w:tc>
        <w:tc>
          <w:tcPr>
            <w:tcW w:w="995" w:type="dxa"/>
            <w:tcBorders>
              <w:top w:val="nil"/>
              <w:left w:val="nil"/>
              <w:bottom w:val="single" w:sz="8" w:space="0" w:color="009900"/>
              <w:right w:val="single" w:sz="8" w:space="0" w:color="009900"/>
            </w:tcBorders>
            <w:shd w:val="clear" w:color="000000" w:fill="FFFFE1"/>
            <w:vAlign w:val="center"/>
            <w:hideMark/>
          </w:tcPr>
          <w:p w:rsidR="00360CE1" w:rsidRDefault="00360CE1">
            <w:pPr>
              <w:jc w:val="center"/>
              <w:rPr>
                <w:rFonts w:ascii="Arial" w:hAnsi="Arial" w:cs="Arial"/>
                <w:color w:val="000000"/>
                <w:sz w:val="16"/>
                <w:szCs w:val="16"/>
              </w:rPr>
            </w:pPr>
            <w:r>
              <w:rPr>
                <w:rFonts w:ascii="Arial" w:hAnsi="Arial" w:cs="Arial"/>
                <w:noProof/>
                <w:color w:val="000000"/>
                <w:sz w:val="16"/>
                <w:szCs w:val="16"/>
              </w:rPr>
              <w:t>343</w:t>
            </w:r>
          </w:p>
        </w:tc>
      </w:tr>
    </w:tbl>
    <w:p w:rsidR="007F6B6C" w:rsidRPr="00DE3F87" w:rsidRDefault="007F6B6C" w:rsidP="00BD276B">
      <w:pPr>
        <w:rPr>
          <w:highlight w:val="yellow"/>
        </w:rPr>
      </w:pPr>
    </w:p>
    <w:p w:rsidR="00943E45" w:rsidRPr="00650AFE" w:rsidRDefault="00943E45" w:rsidP="00943E45">
      <w:pPr>
        <w:jc w:val="both"/>
        <w:rPr>
          <w:rFonts w:ascii="CG Omega" w:hAnsi="CG Omega"/>
          <w:sz w:val="26"/>
          <w:szCs w:val="26"/>
        </w:rPr>
      </w:pPr>
      <w:bookmarkStart w:id="112" w:name="OLE_LINK11"/>
      <w:bookmarkStart w:id="113" w:name="OLE_LINK12"/>
      <w:r w:rsidRPr="00650AFE">
        <w:rPr>
          <w:rFonts w:ascii="CG Omega" w:hAnsi="CG Omega"/>
          <w:b/>
          <w:bCs/>
          <w:smallCaps/>
          <w:sz w:val="26"/>
          <w:szCs w:val="26"/>
        </w:rPr>
        <w:t>Elderly and Frail Elderly Persons</w:t>
      </w:r>
    </w:p>
    <w:p w:rsidR="00943E45" w:rsidRPr="00DE3F87" w:rsidRDefault="00943E45" w:rsidP="00943E45">
      <w:pPr>
        <w:jc w:val="both"/>
        <w:rPr>
          <w:rFonts w:ascii="CG Omega" w:hAnsi="CG Omega" w:cs="Arial"/>
          <w:highlight w:val="yellow"/>
        </w:rPr>
      </w:pPr>
    </w:p>
    <w:p w:rsidR="00943E45" w:rsidRPr="00086964" w:rsidRDefault="00943E45" w:rsidP="00943E45">
      <w:pPr>
        <w:jc w:val="both"/>
        <w:rPr>
          <w:rFonts w:ascii="CG Omega" w:hAnsi="CG Omega" w:cs="CG Times"/>
        </w:rPr>
      </w:pPr>
      <w:r w:rsidRPr="00086964">
        <w:rPr>
          <w:rFonts w:ascii="CG Omega" w:hAnsi="CG Omega" w:cs="Arial"/>
          <w:snapToGrid w:val="0"/>
        </w:rPr>
        <w:t xml:space="preserve">HUD provides a definition of “elderly” as persons age 62 or older. </w:t>
      </w:r>
      <w:r w:rsidRPr="00086964">
        <w:rPr>
          <w:rFonts w:ascii="CG Omega" w:hAnsi="CG Omega" w:cs="Arial"/>
        </w:rPr>
        <w:t xml:space="preserve">The U.S. National Center for Health Statistics (NCHS) notes that a number of older citizens have limitations caused by chronic conditions that constrain activities of daily living (ADLs).  </w:t>
      </w:r>
      <w:r w:rsidRPr="00086964">
        <w:rPr>
          <w:rFonts w:ascii="CG Omega" w:hAnsi="CG Omega" w:cs="CG Times"/>
        </w:rPr>
        <w:t>ADLs are divided into three levels, from basic to advanced.  Basic ADLs involve personal care and include tasks such as eating, bathing, dressing, using the toilet, and getting in or out of bed or a chair.  Intermediate, or instrumental, Activities of Daily Living (IADLs) are tasks necessary for independent functioning in the community. These include cooking, cleaning, laundry, shopping, using the telephone, using or accessing transportation, taking medicines, and managing money.  Social, recreational and occupational activities that greatly affect the individual's quality of life are Advanced Activities of Daily Living (AADL).  Playing bridge, bowling, doing crafts, or volunteering for one's church are examples of advanced ADLs.</w:t>
      </w:r>
      <w:r w:rsidRPr="00086964">
        <w:rPr>
          <w:rFonts w:ascii="CG Omega" w:hAnsi="CG Omega" w:cs="Arial"/>
          <w:snapToGrid w:val="0"/>
        </w:rPr>
        <w:t xml:space="preserve"> “Frail elderly” is defined as persons who are unable to perform three or more activities of daily living.</w:t>
      </w:r>
      <w:r w:rsidRPr="00086964">
        <w:rPr>
          <w:rStyle w:val="FootnoteReference"/>
          <w:rFonts w:ascii="CG Omega" w:hAnsi="CG Omega" w:cs="Arial"/>
          <w:snapToGrid w:val="0"/>
        </w:rPr>
        <w:footnoteReference w:id="56"/>
      </w:r>
    </w:p>
    <w:p w:rsidR="00943E45" w:rsidRPr="007F6B6C" w:rsidRDefault="00943E45" w:rsidP="00943E45">
      <w:pPr>
        <w:jc w:val="both"/>
        <w:rPr>
          <w:rFonts w:ascii="CG Omega" w:hAnsi="CG Omega" w:cs="Arial"/>
          <w:snapToGrid w:val="0"/>
          <w:sz w:val="16"/>
          <w:szCs w:val="16"/>
          <w:highlight w:val="yellow"/>
        </w:rPr>
      </w:pPr>
    </w:p>
    <w:p w:rsidR="00DE3F87" w:rsidRDefault="00DE3F87" w:rsidP="00943E45">
      <w:pPr>
        <w:jc w:val="both"/>
        <w:rPr>
          <w:rFonts w:ascii="CG Omega" w:hAnsi="CG Omega" w:cs="Arial"/>
          <w:b/>
          <w:snapToGrid w:val="0"/>
        </w:rPr>
      </w:pPr>
      <w:bookmarkStart w:id="114" w:name="OLE_LINK15"/>
      <w:bookmarkEnd w:id="112"/>
      <w:bookmarkEnd w:id="113"/>
    </w:p>
    <w:p w:rsidR="00943E45" w:rsidRPr="00650AFE" w:rsidRDefault="00943E45" w:rsidP="00943E45">
      <w:pPr>
        <w:jc w:val="both"/>
        <w:rPr>
          <w:rFonts w:ascii="CG Omega" w:hAnsi="CG Omega" w:cs="Arial"/>
          <w:b/>
          <w:snapToGrid w:val="0"/>
        </w:rPr>
      </w:pPr>
      <w:r w:rsidRPr="00650AFE">
        <w:rPr>
          <w:rFonts w:ascii="CG Omega" w:hAnsi="CG Omega" w:cs="Arial"/>
          <w:b/>
          <w:snapToGrid w:val="0"/>
        </w:rPr>
        <w:t>Size and Characteristics</w:t>
      </w:r>
    </w:p>
    <w:p w:rsidR="00943E45" w:rsidRPr="00DE3F87" w:rsidRDefault="00943E45" w:rsidP="00943E45">
      <w:pPr>
        <w:jc w:val="both"/>
        <w:rPr>
          <w:rFonts w:ascii="CG Omega" w:hAnsi="CG Omega" w:cs="Arial"/>
          <w:snapToGrid w:val="0"/>
          <w:highlight w:val="yellow"/>
        </w:rPr>
      </w:pPr>
    </w:p>
    <w:p w:rsidR="00943E45" w:rsidRPr="00746495" w:rsidRDefault="00943E45" w:rsidP="00943E45">
      <w:pPr>
        <w:jc w:val="both"/>
        <w:rPr>
          <w:rFonts w:ascii="CG Omega" w:hAnsi="CG Omega" w:cs="Arial"/>
          <w:snapToGrid w:val="0"/>
          <w:highlight w:val="yellow"/>
        </w:rPr>
      </w:pPr>
      <w:r w:rsidRPr="00F33393">
        <w:rPr>
          <w:rFonts w:ascii="CG Omega" w:hAnsi="CG Omega" w:cs="Arial"/>
          <w:snapToGrid w:val="0"/>
        </w:rPr>
        <w:t xml:space="preserve">According to </w:t>
      </w:r>
      <w:r>
        <w:rPr>
          <w:rFonts w:ascii="CG Omega" w:hAnsi="CG Omega" w:cs="Arial"/>
          <w:snapToGrid w:val="0"/>
        </w:rPr>
        <w:t xml:space="preserve">2010 </w:t>
      </w:r>
      <w:r w:rsidRPr="00F33393">
        <w:rPr>
          <w:rFonts w:ascii="CG Omega" w:hAnsi="CG Omega" w:cs="Arial"/>
          <w:snapToGrid w:val="0"/>
        </w:rPr>
        <w:t xml:space="preserve">Census Bureau data, 272,255 residents in the state of New Mexico were age 65 or older, which equated to about </w:t>
      </w:r>
      <w:r w:rsidRPr="00D64A62">
        <w:rPr>
          <w:rFonts w:ascii="CG Omega" w:hAnsi="CG Omega" w:cs="Arial"/>
          <w:snapToGrid w:val="0"/>
        </w:rPr>
        <w:t>13.2</w:t>
      </w:r>
      <w:r>
        <w:rPr>
          <w:rFonts w:ascii="CG Omega" w:hAnsi="CG Omega" w:cs="Arial"/>
          <w:snapToGrid w:val="0"/>
        </w:rPr>
        <w:t xml:space="preserve"> </w:t>
      </w:r>
      <w:r w:rsidRPr="00F33393">
        <w:rPr>
          <w:rFonts w:ascii="CG Omega" w:hAnsi="CG Omega" w:cs="Arial"/>
          <w:snapToGrid w:val="0"/>
        </w:rPr>
        <w:t>percent of the total population</w:t>
      </w:r>
      <w:r w:rsidRPr="00653395">
        <w:rPr>
          <w:rFonts w:ascii="CG Omega" w:hAnsi="CG Omega" w:cs="Arial"/>
          <w:snapToGrid w:val="0"/>
        </w:rPr>
        <w:t>.</w:t>
      </w:r>
      <w:r w:rsidRPr="00832AB3">
        <w:rPr>
          <w:rFonts w:ascii="CG Omega" w:hAnsi="CG Omega" w:cs="Arial"/>
          <w:snapToGrid w:val="0"/>
        </w:rPr>
        <w:t xml:space="preserve"> </w:t>
      </w:r>
      <w:r w:rsidRPr="00DE3F87">
        <w:rPr>
          <w:rFonts w:ascii="CG Omega" w:hAnsi="CG Omega" w:cs="Arial"/>
          <w:b/>
          <w:snapToGrid w:val="0"/>
        </w:rPr>
        <w:t>Table</w:t>
      </w:r>
      <w:r w:rsidR="00832AB3" w:rsidRPr="00DE3F87">
        <w:rPr>
          <w:rFonts w:ascii="CG Omega" w:hAnsi="CG Omega" w:cs="Arial"/>
          <w:b/>
          <w:snapToGrid w:val="0"/>
        </w:rPr>
        <w:t xml:space="preserve"> V.</w:t>
      </w:r>
      <w:r w:rsidR="000155B6" w:rsidRPr="00DE3F87">
        <w:rPr>
          <w:rFonts w:ascii="CG Omega" w:hAnsi="CG Omega" w:cs="Arial"/>
          <w:b/>
          <w:snapToGrid w:val="0"/>
        </w:rPr>
        <w:t>19</w:t>
      </w:r>
      <w:r w:rsidRPr="00832AB3">
        <w:rPr>
          <w:rFonts w:ascii="CG Omega" w:hAnsi="CG Omega" w:cs="Arial"/>
          <w:snapToGrid w:val="0"/>
        </w:rPr>
        <w:t xml:space="preserve"> </w:t>
      </w:r>
      <w:r w:rsidRPr="00F33393">
        <w:rPr>
          <w:rFonts w:ascii="CG Omega" w:hAnsi="CG Omega" w:cs="Arial"/>
          <w:snapToGrid w:val="0"/>
        </w:rPr>
        <w:t xml:space="preserve">presents a breakdown of the elderly population by age in New Mexico at the time of the 2010 census. </w:t>
      </w:r>
      <w:r>
        <w:rPr>
          <w:rFonts w:ascii="CG Omega" w:hAnsi="CG Omega" w:cs="Arial"/>
          <w:snapToGrid w:val="0"/>
        </w:rPr>
        <w:t xml:space="preserve">While elderly is defined as persons over 62, “extra elderly” persons are those over the age of 75.  Within the elderly population in New Mexico, 43.5 percent were extra elderly. </w:t>
      </w:r>
      <w:r w:rsidRPr="00BB7D8C">
        <w:rPr>
          <w:rFonts w:ascii="CG Omega" w:hAnsi="CG Omega" w:cs="Arial"/>
          <w:snapToGrid w:val="0"/>
        </w:rPr>
        <w:t>According to</w:t>
      </w:r>
      <w:r>
        <w:rPr>
          <w:rFonts w:ascii="CG Omega" w:hAnsi="CG Omega" w:cs="Arial"/>
          <w:snapToGrid w:val="0"/>
        </w:rPr>
        <w:t xml:space="preserve"> the</w:t>
      </w:r>
      <w:r w:rsidRPr="00BB7D8C">
        <w:rPr>
          <w:rFonts w:ascii="CG Omega" w:hAnsi="CG Omega" w:cs="Arial"/>
          <w:snapToGrid w:val="0"/>
        </w:rPr>
        <w:t xml:space="preserve"> </w:t>
      </w:r>
      <w:r>
        <w:rPr>
          <w:rFonts w:ascii="CG Omega" w:hAnsi="CG Omega" w:cs="Arial"/>
          <w:snapToGrid w:val="0"/>
        </w:rPr>
        <w:t>New Mexico Aging and Long-Term Services Department, there are 40,340 persons aged 60 and older that are living at or below the poverty line in New Mexico.</w:t>
      </w:r>
      <w:r>
        <w:rPr>
          <w:rStyle w:val="FootnoteReference"/>
          <w:rFonts w:ascii="CG Omega" w:hAnsi="CG Omega" w:cs="Arial"/>
          <w:snapToGrid w:val="0"/>
        </w:rPr>
        <w:footnoteReference w:id="57"/>
      </w:r>
      <w:r>
        <w:rPr>
          <w:rFonts w:ascii="CG Omega" w:hAnsi="CG Omega" w:cs="Arial"/>
          <w:snapToGrid w:val="0"/>
        </w:rPr>
        <w:t xml:space="preserve">  The elderly population in New Mexico has grown 28.3 percent since 2000. The two age groups with the greatest growth over this decade were those ages 65 to 66, with 45.9 percent growth, and those aged 85 or older</w:t>
      </w:r>
      <w:r w:rsidR="00DE3F87">
        <w:rPr>
          <w:rFonts w:ascii="CG Omega" w:hAnsi="CG Omega" w:cs="Arial"/>
          <w:snapToGrid w:val="0"/>
        </w:rPr>
        <w:t>, with 37.3 percent growth.</w:t>
      </w:r>
    </w:p>
    <w:tbl>
      <w:tblPr>
        <w:tblW w:w="6576" w:type="dxa"/>
        <w:jc w:val="center"/>
        <w:tblLook w:val="04A0" w:firstRow="1" w:lastRow="0" w:firstColumn="1" w:lastColumn="0" w:noHBand="0" w:noVBand="1"/>
      </w:tblPr>
      <w:tblGrid>
        <w:gridCol w:w="1091"/>
        <w:gridCol w:w="1103"/>
        <w:gridCol w:w="1080"/>
        <w:gridCol w:w="1168"/>
        <w:gridCol w:w="1059"/>
        <w:gridCol w:w="1075"/>
      </w:tblGrid>
      <w:tr w:rsidR="00943E45" w:rsidRPr="00AF0F26" w:rsidTr="00E56B71">
        <w:trPr>
          <w:trHeight w:val="216"/>
          <w:jc w:val="center"/>
        </w:trPr>
        <w:tc>
          <w:tcPr>
            <w:tcW w:w="6576" w:type="dxa"/>
            <w:gridSpan w:val="6"/>
            <w:tcBorders>
              <w:bottom w:val="single" w:sz="4" w:space="0" w:color="009900"/>
            </w:tcBorders>
            <w:shd w:val="clear" w:color="000000" w:fill="auto"/>
            <w:noWrap/>
            <w:vAlign w:val="center"/>
            <w:hideMark/>
          </w:tcPr>
          <w:p w:rsidR="00943E45" w:rsidRPr="007F6B6C" w:rsidRDefault="00943E45" w:rsidP="00DE3F87">
            <w:pPr>
              <w:pStyle w:val="WESNormaltext"/>
            </w:pPr>
          </w:p>
          <w:p w:rsidR="00943E45" w:rsidRPr="00943E45" w:rsidRDefault="00943E45" w:rsidP="00832AB3">
            <w:pPr>
              <w:pStyle w:val="Caption"/>
              <w:spacing w:before="0" w:after="0"/>
              <w:jc w:val="center"/>
              <w:rPr>
                <w:rFonts w:ascii="Arial" w:hAnsi="Arial" w:cs="Arial"/>
                <w:sz w:val="22"/>
                <w:szCs w:val="22"/>
              </w:rPr>
            </w:pPr>
            <w:r w:rsidRPr="00832AB3">
              <w:rPr>
                <w:rFonts w:ascii="Arial" w:hAnsi="Arial" w:cs="Arial"/>
                <w:sz w:val="22"/>
                <w:szCs w:val="22"/>
              </w:rPr>
              <w:t xml:space="preserve">Table </w:t>
            </w:r>
            <w:r w:rsidR="00832AB3">
              <w:rPr>
                <w:rFonts w:ascii="Arial" w:hAnsi="Arial" w:cs="Arial"/>
                <w:noProof/>
                <w:sz w:val="22"/>
                <w:szCs w:val="22"/>
              </w:rPr>
              <w:t>V.</w:t>
            </w:r>
            <w:r w:rsidR="000155B6">
              <w:rPr>
                <w:rFonts w:ascii="Arial" w:hAnsi="Arial" w:cs="Arial"/>
                <w:noProof/>
                <w:sz w:val="22"/>
                <w:szCs w:val="22"/>
              </w:rPr>
              <w:t>19</w:t>
            </w:r>
          </w:p>
          <w:p w:rsidR="00943E45" w:rsidRPr="00AF0F26" w:rsidRDefault="00943E45" w:rsidP="00943E45">
            <w:pPr>
              <w:pStyle w:val="ObjectSubtitle"/>
            </w:pPr>
            <w:r w:rsidRPr="00AF0F26">
              <w:t>Elderly Population by Age</w:t>
            </w:r>
          </w:p>
          <w:p w:rsidR="00943E45" w:rsidRPr="00751D0F" w:rsidRDefault="00943E45" w:rsidP="00943E45">
            <w:pPr>
              <w:pStyle w:val="ObjectAreaData"/>
            </w:pPr>
            <w:r w:rsidRPr="009C69D6">
              <w:rPr>
                <w:noProof/>
              </w:rPr>
              <w:t>State of New Mexico</w:t>
            </w:r>
          </w:p>
          <w:p w:rsidR="00943E45" w:rsidRPr="00AF0F26" w:rsidRDefault="00943E45" w:rsidP="00943E45">
            <w:pPr>
              <w:pStyle w:val="ObjectAreaData"/>
              <w:rPr>
                <w:b/>
                <w:bCs/>
              </w:rPr>
            </w:pPr>
            <w:r>
              <w:t>2000 &amp; 2010 Census SF1 Data</w:t>
            </w:r>
          </w:p>
        </w:tc>
      </w:tr>
      <w:tr w:rsidR="00943E45" w:rsidRPr="002E5098" w:rsidTr="00E56B71">
        <w:trPr>
          <w:trHeight w:val="216"/>
          <w:jc w:val="center"/>
        </w:trPr>
        <w:tc>
          <w:tcPr>
            <w:tcW w:w="1091" w:type="dxa"/>
            <w:vMerge w:val="restart"/>
            <w:tcBorders>
              <w:top w:val="single" w:sz="4" w:space="0" w:color="009900"/>
              <w:left w:val="single" w:sz="4" w:space="0" w:color="009900"/>
              <w:bottom w:val="single" w:sz="4" w:space="0" w:color="009900"/>
              <w:right w:val="nil"/>
            </w:tcBorders>
            <w:shd w:val="clear" w:color="000000" w:fill="FFFFE1"/>
            <w:noWrap/>
            <w:vAlign w:val="center"/>
            <w:hideMark/>
          </w:tcPr>
          <w:p w:rsidR="00943E45" w:rsidRPr="002E5098" w:rsidRDefault="00943E45" w:rsidP="00E56B71">
            <w:pPr>
              <w:jc w:val="center"/>
              <w:rPr>
                <w:rFonts w:ascii="Arial" w:hAnsi="Arial" w:cs="Arial"/>
                <w:b/>
                <w:bCs/>
                <w:sz w:val="16"/>
                <w:szCs w:val="16"/>
              </w:rPr>
            </w:pPr>
            <w:r w:rsidRPr="002E5098">
              <w:rPr>
                <w:rFonts w:ascii="Arial" w:hAnsi="Arial" w:cs="Arial"/>
                <w:b/>
                <w:bCs/>
                <w:sz w:val="16"/>
                <w:szCs w:val="16"/>
              </w:rPr>
              <w:t>Age</w:t>
            </w:r>
          </w:p>
        </w:tc>
        <w:tc>
          <w:tcPr>
            <w:tcW w:w="2183" w:type="dxa"/>
            <w:gridSpan w:val="2"/>
            <w:tcBorders>
              <w:top w:val="single" w:sz="4" w:space="0" w:color="009900"/>
              <w:left w:val="nil"/>
              <w:bottom w:val="dotted" w:sz="4" w:space="0" w:color="009900"/>
              <w:right w:val="nil"/>
            </w:tcBorders>
            <w:shd w:val="clear" w:color="000000" w:fill="FFFFE1"/>
            <w:noWrap/>
            <w:vAlign w:val="center"/>
            <w:hideMark/>
          </w:tcPr>
          <w:p w:rsidR="00943E45" w:rsidRPr="002E5098" w:rsidRDefault="00943E45" w:rsidP="00E56B71">
            <w:pPr>
              <w:pStyle w:val="ObjectAreaData"/>
              <w:rPr>
                <w:b/>
              </w:rPr>
            </w:pPr>
            <w:r w:rsidRPr="002E5098">
              <w:rPr>
                <w:b/>
              </w:rPr>
              <w:t>2000 Census</w:t>
            </w:r>
          </w:p>
        </w:tc>
        <w:tc>
          <w:tcPr>
            <w:tcW w:w="2227" w:type="dxa"/>
            <w:gridSpan w:val="2"/>
            <w:tcBorders>
              <w:top w:val="single" w:sz="4" w:space="0" w:color="009900"/>
              <w:left w:val="nil"/>
              <w:bottom w:val="dotted" w:sz="4" w:space="0" w:color="009900"/>
              <w:right w:val="nil"/>
            </w:tcBorders>
            <w:shd w:val="clear" w:color="000000" w:fill="FFFFE1"/>
            <w:noWrap/>
            <w:vAlign w:val="center"/>
            <w:hideMark/>
          </w:tcPr>
          <w:p w:rsidR="00943E45" w:rsidRPr="002E5098" w:rsidRDefault="00943E45" w:rsidP="00E56B71">
            <w:pPr>
              <w:pStyle w:val="ObjectAreaData"/>
              <w:rPr>
                <w:b/>
              </w:rPr>
            </w:pPr>
            <w:r w:rsidRPr="002E5098">
              <w:rPr>
                <w:b/>
              </w:rPr>
              <w:t>2010 Census</w:t>
            </w:r>
          </w:p>
        </w:tc>
        <w:tc>
          <w:tcPr>
            <w:tcW w:w="1075" w:type="dxa"/>
            <w:vMerge w:val="restart"/>
            <w:tcBorders>
              <w:top w:val="single" w:sz="4" w:space="0" w:color="009900"/>
              <w:left w:val="dotted" w:sz="4" w:space="0" w:color="009900"/>
              <w:bottom w:val="single" w:sz="4" w:space="0" w:color="009900"/>
              <w:right w:val="single" w:sz="4" w:space="0" w:color="009900"/>
            </w:tcBorders>
            <w:shd w:val="clear" w:color="000000" w:fill="FFFFE1"/>
            <w:vAlign w:val="center"/>
            <w:hideMark/>
          </w:tcPr>
          <w:p w:rsidR="00943E45" w:rsidRPr="002E5098" w:rsidRDefault="00943E45" w:rsidP="00E56B71">
            <w:pPr>
              <w:pStyle w:val="ObjectAreaData"/>
              <w:rPr>
                <w:b/>
              </w:rPr>
            </w:pPr>
            <w:r>
              <w:rPr>
                <w:b/>
              </w:rPr>
              <w:t>% Change 00–10</w:t>
            </w:r>
          </w:p>
        </w:tc>
      </w:tr>
      <w:tr w:rsidR="00943E45" w:rsidRPr="002E5098" w:rsidTr="00E56B71">
        <w:trPr>
          <w:trHeight w:val="216"/>
          <w:jc w:val="center"/>
        </w:trPr>
        <w:tc>
          <w:tcPr>
            <w:tcW w:w="1091" w:type="dxa"/>
            <w:vMerge/>
            <w:tcBorders>
              <w:top w:val="nil"/>
              <w:left w:val="single" w:sz="4" w:space="0" w:color="009900"/>
              <w:bottom w:val="single" w:sz="4" w:space="0" w:color="009900"/>
              <w:right w:val="nil"/>
            </w:tcBorders>
            <w:vAlign w:val="center"/>
            <w:hideMark/>
          </w:tcPr>
          <w:p w:rsidR="00943E45" w:rsidRPr="002E5098" w:rsidRDefault="00943E45" w:rsidP="00E56B71">
            <w:pPr>
              <w:rPr>
                <w:rFonts w:ascii="Arial" w:hAnsi="Arial" w:cs="Arial"/>
                <w:b/>
                <w:bCs/>
                <w:sz w:val="16"/>
                <w:szCs w:val="16"/>
              </w:rPr>
            </w:pPr>
          </w:p>
        </w:tc>
        <w:tc>
          <w:tcPr>
            <w:tcW w:w="1103" w:type="dxa"/>
            <w:tcBorders>
              <w:top w:val="nil"/>
              <w:left w:val="nil"/>
              <w:bottom w:val="single" w:sz="4" w:space="0" w:color="009900"/>
              <w:right w:val="nil"/>
            </w:tcBorders>
            <w:shd w:val="clear" w:color="000000" w:fill="FFFFE1"/>
            <w:noWrap/>
            <w:vAlign w:val="center"/>
            <w:hideMark/>
          </w:tcPr>
          <w:p w:rsidR="00943E45" w:rsidRPr="002E5098" w:rsidRDefault="00943E45" w:rsidP="00E56B71">
            <w:pPr>
              <w:pStyle w:val="ObjectAreaData"/>
              <w:rPr>
                <w:b/>
              </w:rPr>
            </w:pPr>
            <w:r w:rsidRPr="002E5098">
              <w:rPr>
                <w:b/>
              </w:rPr>
              <w:t>Population</w:t>
            </w:r>
          </w:p>
        </w:tc>
        <w:tc>
          <w:tcPr>
            <w:tcW w:w="1080" w:type="dxa"/>
            <w:tcBorders>
              <w:top w:val="nil"/>
              <w:left w:val="nil"/>
              <w:bottom w:val="single" w:sz="4" w:space="0" w:color="009900"/>
              <w:right w:val="nil"/>
            </w:tcBorders>
            <w:shd w:val="clear" w:color="000000" w:fill="FFFFE1"/>
            <w:noWrap/>
            <w:vAlign w:val="center"/>
            <w:hideMark/>
          </w:tcPr>
          <w:p w:rsidR="00943E45" w:rsidRPr="002E5098" w:rsidRDefault="00943E45" w:rsidP="00E56B71">
            <w:pPr>
              <w:pStyle w:val="ObjectAreaData"/>
              <w:rPr>
                <w:b/>
              </w:rPr>
            </w:pPr>
            <w:r w:rsidRPr="002E5098">
              <w:rPr>
                <w:b/>
              </w:rPr>
              <w:t>% of Total</w:t>
            </w:r>
          </w:p>
        </w:tc>
        <w:tc>
          <w:tcPr>
            <w:tcW w:w="1168" w:type="dxa"/>
            <w:tcBorders>
              <w:top w:val="nil"/>
              <w:left w:val="nil"/>
              <w:bottom w:val="single" w:sz="4" w:space="0" w:color="009900"/>
              <w:right w:val="nil"/>
            </w:tcBorders>
            <w:shd w:val="clear" w:color="000000" w:fill="FFFFE1"/>
            <w:noWrap/>
            <w:vAlign w:val="center"/>
            <w:hideMark/>
          </w:tcPr>
          <w:p w:rsidR="00943E45" w:rsidRPr="002E5098" w:rsidRDefault="00943E45" w:rsidP="00E56B71">
            <w:pPr>
              <w:pStyle w:val="ObjectAreaData"/>
              <w:rPr>
                <w:b/>
              </w:rPr>
            </w:pPr>
            <w:r w:rsidRPr="002E5098">
              <w:rPr>
                <w:b/>
              </w:rPr>
              <w:t>Population</w:t>
            </w:r>
          </w:p>
        </w:tc>
        <w:tc>
          <w:tcPr>
            <w:tcW w:w="1059" w:type="dxa"/>
            <w:tcBorders>
              <w:top w:val="nil"/>
              <w:left w:val="nil"/>
              <w:bottom w:val="single" w:sz="4" w:space="0" w:color="009900"/>
              <w:right w:val="nil"/>
            </w:tcBorders>
            <w:shd w:val="clear" w:color="000000" w:fill="FFFFE1"/>
            <w:noWrap/>
            <w:vAlign w:val="center"/>
            <w:hideMark/>
          </w:tcPr>
          <w:p w:rsidR="00943E45" w:rsidRPr="002E5098" w:rsidRDefault="00943E45" w:rsidP="00E56B71">
            <w:pPr>
              <w:pStyle w:val="ObjectAreaData"/>
              <w:rPr>
                <w:b/>
              </w:rPr>
            </w:pPr>
            <w:r w:rsidRPr="002E5098">
              <w:rPr>
                <w:b/>
              </w:rPr>
              <w:t>% of Total</w:t>
            </w:r>
          </w:p>
        </w:tc>
        <w:tc>
          <w:tcPr>
            <w:tcW w:w="1075" w:type="dxa"/>
            <w:vMerge/>
            <w:tcBorders>
              <w:top w:val="nil"/>
              <w:left w:val="dotted" w:sz="4" w:space="0" w:color="009900"/>
              <w:bottom w:val="single" w:sz="4" w:space="0" w:color="009900"/>
              <w:right w:val="single" w:sz="4" w:space="0" w:color="009900"/>
            </w:tcBorders>
            <w:vAlign w:val="center"/>
            <w:hideMark/>
          </w:tcPr>
          <w:p w:rsidR="00943E45" w:rsidRPr="002E5098" w:rsidRDefault="00943E45" w:rsidP="00E56B71">
            <w:pPr>
              <w:pStyle w:val="ObjectAreaData"/>
              <w:rPr>
                <w:b/>
              </w:rPr>
            </w:pPr>
          </w:p>
        </w:tc>
      </w:tr>
      <w:tr w:rsidR="00943E45" w:rsidRPr="00AF0F26" w:rsidTr="00E56B71">
        <w:trPr>
          <w:trHeight w:val="216"/>
          <w:jc w:val="center"/>
        </w:trPr>
        <w:tc>
          <w:tcPr>
            <w:tcW w:w="1091" w:type="dxa"/>
            <w:tcBorders>
              <w:top w:val="nil"/>
              <w:left w:val="single" w:sz="4" w:space="0" w:color="009900"/>
              <w:bottom w:val="nil"/>
              <w:right w:val="nil"/>
            </w:tcBorders>
            <w:shd w:val="clear" w:color="000000" w:fill="FFFFE1"/>
            <w:noWrap/>
            <w:vAlign w:val="center"/>
            <w:hideMark/>
          </w:tcPr>
          <w:p w:rsidR="00943E45" w:rsidRPr="002E5098" w:rsidRDefault="00943E45" w:rsidP="00E56B71">
            <w:pPr>
              <w:pStyle w:val="ObjectAreaData"/>
              <w:jc w:val="left"/>
            </w:pPr>
            <w:r w:rsidRPr="002E5098">
              <w:t>65 to 66</w:t>
            </w:r>
          </w:p>
        </w:tc>
        <w:tc>
          <w:tcPr>
            <w:tcW w:w="1103" w:type="dxa"/>
            <w:tcBorders>
              <w:top w:val="nil"/>
              <w:left w:val="nil"/>
              <w:bottom w:val="nil"/>
              <w:right w:val="nil"/>
            </w:tcBorders>
            <w:shd w:val="clear" w:color="000000" w:fill="FFFFE1"/>
            <w:noWrap/>
            <w:vAlign w:val="center"/>
            <w:hideMark/>
          </w:tcPr>
          <w:p w:rsidR="00943E45" w:rsidRPr="00AF0F26" w:rsidRDefault="00943E45" w:rsidP="00E56B71">
            <w:pPr>
              <w:pStyle w:val="ObjectAreaData"/>
            </w:pPr>
            <w:r w:rsidRPr="009C69D6">
              <w:rPr>
                <w:noProof/>
              </w:rPr>
              <w:t>25,984</w:t>
            </w:r>
          </w:p>
        </w:tc>
        <w:tc>
          <w:tcPr>
            <w:tcW w:w="1080" w:type="dxa"/>
            <w:tcBorders>
              <w:top w:val="nil"/>
              <w:left w:val="nil"/>
              <w:bottom w:val="nil"/>
              <w:right w:val="nil"/>
            </w:tcBorders>
            <w:shd w:val="clear" w:color="000000" w:fill="FFFFE1"/>
            <w:noWrap/>
            <w:vAlign w:val="center"/>
            <w:hideMark/>
          </w:tcPr>
          <w:p w:rsidR="00943E45" w:rsidRPr="00AF0F26" w:rsidRDefault="00943E45" w:rsidP="00E56B71">
            <w:pPr>
              <w:pStyle w:val="ObjectAreaData"/>
            </w:pPr>
            <w:r w:rsidRPr="009C69D6">
              <w:rPr>
                <w:noProof/>
              </w:rPr>
              <w:t>12.2</w:t>
            </w:r>
            <w:r w:rsidRPr="00AF0F26">
              <w:t>%</w:t>
            </w:r>
          </w:p>
        </w:tc>
        <w:tc>
          <w:tcPr>
            <w:tcW w:w="1168" w:type="dxa"/>
            <w:tcBorders>
              <w:top w:val="nil"/>
              <w:left w:val="nil"/>
              <w:bottom w:val="nil"/>
              <w:right w:val="nil"/>
            </w:tcBorders>
            <w:shd w:val="clear" w:color="000000" w:fill="FFFFE1"/>
            <w:noWrap/>
            <w:vAlign w:val="center"/>
            <w:hideMark/>
          </w:tcPr>
          <w:p w:rsidR="00943E45" w:rsidRPr="00AF0F26" w:rsidRDefault="00943E45" w:rsidP="00E56B71">
            <w:pPr>
              <w:pStyle w:val="ObjectAreaData"/>
            </w:pPr>
            <w:r w:rsidRPr="009C69D6">
              <w:rPr>
                <w:noProof/>
              </w:rPr>
              <w:t>37,921</w:t>
            </w:r>
          </w:p>
        </w:tc>
        <w:tc>
          <w:tcPr>
            <w:tcW w:w="1059" w:type="dxa"/>
            <w:tcBorders>
              <w:top w:val="nil"/>
              <w:left w:val="nil"/>
              <w:bottom w:val="nil"/>
              <w:right w:val="nil"/>
            </w:tcBorders>
            <w:shd w:val="clear" w:color="000000" w:fill="FFFFE1"/>
            <w:noWrap/>
            <w:vAlign w:val="center"/>
            <w:hideMark/>
          </w:tcPr>
          <w:p w:rsidR="00943E45" w:rsidRPr="00AF0F26" w:rsidRDefault="00943E45" w:rsidP="00E56B71">
            <w:pPr>
              <w:pStyle w:val="ObjectAreaData"/>
            </w:pPr>
            <w:r w:rsidRPr="009C69D6">
              <w:rPr>
                <w:noProof/>
              </w:rPr>
              <w:t>13.9</w:t>
            </w:r>
            <w:r w:rsidRPr="00AF0F26">
              <w:t>%</w:t>
            </w:r>
          </w:p>
        </w:tc>
        <w:tc>
          <w:tcPr>
            <w:tcW w:w="1075" w:type="dxa"/>
            <w:tcBorders>
              <w:top w:val="nil"/>
              <w:left w:val="dotted" w:sz="4" w:space="0" w:color="009900"/>
              <w:bottom w:val="nil"/>
              <w:right w:val="single" w:sz="4" w:space="0" w:color="009900"/>
            </w:tcBorders>
            <w:shd w:val="clear" w:color="000000" w:fill="FFFFE1"/>
            <w:noWrap/>
            <w:vAlign w:val="center"/>
            <w:hideMark/>
          </w:tcPr>
          <w:p w:rsidR="00943E45" w:rsidRPr="00AF0F26" w:rsidRDefault="00943E45" w:rsidP="00E56B71">
            <w:pPr>
              <w:pStyle w:val="ObjectAreaData"/>
            </w:pPr>
            <w:r w:rsidRPr="009C69D6">
              <w:rPr>
                <w:noProof/>
              </w:rPr>
              <w:t>45.9</w:t>
            </w:r>
            <w:r w:rsidRPr="00AF0F26">
              <w:t>%</w:t>
            </w:r>
          </w:p>
        </w:tc>
      </w:tr>
      <w:tr w:rsidR="00943E45" w:rsidRPr="00AF0F26" w:rsidTr="00E56B71">
        <w:trPr>
          <w:trHeight w:val="216"/>
          <w:jc w:val="center"/>
        </w:trPr>
        <w:tc>
          <w:tcPr>
            <w:tcW w:w="1091" w:type="dxa"/>
            <w:tcBorders>
              <w:top w:val="nil"/>
              <w:left w:val="single" w:sz="4" w:space="0" w:color="009900"/>
              <w:bottom w:val="nil"/>
              <w:right w:val="nil"/>
            </w:tcBorders>
            <w:shd w:val="clear" w:color="000000" w:fill="FFFFE1"/>
            <w:noWrap/>
            <w:vAlign w:val="center"/>
            <w:hideMark/>
          </w:tcPr>
          <w:p w:rsidR="00943E45" w:rsidRPr="002E5098" w:rsidRDefault="00943E45" w:rsidP="00E56B71">
            <w:pPr>
              <w:pStyle w:val="ObjectAreaData"/>
              <w:jc w:val="left"/>
            </w:pPr>
            <w:r w:rsidRPr="002E5098">
              <w:t>67 to 69</w:t>
            </w:r>
          </w:p>
        </w:tc>
        <w:tc>
          <w:tcPr>
            <w:tcW w:w="1103" w:type="dxa"/>
            <w:tcBorders>
              <w:top w:val="nil"/>
              <w:left w:val="nil"/>
              <w:bottom w:val="nil"/>
              <w:right w:val="nil"/>
            </w:tcBorders>
            <w:shd w:val="clear" w:color="000000" w:fill="FFFFE1"/>
            <w:noWrap/>
            <w:vAlign w:val="center"/>
            <w:hideMark/>
          </w:tcPr>
          <w:p w:rsidR="00943E45" w:rsidRPr="00AF0F26" w:rsidRDefault="00943E45" w:rsidP="00E56B71">
            <w:pPr>
              <w:pStyle w:val="ObjectAreaData"/>
            </w:pPr>
            <w:r w:rsidRPr="009C69D6">
              <w:rPr>
                <w:noProof/>
              </w:rPr>
              <w:t>37,243</w:t>
            </w:r>
          </w:p>
        </w:tc>
        <w:tc>
          <w:tcPr>
            <w:tcW w:w="1080" w:type="dxa"/>
            <w:tcBorders>
              <w:top w:val="nil"/>
              <w:left w:val="nil"/>
              <w:bottom w:val="nil"/>
              <w:right w:val="nil"/>
            </w:tcBorders>
            <w:shd w:val="clear" w:color="000000" w:fill="FFFFE1"/>
            <w:noWrap/>
            <w:vAlign w:val="center"/>
            <w:hideMark/>
          </w:tcPr>
          <w:p w:rsidR="00943E45" w:rsidRPr="00AF0F26" w:rsidRDefault="00943E45" w:rsidP="00E56B71">
            <w:pPr>
              <w:pStyle w:val="ObjectAreaData"/>
            </w:pPr>
            <w:r w:rsidRPr="009C69D6">
              <w:rPr>
                <w:noProof/>
              </w:rPr>
              <w:t>17.5</w:t>
            </w:r>
            <w:r w:rsidRPr="00AF0F26">
              <w:t>%</w:t>
            </w:r>
          </w:p>
        </w:tc>
        <w:tc>
          <w:tcPr>
            <w:tcW w:w="1168" w:type="dxa"/>
            <w:tcBorders>
              <w:top w:val="nil"/>
              <w:left w:val="nil"/>
              <w:bottom w:val="nil"/>
              <w:right w:val="nil"/>
            </w:tcBorders>
            <w:shd w:val="clear" w:color="000000" w:fill="FFFFE1"/>
            <w:noWrap/>
            <w:vAlign w:val="center"/>
            <w:hideMark/>
          </w:tcPr>
          <w:p w:rsidR="00943E45" w:rsidRPr="00AF0F26" w:rsidRDefault="00943E45" w:rsidP="00E56B71">
            <w:pPr>
              <w:pStyle w:val="ObjectAreaData"/>
            </w:pPr>
            <w:r w:rsidRPr="009C69D6">
              <w:rPr>
                <w:noProof/>
              </w:rPr>
              <w:t>49,969</w:t>
            </w:r>
          </w:p>
        </w:tc>
        <w:tc>
          <w:tcPr>
            <w:tcW w:w="1059" w:type="dxa"/>
            <w:tcBorders>
              <w:top w:val="nil"/>
              <w:left w:val="nil"/>
              <w:bottom w:val="nil"/>
              <w:right w:val="nil"/>
            </w:tcBorders>
            <w:shd w:val="clear" w:color="000000" w:fill="FFFFE1"/>
            <w:noWrap/>
            <w:vAlign w:val="center"/>
            <w:hideMark/>
          </w:tcPr>
          <w:p w:rsidR="00943E45" w:rsidRPr="00AF0F26" w:rsidRDefault="00943E45" w:rsidP="00E56B71">
            <w:pPr>
              <w:pStyle w:val="ObjectAreaData"/>
            </w:pPr>
            <w:r w:rsidRPr="009C69D6">
              <w:rPr>
                <w:noProof/>
              </w:rPr>
              <w:t>18.4</w:t>
            </w:r>
            <w:r w:rsidRPr="00AF0F26">
              <w:t>%</w:t>
            </w:r>
          </w:p>
        </w:tc>
        <w:tc>
          <w:tcPr>
            <w:tcW w:w="1075" w:type="dxa"/>
            <w:tcBorders>
              <w:top w:val="nil"/>
              <w:left w:val="dotted" w:sz="4" w:space="0" w:color="009900"/>
              <w:bottom w:val="nil"/>
              <w:right w:val="single" w:sz="4" w:space="0" w:color="009900"/>
            </w:tcBorders>
            <w:shd w:val="clear" w:color="000000" w:fill="FFFFE1"/>
            <w:noWrap/>
            <w:vAlign w:val="center"/>
            <w:hideMark/>
          </w:tcPr>
          <w:p w:rsidR="00943E45" w:rsidRPr="00AF0F26" w:rsidRDefault="00943E45" w:rsidP="00E56B71">
            <w:pPr>
              <w:pStyle w:val="ObjectAreaData"/>
            </w:pPr>
            <w:r w:rsidRPr="009C69D6">
              <w:rPr>
                <w:noProof/>
              </w:rPr>
              <w:t>34.2</w:t>
            </w:r>
            <w:r w:rsidRPr="00AF0F26">
              <w:t>%</w:t>
            </w:r>
          </w:p>
        </w:tc>
      </w:tr>
      <w:tr w:rsidR="00943E45" w:rsidRPr="00AF0F26" w:rsidTr="00E56B71">
        <w:trPr>
          <w:trHeight w:val="216"/>
          <w:jc w:val="center"/>
        </w:trPr>
        <w:tc>
          <w:tcPr>
            <w:tcW w:w="1091" w:type="dxa"/>
            <w:tcBorders>
              <w:top w:val="nil"/>
              <w:left w:val="single" w:sz="4" w:space="0" w:color="009900"/>
              <w:bottom w:val="nil"/>
              <w:right w:val="nil"/>
            </w:tcBorders>
            <w:shd w:val="clear" w:color="000000" w:fill="FFFFE1"/>
            <w:noWrap/>
            <w:vAlign w:val="center"/>
            <w:hideMark/>
          </w:tcPr>
          <w:p w:rsidR="00943E45" w:rsidRPr="002E5098" w:rsidRDefault="00943E45" w:rsidP="00E56B71">
            <w:pPr>
              <w:pStyle w:val="ObjectAreaData"/>
              <w:jc w:val="left"/>
            </w:pPr>
            <w:r w:rsidRPr="002E5098">
              <w:t>70 to 74</w:t>
            </w:r>
          </w:p>
        </w:tc>
        <w:tc>
          <w:tcPr>
            <w:tcW w:w="1103" w:type="dxa"/>
            <w:tcBorders>
              <w:top w:val="nil"/>
              <w:left w:val="nil"/>
              <w:bottom w:val="nil"/>
              <w:right w:val="nil"/>
            </w:tcBorders>
            <w:shd w:val="clear" w:color="000000" w:fill="FFFFE1"/>
            <w:noWrap/>
            <w:vAlign w:val="center"/>
            <w:hideMark/>
          </w:tcPr>
          <w:p w:rsidR="00943E45" w:rsidRPr="00AF0F26" w:rsidRDefault="00943E45" w:rsidP="00E56B71">
            <w:pPr>
              <w:pStyle w:val="ObjectAreaData"/>
            </w:pPr>
            <w:r w:rsidRPr="009C69D6">
              <w:rPr>
                <w:noProof/>
              </w:rPr>
              <w:t>54,518</w:t>
            </w:r>
          </w:p>
        </w:tc>
        <w:tc>
          <w:tcPr>
            <w:tcW w:w="1080" w:type="dxa"/>
            <w:tcBorders>
              <w:top w:val="nil"/>
              <w:left w:val="nil"/>
              <w:bottom w:val="nil"/>
              <w:right w:val="nil"/>
            </w:tcBorders>
            <w:shd w:val="clear" w:color="000000" w:fill="FFFFE1"/>
            <w:noWrap/>
            <w:vAlign w:val="center"/>
            <w:hideMark/>
          </w:tcPr>
          <w:p w:rsidR="00943E45" w:rsidRPr="00AF0F26" w:rsidRDefault="00943E45" w:rsidP="00E56B71">
            <w:pPr>
              <w:pStyle w:val="ObjectAreaData"/>
            </w:pPr>
            <w:r w:rsidRPr="009C69D6">
              <w:rPr>
                <w:noProof/>
              </w:rPr>
              <w:t>25.7</w:t>
            </w:r>
            <w:r w:rsidRPr="00AF0F26">
              <w:t>%</w:t>
            </w:r>
          </w:p>
        </w:tc>
        <w:tc>
          <w:tcPr>
            <w:tcW w:w="1168" w:type="dxa"/>
            <w:tcBorders>
              <w:top w:val="nil"/>
              <w:left w:val="nil"/>
              <w:bottom w:val="nil"/>
              <w:right w:val="nil"/>
            </w:tcBorders>
            <w:shd w:val="clear" w:color="000000" w:fill="FFFFE1"/>
            <w:noWrap/>
            <w:vAlign w:val="center"/>
            <w:hideMark/>
          </w:tcPr>
          <w:p w:rsidR="00943E45" w:rsidRPr="00AF0F26" w:rsidRDefault="00943E45" w:rsidP="00E56B71">
            <w:pPr>
              <w:pStyle w:val="ObjectAreaData"/>
            </w:pPr>
            <w:r w:rsidRPr="009C69D6">
              <w:rPr>
                <w:noProof/>
              </w:rPr>
              <w:t>65,904</w:t>
            </w:r>
          </w:p>
        </w:tc>
        <w:tc>
          <w:tcPr>
            <w:tcW w:w="1059" w:type="dxa"/>
            <w:tcBorders>
              <w:top w:val="nil"/>
              <w:left w:val="nil"/>
              <w:bottom w:val="nil"/>
              <w:right w:val="nil"/>
            </w:tcBorders>
            <w:shd w:val="clear" w:color="000000" w:fill="FFFFE1"/>
            <w:noWrap/>
            <w:vAlign w:val="center"/>
            <w:hideMark/>
          </w:tcPr>
          <w:p w:rsidR="00943E45" w:rsidRPr="00AF0F26" w:rsidRDefault="00943E45" w:rsidP="00E56B71">
            <w:pPr>
              <w:pStyle w:val="ObjectAreaData"/>
            </w:pPr>
            <w:r w:rsidRPr="009C69D6">
              <w:rPr>
                <w:noProof/>
              </w:rPr>
              <w:t>24.2</w:t>
            </w:r>
            <w:r w:rsidRPr="00AF0F26">
              <w:t>%</w:t>
            </w:r>
          </w:p>
        </w:tc>
        <w:tc>
          <w:tcPr>
            <w:tcW w:w="1075" w:type="dxa"/>
            <w:tcBorders>
              <w:top w:val="nil"/>
              <w:left w:val="dotted" w:sz="4" w:space="0" w:color="009900"/>
              <w:bottom w:val="nil"/>
              <w:right w:val="single" w:sz="4" w:space="0" w:color="009900"/>
            </w:tcBorders>
            <w:shd w:val="clear" w:color="000000" w:fill="FFFFE1"/>
            <w:noWrap/>
            <w:vAlign w:val="center"/>
            <w:hideMark/>
          </w:tcPr>
          <w:p w:rsidR="00943E45" w:rsidRPr="00AF0F26" w:rsidRDefault="00943E45" w:rsidP="00E56B71">
            <w:pPr>
              <w:pStyle w:val="ObjectAreaData"/>
            </w:pPr>
            <w:r w:rsidRPr="009C69D6">
              <w:rPr>
                <w:noProof/>
              </w:rPr>
              <w:t>20.9</w:t>
            </w:r>
            <w:r w:rsidRPr="00AF0F26">
              <w:t>%</w:t>
            </w:r>
          </w:p>
        </w:tc>
      </w:tr>
      <w:tr w:rsidR="00943E45" w:rsidRPr="00AF0F26" w:rsidTr="00E56B71">
        <w:trPr>
          <w:trHeight w:val="216"/>
          <w:jc w:val="center"/>
        </w:trPr>
        <w:tc>
          <w:tcPr>
            <w:tcW w:w="1091" w:type="dxa"/>
            <w:tcBorders>
              <w:top w:val="nil"/>
              <w:left w:val="single" w:sz="4" w:space="0" w:color="009900"/>
              <w:bottom w:val="nil"/>
              <w:right w:val="nil"/>
            </w:tcBorders>
            <w:shd w:val="clear" w:color="000000" w:fill="FFFFE1"/>
            <w:noWrap/>
            <w:vAlign w:val="center"/>
            <w:hideMark/>
          </w:tcPr>
          <w:p w:rsidR="00943E45" w:rsidRPr="002E5098" w:rsidRDefault="00943E45" w:rsidP="00E56B71">
            <w:pPr>
              <w:pStyle w:val="ObjectAreaData"/>
              <w:jc w:val="left"/>
            </w:pPr>
            <w:r w:rsidRPr="002E5098">
              <w:t>75 to 79</w:t>
            </w:r>
          </w:p>
        </w:tc>
        <w:tc>
          <w:tcPr>
            <w:tcW w:w="1103" w:type="dxa"/>
            <w:tcBorders>
              <w:top w:val="nil"/>
              <w:left w:val="nil"/>
              <w:bottom w:val="nil"/>
              <w:right w:val="nil"/>
            </w:tcBorders>
            <w:shd w:val="clear" w:color="000000" w:fill="FFFFE1"/>
            <w:noWrap/>
            <w:vAlign w:val="center"/>
            <w:hideMark/>
          </w:tcPr>
          <w:p w:rsidR="00943E45" w:rsidRPr="00AF0F26" w:rsidRDefault="00943E45" w:rsidP="00E56B71">
            <w:pPr>
              <w:pStyle w:val="ObjectAreaData"/>
            </w:pPr>
            <w:r w:rsidRPr="009C69D6">
              <w:rPr>
                <w:noProof/>
              </w:rPr>
              <w:t>43,729</w:t>
            </w:r>
          </w:p>
        </w:tc>
        <w:tc>
          <w:tcPr>
            <w:tcW w:w="1080" w:type="dxa"/>
            <w:tcBorders>
              <w:top w:val="nil"/>
              <w:left w:val="nil"/>
              <w:bottom w:val="nil"/>
              <w:right w:val="nil"/>
            </w:tcBorders>
            <w:shd w:val="clear" w:color="000000" w:fill="FFFFE1"/>
            <w:noWrap/>
            <w:vAlign w:val="center"/>
            <w:hideMark/>
          </w:tcPr>
          <w:p w:rsidR="00943E45" w:rsidRPr="00AF0F26" w:rsidRDefault="00943E45" w:rsidP="00E56B71">
            <w:pPr>
              <w:pStyle w:val="ObjectAreaData"/>
            </w:pPr>
            <w:r w:rsidRPr="009C69D6">
              <w:rPr>
                <w:noProof/>
              </w:rPr>
              <w:t>20.6</w:t>
            </w:r>
            <w:r w:rsidRPr="00AF0F26">
              <w:t>%</w:t>
            </w:r>
          </w:p>
        </w:tc>
        <w:tc>
          <w:tcPr>
            <w:tcW w:w="1168" w:type="dxa"/>
            <w:tcBorders>
              <w:top w:val="nil"/>
              <w:left w:val="nil"/>
              <w:bottom w:val="nil"/>
              <w:right w:val="nil"/>
            </w:tcBorders>
            <w:shd w:val="clear" w:color="000000" w:fill="FFFFE1"/>
            <w:noWrap/>
            <w:vAlign w:val="center"/>
            <w:hideMark/>
          </w:tcPr>
          <w:p w:rsidR="00943E45" w:rsidRPr="00AF0F26" w:rsidRDefault="00943E45" w:rsidP="00E56B71">
            <w:pPr>
              <w:pStyle w:val="ObjectAreaData"/>
            </w:pPr>
            <w:r w:rsidRPr="009C69D6">
              <w:rPr>
                <w:noProof/>
              </w:rPr>
              <w:t>50,230</w:t>
            </w:r>
          </w:p>
        </w:tc>
        <w:tc>
          <w:tcPr>
            <w:tcW w:w="1059" w:type="dxa"/>
            <w:tcBorders>
              <w:top w:val="nil"/>
              <w:left w:val="nil"/>
              <w:bottom w:val="nil"/>
              <w:right w:val="nil"/>
            </w:tcBorders>
            <w:shd w:val="clear" w:color="000000" w:fill="FFFFE1"/>
            <w:noWrap/>
            <w:vAlign w:val="center"/>
            <w:hideMark/>
          </w:tcPr>
          <w:p w:rsidR="00943E45" w:rsidRPr="00AF0F26" w:rsidRDefault="00943E45" w:rsidP="00E56B71">
            <w:pPr>
              <w:pStyle w:val="ObjectAreaData"/>
            </w:pPr>
            <w:r w:rsidRPr="009C69D6">
              <w:rPr>
                <w:noProof/>
              </w:rPr>
              <w:t>18.4</w:t>
            </w:r>
            <w:r w:rsidRPr="00AF0F26">
              <w:t>%</w:t>
            </w:r>
          </w:p>
        </w:tc>
        <w:tc>
          <w:tcPr>
            <w:tcW w:w="1075" w:type="dxa"/>
            <w:tcBorders>
              <w:top w:val="nil"/>
              <w:left w:val="dotted" w:sz="4" w:space="0" w:color="009900"/>
              <w:bottom w:val="nil"/>
              <w:right w:val="single" w:sz="4" w:space="0" w:color="009900"/>
            </w:tcBorders>
            <w:shd w:val="clear" w:color="000000" w:fill="FFFFE1"/>
            <w:noWrap/>
            <w:vAlign w:val="center"/>
            <w:hideMark/>
          </w:tcPr>
          <w:p w:rsidR="00943E45" w:rsidRPr="00AF0F26" w:rsidRDefault="00943E45" w:rsidP="00E56B71">
            <w:pPr>
              <w:pStyle w:val="ObjectAreaData"/>
            </w:pPr>
            <w:r w:rsidRPr="009C69D6">
              <w:rPr>
                <w:noProof/>
              </w:rPr>
              <w:t>14.9</w:t>
            </w:r>
            <w:r w:rsidRPr="00AF0F26">
              <w:t>%</w:t>
            </w:r>
          </w:p>
        </w:tc>
      </w:tr>
      <w:tr w:rsidR="00943E45" w:rsidRPr="00AF0F26" w:rsidTr="00E56B71">
        <w:trPr>
          <w:trHeight w:val="216"/>
          <w:jc w:val="center"/>
        </w:trPr>
        <w:tc>
          <w:tcPr>
            <w:tcW w:w="1091" w:type="dxa"/>
            <w:tcBorders>
              <w:top w:val="nil"/>
              <w:left w:val="single" w:sz="4" w:space="0" w:color="009900"/>
              <w:bottom w:val="nil"/>
              <w:right w:val="nil"/>
            </w:tcBorders>
            <w:shd w:val="clear" w:color="000000" w:fill="FFFFE1"/>
            <w:noWrap/>
            <w:vAlign w:val="center"/>
            <w:hideMark/>
          </w:tcPr>
          <w:p w:rsidR="00943E45" w:rsidRPr="002E5098" w:rsidRDefault="00943E45" w:rsidP="00E56B71">
            <w:pPr>
              <w:pStyle w:val="ObjectAreaData"/>
              <w:jc w:val="left"/>
            </w:pPr>
            <w:r w:rsidRPr="002E5098">
              <w:t>80 to 84</w:t>
            </w:r>
          </w:p>
        </w:tc>
        <w:tc>
          <w:tcPr>
            <w:tcW w:w="1103" w:type="dxa"/>
            <w:tcBorders>
              <w:top w:val="nil"/>
              <w:left w:val="nil"/>
              <w:bottom w:val="nil"/>
              <w:right w:val="nil"/>
            </w:tcBorders>
            <w:shd w:val="clear" w:color="000000" w:fill="FFFFE1"/>
            <w:noWrap/>
            <w:vAlign w:val="center"/>
            <w:hideMark/>
          </w:tcPr>
          <w:p w:rsidR="00943E45" w:rsidRPr="00AF0F26" w:rsidRDefault="00943E45" w:rsidP="00E56B71">
            <w:pPr>
              <w:pStyle w:val="ObjectAreaData"/>
            </w:pPr>
            <w:r w:rsidRPr="009C69D6">
              <w:rPr>
                <w:noProof/>
              </w:rPr>
              <w:t>27,445</w:t>
            </w:r>
          </w:p>
        </w:tc>
        <w:tc>
          <w:tcPr>
            <w:tcW w:w="1080" w:type="dxa"/>
            <w:tcBorders>
              <w:top w:val="nil"/>
              <w:left w:val="nil"/>
              <w:bottom w:val="nil"/>
              <w:right w:val="nil"/>
            </w:tcBorders>
            <w:shd w:val="clear" w:color="000000" w:fill="FFFFE1"/>
            <w:noWrap/>
            <w:vAlign w:val="center"/>
            <w:hideMark/>
          </w:tcPr>
          <w:p w:rsidR="00943E45" w:rsidRPr="00AF0F26" w:rsidRDefault="00943E45" w:rsidP="00E56B71">
            <w:pPr>
              <w:pStyle w:val="ObjectAreaData"/>
            </w:pPr>
            <w:r w:rsidRPr="009C69D6">
              <w:rPr>
                <w:noProof/>
              </w:rPr>
              <w:t>12.9</w:t>
            </w:r>
            <w:r w:rsidRPr="00AF0F26">
              <w:t>%</w:t>
            </w:r>
          </w:p>
        </w:tc>
        <w:tc>
          <w:tcPr>
            <w:tcW w:w="1168" w:type="dxa"/>
            <w:tcBorders>
              <w:top w:val="nil"/>
              <w:left w:val="nil"/>
              <w:bottom w:val="nil"/>
              <w:right w:val="nil"/>
            </w:tcBorders>
            <w:shd w:val="clear" w:color="000000" w:fill="FFFFE1"/>
            <w:noWrap/>
            <w:vAlign w:val="center"/>
            <w:hideMark/>
          </w:tcPr>
          <w:p w:rsidR="00943E45" w:rsidRPr="00AF0F26" w:rsidRDefault="00943E45" w:rsidP="00E56B71">
            <w:pPr>
              <w:pStyle w:val="ObjectAreaData"/>
            </w:pPr>
            <w:r w:rsidRPr="009C69D6">
              <w:rPr>
                <w:noProof/>
              </w:rPr>
              <w:t>36,238</w:t>
            </w:r>
          </w:p>
        </w:tc>
        <w:tc>
          <w:tcPr>
            <w:tcW w:w="1059" w:type="dxa"/>
            <w:tcBorders>
              <w:top w:val="nil"/>
              <w:left w:val="nil"/>
              <w:bottom w:val="nil"/>
              <w:right w:val="nil"/>
            </w:tcBorders>
            <w:shd w:val="clear" w:color="000000" w:fill="FFFFE1"/>
            <w:noWrap/>
            <w:vAlign w:val="center"/>
            <w:hideMark/>
          </w:tcPr>
          <w:p w:rsidR="00943E45" w:rsidRPr="00AF0F26" w:rsidRDefault="00943E45" w:rsidP="00E56B71">
            <w:pPr>
              <w:pStyle w:val="ObjectAreaData"/>
            </w:pPr>
            <w:r w:rsidRPr="009C69D6">
              <w:rPr>
                <w:noProof/>
              </w:rPr>
              <w:t>13.3</w:t>
            </w:r>
            <w:r w:rsidRPr="00AF0F26">
              <w:t>%</w:t>
            </w:r>
          </w:p>
        </w:tc>
        <w:tc>
          <w:tcPr>
            <w:tcW w:w="1075" w:type="dxa"/>
            <w:tcBorders>
              <w:top w:val="nil"/>
              <w:left w:val="dotted" w:sz="4" w:space="0" w:color="009900"/>
              <w:bottom w:val="nil"/>
              <w:right w:val="single" w:sz="4" w:space="0" w:color="009900"/>
            </w:tcBorders>
            <w:shd w:val="clear" w:color="000000" w:fill="FFFFE1"/>
            <w:noWrap/>
            <w:vAlign w:val="center"/>
            <w:hideMark/>
          </w:tcPr>
          <w:p w:rsidR="00943E45" w:rsidRPr="00AF0F26" w:rsidRDefault="00943E45" w:rsidP="00E56B71">
            <w:pPr>
              <w:pStyle w:val="ObjectAreaData"/>
            </w:pPr>
            <w:r w:rsidRPr="009C69D6">
              <w:rPr>
                <w:noProof/>
              </w:rPr>
              <w:t>32.0</w:t>
            </w:r>
            <w:r w:rsidRPr="00AF0F26">
              <w:t>%</w:t>
            </w:r>
          </w:p>
        </w:tc>
      </w:tr>
      <w:tr w:rsidR="00943E45" w:rsidRPr="00AF0F26" w:rsidTr="00E56B71">
        <w:trPr>
          <w:trHeight w:val="216"/>
          <w:jc w:val="center"/>
        </w:trPr>
        <w:tc>
          <w:tcPr>
            <w:tcW w:w="1091" w:type="dxa"/>
            <w:tcBorders>
              <w:top w:val="nil"/>
              <w:left w:val="single" w:sz="4" w:space="0" w:color="009900"/>
              <w:bottom w:val="nil"/>
              <w:right w:val="nil"/>
            </w:tcBorders>
            <w:shd w:val="clear" w:color="000000" w:fill="FFFFE1"/>
            <w:noWrap/>
            <w:vAlign w:val="center"/>
            <w:hideMark/>
          </w:tcPr>
          <w:p w:rsidR="00943E45" w:rsidRPr="002E5098" w:rsidRDefault="00943E45" w:rsidP="00E56B71">
            <w:pPr>
              <w:pStyle w:val="ObjectAreaData"/>
              <w:jc w:val="left"/>
            </w:pPr>
            <w:r w:rsidRPr="002E5098">
              <w:t>85 or Older</w:t>
            </w:r>
          </w:p>
        </w:tc>
        <w:tc>
          <w:tcPr>
            <w:tcW w:w="1103" w:type="dxa"/>
            <w:tcBorders>
              <w:top w:val="nil"/>
              <w:left w:val="nil"/>
              <w:bottom w:val="double" w:sz="6" w:space="0" w:color="009900"/>
              <w:right w:val="nil"/>
            </w:tcBorders>
            <w:shd w:val="clear" w:color="000000" w:fill="FFFFE1"/>
            <w:noWrap/>
            <w:vAlign w:val="center"/>
            <w:hideMark/>
          </w:tcPr>
          <w:p w:rsidR="00943E45" w:rsidRPr="00AF0F26" w:rsidRDefault="00943E45" w:rsidP="00E56B71">
            <w:pPr>
              <w:pStyle w:val="ObjectAreaData"/>
            </w:pPr>
            <w:r w:rsidRPr="009C69D6">
              <w:rPr>
                <w:noProof/>
              </w:rPr>
              <w:t>23,306</w:t>
            </w:r>
          </w:p>
        </w:tc>
        <w:tc>
          <w:tcPr>
            <w:tcW w:w="1080" w:type="dxa"/>
            <w:tcBorders>
              <w:top w:val="nil"/>
              <w:left w:val="nil"/>
              <w:bottom w:val="double" w:sz="6" w:space="0" w:color="009900"/>
              <w:right w:val="nil"/>
            </w:tcBorders>
            <w:shd w:val="clear" w:color="000000" w:fill="FFFFE1"/>
            <w:noWrap/>
            <w:vAlign w:val="center"/>
            <w:hideMark/>
          </w:tcPr>
          <w:p w:rsidR="00943E45" w:rsidRPr="00AF0F26" w:rsidRDefault="00943E45" w:rsidP="00E56B71">
            <w:pPr>
              <w:pStyle w:val="ObjectAreaData"/>
            </w:pPr>
            <w:r w:rsidRPr="009C69D6">
              <w:rPr>
                <w:noProof/>
              </w:rPr>
              <w:t>11.0</w:t>
            </w:r>
            <w:r w:rsidRPr="00AF0F26">
              <w:t>%</w:t>
            </w:r>
          </w:p>
        </w:tc>
        <w:tc>
          <w:tcPr>
            <w:tcW w:w="1168" w:type="dxa"/>
            <w:tcBorders>
              <w:top w:val="nil"/>
              <w:left w:val="nil"/>
              <w:bottom w:val="double" w:sz="6" w:space="0" w:color="009900"/>
              <w:right w:val="nil"/>
            </w:tcBorders>
            <w:shd w:val="clear" w:color="000000" w:fill="FFFFE1"/>
            <w:noWrap/>
            <w:vAlign w:val="center"/>
            <w:hideMark/>
          </w:tcPr>
          <w:p w:rsidR="00943E45" w:rsidRPr="00AF0F26" w:rsidRDefault="00943E45" w:rsidP="00E56B71">
            <w:pPr>
              <w:pStyle w:val="ObjectAreaData"/>
            </w:pPr>
            <w:r w:rsidRPr="009C69D6">
              <w:rPr>
                <w:noProof/>
              </w:rPr>
              <w:t>31,993</w:t>
            </w:r>
          </w:p>
        </w:tc>
        <w:tc>
          <w:tcPr>
            <w:tcW w:w="1059" w:type="dxa"/>
            <w:tcBorders>
              <w:top w:val="nil"/>
              <w:left w:val="nil"/>
              <w:bottom w:val="double" w:sz="6" w:space="0" w:color="009900"/>
              <w:right w:val="nil"/>
            </w:tcBorders>
            <w:shd w:val="clear" w:color="000000" w:fill="FFFFE1"/>
            <w:noWrap/>
            <w:vAlign w:val="center"/>
            <w:hideMark/>
          </w:tcPr>
          <w:p w:rsidR="00943E45" w:rsidRPr="00AF0F26" w:rsidRDefault="00943E45" w:rsidP="00E56B71">
            <w:pPr>
              <w:pStyle w:val="ObjectAreaData"/>
            </w:pPr>
            <w:r w:rsidRPr="009C69D6">
              <w:rPr>
                <w:noProof/>
              </w:rPr>
              <w:t>11.8</w:t>
            </w:r>
            <w:r w:rsidRPr="00AF0F26">
              <w:t>%</w:t>
            </w:r>
          </w:p>
        </w:tc>
        <w:tc>
          <w:tcPr>
            <w:tcW w:w="1075" w:type="dxa"/>
            <w:tcBorders>
              <w:top w:val="nil"/>
              <w:left w:val="dotted" w:sz="4" w:space="0" w:color="009900"/>
              <w:bottom w:val="nil"/>
              <w:right w:val="single" w:sz="4" w:space="0" w:color="009900"/>
            </w:tcBorders>
            <w:shd w:val="clear" w:color="000000" w:fill="FFFFE1"/>
            <w:noWrap/>
            <w:vAlign w:val="center"/>
            <w:hideMark/>
          </w:tcPr>
          <w:p w:rsidR="00943E45" w:rsidRPr="00AF0F26" w:rsidRDefault="00943E45" w:rsidP="00E56B71">
            <w:pPr>
              <w:pStyle w:val="ObjectAreaData"/>
            </w:pPr>
            <w:r w:rsidRPr="009C69D6">
              <w:rPr>
                <w:noProof/>
              </w:rPr>
              <w:t>37.3</w:t>
            </w:r>
            <w:r w:rsidRPr="00AF0F26">
              <w:t>%</w:t>
            </w:r>
          </w:p>
        </w:tc>
      </w:tr>
      <w:tr w:rsidR="00943E45" w:rsidRPr="002E5098" w:rsidTr="00E56B71">
        <w:trPr>
          <w:trHeight w:val="216"/>
          <w:jc w:val="center"/>
        </w:trPr>
        <w:tc>
          <w:tcPr>
            <w:tcW w:w="1091" w:type="dxa"/>
            <w:tcBorders>
              <w:top w:val="double" w:sz="6" w:space="0" w:color="009900"/>
              <w:left w:val="single" w:sz="4" w:space="0" w:color="009900"/>
              <w:bottom w:val="single" w:sz="4" w:space="0" w:color="009900"/>
              <w:right w:val="nil"/>
            </w:tcBorders>
            <w:shd w:val="clear" w:color="000000" w:fill="FFFFE1"/>
            <w:noWrap/>
            <w:vAlign w:val="center"/>
            <w:hideMark/>
          </w:tcPr>
          <w:p w:rsidR="00943E45" w:rsidRPr="00DC30E3" w:rsidRDefault="00943E45" w:rsidP="00E56B71">
            <w:pPr>
              <w:pStyle w:val="ObjectAreaData"/>
              <w:rPr>
                <w:b/>
              </w:rPr>
            </w:pPr>
            <w:r w:rsidRPr="00DC30E3">
              <w:rPr>
                <w:b/>
              </w:rPr>
              <w:t>Total</w:t>
            </w:r>
          </w:p>
        </w:tc>
        <w:tc>
          <w:tcPr>
            <w:tcW w:w="1103" w:type="dxa"/>
            <w:tcBorders>
              <w:top w:val="nil"/>
              <w:left w:val="nil"/>
              <w:bottom w:val="single" w:sz="4" w:space="0" w:color="009900"/>
              <w:right w:val="nil"/>
            </w:tcBorders>
            <w:shd w:val="clear" w:color="000000" w:fill="FFFFE1"/>
            <w:noWrap/>
            <w:vAlign w:val="center"/>
            <w:hideMark/>
          </w:tcPr>
          <w:p w:rsidR="00943E45" w:rsidRPr="00DC30E3" w:rsidRDefault="00943E45" w:rsidP="00E56B71">
            <w:pPr>
              <w:pStyle w:val="ObjectAreaData"/>
              <w:rPr>
                <w:b/>
              </w:rPr>
            </w:pPr>
            <w:r w:rsidRPr="009C69D6">
              <w:rPr>
                <w:b/>
                <w:noProof/>
              </w:rPr>
              <w:t>212,225</w:t>
            </w:r>
          </w:p>
        </w:tc>
        <w:tc>
          <w:tcPr>
            <w:tcW w:w="1080" w:type="dxa"/>
            <w:tcBorders>
              <w:top w:val="nil"/>
              <w:left w:val="nil"/>
              <w:bottom w:val="single" w:sz="4" w:space="0" w:color="009900"/>
              <w:right w:val="nil"/>
            </w:tcBorders>
            <w:shd w:val="clear" w:color="000000" w:fill="FFFFE1"/>
            <w:noWrap/>
            <w:vAlign w:val="center"/>
            <w:hideMark/>
          </w:tcPr>
          <w:p w:rsidR="00943E45" w:rsidRPr="00DC30E3" w:rsidRDefault="00943E45" w:rsidP="00E56B71">
            <w:pPr>
              <w:pStyle w:val="ObjectAreaData"/>
              <w:rPr>
                <w:b/>
              </w:rPr>
            </w:pPr>
            <w:r w:rsidRPr="00DC30E3">
              <w:rPr>
                <w:b/>
              </w:rPr>
              <w:t>100.0%</w:t>
            </w:r>
          </w:p>
        </w:tc>
        <w:tc>
          <w:tcPr>
            <w:tcW w:w="1168" w:type="dxa"/>
            <w:tcBorders>
              <w:top w:val="nil"/>
              <w:left w:val="nil"/>
              <w:bottom w:val="single" w:sz="4" w:space="0" w:color="009900"/>
              <w:right w:val="nil"/>
            </w:tcBorders>
            <w:shd w:val="clear" w:color="000000" w:fill="FFFFE1"/>
            <w:noWrap/>
            <w:vAlign w:val="center"/>
            <w:hideMark/>
          </w:tcPr>
          <w:p w:rsidR="00943E45" w:rsidRPr="00DC30E3" w:rsidRDefault="00943E45" w:rsidP="00E56B71">
            <w:pPr>
              <w:pStyle w:val="ObjectAreaData"/>
              <w:rPr>
                <w:b/>
              </w:rPr>
            </w:pPr>
            <w:r w:rsidRPr="009C69D6">
              <w:rPr>
                <w:b/>
                <w:noProof/>
              </w:rPr>
              <w:t>272,255</w:t>
            </w:r>
          </w:p>
        </w:tc>
        <w:tc>
          <w:tcPr>
            <w:tcW w:w="1059" w:type="dxa"/>
            <w:tcBorders>
              <w:top w:val="nil"/>
              <w:left w:val="nil"/>
              <w:bottom w:val="single" w:sz="4" w:space="0" w:color="009900"/>
              <w:right w:val="nil"/>
            </w:tcBorders>
            <w:shd w:val="clear" w:color="000000" w:fill="FFFFE1"/>
            <w:noWrap/>
            <w:vAlign w:val="center"/>
            <w:hideMark/>
          </w:tcPr>
          <w:p w:rsidR="00943E45" w:rsidRPr="00DC30E3" w:rsidRDefault="00943E45" w:rsidP="00E56B71">
            <w:pPr>
              <w:pStyle w:val="ObjectAreaData"/>
              <w:rPr>
                <w:b/>
              </w:rPr>
            </w:pPr>
            <w:r w:rsidRPr="00DC30E3">
              <w:rPr>
                <w:b/>
              </w:rPr>
              <w:t>100.0%</w:t>
            </w:r>
          </w:p>
        </w:tc>
        <w:tc>
          <w:tcPr>
            <w:tcW w:w="1075" w:type="dxa"/>
            <w:tcBorders>
              <w:top w:val="double" w:sz="6" w:space="0" w:color="009900"/>
              <w:left w:val="dotted" w:sz="4" w:space="0" w:color="009900"/>
              <w:bottom w:val="single" w:sz="4" w:space="0" w:color="009900"/>
              <w:right w:val="single" w:sz="4" w:space="0" w:color="009900"/>
            </w:tcBorders>
            <w:shd w:val="clear" w:color="000000" w:fill="FFFFE1"/>
            <w:noWrap/>
            <w:vAlign w:val="center"/>
            <w:hideMark/>
          </w:tcPr>
          <w:p w:rsidR="00943E45" w:rsidRPr="00DC30E3" w:rsidRDefault="00943E45" w:rsidP="00E56B71">
            <w:pPr>
              <w:pStyle w:val="ObjectAreaData"/>
              <w:rPr>
                <w:b/>
              </w:rPr>
            </w:pPr>
            <w:r w:rsidRPr="009C69D6">
              <w:rPr>
                <w:b/>
                <w:noProof/>
              </w:rPr>
              <w:t>28.3</w:t>
            </w:r>
            <w:r w:rsidRPr="00DC30E3">
              <w:rPr>
                <w:b/>
              </w:rPr>
              <w:t>%</w:t>
            </w:r>
          </w:p>
        </w:tc>
      </w:tr>
    </w:tbl>
    <w:p w:rsidR="007F6B6C" w:rsidRPr="00DE3F87" w:rsidRDefault="007F6B6C" w:rsidP="00943E45">
      <w:pPr>
        <w:jc w:val="both"/>
        <w:rPr>
          <w:rFonts w:ascii="CG Omega" w:hAnsi="CG Omega" w:cs="Arial"/>
          <w:b/>
          <w:snapToGrid w:val="0"/>
          <w:highlight w:val="yellow"/>
        </w:rPr>
      </w:pPr>
    </w:p>
    <w:p w:rsidR="00943E45" w:rsidRPr="00FB7CC6" w:rsidRDefault="00943E45" w:rsidP="00943E45">
      <w:pPr>
        <w:jc w:val="both"/>
        <w:rPr>
          <w:rFonts w:ascii="CG Omega" w:hAnsi="CG Omega" w:cs="Arial"/>
          <w:b/>
          <w:snapToGrid w:val="0"/>
        </w:rPr>
      </w:pPr>
      <w:r w:rsidRPr="00FB7CC6">
        <w:rPr>
          <w:rFonts w:ascii="CG Omega" w:hAnsi="CG Omega" w:cs="Arial"/>
          <w:b/>
          <w:snapToGrid w:val="0"/>
        </w:rPr>
        <w:t>Services and Housing Currently Provided</w:t>
      </w:r>
    </w:p>
    <w:p w:rsidR="00943E45" w:rsidRPr="00DE3F87" w:rsidRDefault="00943E45" w:rsidP="00943E45">
      <w:pPr>
        <w:jc w:val="both"/>
        <w:rPr>
          <w:rFonts w:ascii="CG Omega" w:hAnsi="CG Omega" w:cs="Arial"/>
          <w:b/>
          <w:snapToGrid w:val="0"/>
        </w:rPr>
      </w:pPr>
    </w:p>
    <w:p w:rsidR="00943E45" w:rsidRPr="00FB7CC6" w:rsidRDefault="00943E45" w:rsidP="00943E45">
      <w:pPr>
        <w:jc w:val="both"/>
        <w:rPr>
          <w:rFonts w:ascii="CG Omega" w:hAnsi="CG Omega" w:cs="Arial"/>
          <w:snapToGrid w:val="0"/>
        </w:rPr>
      </w:pPr>
      <w:r w:rsidRPr="00FB7CC6">
        <w:rPr>
          <w:rFonts w:ascii="CG Omega" w:hAnsi="CG Omega" w:cs="Arial"/>
          <w:snapToGrid w:val="0"/>
        </w:rPr>
        <w:t>The Older Americans Act of 1965 has been the main instrument for delivering social services to senior citizens in the U.S.  This Act established the federal Administration on Aging (AoA) and related state agencies to specifically address the many needs of the elderly U</w:t>
      </w:r>
      <w:r w:rsidR="00DE3F87">
        <w:rPr>
          <w:rFonts w:ascii="CG Omega" w:hAnsi="CG Omega" w:cs="Arial"/>
          <w:snapToGrid w:val="0"/>
        </w:rPr>
        <w:t xml:space="preserve">nited </w:t>
      </w:r>
      <w:r w:rsidRPr="00FB7CC6">
        <w:rPr>
          <w:rFonts w:ascii="CG Omega" w:hAnsi="CG Omega" w:cs="Arial"/>
          <w:snapToGrid w:val="0"/>
        </w:rPr>
        <w:t>S</w:t>
      </w:r>
      <w:r w:rsidR="00DE3F87">
        <w:rPr>
          <w:rFonts w:ascii="CG Omega" w:hAnsi="CG Omega" w:cs="Arial"/>
          <w:snapToGrid w:val="0"/>
        </w:rPr>
        <w:t>tates</w:t>
      </w:r>
      <w:r w:rsidRPr="00FB7CC6">
        <w:rPr>
          <w:rFonts w:ascii="CG Omega" w:hAnsi="CG Omega" w:cs="Arial"/>
          <w:snapToGrid w:val="0"/>
        </w:rPr>
        <w:t xml:space="preserve"> population.  Despite limited resources and funding, the mission of the Older Americans Act is broad: “to help older people maintain maximum independence in their homes and communities and to promote a continuum of care for the vulnerable elderly.“</w:t>
      </w:r>
      <w:r w:rsidRPr="00FB7CC6">
        <w:rPr>
          <w:rStyle w:val="FootnoteReference"/>
          <w:rFonts w:ascii="CG Omega" w:hAnsi="CG Omega" w:cs="Arial"/>
          <w:snapToGrid w:val="0"/>
        </w:rPr>
        <w:footnoteReference w:id="58"/>
      </w:r>
      <w:r>
        <w:rPr>
          <w:rFonts w:ascii="CG Omega" w:hAnsi="CG Omega" w:cs="Arial"/>
          <w:snapToGrid w:val="0"/>
        </w:rPr>
        <w:t xml:space="preserve"> The AoA encompasses a variety of services aimed at the elderly population, such as supportive services, nutrition services, family caregiver support, and disease prevention and health promotion.</w:t>
      </w:r>
    </w:p>
    <w:p w:rsidR="00943E45" w:rsidRPr="00DE3F87" w:rsidRDefault="00943E45" w:rsidP="00943E45">
      <w:pPr>
        <w:jc w:val="both"/>
        <w:rPr>
          <w:rFonts w:ascii="CG Omega" w:hAnsi="CG Omega" w:cs="Arial"/>
          <w:snapToGrid w:val="0"/>
          <w:highlight w:val="yellow"/>
        </w:rPr>
      </w:pPr>
    </w:p>
    <w:p w:rsidR="00943E45" w:rsidRPr="005C446B" w:rsidRDefault="00943E45" w:rsidP="00943E45">
      <w:pPr>
        <w:jc w:val="both"/>
        <w:rPr>
          <w:rFonts w:ascii="CG Omega" w:hAnsi="CG Omega" w:cs="Arial"/>
          <w:snapToGrid w:val="0"/>
        </w:rPr>
      </w:pPr>
      <w:r w:rsidRPr="00FB7CC6">
        <w:rPr>
          <w:rFonts w:ascii="CG Omega" w:hAnsi="CG Omega" w:cs="Arial"/>
          <w:snapToGrid w:val="0"/>
        </w:rPr>
        <w:t>In New Mexico, support for the elderly population is provided by the New Mexico Aging and Long-Term Services Department. The role of this organization is to promote independence and dignity for elderly persons and individuals living with a disability in New Mexico. The</w:t>
      </w:r>
      <w:r w:rsidRPr="00BB7D8C">
        <w:rPr>
          <w:rFonts w:ascii="CG Omega" w:hAnsi="CG Omega" w:cs="Arial"/>
          <w:snapToGrid w:val="0"/>
        </w:rPr>
        <w:t xml:space="preserve"> Department’s 2013-2017 New Mexico State Plan for Aging and Long-Term Services outlines</w:t>
      </w:r>
      <w:r>
        <w:rPr>
          <w:rFonts w:ascii="CG Omega" w:hAnsi="CG Omega" w:cs="Arial"/>
          <w:snapToGrid w:val="0"/>
        </w:rPr>
        <w:t xml:space="preserve"> various goals for the department over those five years.  The Plan includes goals for supportive services, nutrition, health promotion, caregiver support, elders’ rights, along with other goals and </w:t>
      </w:r>
      <w:r w:rsidRPr="005C446B">
        <w:rPr>
          <w:rFonts w:ascii="CG Omega" w:hAnsi="CG Omega" w:cs="Arial"/>
          <w:snapToGrid w:val="0"/>
        </w:rPr>
        <w:t>objectives.</w:t>
      </w:r>
      <w:r w:rsidRPr="005C446B">
        <w:rPr>
          <w:rStyle w:val="FootnoteReference"/>
          <w:rFonts w:ascii="CG Omega" w:hAnsi="CG Omega" w:cs="Arial"/>
          <w:snapToGrid w:val="0"/>
        </w:rPr>
        <w:footnoteReference w:id="59"/>
      </w:r>
      <w:r w:rsidRPr="005C446B">
        <w:rPr>
          <w:rFonts w:ascii="CG Omega" w:hAnsi="CG Omega" w:cs="Arial"/>
          <w:snapToGrid w:val="0"/>
        </w:rPr>
        <w:t xml:space="preserve">  The f</w:t>
      </w:r>
      <w:r>
        <w:rPr>
          <w:rFonts w:ascii="CG Omega" w:hAnsi="CG Omega" w:cs="Arial"/>
          <w:snapToGrid w:val="0"/>
        </w:rPr>
        <w:t>our</w:t>
      </w:r>
      <w:r w:rsidRPr="005C446B">
        <w:rPr>
          <w:rFonts w:ascii="CG Omega" w:hAnsi="CG Omega" w:cs="Arial"/>
          <w:snapToGrid w:val="0"/>
        </w:rPr>
        <w:t xml:space="preserve"> divisions of this agency serve to address the varied needs of older persons in the state and are described as follows:</w:t>
      </w:r>
    </w:p>
    <w:p w:rsidR="00943E45" w:rsidRPr="00DE3F87" w:rsidRDefault="00943E45" w:rsidP="00943E45">
      <w:pPr>
        <w:jc w:val="both"/>
        <w:rPr>
          <w:rFonts w:ascii="CG Omega" w:hAnsi="CG Omega" w:cs="Arial"/>
          <w:snapToGrid w:val="0"/>
        </w:rPr>
      </w:pPr>
    </w:p>
    <w:p w:rsidR="00943E45" w:rsidRPr="00746495" w:rsidRDefault="00943E45" w:rsidP="0049477B">
      <w:pPr>
        <w:pStyle w:val="ListParagraph"/>
        <w:widowControl/>
        <w:numPr>
          <w:ilvl w:val="0"/>
          <w:numId w:val="36"/>
        </w:numPr>
        <w:autoSpaceDE/>
        <w:autoSpaceDN/>
        <w:adjustRightInd/>
        <w:contextualSpacing/>
        <w:jc w:val="both"/>
        <w:rPr>
          <w:rFonts w:ascii="CG Omega" w:hAnsi="CG Omega" w:cs="Arial"/>
          <w:snapToGrid w:val="0"/>
          <w:sz w:val="24"/>
        </w:rPr>
      </w:pPr>
      <w:r w:rsidRPr="00746495">
        <w:rPr>
          <w:rFonts w:ascii="CG Omega" w:hAnsi="CG Omega" w:cs="Arial"/>
          <w:snapToGrid w:val="0"/>
          <w:sz w:val="24"/>
        </w:rPr>
        <w:t>Consumer and Elder Rights Division – includes the Aging &amp; Disability Resource Center, the State Health Insurance Program (SHIP), the Senior Medicare Patrol (SMP), the NM Bill Pay Program, and a Prescri</w:t>
      </w:r>
      <w:r w:rsidR="00C419B6">
        <w:rPr>
          <w:rFonts w:ascii="CG Omega" w:hAnsi="CG Omega" w:cs="Arial"/>
          <w:snapToGrid w:val="0"/>
          <w:sz w:val="24"/>
        </w:rPr>
        <w:t xml:space="preserve">ption Drug Assistance Program. </w:t>
      </w:r>
    </w:p>
    <w:p w:rsidR="00943E45" w:rsidRPr="00C74C38" w:rsidRDefault="00943E45" w:rsidP="0049477B">
      <w:pPr>
        <w:numPr>
          <w:ilvl w:val="0"/>
          <w:numId w:val="36"/>
        </w:numPr>
        <w:jc w:val="both"/>
        <w:rPr>
          <w:rFonts w:ascii="CG Omega" w:hAnsi="CG Omega" w:cs="Arial"/>
          <w:snapToGrid w:val="0"/>
        </w:rPr>
      </w:pPr>
      <w:r w:rsidRPr="00C74C38">
        <w:rPr>
          <w:rFonts w:ascii="CG Omega" w:hAnsi="CG Omega" w:cs="Arial"/>
          <w:snapToGrid w:val="0"/>
        </w:rPr>
        <w:t xml:space="preserve">Aging Network Division – includes the Employment Programs Bureau that manages two older worker programs and 50+ Employment Connection, along with the Indian Area Agency on Aging, the Capital Projects Bureau, </w:t>
      </w:r>
      <w:r w:rsidR="005C426A">
        <w:rPr>
          <w:rFonts w:ascii="CG Omega" w:hAnsi="CG Omega" w:cs="Arial"/>
          <w:snapToGrid w:val="0"/>
        </w:rPr>
        <w:t>the NM Conference on Aging, HIV/</w:t>
      </w:r>
      <w:r w:rsidRPr="00C74C38">
        <w:rPr>
          <w:rFonts w:ascii="CG Omega" w:hAnsi="CG Omega" w:cs="Arial"/>
          <w:snapToGrid w:val="0"/>
        </w:rPr>
        <w:t>AIDS Advocacy and the Senior Services Bureau which provides technical and programmatic support for all Older American Act programs</w:t>
      </w:r>
      <w:r w:rsidR="001446DC">
        <w:rPr>
          <w:rFonts w:ascii="CG Omega" w:hAnsi="CG Omega" w:cs="Arial"/>
          <w:snapToGrid w:val="0"/>
        </w:rPr>
        <w:t>,</w:t>
      </w:r>
      <w:r w:rsidRPr="00C74C38">
        <w:rPr>
          <w:rFonts w:ascii="CG Omega" w:hAnsi="CG Omega" w:cs="Arial"/>
          <w:snapToGrid w:val="0"/>
        </w:rPr>
        <w:t xml:space="preserve"> along with Golden Opportunities for Lifelong Development; also offers the Senior Services Bureau that </w:t>
      </w:r>
      <w:r w:rsidR="00DE3F87">
        <w:rPr>
          <w:rFonts w:ascii="CG Omega" w:hAnsi="CG Omega" w:cs="Arial"/>
          <w:snapToGrid w:val="0"/>
        </w:rPr>
        <w:t>provides TA</w:t>
      </w:r>
      <w:r w:rsidRPr="00C74C38">
        <w:rPr>
          <w:rFonts w:ascii="CG Omega" w:hAnsi="CG Omega" w:cs="Arial"/>
          <w:snapToGrid w:val="0"/>
        </w:rPr>
        <w:t xml:space="preserve"> for Older Americans Act programs, Areas Agencies on Aging and volunteer programs.</w:t>
      </w:r>
    </w:p>
    <w:p w:rsidR="00943E45" w:rsidRPr="00C74C38" w:rsidRDefault="00943E45" w:rsidP="0049477B">
      <w:pPr>
        <w:numPr>
          <w:ilvl w:val="0"/>
          <w:numId w:val="36"/>
        </w:numPr>
        <w:jc w:val="both"/>
        <w:rPr>
          <w:rFonts w:ascii="CG Omega" w:hAnsi="CG Omega" w:cs="Arial"/>
          <w:snapToGrid w:val="0"/>
        </w:rPr>
      </w:pPr>
      <w:r w:rsidRPr="00C74C38">
        <w:rPr>
          <w:rFonts w:ascii="CG Omega" w:hAnsi="CG Omega" w:cs="Arial"/>
          <w:snapToGrid w:val="0"/>
        </w:rPr>
        <w:t xml:space="preserve">Adult Protective Services Division – provides protective services to abused, neglected or exploited elderly persons with access to short-term services, including emergency protective placement, homecare, adult day </w:t>
      </w:r>
      <w:r>
        <w:rPr>
          <w:rFonts w:ascii="CG Omega" w:hAnsi="CG Omega" w:cs="Arial"/>
          <w:snapToGrid w:val="0"/>
        </w:rPr>
        <w:t>car</w:t>
      </w:r>
      <w:r w:rsidRPr="00C74C38">
        <w:rPr>
          <w:rFonts w:ascii="CG Omega" w:hAnsi="CG Omega" w:cs="Arial"/>
          <w:snapToGrid w:val="0"/>
        </w:rPr>
        <w:t>e, and attendant care.  APS remains on call for emergencies 24 hours a day, 7 days a week.</w:t>
      </w:r>
    </w:p>
    <w:p w:rsidR="00943E45" w:rsidRPr="00C74C38" w:rsidRDefault="00943E45" w:rsidP="0049477B">
      <w:pPr>
        <w:numPr>
          <w:ilvl w:val="0"/>
          <w:numId w:val="36"/>
        </w:numPr>
        <w:jc w:val="both"/>
        <w:rPr>
          <w:rFonts w:ascii="CG Omega" w:hAnsi="CG Omega" w:cs="Arial"/>
          <w:snapToGrid w:val="0"/>
        </w:rPr>
      </w:pPr>
      <w:r w:rsidRPr="00C74C38">
        <w:rPr>
          <w:rFonts w:ascii="CG Omega" w:hAnsi="CG Omega" w:cs="Arial"/>
          <w:snapToGrid w:val="0"/>
        </w:rPr>
        <w:t xml:space="preserve">Administrative Services Division – </w:t>
      </w:r>
      <w:r>
        <w:rPr>
          <w:rFonts w:ascii="CG Omega" w:hAnsi="CG Omega" w:cs="Arial"/>
          <w:snapToGrid w:val="0"/>
        </w:rPr>
        <w:t>includes human resources</w:t>
      </w:r>
      <w:r w:rsidR="00A971CC">
        <w:rPr>
          <w:rFonts w:ascii="CG Omega" w:hAnsi="CG Omega" w:cs="Arial"/>
          <w:snapToGrid w:val="0"/>
        </w:rPr>
        <w:t>,</w:t>
      </w:r>
      <w:r>
        <w:rPr>
          <w:rFonts w:ascii="CG Omega" w:hAnsi="CG Omega" w:cs="Arial"/>
          <w:snapToGrid w:val="0"/>
        </w:rPr>
        <w:t xml:space="preserve"> financial management, budgeting, procurement, contracting, and administrative support for the department</w:t>
      </w:r>
      <w:r w:rsidRPr="00C74C38">
        <w:rPr>
          <w:rFonts w:ascii="CG Omega" w:hAnsi="CG Omega" w:cs="Arial"/>
          <w:snapToGrid w:val="0"/>
        </w:rPr>
        <w:t>.</w:t>
      </w:r>
    </w:p>
    <w:p w:rsidR="007F6B6C" w:rsidRPr="00DE3F87" w:rsidRDefault="007F6B6C" w:rsidP="00943E45">
      <w:pPr>
        <w:jc w:val="both"/>
        <w:rPr>
          <w:rFonts w:ascii="CG Omega" w:hAnsi="CG Omega" w:cs="Arial"/>
          <w:snapToGrid w:val="0"/>
        </w:rPr>
      </w:pPr>
    </w:p>
    <w:p w:rsidR="00943E45" w:rsidRPr="00DE3F87" w:rsidRDefault="00943E45" w:rsidP="00943E45">
      <w:pPr>
        <w:jc w:val="both"/>
        <w:rPr>
          <w:rFonts w:ascii="CG Omega" w:hAnsi="CG Omega" w:cs="Arial"/>
          <w:b/>
          <w:snapToGrid w:val="0"/>
        </w:rPr>
      </w:pPr>
      <w:r w:rsidRPr="00DE3F87">
        <w:rPr>
          <w:rFonts w:ascii="CG Omega" w:hAnsi="CG Omega" w:cs="Arial"/>
          <w:b/>
          <w:snapToGrid w:val="0"/>
        </w:rPr>
        <w:t>Services and Housing Needed</w:t>
      </w:r>
    </w:p>
    <w:p w:rsidR="00943E45" w:rsidRPr="00DE3F87" w:rsidRDefault="00943E45" w:rsidP="00943E45">
      <w:pPr>
        <w:jc w:val="both"/>
        <w:rPr>
          <w:rFonts w:ascii="CG Omega" w:hAnsi="CG Omega" w:cs="Arial"/>
          <w:b/>
          <w:snapToGrid w:val="0"/>
          <w:highlight w:val="yellow"/>
        </w:rPr>
      </w:pPr>
    </w:p>
    <w:bookmarkEnd w:id="114"/>
    <w:p w:rsidR="00943E45" w:rsidRPr="00955C8C" w:rsidRDefault="00943E45" w:rsidP="00943E45">
      <w:pPr>
        <w:jc w:val="both"/>
        <w:rPr>
          <w:rFonts w:ascii="CG Omega" w:hAnsi="CG Omega" w:cs="Arial"/>
          <w:snapToGrid w:val="0"/>
          <w:highlight w:val="yellow"/>
        </w:rPr>
      </w:pPr>
      <w:r>
        <w:rPr>
          <w:rFonts w:ascii="CG Omega" w:hAnsi="CG Omega" w:cs="Arial"/>
          <w:snapToGrid w:val="0"/>
        </w:rPr>
        <w:t xml:space="preserve">While there are a number of different housing and service programs that aid the elderly population in New Mexico, the general population is continuing to age and live longer, which will require additional services and resources to meet the ever growing needs of the elderly. </w:t>
      </w:r>
      <w:r w:rsidRPr="001C2634">
        <w:rPr>
          <w:rFonts w:ascii="CG Omega" w:hAnsi="CG Omega" w:cs="Arial"/>
          <w:snapToGrid w:val="0"/>
        </w:rPr>
        <w:t xml:space="preserve">According to the New Mexico Aging and Long-Term Services Department, </w:t>
      </w:r>
      <w:r>
        <w:rPr>
          <w:rFonts w:ascii="CG Omega" w:hAnsi="CG Omega" w:cs="Arial"/>
          <w:snapToGrid w:val="0"/>
        </w:rPr>
        <w:t>by 2030 the New Mexico elderly population is expected to reach 682,036, or 32.5 percent of the total population of the state</w:t>
      </w:r>
      <w:r w:rsidRPr="001C2634">
        <w:rPr>
          <w:rFonts w:ascii="CG Omega" w:hAnsi="CG Omega" w:cs="Arial"/>
          <w:snapToGrid w:val="0"/>
        </w:rPr>
        <w:t xml:space="preserve">. </w:t>
      </w:r>
      <w:r>
        <w:rPr>
          <w:rFonts w:ascii="CG Omega" w:hAnsi="CG Omega" w:cs="Arial"/>
          <w:snapToGrid w:val="0"/>
        </w:rPr>
        <w:t>This increase in the elderly population will require an expansion of services to meet the needs of this growing population.</w:t>
      </w:r>
      <w:r w:rsidRPr="00955C8C">
        <w:rPr>
          <w:rFonts w:ascii="CG Omega" w:hAnsi="CG Omega" w:cs="Arial"/>
          <w:snapToGrid w:val="0"/>
          <w:highlight w:val="yellow"/>
        </w:rPr>
        <w:t xml:space="preserve">  </w:t>
      </w:r>
    </w:p>
    <w:p w:rsidR="00943E45" w:rsidRPr="007F6B6C" w:rsidRDefault="00943E45" w:rsidP="00943E45">
      <w:pPr>
        <w:jc w:val="both"/>
        <w:rPr>
          <w:rFonts w:ascii="CG Omega" w:hAnsi="CG Omega" w:cs="Arial"/>
          <w:snapToGrid w:val="0"/>
          <w:sz w:val="16"/>
          <w:szCs w:val="16"/>
          <w:highlight w:val="yellow"/>
        </w:rPr>
      </w:pPr>
    </w:p>
    <w:p w:rsidR="00943E45" w:rsidRDefault="00943E45" w:rsidP="00943E45">
      <w:pPr>
        <w:jc w:val="both"/>
        <w:rPr>
          <w:rFonts w:ascii="CG Omega" w:hAnsi="CG Omega" w:cs="Arial"/>
          <w:snapToGrid w:val="0"/>
        </w:rPr>
      </w:pPr>
      <w:r w:rsidRPr="00463277">
        <w:rPr>
          <w:rFonts w:ascii="CG Omega" w:hAnsi="CG Omega" w:cs="Arial"/>
          <w:snapToGrid w:val="0"/>
        </w:rPr>
        <w:t>A</w:t>
      </w:r>
      <w:r>
        <w:rPr>
          <w:rFonts w:ascii="CG Omega" w:hAnsi="CG Omega" w:cs="Arial"/>
          <w:snapToGrid w:val="0"/>
        </w:rPr>
        <w:t>ccording to the Center for Housing Policy, housing will be a priority need for the elderly population. A growing number of older households will face severe housing costs burdens, and many will require assisted or long-term care housing and services.</w:t>
      </w:r>
      <w:r>
        <w:rPr>
          <w:rStyle w:val="FootnoteReference"/>
          <w:rFonts w:ascii="CG Omega" w:hAnsi="CG Omega" w:cs="Arial"/>
          <w:snapToGrid w:val="0"/>
        </w:rPr>
        <w:footnoteReference w:id="60"/>
      </w:r>
      <w:r>
        <w:rPr>
          <w:rFonts w:ascii="CG Omega" w:hAnsi="CG Omega" w:cs="Arial"/>
          <w:snapToGrid w:val="0"/>
        </w:rPr>
        <w:t xml:space="preserve"> In addition, as the Baby Boomer generation continues to grow, many will prefer to remain independent, requiring in-home services and adaptions to existing homes. Thus, there is a greater focus on in-home care and expanded home health services to meet the needs of a more independent elderly population. Because most elderly persons are on a fixed income, these increasing costs may fall on publically funded programs in the state.</w:t>
      </w:r>
    </w:p>
    <w:p w:rsidR="00A42672" w:rsidRPr="007F6B6C" w:rsidRDefault="00A42672" w:rsidP="00943E45">
      <w:pPr>
        <w:jc w:val="both"/>
        <w:rPr>
          <w:rFonts w:ascii="CG Omega" w:hAnsi="CG Omega" w:cs="Arial"/>
          <w:snapToGrid w:val="0"/>
          <w:sz w:val="16"/>
          <w:szCs w:val="16"/>
        </w:rPr>
      </w:pPr>
    </w:p>
    <w:p w:rsidR="00A42672" w:rsidRDefault="00A42672" w:rsidP="00943E45">
      <w:pPr>
        <w:jc w:val="both"/>
        <w:rPr>
          <w:rFonts w:ascii="CG Omega" w:hAnsi="CG Omega" w:cs="Arial"/>
          <w:snapToGrid w:val="0"/>
        </w:rPr>
      </w:pPr>
      <w:r w:rsidRPr="00DE3F87">
        <w:rPr>
          <w:rFonts w:ascii="CG Omega" w:hAnsi="CG Omega" w:cs="Arial"/>
          <w:b/>
          <w:snapToGrid w:val="0"/>
        </w:rPr>
        <w:t>Table V. 2</w:t>
      </w:r>
      <w:r w:rsidR="000155B6" w:rsidRPr="00DE3F87">
        <w:rPr>
          <w:rFonts w:ascii="CG Omega" w:hAnsi="CG Omega" w:cs="Arial"/>
          <w:b/>
          <w:snapToGrid w:val="0"/>
        </w:rPr>
        <w:t>0</w:t>
      </w:r>
      <w:r>
        <w:rPr>
          <w:rFonts w:ascii="CG Omega" w:hAnsi="CG Omega" w:cs="Arial"/>
          <w:snapToGrid w:val="0"/>
        </w:rPr>
        <w:t xml:space="preserve"> shows the number of elderly households with housing problems, broken down by income. While the total rate of housing problems for the elderly is less than the rate for non-elderly, the rate for housing problems for elderly and extra-elderly households with incomes at or below 30 percent MFI is over 60 percent.</w:t>
      </w:r>
    </w:p>
    <w:p w:rsidR="007F6B6C" w:rsidRPr="00FF6A8B" w:rsidRDefault="007F6B6C" w:rsidP="00FF6A8B">
      <w:pPr>
        <w:rPr>
          <w:rFonts w:ascii="CG Omega" w:hAnsi="CG Omega" w:cs="Arial"/>
          <w:snapToGrid w:val="0"/>
        </w:rPr>
      </w:pPr>
    </w:p>
    <w:tbl>
      <w:tblPr>
        <w:tblW w:w="6982" w:type="dxa"/>
        <w:jc w:val="center"/>
        <w:tblLook w:val="04A0" w:firstRow="1" w:lastRow="0" w:firstColumn="1" w:lastColumn="0" w:noHBand="0" w:noVBand="1"/>
      </w:tblPr>
      <w:tblGrid>
        <w:gridCol w:w="2182"/>
        <w:gridCol w:w="1200"/>
        <w:gridCol w:w="1200"/>
        <w:gridCol w:w="1200"/>
        <w:gridCol w:w="1200"/>
      </w:tblGrid>
      <w:tr w:rsidR="00A42672" w:rsidRPr="0056256A" w:rsidTr="007F51C1">
        <w:trPr>
          <w:trHeight w:val="220"/>
          <w:jc w:val="center"/>
        </w:trPr>
        <w:tc>
          <w:tcPr>
            <w:tcW w:w="6982" w:type="dxa"/>
            <w:gridSpan w:val="5"/>
            <w:shd w:val="clear" w:color="000000" w:fill="FFFFFF" w:themeFill="background1"/>
            <w:noWrap/>
            <w:vAlign w:val="center"/>
            <w:hideMark/>
          </w:tcPr>
          <w:p w:rsidR="00A42672" w:rsidRPr="0056256A" w:rsidRDefault="00A42672" w:rsidP="007F51C1">
            <w:pPr>
              <w:jc w:val="center"/>
              <w:rPr>
                <w:rFonts w:ascii="Arial" w:hAnsi="Arial" w:cs="Arial"/>
                <w:b/>
                <w:bCs/>
              </w:rPr>
            </w:pPr>
            <w:r w:rsidRPr="0056256A">
              <w:rPr>
                <w:rFonts w:ascii="Arial" w:hAnsi="Arial" w:cs="Arial"/>
                <w:b/>
                <w:bCs/>
              </w:rPr>
              <w:t>Table</w:t>
            </w:r>
            <w:r>
              <w:rPr>
                <w:rFonts w:ascii="Arial" w:hAnsi="Arial" w:cs="Arial"/>
                <w:b/>
                <w:bCs/>
              </w:rPr>
              <w:t xml:space="preserve"> V.2</w:t>
            </w:r>
            <w:r w:rsidR="000155B6">
              <w:rPr>
                <w:rFonts w:ascii="Arial" w:hAnsi="Arial" w:cs="Arial"/>
                <w:b/>
                <w:bCs/>
              </w:rPr>
              <w:t>0</w:t>
            </w:r>
          </w:p>
          <w:p w:rsidR="00A42672" w:rsidRPr="0056256A" w:rsidRDefault="00A42672" w:rsidP="007F51C1">
            <w:pPr>
              <w:jc w:val="center"/>
              <w:rPr>
                <w:rFonts w:ascii="Arial" w:hAnsi="Arial" w:cs="Arial"/>
                <w:b/>
                <w:bCs/>
                <w:sz w:val="20"/>
                <w:szCs w:val="20"/>
              </w:rPr>
            </w:pPr>
            <w:r w:rsidRPr="0056256A">
              <w:rPr>
                <w:rFonts w:ascii="Arial" w:hAnsi="Arial" w:cs="Arial"/>
                <w:b/>
                <w:bCs/>
                <w:sz w:val="20"/>
                <w:szCs w:val="20"/>
              </w:rPr>
              <w:t>Households with Housing Problems by Income and Elderly Status</w:t>
            </w:r>
          </w:p>
          <w:p w:rsidR="00A42672" w:rsidRPr="0056256A" w:rsidRDefault="00A42672" w:rsidP="007F51C1">
            <w:pPr>
              <w:jc w:val="center"/>
              <w:rPr>
                <w:rFonts w:ascii="Arial" w:hAnsi="Arial" w:cs="Arial"/>
                <w:sz w:val="16"/>
                <w:szCs w:val="16"/>
              </w:rPr>
            </w:pPr>
            <w:r w:rsidRPr="0056256A">
              <w:rPr>
                <w:rFonts w:ascii="Arial" w:hAnsi="Arial" w:cs="Arial"/>
                <w:sz w:val="16"/>
                <w:szCs w:val="16"/>
              </w:rPr>
              <w:t>State of New Mexico</w:t>
            </w:r>
          </w:p>
          <w:p w:rsidR="00A42672" w:rsidRPr="0056256A" w:rsidRDefault="00A42672" w:rsidP="007F51C1">
            <w:pPr>
              <w:jc w:val="center"/>
              <w:rPr>
                <w:rFonts w:ascii="Arial" w:hAnsi="Arial" w:cs="Arial"/>
                <w:b/>
                <w:bCs/>
              </w:rPr>
            </w:pPr>
            <w:r w:rsidRPr="0056256A">
              <w:rPr>
                <w:rFonts w:ascii="Arial" w:hAnsi="Arial" w:cs="Arial"/>
                <w:sz w:val="16"/>
                <w:szCs w:val="16"/>
              </w:rPr>
              <w:t>2006–2010 HUD CHAS Data</w:t>
            </w:r>
          </w:p>
        </w:tc>
      </w:tr>
      <w:tr w:rsidR="00A42672" w:rsidRPr="0056256A" w:rsidTr="007F51C1">
        <w:trPr>
          <w:trHeight w:val="220"/>
          <w:jc w:val="center"/>
        </w:trPr>
        <w:tc>
          <w:tcPr>
            <w:tcW w:w="2182" w:type="dxa"/>
            <w:tcBorders>
              <w:top w:val="single" w:sz="4" w:space="0" w:color="009900"/>
              <w:left w:val="single" w:sz="4" w:space="0" w:color="009900"/>
              <w:bottom w:val="single" w:sz="4" w:space="0" w:color="009900"/>
              <w:right w:val="nil"/>
            </w:tcBorders>
            <w:shd w:val="clear" w:color="000000" w:fill="FFFFE1"/>
            <w:vAlign w:val="center"/>
            <w:hideMark/>
          </w:tcPr>
          <w:p w:rsidR="00A42672" w:rsidRPr="0056256A" w:rsidRDefault="00A42672" w:rsidP="007F51C1">
            <w:pPr>
              <w:rPr>
                <w:rFonts w:ascii="Arial" w:hAnsi="Arial" w:cs="Arial"/>
                <w:b/>
                <w:bCs/>
                <w:sz w:val="16"/>
                <w:szCs w:val="16"/>
              </w:rPr>
            </w:pPr>
            <w:r w:rsidRPr="0056256A">
              <w:rPr>
                <w:rFonts w:ascii="Arial" w:hAnsi="Arial" w:cs="Arial"/>
                <w:b/>
                <w:bCs/>
                <w:sz w:val="16"/>
                <w:szCs w:val="16"/>
              </w:rPr>
              <w:t>Income</w:t>
            </w:r>
          </w:p>
        </w:tc>
        <w:tc>
          <w:tcPr>
            <w:tcW w:w="1200" w:type="dxa"/>
            <w:tcBorders>
              <w:top w:val="single" w:sz="4" w:space="0" w:color="009900"/>
              <w:left w:val="nil"/>
              <w:bottom w:val="single" w:sz="4" w:space="0" w:color="009900"/>
              <w:right w:val="nil"/>
            </w:tcBorders>
            <w:shd w:val="clear" w:color="FFFFFF" w:fill="FFFFE1"/>
            <w:vAlign w:val="center"/>
            <w:hideMark/>
          </w:tcPr>
          <w:p w:rsidR="00A42672" w:rsidRPr="0056256A" w:rsidRDefault="00A42672" w:rsidP="007F51C1">
            <w:pPr>
              <w:jc w:val="center"/>
              <w:rPr>
                <w:rFonts w:ascii="Arial" w:hAnsi="Arial" w:cs="Arial"/>
                <w:b/>
                <w:bCs/>
                <w:color w:val="000000"/>
                <w:sz w:val="16"/>
                <w:szCs w:val="16"/>
              </w:rPr>
            </w:pPr>
            <w:r w:rsidRPr="0056256A">
              <w:rPr>
                <w:rFonts w:ascii="Arial" w:hAnsi="Arial" w:cs="Arial"/>
                <w:b/>
                <w:bCs/>
                <w:color w:val="000000"/>
                <w:sz w:val="16"/>
                <w:szCs w:val="16"/>
              </w:rPr>
              <w:t>Elderly</w:t>
            </w:r>
          </w:p>
        </w:tc>
        <w:tc>
          <w:tcPr>
            <w:tcW w:w="1200" w:type="dxa"/>
            <w:tcBorders>
              <w:top w:val="single" w:sz="4" w:space="0" w:color="009900"/>
              <w:left w:val="nil"/>
              <w:bottom w:val="single" w:sz="4" w:space="0" w:color="009900"/>
              <w:right w:val="nil"/>
            </w:tcBorders>
            <w:shd w:val="clear" w:color="FFFFFF" w:fill="FFFFE1"/>
            <w:vAlign w:val="center"/>
            <w:hideMark/>
          </w:tcPr>
          <w:p w:rsidR="00A42672" w:rsidRPr="0056256A" w:rsidRDefault="00A42672" w:rsidP="007F51C1">
            <w:pPr>
              <w:jc w:val="center"/>
              <w:rPr>
                <w:rFonts w:ascii="Arial" w:hAnsi="Arial" w:cs="Arial"/>
                <w:b/>
                <w:bCs/>
                <w:color w:val="000000"/>
                <w:sz w:val="16"/>
                <w:szCs w:val="16"/>
              </w:rPr>
            </w:pPr>
            <w:r w:rsidRPr="0056256A">
              <w:rPr>
                <w:rFonts w:ascii="Arial" w:hAnsi="Arial" w:cs="Arial"/>
                <w:b/>
                <w:bCs/>
                <w:color w:val="000000"/>
                <w:sz w:val="16"/>
                <w:szCs w:val="16"/>
              </w:rPr>
              <w:t>Extra-Elderly</w:t>
            </w:r>
          </w:p>
        </w:tc>
        <w:tc>
          <w:tcPr>
            <w:tcW w:w="1200" w:type="dxa"/>
            <w:tcBorders>
              <w:top w:val="single" w:sz="4" w:space="0" w:color="009900"/>
              <w:left w:val="nil"/>
              <w:bottom w:val="single" w:sz="4" w:space="0" w:color="009900"/>
              <w:right w:val="nil"/>
            </w:tcBorders>
            <w:shd w:val="clear" w:color="FFFFFF" w:fill="FFFFE1"/>
            <w:vAlign w:val="center"/>
            <w:hideMark/>
          </w:tcPr>
          <w:p w:rsidR="00A42672" w:rsidRPr="0056256A" w:rsidRDefault="00A42672" w:rsidP="007F51C1">
            <w:pPr>
              <w:jc w:val="center"/>
              <w:rPr>
                <w:rFonts w:ascii="Arial" w:hAnsi="Arial" w:cs="Arial"/>
                <w:b/>
                <w:bCs/>
                <w:color w:val="000000"/>
                <w:sz w:val="16"/>
                <w:szCs w:val="16"/>
              </w:rPr>
            </w:pPr>
            <w:r w:rsidRPr="0056256A">
              <w:rPr>
                <w:rFonts w:ascii="Arial" w:hAnsi="Arial" w:cs="Arial"/>
                <w:b/>
                <w:bCs/>
                <w:color w:val="000000"/>
                <w:sz w:val="16"/>
                <w:szCs w:val="16"/>
              </w:rPr>
              <w:t>Non-Elderly</w:t>
            </w:r>
          </w:p>
        </w:tc>
        <w:tc>
          <w:tcPr>
            <w:tcW w:w="1200" w:type="dxa"/>
            <w:tcBorders>
              <w:top w:val="single" w:sz="4" w:space="0" w:color="009900"/>
              <w:left w:val="nil"/>
              <w:bottom w:val="single" w:sz="4" w:space="0" w:color="009900"/>
              <w:right w:val="single" w:sz="4" w:space="0" w:color="009900"/>
            </w:tcBorders>
            <w:shd w:val="clear" w:color="FFFFFF" w:fill="FFFFE1"/>
            <w:vAlign w:val="center"/>
            <w:hideMark/>
          </w:tcPr>
          <w:p w:rsidR="00A42672" w:rsidRPr="0056256A" w:rsidRDefault="00A42672" w:rsidP="007F51C1">
            <w:pPr>
              <w:jc w:val="center"/>
              <w:rPr>
                <w:rFonts w:ascii="Arial" w:hAnsi="Arial" w:cs="Arial"/>
                <w:b/>
                <w:bCs/>
                <w:color w:val="000000"/>
                <w:sz w:val="16"/>
                <w:szCs w:val="16"/>
              </w:rPr>
            </w:pPr>
            <w:r w:rsidRPr="0056256A">
              <w:rPr>
                <w:rFonts w:ascii="Arial" w:hAnsi="Arial" w:cs="Arial"/>
                <w:b/>
                <w:bCs/>
                <w:color w:val="000000"/>
                <w:sz w:val="16"/>
                <w:szCs w:val="16"/>
              </w:rPr>
              <w:t>Total</w:t>
            </w:r>
          </w:p>
        </w:tc>
      </w:tr>
      <w:tr w:rsidR="00A42672" w:rsidRPr="0056256A" w:rsidTr="007F51C1">
        <w:trPr>
          <w:trHeight w:val="220"/>
          <w:jc w:val="center"/>
        </w:trPr>
        <w:tc>
          <w:tcPr>
            <w:tcW w:w="6982" w:type="dxa"/>
            <w:gridSpan w:val="5"/>
            <w:tcBorders>
              <w:top w:val="single" w:sz="4" w:space="0" w:color="009900"/>
              <w:left w:val="single" w:sz="4" w:space="0" w:color="009900"/>
              <w:bottom w:val="single" w:sz="4" w:space="0" w:color="009900"/>
              <w:right w:val="single" w:sz="4" w:space="0" w:color="009900"/>
            </w:tcBorders>
            <w:shd w:val="clear" w:color="000000" w:fill="FFFFE1"/>
            <w:noWrap/>
            <w:vAlign w:val="center"/>
            <w:hideMark/>
          </w:tcPr>
          <w:p w:rsidR="00A42672" w:rsidRPr="0056256A" w:rsidRDefault="00A42672" w:rsidP="007F51C1">
            <w:pPr>
              <w:jc w:val="center"/>
              <w:rPr>
                <w:rFonts w:ascii="Arial" w:hAnsi="Arial" w:cs="Arial"/>
                <w:b/>
                <w:bCs/>
                <w:sz w:val="16"/>
                <w:szCs w:val="16"/>
              </w:rPr>
            </w:pPr>
            <w:r w:rsidRPr="0056256A">
              <w:rPr>
                <w:rFonts w:ascii="Arial" w:hAnsi="Arial" w:cs="Arial"/>
                <w:b/>
                <w:bCs/>
                <w:sz w:val="16"/>
                <w:szCs w:val="16"/>
              </w:rPr>
              <w:t>With Housing Problems</w:t>
            </w:r>
          </w:p>
        </w:tc>
      </w:tr>
      <w:tr w:rsidR="00A42672" w:rsidRPr="0056256A" w:rsidTr="007F51C1">
        <w:trPr>
          <w:trHeight w:val="220"/>
          <w:jc w:val="center"/>
        </w:trPr>
        <w:tc>
          <w:tcPr>
            <w:tcW w:w="2182" w:type="dxa"/>
            <w:tcBorders>
              <w:top w:val="nil"/>
              <w:left w:val="single" w:sz="4" w:space="0" w:color="009900"/>
              <w:bottom w:val="nil"/>
              <w:right w:val="nil"/>
            </w:tcBorders>
            <w:shd w:val="clear" w:color="FFFFFF" w:fill="FFFFE1"/>
            <w:vAlign w:val="center"/>
            <w:hideMark/>
          </w:tcPr>
          <w:p w:rsidR="00A42672" w:rsidRPr="0056256A" w:rsidRDefault="00A42672" w:rsidP="007F51C1">
            <w:pPr>
              <w:rPr>
                <w:rFonts w:ascii="Arial" w:hAnsi="Arial" w:cs="Arial"/>
                <w:color w:val="000000"/>
                <w:sz w:val="16"/>
                <w:szCs w:val="16"/>
              </w:rPr>
            </w:pPr>
            <w:r w:rsidRPr="0056256A">
              <w:rPr>
                <w:rFonts w:ascii="Arial" w:hAnsi="Arial" w:cs="Arial"/>
                <w:color w:val="000000"/>
                <w:sz w:val="16"/>
                <w:szCs w:val="16"/>
              </w:rPr>
              <w:t>30% HAMFI or less</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10,995</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7,130</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50,825</w:t>
            </w:r>
          </w:p>
        </w:tc>
        <w:tc>
          <w:tcPr>
            <w:tcW w:w="1200" w:type="dxa"/>
            <w:tcBorders>
              <w:top w:val="nil"/>
              <w:left w:val="nil"/>
              <w:bottom w:val="nil"/>
              <w:right w:val="single" w:sz="4" w:space="0" w:color="009900"/>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68,950</w:t>
            </w:r>
          </w:p>
        </w:tc>
      </w:tr>
      <w:tr w:rsidR="00A42672" w:rsidRPr="0056256A" w:rsidTr="007F51C1">
        <w:trPr>
          <w:trHeight w:val="220"/>
          <w:jc w:val="center"/>
        </w:trPr>
        <w:tc>
          <w:tcPr>
            <w:tcW w:w="2182" w:type="dxa"/>
            <w:tcBorders>
              <w:top w:val="nil"/>
              <w:left w:val="single" w:sz="4" w:space="0" w:color="009900"/>
              <w:bottom w:val="nil"/>
              <w:right w:val="nil"/>
            </w:tcBorders>
            <w:shd w:val="clear" w:color="FFFFFF" w:fill="FFFFE1"/>
            <w:vAlign w:val="center"/>
            <w:hideMark/>
          </w:tcPr>
          <w:p w:rsidR="00A42672" w:rsidRPr="0056256A" w:rsidRDefault="00A42672" w:rsidP="007F51C1">
            <w:pPr>
              <w:rPr>
                <w:rFonts w:ascii="Arial" w:hAnsi="Arial" w:cs="Arial"/>
                <w:color w:val="000000"/>
                <w:sz w:val="16"/>
                <w:szCs w:val="16"/>
              </w:rPr>
            </w:pPr>
            <w:r w:rsidRPr="0056256A">
              <w:rPr>
                <w:rFonts w:ascii="Arial" w:hAnsi="Arial" w:cs="Arial"/>
                <w:color w:val="000000"/>
                <w:sz w:val="16"/>
                <w:szCs w:val="16"/>
              </w:rPr>
              <w:t>30.1-50% HAMFI</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9,090</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5,805</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42,385</w:t>
            </w:r>
          </w:p>
        </w:tc>
        <w:tc>
          <w:tcPr>
            <w:tcW w:w="1200" w:type="dxa"/>
            <w:tcBorders>
              <w:top w:val="nil"/>
              <w:left w:val="nil"/>
              <w:bottom w:val="nil"/>
              <w:right w:val="single" w:sz="4" w:space="0" w:color="009900"/>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57,280</w:t>
            </w:r>
          </w:p>
        </w:tc>
      </w:tr>
      <w:tr w:rsidR="00A42672" w:rsidRPr="0056256A" w:rsidTr="007F51C1">
        <w:trPr>
          <w:trHeight w:val="220"/>
          <w:jc w:val="center"/>
        </w:trPr>
        <w:tc>
          <w:tcPr>
            <w:tcW w:w="2182" w:type="dxa"/>
            <w:tcBorders>
              <w:top w:val="nil"/>
              <w:left w:val="single" w:sz="4" w:space="0" w:color="009900"/>
              <w:bottom w:val="nil"/>
              <w:right w:val="nil"/>
            </w:tcBorders>
            <w:shd w:val="clear" w:color="FFFFFF" w:fill="FFFFE1"/>
            <w:vAlign w:val="center"/>
            <w:hideMark/>
          </w:tcPr>
          <w:p w:rsidR="00A42672" w:rsidRPr="0056256A" w:rsidRDefault="00A42672" w:rsidP="007F51C1">
            <w:pPr>
              <w:rPr>
                <w:rFonts w:ascii="Arial" w:hAnsi="Arial" w:cs="Arial"/>
                <w:color w:val="000000"/>
                <w:sz w:val="16"/>
                <w:szCs w:val="16"/>
              </w:rPr>
            </w:pPr>
            <w:r w:rsidRPr="0056256A">
              <w:rPr>
                <w:rFonts w:ascii="Arial" w:hAnsi="Arial" w:cs="Arial"/>
                <w:color w:val="000000"/>
                <w:sz w:val="16"/>
                <w:szCs w:val="16"/>
              </w:rPr>
              <w:t>50.1-80% HAMFI</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8,915</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4,660</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43,325</w:t>
            </w:r>
          </w:p>
        </w:tc>
        <w:tc>
          <w:tcPr>
            <w:tcW w:w="1200" w:type="dxa"/>
            <w:tcBorders>
              <w:top w:val="nil"/>
              <w:left w:val="nil"/>
              <w:bottom w:val="nil"/>
              <w:right w:val="single" w:sz="4" w:space="0" w:color="009900"/>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56,900</w:t>
            </w:r>
          </w:p>
        </w:tc>
      </w:tr>
      <w:tr w:rsidR="00A42672" w:rsidRPr="0056256A" w:rsidTr="007F51C1">
        <w:trPr>
          <w:trHeight w:val="220"/>
          <w:jc w:val="center"/>
        </w:trPr>
        <w:tc>
          <w:tcPr>
            <w:tcW w:w="2182" w:type="dxa"/>
            <w:tcBorders>
              <w:top w:val="nil"/>
              <w:left w:val="single" w:sz="4" w:space="0" w:color="009900"/>
              <w:bottom w:val="nil"/>
              <w:right w:val="nil"/>
            </w:tcBorders>
            <w:shd w:val="clear" w:color="FFFFFF" w:fill="FFFFE1"/>
            <w:vAlign w:val="center"/>
            <w:hideMark/>
          </w:tcPr>
          <w:p w:rsidR="00A42672" w:rsidRPr="0056256A" w:rsidRDefault="00A42672" w:rsidP="007F51C1">
            <w:pPr>
              <w:rPr>
                <w:rFonts w:ascii="Arial" w:hAnsi="Arial" w:cs="Arial"/>
                <w:color w:val="000000"/>
                <w:sz w:val="16"/>
                <w:szCs w:val="16"/>
              </w:rPr>
            </w:pPr>
            <w:r w:rsidRPr="0056256A">
              <w:rPr>
                <w:rFonts w:ascii="Arial" w:hAnsi="Arial" w:cs="Arial"/>
                <w:color w:val="000000"/>
                <w:sz w:val="16"/>
                <w:szCs w:val="16"/>
              </w:rPr>
              <w:t>80.1-100% HAMFI</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3,300</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1,535</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16,065</w:t>
            </w:r>
          </w:p>
        </w:tc>
        <w:tc>
          <w:tcPr>
            <w:tcW w:w="1200" w:type="dxa"/>
            <w:tcBorders>
              <w:top w:val="nil"/>
              <w:left w:val="nil"/>
              <w:bottom w:val="nil"/>
              <w:right w:val="single" w:sz="4" w:space="0" w:color="009900"/>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20,900</w:t>
            </w:r>
          </w:p>
        </w:tc>
      </w:tr>
      <w:tr w:rsidR="00A42672" w:rsidRPr="0056256A" w:rsidTr="007F51C1">
        <w:trPr>
          <w:trHeight w:val="220"/>
          <w:jc w:val="center"/>
        </w:trPr>
        <w:tc>
          <w:tcPr>
            <w:tcW w:w="2182" w:type="dxa"/>
            <w:tcBorders>
              <w:top w:val="nil"/>
              <w:left w:val="single" w:sz="4" w:space="0" w:color="009900"/>
              <w:bottom w:val="nil"/>
              <w:right w:val="nil"/>
            </w:tcBorders>
            <w:shd w:val="clear" w:color="FFFFFF" w:fill="FFFFE1"/>
            <w:vAlign w:val="center"/>
            <w:hideMark/>
          </w:tcPr>
          <w:p w:rsidR="00A42672" w:rsidRPr="0056256A" w:rsidRDefault="00A42672" w:rsidP="007F51C1">
            <w:pPr>
              <w:rPr>
                <w:rFonts w:ascii="Arial" w:hAnsi="Arial" w:cs="Arial"/>
                <w:color w:val="000000"/>
                <w:sz w:val="16"/>
                <w:szCs w:val="16"/>
              </w:rPr>
            </w:pPr>
            <w:r w:rsidRPr="0056256A">
              <w:rPr>
                <w:rFonts w:ascii="Arial" w:hAnsi="Arial" w:cs="Arial"/>
                <w:color w:val="000000"/>
                <w:sz w:val="16"/>
                <w:szCs w:val="16"/>
              </w:rPr>
              <w:t>100.1% HAMFI and above</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6,805</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2,260</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30,840</w:t>
            </w:r>
          </w:p>
        </w:tc>
        <w:tc>
          <w:tcPr>
            <w:tcW w:w="1200" w:type="dxa"/>
            <w:tcBorders>
              <w:top w:val="nil"/>
              <w:left w:val="nil"/>
              <w:bottom w:val="nil"/>
              <w:right w:val="single" w:sz="4" w:space="0" w:color="009900"/>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39,905</w:t>
            </w:r>
          </w:p>
        </w:tc>
      </w:tr>
      <w:tr w:rsidR="00A42672" w:rsidRPr="0056256A" w:rsidTr="007F51C1">
        <w:trPr>
          <w:trHeight w:val="220"/>
          <w:jc w:val="center"/>
        </w:trPr>
        <w:tc>
          <w:tcPr>
            <w:tcW w:w="2182" w:type="dxa"/>
            <w:tcBorders>
              <w:top w:val="dotted" w:sz="4" w:space="0" w:color="009900"/>
              <w:left w:val="single" w:sz="4" w:space="0" w:color="009900"/>
              <w:bottom w:val="single" w:sz="4" w:space="0" w:color="009900"/>
              <w:right w:val="nil"/>
            </w:tcBorders>
            <w:shd w:val="clear" w:color="000000" w:fill="FFFFE1"/>
            <w:noWrap/>
            <w:vAlign w:val="center"/>
            <w:hideMark/>
          </w:tcPr>
          <w:p w:rsidR="00A42672" w:rsidRPr="0056256A" w:rsidRDefault="00A42672" w:rsidP="007F51C1">
            <w:pPr>
              <w:rPr>
                <w:rFonts w:ascii="Arial" w:hAnsi="Arial" w:cs="Arial"/>
                <w:sz w:val="16"/>
                <w:szCs w:val="16"/>
              </w:rPr>
            </w:pPr>
            <w:r w:rsidRPr="0056256A">
              <w:rPr>
                <w:rFonts w:ascii="Arial" w:hAnsi="Arial" w:cs="Arial"/>
                <w:sz w:val="16"/>
                <w:szCs w:val="16"/>
              </w:rPr>
              <w:t>Total</w:t>
            </w:r>
          </w:p>
        </w:tc>
        <w:tc>
          <w:tcPr>
            <w:tcW w:w="1200" w:type="dxa"/>
            <w:tcBorders>
              <w:top w:val="dotted" w:sz="4" w:space="0" w:color="009900"/>
              <w:left w:val="nil"/>
              <w:bottom w:val="single" w:sz="4" w:space="0" w:color="009900"/>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39,105</w:t>
            </w:r>
          </w:p>
        </w:tc>
        <w:tc>
          <w:tcPr>
            <w:tcW w:w="1200" w:type="dxa"/>
            <w:tcBorders>
              <w:top w:val="dotted" w:sz="4" w:space="0" w:color="009900"/>
              <w:left w:val="nil"/>
              <w:bottom w:val="single" w:sz="4" w:space="0" w:color="009900"/>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21,390</w:t>
            </w:r>
          </w:p>
        </w:tc>
        <w:tc>
          <w:tcPr>
            <w:tcW w:w="1200" w:type="dxa"/>
            <w:tcBorders>
              <w:top w:val="dotted" w:sz="4" w:space="0" w:color="009900"/>
              <w:left w:val="nil"/>
              <w:bottom w:val="single" w:sz="4" w:space="0" w:color="009900"/>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183,440</w:t>
            </w:r>
          </w:p>
        </w:tc>
        <w:tc>
          <w:tcPr>
            <w:tcW w:w="1200" w:type="dxa"/>
            <w:tcBorders>
              <w:top w:val="dotted" w:sz="4" w:space="0" w:color="009900"/>
              <w:left w:val="nil"/>
              <w:bottom w:val="single" w:sz="4" w:space="0" w:color="009900"/>
              <w:right w:val="single" w:sz="4" w:space="0" w:color="009900"/>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243,935</w:t>
            </w:r>
          </w:p>
        </w:tc>
      </w:tr>
      <w:tr w:rsidR="00A42672" w:rsidRPr="0056256A" w:rsidTr="007F51C1">
        <w:trPr>
          <w:trHeight w:val="220"/>
          <w:jc w:val="center"/>
        </w:trPr>
        <w:tc>
          <w:tcPr>
            <w:tcW w:w="6982" w:type="dxa"/>
            <w:gridSpan w:val="5"/>
            <w:tcBorders>
              <w:top w:val="single" w:sz="4" w:space="0" w:color="009900"/>
              <w:left w:val="single" w:sz="4" w:space="0" w:color="009900"/>
              <w:bottom w:val="single" w:sz="4" w:space="0" w:color="009900"/>
              <w:right w:val="single" w:sz="4" w:space="0" w:color="009900"/>
            </w:tcBorders>
            <w:shd w:val="clear" w:color="000000" w:fill="FFFFE1"/>
            <w:noWrap/>
            <w:vAlign w:val="center"/>
            <w:hideMark/>
          </w:tcPr>
          <w:p w:rsidR="00A42672" w:rsidRPr="0056256A" w:rsidRDefault="00A42672" w:rsidP="007F51C1">
            <w:pPr>
              <w:jc w:val="center"/>
              <w:rPr>
                <w:rFonts w:ascii="Arial" w:hAnsi="Arial" w:cs="Arial"/>
                <w:b/>
                <w:bCs/>
                <w:sz w:val="16"/>
                <w:szCs w:val="16"/>
              </w:rPr>
            </w:pPr>
            <w:r w:rsidRPr="0056256A">
              <w:rPr>
                <w:rFonts w:ascii="Arial" w:hAnsi="Arial" w:cs="Arial"/>
                <w:b/>
                <w:bCs/>
                <w:sz w:val="16"/>
                <w:szCs w:val="16"/>
              </w:rPr>
              <w:t>Without Housing Problems</w:t>
            </w:r>
          </w:p>
        </w:tc>
      </w:tr>
      <w:tr w:rsidR="00A42672" w:rsidRPr="0056256A" w:rsidTr="007F51C1">
        <w:trPr>
          <w:trHeight w:val="220"/>
          <w:jc w:val="center"/>
        </w:trPr>
        <w:tc>
          <w:tcPr>
            <w:tcW w:w="2182" w:type="dxa"/>
            <w:tcBorders>
              <w:top w:val="nil"/>
              <w:left w:val="single" w:sz="4" w:space="0" w:color="009900"/>
              <w:bottom w:val="nil"/>
              <w:right w:val="nil"/>
            </w:tcBorders>
            <w:shd w:val="clear" w:color="FFFFFF" w:fill="FFFFE1"/>
            <w:vAlign w:val="center"/>
            <w:hideMark/>
          </w:tcPr>
          <w:p w:rsidR="00A42672" w:rsidRPr="0056256A" w:rsidRDefault="00A42672" w:rsidP="007F51C1">
            <w:pPr>
              <w:rPr>
                <w:rFonts w:ascii="Arial" w:hAnsi="Arial" w:cs="Arial"/>
                <w:color w:val="000000"/>
                <w:sz w:val="16"/>
                <w:szCs w:val="16"/>
              </w:rPr>
            </w:pPr>
            <w:r w:rsidRPr="0056256A">
              <w:rPr>
                <w:rFonts w:ascii="Arial" w:hAnsi="Arial" w:cs="Arial"/>
                <w:color w:val="000000"/>
                <w:sz w:val="16"/>
                <w:szCs w:val="16"/>
              </w:rPr>
              <w:t>30% HAMFI or less</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4,360</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3,085</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8,675</w:t>
            </w:r>
          </w:p>
        </w:tc>
        <w:tc>
          <w:tcPr>
            <w:tcW w:w="1200" w:type="dxa"/>
            <w:tcBorders>
              <w:top w:val="nil"/>
              <w:left w:val="nil"/>
              <w:bottom w:val="nil"/>
              <w:right w:val="single" w:sz="4" w:space="0" w:color="009900"/>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16,120</w:t>
            </w:r>
          </w:p>
        </w:tc>
      </w:tr>
      <w:tr w:rsidR="00A42672" w:rsidRPr="0056256A" w:rsidTr="007F51C1">
        <w:trPr>
          <w:trHeight w:val="220"/>
          <w:jc w:val="center"/>
        </w:trPr>
        <w:tc>
          <w:tcPr>
            <w:tcW w:w="2182" w:type="dxa"/>
            <w:tcBorders>
              <w:top w:val="nil"/>
              <w:left w:val="single" w:sz="4" w:space="0" w:color="009900"/>
              <w:bottom w:val="nil"/>
              <w:right w:val="nil"/>
            </w:tcBorders>
            <w:shd w:val="clear" w:color="FFFFFF" w:fill="FFFFE1"/>
            <w:vAlign w:val="center"/>
            <w:hideMark/>
          </w:tcPr>
          <w:p w:rsidR="00A42672" w:rsidRPr="0056256A" w:rsidRDefault="00A42672" w:rsidP="007F51C1">
            <w:pPr>
              <w:rPr>
                <w:rFonts w:ascii="Arial" w:hAnsi="Arial" w:cs="Arial"/>
                <w:color w:val="000000"/>
                <w:sz w:val="16"/>
                <w:szCs w:val="16"/>
              </w:rPr>
            </w:pPr>
            <w:r w:rsidRPr="0056256A">
              <w:rPr>
                <w:rFonts w:ascii="Arial" w:hAnsi="Arial" w:cs="Arial"/>
                <w:color w:val="000000"/>
                <w:sz w:val="16"/>
                <w:szCs w:val="16"/>
              </w:rPr>
              <w:t>30.1-50% HAMFI</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8,715</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8,555</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15,515</w:t>
            </w:r>
          </w:p>
        </w:tc>
        <w:tc>
          <w:tcPr>
            <w:tcW w:w="1200" w:type="dxa"/>
            <w:tcBorders>
              <w:top w:val="nil"/>
              <w:left w:val="nil"/>
              <w:bottom w:val="nil"/>
              <w:right w:val="single" w:sz="4" w:space="0" w:color="009900"/>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32,785</w:t>
            </w:r>
          </w:p>
        </w:tc>
      </w:tr>
      <w:tr w:rsidR="00A42672" w:rsidRPr="0056256A" w:rsidTr="007F51C1">
        <w:trPr>
          <w:trHeight w:val="220"/>
          <w:jc w:val="center"/>
        </w:trPr>
        <w:tc>
          <w:tcPr>
            <w:tcW w:w="2182" w:type="dxa"/>
            <w:tcBorders>
              <w:top w:val="nil"/>
              <w:left w:val="single" w:sz="4" w:space="0" w:color="009900"/>
              <w:bottom w:val="nil"/>
              <w:right w:val="nil"/>
            </w:tcBorders>
            <w:shd w:val="clear" w:color="FFFFFF" w:fill="FFFFE1"/>
            <w:vAlign w:val="center"/>
            <w:hideMark/>
          </w:tcPr>
          <w:p w:rsidR="00A42672" w:rsidRPr="0056256A" w:rsidRDefault="00A42672" w:rsidP="007F51C1">
            <w:pPr>
              <w:rPr>
                <w:rFonts w:ascii="Arial" w:hAnsi="Arial" w:cs="Arial"/>
                <w:color w:val="000000"/>
                <w:sz w:val="16"/>
                <w:szCs w:val="16"/>
              </w:rPr>
            </w:pPr>
            <w:r w:rsidRPr="0056256A">
              <w:rPr>
                <w:rFonts w:ascii="Arial" w:hAnsi="Arial" w:cs="Arial"/>
                <w:color w:val="000000"/>
                <w:sz w:val="16"/>
                <w:szCs w:val="16"/>
              </w:rPr>
              <w:t>50.1-80% HAMFI</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15,940</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12,035</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43,340</w:t>
            </w:r>
          </w:p>
        </w:tc>
        <w:tc>
          <w:tcPr>
            <w:tcW w:w="1200" w:type="dxa"/>
            <w:tcBorders>
              <w:top w:val="nil"/>
              <w:left w:val="nil"/>
              <w:bottom w:val="nil"/>
              <w:right w:val="single" w:sz="4" w:space="0" w:color="009900"/>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71,315</w:t>
            </w:r>
          </w:p>
        </w:tc>
      </w:tr>
      <w:tr w:rsidR="00A42672" w:rsidRPr="0056256A" w:rsidTr="007F51C1">
        <w:trPr>
          <w:trHeight w:val="220"/>
          <w:jc w:val="center"/>
        </w:trPr>
        <w:tc>
          <w:tcPr>
            <w:tcW w:w="2182" w:type="dxa"/>
            <w:tcBorders>
              <w:top w:val="nil"/>
              <w:left w:val="single" w:sz="4" w:space="0" w:color="009900"/>
              <w:bottom w:val="nil"/>
              <w:right w:val="nil"/>
            </w:tcBorders>
            <w:shd w:val="clear" w:color="FFFFFF" w:fill="FFFFE1"/>
            <w:vAlign w:val="center"/>
            <w:hideMark/>
          </w:tcPr>
          <w:p w:rsidR="00A42672" w:rsidRPr="0056256A" w:rsidRDefault="00A42672" w:rsidP="007F51C1">
            <w:pPr>
              <w:rPr>
                <w:rFonts w:ascii="Arial" w:hAnsi="Arial" w:cs="Arial"/>
                <w:color w:val="000000"/>
                <w:sz w:val="16"/>
                <w:szCs w:val="16"/>
              </w:rPr>
            </w:pPr>
            <w:r w:rsidRPr="0056256A">
              <w:rPr>
                <w:rFonts w:ascii="Arial" w:hAnsi="Arial" w:cs="Arial"/>
                <w:color w:val="000000"/>
                <w:sz w:val="16"/>
                <w:szCs w:val="16"/>
              </w:rPr>
              <w:t>80.1-100% HAMFI</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11,250</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6,535</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34,170</w:t>
            </w:r>
          </w:p>
        </w:tc>
        <w:tc>
          <w:tcPr>
            <w:tcW w:w="1200" w:type="dxa"/>
            <w:tcBorders>
              <w:top w:val="nil"/>
              <w:left w:val="nil"/>
              <w:bottom w:val="nil"/>
              <w:right w:val="single" w:sz="4" w:space="0" w:color="009900"/>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51,955</w:t>
            </w:r>
          </w:p>
        </w:tc>
      </w:tr>
      <w:tr w:rsidR="00A42672" w:rsidRPr="0056256A" w:rsidTr="007F51C1">
        <w:trPr>
          <w:trHeight w:val="220"/>
          <w:jc w:val="center"/>
        </w:trPr>
        <w:tc>
          <w:tcPr>
            <w:tcW w:w="2182" w:type="dxa"/>
            <w:tcBorders>
              <w:top w:val="nil"/>
              <w:left w:val="single" w:sz="4" w:space="0" w:color="009900"/>
              <w:bottom w:val="nil"/>
              <w:right w:val="nil"/>
            </w:tcBorders>
            <w:shd w:val="clear" w:color="FFFFFF" w:fill="FFFFE1"/>
            <w:vAlign w:val="center"/>
            <w:hideMark/>
          </w:tcPr>
          <w:p w:rsidR="00A42672" w:rsidRPr="0056256A" w:rsidRDefault="00A42672" w:rsidP="007F51C1">
            <w:pPr>
              <w:rPr>
                <w:rFonts w:ascii="Arial" w:hAnsi="Arial" w:cs="Arial"/>
                <w:color w:val="000000"/>
                <w:sz w:val="16"/>
                <w:szCs w:val="16"/>
              </w:rPr>
            </w:pPr>
            <w:r w:rsidRPr="0056256A">
              <w:rPr>
                <w:rFonts w:ascii="Arial" w:hAnsi="Arial" w:cs="Arial"/>
                <w:color w:val="000000"/>
                <w:sz w:val="16"/>
                <w:szCs w:val="16"/>
              </w:rPr>
              <w:t>100.1% HAMFI and above</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64,990</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26,470</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240,045</w:t>
            </w:r>
          </w:p>
        </w:tc>
        <w:tc>
          <w:tcPr>
            <w:tcW w:w="1200" w:type="dxa"/>
            <w:tcBorders>
              <w:top w:val="nil"/>
              <w:left w:val="nil"/>
              <w:bottom w:val="nil"/>
              <w:right w:val="single" w:sz="4" w:space="0" w:color="009900"/>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331,505</w:t>
            </w:r>
          </w:p>
        </w:tc>
      </w:tr>
      <w:tr w:rsidR="00A42672" w:rsidRPr="0056256A" w:rsidTr="007F51C1">
        <w:trPr>
          <w:trHeight w:val="220"/>
          <w:jc w:val="center"/>
        </w:trPr>
        <w:tc>
          <w:tcPr>
            <w:tcW w:w="2182" w:type="dxa"/>
            <w:tcBorders>
              <w:top w:val="dotted" w:sz="4" w:space="0" w:color="009900"/>
              <w:left w:val="single" w:sz="4" w:space="0" w:color="009900"/>
              <w:bottom w:val="nil"/>
              <w:right w:val="nil"/>
            </w:tcBorders>
            <w:shd w:val="clear" w:color="000000" w:fill="FFFFE1"/>
            <w:noWrap/>
            <w:vAlign w:val="center"/>
            <w:hideMark/>
          </w:tcPr>
          <w:p w:rsidR="00A42672" w:rsidRPr="0056256A" w:rsidRDefault="00A42672" w:rsidP="007F51C1">
            <w:pPr>
              <w:rPr>
                <w:rFonts w:ascii="Arial" w:hAnsi="Arial" w:cs="Arial"/>
                <w:sz w:val="16"/>
                <w:szCs w:val="16"/>
              </w:rPr>
            </w:pPr>
            <w:r w:rsidRPr="0056256A">
              <w:rPr>
                <w:rFonts w:ascii="Arial" w:hAnsi="Arial" w:cs="Arial"/>
                <w:sz w:val="16"/>
                <w:szCs w:val="16"/>
              </w:rPr>
              <w:t>Total</w:t>
            </w:r>
          </w:p>
        </w:tc>
        <w:tc>
          <w:tcPr>
            <w:tcW w:w="1200" w:type="dxa"/>
            <w:tcBorders>
              <w:top w:val="dotted" w:sz="4" w:space="0" w:color="009900"/>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105,255</w:t>
            </w:r>
          </w:p>
        </w:tc>
        <w:tc>
          <w:tcPr>
            <w:tcW w:w="1200" w:type="dxa"/>
            <w:tcBorders>
              <w:top w:val="dotted" w:sz="4" w:space="0" w:color="009900"/>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56,680</w:t>
            </w:r>
          </w:p>
        </w:tc>
        <w:tc>
          <w:tcPr>
            <w:tcW w:w="1200" w:type="dxa"/>
            <w:tcBorders>
              <w:top w:val="dotted" w:sz="4" w:space="0" w:color="009900"/>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341,745</w:t>
            </w:r>
          </w:p>
        </w:tc>
        <w:tc>
          <w:tcPr>
            <w:tcW w:w="1200" w:type="dxa"/>
            <w:tcBorders>
              <w:top w:val="dotted" w:sz="4" w:space="0" w:color="009900"/>
              <w:left w:val="nil"/>
              <w:bottom w:val="nil"/>
              <w:right w:val="single" w:sz="4" w:space="0" w:color="009900"/>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503,680</w:t>
            </w:r>
          </w:p>
        </w:tc>
      </w:tr>
      <w:tr w:rsidR="00A42672" w:rsidRPr="0056256A" w:rsidTr="007F51C1">
        <w:trPr>
          <w:trHeight w:val="220"/>
          <w:jc w:val="center"/>
        </w:trPr>
        <w:tc>
          <w:tcPr>
            <w:tcW w:w="6982" w:type="dxa"/>
            <w:gridSpan w:val="5"/>
            <w:tcBorders>
              <w:top w:val="single" w:sz="4" w:space="0" w:color="009900"/>
              <w:left w:val="single" w:sz="4" w:space="0" w:color="009900"/>
              <w:bottom w:val="single" w:sz="4" w:space="0" w:color="009900"/>
              <w:right w:val="single" w:sz="4" w:space="0" w:color="009900"/>
            </w:tcBorders>
            <w:shd w:val="clear" w:color="000000" w:fill="FFFFE1"/>
            <w:noWrap/>
            <w:vAlign w:val="center"/>
            <w:hideMark/>
          </w:tcPr>
          <w:p w:rsidR="00A42672" w:rsidRPr="0056256A" w:rsidRDefault="00A42672" w:rsidP="007F51C1">
            <w:pPr>
              <w:jc w:val="center"/>
              <w:rPr>
                <w:rFonts w:ascii="Arial" w:hAnsi="Arial" w:cs="Arial"/>
                <w:b/>
                <w:bCs/>
                <w:sz w:val="16"/>
                <w:szCs w:val="16"/>
              </w:rPr>
            </w:pPr>
            <w:r w:rsidRPr="0056256A">
              <w:rPr>
                <w:rFonts w:ascii="Arial" w:hAnsi="Arial" w:cs="Arial"/>
                <w:b/>
                <w:bCs/>
                <w:sz w:val="16"/>
                <w:szCs w:val="16"/>
              </w:rPr>
              <w:t xml:space="preserve">Not Computed </w:t>
            </w:r>
          </w:p>
        </w:tc>
      </w:tr>
      <w:tr w:rsidR="00A42672" w:rsidRPr="0056256A" w:rsidTr="007F51C1">
        <w:trPr>
          <w:trHeight w:val="220"/>
          <w:jc w:val="center"/>
        </w:trPr>
        <w:tc>
          <w:tcPr>
            <w:tcW w:w="2182" w:type="dxa"/>
            <w:tcBorders>
              <w:top w:val="nil"/>
              <w:left w:val="single" w:sz="4" w:space="0" w:color="009900"/>
              <w:bottom w:val="nil"/>
              <w:right w:val="nil"/>
            </w:tcBorders>
            <w:shd w:val="clear" w:color="FFFFFF" w:fill="FFFFE1"/>
            <w:vAlign w:val="center"/>
            <w:hideMark/>
          </w:tcPr>
          <w:p w:rsidR="00A42672" w:rsidRPr="0056256A" w:rsidRDefault="00A42672" w:rsidP="007F51C1">
            <w:pPr>
              <w:rPr>
                <w:rFonts w:ascii="Arial" w:hAnsi="Arial" w:cs="Arial"/>
                <w:color w:val="000000"/>
                <w:sz w:val="16"/>
                <w:szCs w:val="16"/>
              </w:rPr>
            </w:pPr>
            <w:r w:rsidRPr="0056256A">
              <w:rPr>
                <w:rFonts w:ascii="Arial" w:hAnsi="Arial" w:cs="Arial"/>
                <w:color w:val="000000"/>
                <w:sz w:val="16"/>
                <w:szCs w:val="16"/>
              </w:rPr>
              <w:t>30% HAMFI or less</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775</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590</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7,150</w:t>
            </w:r>
          </w:p>
        </w:tc>
        <w:tc>
          <w:tcPr>
            <w:tcW w:w="1200" w:type="dxa"/>
            <w:tcBorders>
              <w:top w:val="nil"/>
              <w:left w:val="nil"/>
              <w:bottom w:val="nil"/>
              <w:right w:val="single" w:sz="4" w:space="0" w:color="009900"/>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8,515</w:t>
            </w:r>
          </w:p>
        </w:tc>
      </w:tr>
      <w:tr w:rsidR="00A42672" w:rsidRPr="0056256A" w:rsidTr="007F51C1">
        <w:trPr>
          <w:trHeight w:val="220"/>
          <w:jc w:val="center"/>
        </w:trPr>
        <w:tc>
          <w:tcPr>
            <w:tcW w:w="2182" w:type="dxa"/>
            <w:tcBorders>
              <w:top w:val="nil"/>
              <w:left w:val="single" w:sz="4" w:space="0" w:color="009900"/>
              <w:bottom w:val="nil"/>
              <w:right w:val="nil"/>
            </w:tcBorders>
            <w:shd w:val="clear" w:color="FFFFFF" w:fill="FFFFE1"/>
            <w:vAlign w:val="center"/>
            <w:hideMark/>
          </w:tcPr>
          <w:p w:rsidR="00A42672" w:rsidRPr="0056256A" w:rsidRDefault="00A42672" w:rsidP="007F51C1">
            <w:pPr>
              <w:rPr>
                <w:rFonts w:ascii="Arial" w:hAnsi="Arial" w:cs="Arial"/>
                <w:color w:val="000000"/>
                <w:sz w:val="16"/>
                <w:szCs w:val="16"/>
              </w:rPr>
            </w:pPr>
            <w:r w:rsidRPr="0056256A">
              <w:rPr>
                <w:rFonts w:ascii="Arial" w:hAnsi="Arial" w:cs="Arial"/>
                <w:color w:val="000000"/>
                <w:sz w:val="16"/>
                <w:szCs w:val="16"/>
              </w:rPr>
              <w:t>30.1-50% HAMFI</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0</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0</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0</w:t>
            </w:r>
          </w:p>
        </w:tc>
        <w:tc>
          <w:tcPr>
            <w:tcW w:w="1200" w:type="dxa"/>
            <w:tcBorders>
              <w:top w:val="nil"/>
              <w:left w:val="nil"/>
              <w:bottom w:val="nil"/>
              <w:right w:val="single" w:sz="4" w:space="0" w:color="009900"/>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0</w:t>
            </w:r>
          </w:p>
        </w:tc>
      </w:tr>
      <w:tr w:rsidR="00A42672" w:rsidRPr="0056256A" w:rsidTr="007F51C1">
        <w:trPr>
          <w:trHeight w:val="220"/>
          <w:jc w:val="center"/>
        </w:trPr>
        <w:tc>
          <w:tcPr>
            <w:tcW w:w="2182" w:type="dxa"/>
            <w:tcBorders>
              <w:top w:val="nil"/>
              <w:left w:val="single" w:sz="4" w:space="0" w:color="009900"/>
              <w:bottom w:val="nil"/>
              <w:right w:val="nil"/>
            </w:tcBorders>
            <w:shd w:val="clear" w:color="FFFFFF" w:fill="FFFFE1"/>
            <w:vAlign w:val="center"/>
            <w:hideMark/>
          </w:tcPr>
          <w:p w:rsidR="00A42672" w:rsidRPr="0056256A" w:rsidRDefault="00A42672" w:rsidP="007F51C1">
            <w:pPr>
              <w:rPr>
                <w:rFonts w:ascii="Arial" w:hAnsi="Arial" w:cs="Arial"/>
                <w:color w:val="000000"/>
                <w:sz w:val="16"/>
                <w:szCs w:val="16"/>
              </w:rPr>
            </w:pPr>
            <w:r w:rsidRPr="0056256A">
              <w:rPr>
                <w:rFonts w:ascii="Arial" w:hAnsi="Arial" w:cs="Arial"/>
                <w:color w:val="000000"/>
                <w:sz w:val="16"/>
                <w:szCs w:val="16"/>
              </w:rPr>
              <w:t>50.1-80% HAMFI</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0</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0</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0</w:t>
            </w:r>
          </w:p>
        </w:tc>
        <w:tc>
          <w:tcPr>
            <w:tcW w:w="1200" w:type="dxa"/>
            <w:tcBorders>
              <w:top w:val="nil"/>
              <w:left w:val="nil"/>
              <w:bottom w:val="nil"/>
              <w:right w:val="single" w:sz="4" w:space="0" w:color="009900"/>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0</w:t>
            </w:r>
          </w:p>
        </w:tc>
      </w:tr>
      <w:tr w:rsidR="00A42672" w:rsidRPr="0056256A" w:rsidTr="007F51C1">
        <w:trPr>
          <w:trHeight w:val="220"/>
          <w:jc w:val="center"/>
        </w:trPr>
        <w:tc>
          <w:tcPr>
            <w:tcW w:w="2182" w:type="dxa"/>
            <w:tcBorders>
              <w:top w:val="nil"/>
              <w:left w:val="single" w:sz="4" w:space="0" w:color="009900"/>
              <w:bottom w:val="nil"/>
              <w:right w:val="nil"/>
            </w:tcBorders>
            <w:shd w:val="clear" w:color="FFFFFF" w:fill="FFFFE1"/>
            <w:vAlign w:val="center"/>
            <w:hideMark/>
          </w:tcPr>
          <w:p w:rsidR="00A42672" w:rsidRPr="0056256A" w:rsidRDefault="00A42672" w:rsidP="007F51C1">
            <w:pPr>
              <w:rPr>
                <w:rFonts w:ascii="Arial" w:hAnsi="Arial" w:cs="Arial"/>
                <w:color w:val="000000"/>
                <w:sz w:val="16"/>
                <w:szCs w:val="16"/>
              </w:rPr>
            </w:pPr>
            <w:r w:rsidRPr="0056256A">
              <w:rPr>
                <w:rFonts w:ascii="Arial" w:hAnsi="Arial" w:cs="Arial"/>
                <w:color w:val="000000"/>
                <w:sz w:val="16"/>
                <w:szCs w:val="16"/>
              </w:rPr>
              <w:t>80.1-100% HAMFI</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0</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0</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0</w:t>
            </w:r>
          </w:p>
        </w:tc>
        <w:tc>
          <w:tcPr>
            <w:tcW w:w="1200" w:type="dxa"/>
            <w:tcBorders>
              <w:top w:val="nil"/>
              <w:left w:val="nil"/>
              <w:bottom w:val="nil"/>
              <w:right w:val="single" w:sz="4" w:space="0" w:color="009900"/>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0</w:t>
            </w:r>
          </w:p>
        </w:tc>
      </w:tr>
      <w:tr w:rsidR="00A42672" w:rsidRPr="0056256A" w:rsidTr="007F51C1">
        <w:trPr>
          <w:trHeight w:val="220"/>
          <w:jc w:val="center"/>
        </w:trPr>
        <w:tc>
          <w:tcPr>
            <w:tcW w:w="2182" w:type="dxa"/>
            <w:tcBorders>
              <w:top w:val="nil"/>
              <w:left w:val="single" w:sz="4" w:space="0" w:color="009900"/>
              <w:bottom w:val="nil"/>
              <w:right w:val="nil"/>
            </w:tcBorders>
            <w:shd w:val="clear" w:color="FFFFFF" w:fill="FFFFE1"/>
            <w:vAlign w:val="center"/>
            <w:hideMark/>
          </w:tcPr>
          <w:p w:rsidR="00A42672" w:rsidRPr="0056256A" w:rsidRDefault="00A42672" w:rsidP="007F51C1">
            <w:pPr>
              <w:rPr>
                <w:rFonts w:ascii="Arial" w:hAnsi="Arial" w:cs="Arial"/>
                <w:color w:val="000000"/>
                <w:sz w:val="16"/>
                <w:szCs w:val="16"/>
              </w:rPr>
            </w:pPr>
            <w:r w:rsidRPr="0056256A">
              <w:rPr>
                <w:rFonts w:ascii="Arial" w:hAnsi="Arial" w:cs="Arial"/>
                <w:color w:val="000000"/>
                <w:sz w:val="16"/>
                <w:szCs w:val="16"/>
              </w:rPr>
              <w:t>100.1% HAMFI and above</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0</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0</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0</w:t>
            </w:r>
          </w:p>
        </w:tc>
        <w:tc>
          <w:tcPr>
            <w:tcW w:w="1200" w:type="dxa"/>
            <w:tcBorders>
              <w:top w:val="nil"/>
              <w:left w:val="nil"/>
              <w:bottom w:val="nil"/>
              <w:right w:val="single" w:sz="4" w:space="0" w:color="009900"/>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0</w:t>
            </w:r>
          </w:p>
        </w:tc>
      </w:tr>
      <w:tr w:rsidR="00A42672" w:rsidRPr="0056256A" w:rsidTr="007F51C1">
        <w:trPr>
          <w:trHeight w:val="220"/>
          <w:jc w:val="center"/>
        </w:trPr>
        <w:tc>
          <w:tcPr>
            <w:tcW w:w="2182" w:type="dxa"/>
            <w:tcBorders>
              <w:top w:val="dotted" w:sz="4" w:space="0" w:color="009900"/>
              <w:left w:val="single" w:sz="4" w:space="0" w:color="009900"/>
              <w:bottom w:val="nil"/>
              <w:right w:val="nil"/>
            </w:tcBorders>
            <w:shd w:val="clear" w:color="000000" w:fill="FFFFE1"/>
            <w:noWrap/>
            <w:vAlign w:val="center"/>
            <w:hideMark/>
          </w:tcPr>
          <w:p w:rsidR="00A42672" w:rsidRPr="0056256A" w:rsidRDefault="00A42672" w:rsidP="007F51C1">
            <w:pPr>
              <w:rPr>
                <w:rFonts w:ascii="Arial" w:hAnsi="Arial" w:cs="Arial"/>
                <w:sz w:val="16"/>
                <w:szCs w:val="16"/>
              </w:rPr>
            </w:pPr>
            <w:r w:rsidRPr="0056256A">
              <w:rPr>
                <w:rFonts w:ascii="Arial" w:hAnsi="Arial" w:cs="Arial"/>
                <w:sz w:val="16"/>
                <w:szCs w:val="16"/>
              </w:rPr>
              <w:t>Total</w:t>
            </w:r>
          </w:p>
        </w:tc>
        <w:tc>
          <w:tcPr>
            <w:tcW w:w="1200" w:type="dxa"/>
            <w:tcBorders>
              <w:top w:val="dotted" w:sz="4" w:space="0" w:color="009900"/>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775</w:t>
            </w:r>
          </w:p>
        </w:tc>
        <w:tc>
          <w:tcPr>
            <w:tcW w:w="1200" w:type="dxa"/>
            <w:tcBorders>
              <w:top w:val="dotted" w:sz="4" w:space="0" w:color="009900"/>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590</w:t>
            </w:r>
          </w:p>
        </w:tc>
        <w:tc>
          <w:tcPr>
            <w:tcW w:w="1200" w:type="dxa"/>
            <w:tcBorders>
              <w:top w:val="dotted" w:sz="4" w:space="0" w:color="009900"/>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7,150</w:t>
            </w:r>
          </w:p>
        </w:tc>
        <w:tc>
          <w:tcPr>
            <w:tcW w:w="1200" w:type="dxa"/>
            <w:tcBorders>
              <w:top w:val="dotted" w:sz="4" w:space="0" w:color="009900"/>
              <w:left w:val="nil"/>
              <w:bottom w:val="nil"/>
              <w:right w:val="single" w:sz="4" w:space="0" w:color="009900"/>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8,515</w:t>
            </w:r>
          </w:p>
        </w:tc>
      </w:tr>
      <w:tr w:rsidR="00A42672" w:rsidRPr="0056256A" w:rsidTr="007F51C1">
        <w:trPr>
          <w:trHeight w:val="220"/>
          <w:jc w:val="center"/>
        </w:trPr>
        <w:tc>
          <w:tcPr>
            <w:tcW w:w="6982" w:type="dxa"/>
            <w:gridSpan w:val="5"/>
            <w:tcBorders>
              <w:top w:val="single" w:sz="4" w:space="0" w:color="009900"/>
              <w:left w:val="single" w:sz="4" w:space="0" w:color="009900"/>
              <w:bottom w:val="single" w:sz="4" w:space="0" w:color="009900"/>
              <w:right w:val="single" w:sz="4" w:space="0" w:color="009900"/>
            </w:tcBorders>
            <w:shd w:val="clear" w:color="000000" w:fill="FFFFE1"/>
            <w:noWrap/>
            <w:vAlign w:val="center"/>
            <w:hideMark/>
          </w:tcPr>
          <w:p w:rsidR="00A42672" w:rsidRPr="0056256A" w:rsidRDefault="00A42672" w:rsidP="007F51C1">
            <w:pPr>
              <w:jc w:val="center"/>
              <w:rPr>
                <w:rFonts w:ascii="Arial" w:hAnsi="Arial" w:cs="Arial"/>
                <w:b/>
                <w:bCs/>
                <w:sz w:val="16"/>
                <w:szCs w:val="16"/>
              </w:rPr>
            </w:pPr>
            <w:r w:rsidRPr="0056256A">
              <w:rPr>
                <w:rFonts w:ascii="Arial" w:hAnsi="Arial" w:cs="Arial"/>
                <w:b/>
                <w:bCs/>
                <w:sz w:val="16"/>
                <w:szCs w:val="16"/>
              </w:rPr>
              <w:t>Total</w:t>
            </w:r>
          </w:p>
        </w:tc>
      </w:tr>
      <w:tr w:rsidR="00A42672" w:rsidRPr="0056256A" w:rsidTr="007F51C1">
        <w:trPr>
          <w:trHeight w:val="220"/>
          <w:jc w:val="center"/>
        </w:trPr>
        <w:tc>
          <w:tcPr>
            <w:tcW w:w="2182" w:type="dxa"/>
            <w:tcBorders>
              <w:top w:val="nil"/>
              <w:left w:val="single" w:sz="4" w:space="0" w:color="009900"/>
              <w:bottom w:val="nil"/>
              <w:right w:val="nil"/>
            </w:tcBorders>
            <w:shd w:val="clear" w:color="FFFFFF" w:fill="FFFFE1"/>
            <w:vAlign w:val="center"/>
            <w:hideMark/>
          </w:tcPr>
          <w:p w:rsidR="00A42672" w:rsidRPr="0056256A" w:rsidRDefault="00A42672" w:rsidP="007F51C1">
            <w:pPr>
              <w:rPr>
                <w:rFonts w:ascii="Arial" w:hAnsi="Arial" w:cs="Arial"/>
                <w:color w:val="000000"/>
                <w:sz w:val="16"/>
                <w:szCs w:val="16"/>
              </w:rPr>
            </w:pPr>
            <w:r w:rsidRPr="0056256A">
              <w:rPr>
                <w:rFonts w:ascii="Arial" w:hAnsi="Arial" w:cs="Arial"/>
                <w:color w:val="000000"/>
                <w:sz w:val="16"/>
                <w:szCs w:val="16"/>
              </w:rPr>
              <w:t>30% HAMFI or less</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16,130</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10,805</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66,650</w:t>
            </w:r>
          </w:p>
        </w:tc>
        <w:tc>
          <w:tcPr>
            <w:tcW w:w="1200" w:type="dxa"/>
            <w:tcBorders>
              <w:top w:val="nil"/>
              <w:left w:val="nil"/>
              <w:bottom w:val="nil"/>
              <w:right w:val="single" w:sz="4" w:space="0" w:color="009900"/>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93,585</w:t>
            </w:r>
          </w:p>
        </w:tc>
      </w:tr>
      <w:tr w:rsidR="00A42672" w:rsidRPr="0056256A" w:rsidTr="007F51C1">
        <w:trPr>
          <w:trHeight w:val="220"/>
          <w:jc w:val="center"/>
        </w:trPr>
        <w:tc>
          <w:tcPr>
            <w:tcW w:w="2182" w:type="dxa"/>
            <w:tcBorders>
              <w:top w:val="nil"/>
              <w:left w:val="single" w:sz="4" w:space="0" w:color="009900"/>
              <w:bottom w:val="nil"/>
              <w:right w:val="nil"/>
            </w:tcBorders>
            <w:shd w:val="clear" w:color="FFFFFF" w:fill="FFFFE1"/>
            <w:vAlign w:val="center"/>
            <w:hideMark/>
          </w:tcPr>
          <w:p w:rsidR="00A42672" w:rsidRPr="0056256A" w:rsidRDefault="00A42672" w:rsidP="007F51C1">
            <w:pPr>
              <w:rPr>
                <w:rFonts w:ascii="Arial" w:hAnsi="Arial" w:cs="Arial"/>
                <w:color w:val="000000"/>
                <w:sz w:val="16"/>
                <w:szCs w:val="16"/>
              </w:rPr>
            </w:pPr>
            <w:r w:rsidRPr="0056256A">
              <w:rPr>
                <w:rFonts w:ascii="Arial" w:hAnsi="Arial" w:cs="Arial"/>
                <w:color w:val="000000"/>
                <w:sz w:val="16"/>
                <w:szCs w:val="16"/>
              </w:rPr>
              <w:t>30.1-50% HAMFI</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17,805</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14,360</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57,900</w:t>
            </w:r>
          </w:p>
        </w:tc>
        <w:tc>
          <w:tcPr>
            <w:tcW w:w="1200" w:type="dxa"/>
            <w:tcBorders>
              <w:top w:val="nil"/>
              <w:left w:val="nil"/>
              <w:bottom w:val="nil"/>
              <w:right w:val="single" w:sz="4" w:space="0" w:color="009900"/>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90,065</w:t>
            </w:r>
          </w:p>
        </w:tc>
      </w:tr>
      <w:tr w:rsidR="00A42672" w:rsidRPr="0056256A" w:rsidTr="007F51C1">
        <w:trPr>
          <w:trHeight w:val="220"/>
          <w:jc w:val="center"/>
        </w:trPr>
        <w:tc>
          <w:tcPr>
            <w:tcW w:w="2182" w:type="dxa"/>
            <w:tcBorders>
              <w:top w:val="nil"/>
              <w:left w:val="single" w:sz="4" w:space="0" w:color="009900"/>
              <w:bottom w:val="nil"/>
              <w:right w:val="nil"/>
            </w:tcBorders>
            <w:shd w:val="clear" w:color="FFFFFF" w:fill="FFFFE1"/>
            <w:vAlign w:val="center"/>
            <w:hideMark/>
          </w:tcPr>
          <w:p w:rsidR="00A42672" w:rsidRPr="0056256A" w:rsidRDefault="00A42672" w:rsidP="007F51C1">
            <w:pPr>
              <w:rPr>
                <w:rFonts w:ascii="Arial" w:hAnsi="Arial" w:cs="Arial"/>
                <w:color w:val="000000"/>
                <w:sz w:val="16"/>
                <w:szCs w:val="16"/>
              </w:rPr>
            </w:pPr>
            <w:r w:rsidRPr="0056256A">
              <w:rPr>
                <w:rFonts w:ascii="Arial" w:hAnsi="Arial" w:cs="Arial"/>
                <w:color w:val="000000"/>
                <w:sz w:val="16"/>
                <w:szCs w:val="16"/>
              </w:rPr>
              <w:t>50.1-80% HAMFI</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24,855</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16,695</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86,665</w:t>
            </w:r>
          </w:p>
        </w:tc>
        <w:tc>
          <w:tcPr>
            <w:tcW w:w="1200" w:type="dxa"/>
            <w:tcBorders>
              <w:top w:val="nil"/>
              <w:left w:val="nil"/>
              <w:bottom w:val="nil"/>
              <w:right w:val="single" w:sz="4" w:space="0" w:color="009900"/>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128,215</w:t>
            </w:r>
          </w:p>
        </w:tc>
      </w:tr>
      <w:tr w:rsidR="00A42672" w:rsidRPr="0056256A" w:rsidTr="007F51C1">
        <w:trPr>
          <w:trHeight w:val="220"/>
          <w:jc w:val="center"/>
        </w:trPr>
        <w:tc>
          <w:tcPr>
            <w:tcW w:w="2182" w:type="dxa"/>
            <w:tcBorders>
              <w:top w:val="nil"/>
              <w:left w:val="single" w:sz="4" w:space="0" w:color="009900"/>
              <w:bottom w:val="nil"/>
              <w:right w:val="nil"/>
            </w:tcBorders>
            <w:shd w:val="clear" w:color="FFFFFF" w:fill="FFFFE1"/>
            <w:vAlign w:val="center"/>
            <w:hideMark/>
          </w:tcPr>
          <w:p w:rsidR="00A42672" w:rsidRPr="0056256A" w:rsidRDefault="00A42672" w:rsidP="007F51C1">
            <w:pPr>
              <w:rPr>
                <w:rFonts w:ascii="Arial" w:hAnsi="Arial" w:cs="Arial"/>
                <w:color w:val="000000"/>
                <w:sz w:val="16"/>
                <w:szCs w:val="16"/>
              </w:rPr>
            </w:pPr>
            <w:r w:rsidRPr="0056256A">
              <w:rPr>
                <w:rFonts w:ascii="Arial" w:hAnsi="Arial" w:cs="Arial"/>
                <w:color w:val="000000"/>
                <w:sz w:val="16"/>
                <w:szCs w:val="16"/>
              </w:rPr>
              <w:t>80.1-100% HAMFI</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14,550</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8,070</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50,235</w:t>
            </w:r>
          </w:p>
        </w:tc>
        <w:tc>
          <w:tcPr>
            <w:tcW w:w="1200" w:type="dxa"/>
            <w:tcBorders>
              <w:top w:val="nil"/>
              <w:left w:val="nil"/>
              <w:bottom w:val="nil"/>
              <w:right w:val="single" w:sz="4" w:space="0" w:color="009900"/>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72,855</w:t>
            </w:r>
          </w:p>
        </w:tc>
      </w:tr>
      <w:tr w:rsidR="00A42672" w:rsidRPr="0056256A" w:rsidTr="007F51C1">
        <w:trPr>
          <w:trHeight w:val="220"/>
          <w:jc w:val="center"/>
        </w:trPr>
        <w:tc>
          <w:tcPr>
            <w:tcW w:w="2182" w:type="dxa"/>
            <w:tcBorders>
              <w:top w:val="nil"/>
              <w:left w:val="single" w:sz="4" w:space="0" w:color="009900"/>
              <w:bottom w:val="nil"/>
              <w:right w:val="nil"/>
            </w:tcBorders>
            <w:shd w:val="clear" w:color="FFFFFF" w:fill="FFFFE1"/>
            <w:vAlign w:val="center"/>
            <w:hideMark/>
          </w:tcPr>
          <w:p w:rsidR="00A42672" w:rsidRPr="0056256A" w:rsidRDefault="00A42672" w:rsidP="007F51C1">
            <w:pPr>
              <w:rPr>
                <w:rFonts w:ascii="Arial" w:hAnsi="Arial" w:cs="Arial"/>
                <w:color w:val="000000"/>
                <w:sz w:val="16"/>
                <w:szCs w:val="16"/>
              </w:rPr>
            </w:pPr>
            <w:r w:rsidRPr="0056256A">
              <w:rPr>
                <w:rFonts w:ascii="Arial" w:hAnsi="Arial" w:cs="Arial"/>
                <w:color w:val="000000"/>
                <w:sz w:val="16"/>
                <w:szCs w:val="16"/>
              </w:rPr>
              <w:t>100.1% HAMFI and above</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71,795</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28,730</w:t>
            </w:r>
          </w:p>
        </w:tc>
        <w:tc>
          <w:tcPr>
            <w:tcW w:w="1200" w:type="dxa"/>
            <w:tcBorders>
              <w:top w:val="nil"/>
              <w:left w:val="nil"/>
              <w:bottom w:val="nil"/>
              <w:right w:val="nil"/>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270,885</w:t>
            </w:r>
          </w:p>
        </w:tc>
        <w:tc>
          <w:tcPr>
            <w:tcW w:w="1200" w:type="dxa"/>
            <w:tcBorders>
              <w:top w:val="nil"/>
              <w:left w:val="nil"/>
              <w:bottom w:val="nil"/>
              <w:right w:val="single" w:sz="4" w:space="0" w:color="009900"/>
            </w:tcBorders>
            <w:shd w:val="clear" w:color="000000" w:fill="FFFFE1"/>
            <w:noWrap/>
            <w:vAlign w:val="center"/>
            <w:hideMark/>
          </w:tcPr>
          <w:p w:rsidR="00A42672" w:rsidRPr="0056256A" w:rsidRDefault="00A42672" w:rsidP="007F51C1">
            <w:pPr>
              <w:jc w:val="center"/>
              <w:rPr>
                <w:rFonts w:ascii="Arial" w:hAnsi="Arial" w:cs="Arial"/>
                <w:sz w:val="16"/>
                <w:szCs w:val="16"/>
              </w:rPr>
            </w:pPr>
            <w:r w:rsidRPr="0056256A">
              <w:rPr>
                <w:rFonts w:ascii="Arial" w:hAnsi="Arial" w:cs="Arial"/>
                <w:sz w:val="16"/>
                <w:szCs w:val="16"/>
              </w:rPr>
              <w:t>371,410</w:t>
            </w:r>
          </w:p>
        </w:tc>
      </w:tr>
      <w:tr w:rsidR="00A42672" w:rsidRPr="0056256A" w:rsidTr="007F51C1">
        <w:trPr>
          <w:trHeight w:val="220"/>
          <w:jc w:val="center"/>
        </w:trPr>
        <w:tc>
          <w:tcPr>
            <w:tcW w:w="2182" w:type="dxa"/>
            <w:tcBorders>
              <w:top w:val="double" w:sz="6" w:space="0" w:color="009900"/>
              <w:left w:val="single" w:sz="4" w:space="0" w:color="009900"/>
              <w:bottom w:val="single" w:sz="4" w:space="0" w:color="009900"/>
              <w:right w:val="nil"/>
            </w:tcBorders>
            <w:shd w:val="clear" w:color="000000" w:fill="FFFFE1"/>
            <w:noWrap/>
            <w:vAlign w:val="center"/>
            <w:hideMark/>
          </w:tcPr>
          <w:p w:rsidR="00A42672" w:rsidRPr="0056256A" w:rsidRDefault="00A42672" w:rsidP="007F51C1">
            <w:pPr>
              <w:rPr>
                <w:rFonts w:ascii="Arial" w:hAnsi="Arial" w:cs="Arial"/>
                <w:b/>
                <w:bCs/>
                <w:sz w:val="16"/>
                <w:szCs w:val="16"/>
              </w:rPr>
            </w:pPr>
            <w:r w:rsidRPr="0056256A">
              <w:rPr>
                <w:rFonts w:ascii="Arial" w:hAnsi="Arial" w:cs="Arial"/>
                <w:b/>
                <w:bCs/>
                <w:sz w:val="16"/>
                <w:szCs w:val="16"/>
              </w:rPr>
              <w:t>Total</w:t>
            </w:r>
          </w:p>
        </w:tc>
        <w:tc>
          <w:tcPr>
            <w:tcW w:w="1200" w:type="dxa"/>
            <w:tcBorders>
              <w:top w:val="double" w:sz="6" w:space="0" w:color="009900"/>
              <w:left w:val="nil"/>
              <w:bottom w:val="single" w:sz="4" w:space="0" w:color="009900"/>
              <w:right w:val="nil"/>
            </w:tcBorders>
            <w:shd w:val="clear" w:color="000000" w:fill="FFFFE1"/>
            <w:noWrap/>
            <w:vAlign w:val="center"/>
            <w:hideMark/>
          </w:tcPr>
          <w:p w:rsidR="00A42672" w:rsidRPr="0056256A" w:rsidRDefault="00A42672" w:rsidP="007F51C1">
            <w:pPr>
              <w:jc w:val="center"/>
              <w:rPr>
                <w:rFonts w:ascii="Arial" w:hAnsi="Arial" w:cs="Arial"/>
                <w:b/>
                <w:bCs/>
                <w:sz w:val="16"/>
                <w:szCs w:val="16"/>
              </w:rPr>
            </w:pPr>
            <w:r w:rsidRPr="0056256A">
              <w:rPr>
                <w:rFonts w:ascii="Arial" w:hAnsi="Arial" w:cs="Arial"/>
                <w:b/>
                <w:bCs/>
                <w:sz w:val="16"/>
                <w:szCs w:val="16"/>
              </w:rPr>
              <w:t>145,135</w:t>
            </w:r>
          </w:p>
        </w:tc>
        <w:tc>
          <w:tcPr>
            <w:tcW w:w="1200" w:type="dxa"/>
            <w:tcBorders>
              <w:top w:val="double" w:sz="6" w:space="0" w:color="009900"/>
              <w:left w:val="nil"/>
              <w:bottom w:val="single" w:sz="4" w:space="0" w:color="009900"/>
              <w:right w:val="nil"/>
            </w:tcBorders>
            <w:shd w:val="clear" w:color="000000" w:fill="FFFFE1"/>
            <w:noWrap/>
            <w:vAlign w:val="center"/>
            <w:hideMark/>
          </w:tcPr>
          <w:p w:rsidR="00A42672" w:rsidRPr="0056256A" w:rsidRDefault="00A42672" w:rsidP="007F51C1">
            <w:pPr>
              <w:jc w:val="center"/>
              <w:rPr>
                <w:rFonts w:ascii="Arial" w:hAnsi="Arial" w:cs="Arial"/>
                <w:b/>
                <w:bCs/>
                <w:sz w:val="16"/>
                <w:szCs w:val="16"/>
              </w:rPr>
            </w:pPr>
            <w:r w:rsidRPr="0056256A">
              <w:rPr>
                <w:rFonts w:ascii="Arial" w:hAnsi="Arial" w:cs="Arial"/>
                <w:b/>
                <w:bCs/>
                <w:sz w:val="16"/>
                <w:szCs w:val="16"/>
              </w:rPr>
              <w:t>78,660</w:t>
            </w:r>
          </w:p>
        </w:tc>
        <w:tc>
          <w:tcPr>
            <w:tcW w:w="1200" w:type="dxa"/>
            <w:tcBorders>
              <w:top w:val="double" w:sz="6" w:space="0" w:color="009900"/>
              <w:left w:val="nil"/>
              <w:bottom w:val="single" w:sz="4" w:space="0" w:color="009900"/>
              <w:right w:val="nil"/>
            </w:tcBorders>
            <w:shd w:val="clear" w:color="000000" w:fill="FFFFE1"/>
            <w:noWrap/>
            <w:vAlign w:val="center"/>
            <w:hideMark/>
          </w:tcPr>
          <w:p w:rsidR="00A42672" w:rsidRPr="0056256A" w:rsidRDefault="00A42672" w:rsidP="007F51C1">
            <w:pPr>
              <w:jc w:val="center"/>
              <w:rPr>
                <w:rFonts w:ascii="Arial" w:hAnsi="Arial" w:cs="Arial"/>
                <w:b/>
                <w:bCs/>
                <w:sz w:val="16"/>
                <w:szCs w:val="16"/>
              </w:rPr>
            </w:pPr>
            <w:r w:rsidRPr="0056256A">
              <w:rPr>
                <w:rFonts w:ascii="Arial" w:hAnsi="Arial" w:cs="Arial"/>
                <w:b/>
                <w:bCs/>
                <w:sz w:val="16"/>
                <w:szCs w:val="16"/>
              </w:rPr>
              <w:t>532,335</w:t>
            </w:r>
          </w:p>
        </w:tc>
        <w:tc>
          <w:tcPr>
            <w:tcW w:w="1200" w:type="dxa"/>
            <w:tcBorders>
              <w:top w:val="double" w:sz="6" w:space="0" w:color="009900"/>
              <w:left w:val="nil"/>
              <w:bottom w:val="single" w:sz="4" w:space="0" w:color="009900"/>
              <w:right w:val="single" w:sz="4" w:space="0" w:color="009900"/>
            </w:tcBorders>
            <w:shd w:val="clear" w:color="000000" w:fill="FFFFE1"/>
            <w:noWrap/>
            <w:vAlign w:val="center"/>
            <w:hideMark/>
          </w:tcPr>
          <w:p w:rsidR="00A42672" w:rsidRPr="0056256A" w:rsidRDefault="00A42672" w:rsidP="007F51C1">
            <w:pPr>
              <w:jc w:val="center"/>
              <w:rPr>
                <w:rFonts w:ascii="Arial" w:hAnsi="Arial" w:cs="Arial"/>
                <w:b/>
                <w:bCs/>
                <w:sz w:val="16"/>
                <w:szCs w:val="16"/>
              </w:rPr>
            </w:pPr>
            <w:r w:rsidRPr="0056256A">
              <w:rPr>
                <w:rFonts w:ascii="Arial" w:hAnsi="Arial" w:cs="Arial"/>
                <w:b/>
                <w:bCs/>
                <w:sz w:val="16"/>
                <w:szCs w:val="16"/>
              </w:rPr>
              <w:t>756,130</w:t>
            </w:r>
          </w:p>
        </w:tc>
      </w:tr>
    </w:tbl>
    <w:p w:rsidR="00943E45" w:rsidRPr="00DE3F87" w:rsidRDefault="00943E45" w:rsidP="00943E45">
      <w:pPr>
        <w:jc w:val="both"/>
        <w:rPr>
          <w:rFonts w:ascii="CG Omega" w:hAnsi="CG Omega" w:cs="Arial"/>
          <w:snapToGrid w:val="0"/>
          <w:highlight w:val="yellow"/>
        </w:rPr>
      </w:pPr>
    </w:p>
    <w:p w:rsidR="00943E45" w:rsidRPr="003E36EA" w:rsidRDefault="00943E45" w:rsidP="00943E45">
      <w:pPr>
        <w:jc w:val="both"/>
        <w:rPr>
          <w:rFonts w:ascii="CG Omega" w:hAnsi="CG Omega"/>
          <w:b/>
          <w:bCs/>
          <w:smallCaps/>
          <w:sz w:val="26"/>
          <w:szCs w:val="26"/>
        </w:rPr>
      </w:pPr>
      <w:r w:rsidRPr="003E36EA">
        <w:rPr>
          <w:rFonts w:ascii="CG Omega" w:hAnsi="CG Omega"/>
          <w:b/>
          <w:bCs/>
          <w:smallCaps/>
          <w:sz w:val="26"/>
          <w:szCs w:val="26"/>
        </w:rPr>
        <w:t>People with Disabilities (Mental, Physical, Developmental)</w:t>
      </w:r>
    </w:p>
    <w:p w:rsidR="00943E45" w:rsidRPr="00DE3F87" w:rsidRDefault="00943E45" w:rsidP="00943E45">
      <w:pPr>
        <w:jc w:val="both"/>
        <w:rPr>
          <w:rFonts w:ascii="CG Omega" w:hAnsi="CG Omega"/>
          <w:highlight w:val="yellow"/>
        </w:rPr>
      </w:pPr>
    </w:p>
    <w:p w:rsidR="00943E45" w:rsidRPr="00955C8C" w:rsidRDefault="00943E45" w:rsidP="00943E45">
      <w:pPr>
        <w:jc w:val="both"/>
        <w:rPr>
          <w:rFonts w:ascii="CG Omega" w:hAnsi="CG Omega" w:cs="Arial"/>
          <w:highlight w:val="yellow"/>
        </w:rPr>
      </w:pPr>
      <w:r w:rsidRPr="007577FD">
        <w:rPr>
          <w:rFonts w:ascii="CG Omega" w:hAnsi="CG Omega" w:cs="Arial"/>
        </w:rPr>
        <w:t xml:space="preserve">HUD defines a person with a disability as </w:t>
      </w:r>
      <w:r>
        <w:rPr>
          <w:rFonts w:ascii="CG Omega" w:hAnsi="CG Omega" w:cs="Arial"/>
        </w:rPr>
        <w:t>any person who has a physical or</w:t>
      </w:r>
      <w:r w:rsidRPr="007577FD">
        <w:rPr>
          <w:rFonts w:ascii="CG Omega" w:hAnsi="CG Omega" w:cs="Arial"/>
        </w:rPr>
        <w:t xml:space="preserve"> mental impairment that substantially limits one or more major life activities.  </w:t>
      </w:r>
      <w:r>
        <w:rPr>
          <w:rFonts w:ascii="CG Omega" w:hAnsi="CG Omega" w:cs="Arial"/>
        </w:rPr>
        <w:t>Physical</w:t>
      </w:r>
      <w:r w:rsidRPr="007577FD">
        <w:rPr>
          <w:rFonts w:ascii="CG Omega" w:hAnsi="CG Omega" w:cs="Arial"/>
        </w:rPr>
        <w:t xml:space="preserve"> </w:t>
      </w:r>
      <w:r>
        <w:rPr>
          <w:rFonts w:ascii="CG Omega" w:hAnsi="CG Omega" w:cs="Arial"/>
        </w:rPr>
        <w:t xml:space="preserve">or mental disabilities include </w:t>
      </w:r>
      <w:r w:rsidRPr="007577FD">
        <w:rPr>
          <w:rFonts w:ascii="CG Omega" w:hAnsi="CG Omega" w:cs="Arial"/>
        </w:rPr>
        <w:t>hearing, mobility and visual impairments, chronic alcoholism, chronic mental illness, AIDS, AIDS related complex, and mental retardation that substantially limits one or more major life activities</w:t>
      </w:r>
      <w:r w:rsidRPr="00CF1970">
        <w:rPr>
          <w:rFonts w:ascii="CG Omega" w:hAnsi="CG Omega" w:cs="Arial"/>
        </w:rPr>
        <w:t>. Major life activities include walking, talking, hearing, seeing, breathing, learning, performing manua</w:t>
      </w:r>
      <w:r>
        <w:rPr>
          <w:rFonts w:ascii="CG Omega" w:hAnsi="CG Omega" w:cs="Arial"/>
        </w:rPr>
        <w:t>l tasks and caring for oneself.</w:t>
      </w:r>
      <w:r w:rsidRPr="00CF1970">
        <w:rPr>
          <w:rFonts w:ascii="CG Omega" w:hAnsi="CG Omega"/>
          <w:vertAlign w:val="superscript"/>
        </w:rPr>
        <w:footnoteReference w:id="61"/>
      </w:r>
      <w:r w:rsidRPr="00CF1970">
        <w:rPr>
          <w:rFonts w:ascii="CG Omega" w:hAnsi="CG Omega" w:cs="Arial"/>
          <w:vertAlign w:val="superscript"/>
        </w:rPr>
        <w:t xml:space="preserve"> </w:t>
      </w:r>
      <w:r w:rsidRPr="00CF1970">
        <w:rPr>
          <w:rFonts w:ascii="CG Omega" w:hAnsi="CG Omega" w:cs="Arial"/>
        </w:rPr>
        <w:t xml:space="preserve"> HUD defers to Section 102 of the Developmental Disabilities Assistance and Bill of Rights Act of 2000 for the definitio</w:t>
      </w:r>
      <w:r>
        <w:rPr>
          <w:rFonts w:ascii="CG Omega" w:hAnsi="CG Omega" w:cs="Arial"/>
        </w:rPr>
        <w:t xml:space="preserve">n of developmental disability: </w:t>
      </w:r>
      <w:r w:rsidRPr="00CF1970">
        <w:rPr>
          <w:rFonts w:ascii="CG Omega" w:hAnsi="CG Omega" w:cs="Arial"/>
        </w:rPr>
        <w:t>a severe, chronic disability of an individual that is attributable to a mental or physical impairment or combination of m</w:t>
      </w:r>
      <w:r>
        <w:rPr>
          <w:rFonts w:ascii="CG Omega" w:hAnsi="CG Omega" w:cs="Arial"/>
        </w:rPr>
        <w:t>ental and physical impairments.</w:t>
      </w:r>
    </w:p>
    <w:p w:rsidR="00943E45" w:rsidRPr="007F6B6C" w:rsidRDefault="00943E45" w:rsidP="00943E45">
      <w:pPr>
        <w:jc w:val="both"/>
        <w:rPr>
          <w:rFonts w:ascii="CG Omega" w:hAnsi="CG Omega" w:cs="Arial"/>
          <w:sz w:val="16"/>
          <w:szCs w:val="16"/>
          <w:highlight w:val="yellow"/>
        </w:rPr>
      </w:pPr>
    </w:p>
    <w:p w:rsidR="00943E45" w:rsidRPr="00746DC7" w:rsidRDefault="00943E45" w:rsidP="00943E45">
      <w:pPr>
        <w:jc w:val="both"/>
        <w:rPr>
          <w:rFonts w:ascii="CG Omega" w:hAnsi="CG Omega" w:cs="Arial"/>
        </w:rPr>
      </w:pPr>
      <w:r w:rsidRPr="00746DC7">
        <w:rPr>
          <w:rFonts w:ascii="CG Omega" w:hAnsi="CG Omega" w:cs="Arial"/>
        </w:rPr>
        <w:t xml:space="preserve">Many persons with disabilities require support services in order </w:t>
      </w:r>
      <w:r>
        <w:rPr>
          <w:rFonts w:ascii="CG Omega" w:hAnsi="CG Omega" w:cs="Arial"/>
        </w:rPr>
        <w:t>to maintain healthy lifestyles.</w:t>
      </w:r>
      <w:r w:rsidRPr="00746DC7">
        <w:rPr>
          <w:rFonts w:ascii="CG Omega" w:hAnsi="CG Omega" w:cs="Arial"/>
        </w:rPr>
        <w:t xml:space="preserve"> The services that are required often depend on the individual and the type of disability. For example, a person with a mental disability may require medication assistance, weekly counseling sessions or job placement assistance.  Specialized transport services and physical therapy sessions are services that might be required for a person with a physical disability.</w:t>
      </w:r>
    </w:p>
    <w:p w:rsidR="00943E45" w:rsidRPr="007F6B6C" w:rsidRDefault="00943E45" w:rsidP="00943E45">
      <w:pPr>
        <w:jc w:val="both"/>
        <w:rPr>
          <w:rFonts w:ascii="CG Omega" w:hAnsi="CG Omega" w:cs="Arial"/>
          <w:sz w:val="16"/>
          <w:szCs w:val="16"/>
        </w:rPr>
      </w:pPr>
    </w:p>
    <w:p w:rsidR="00943E45" w:rsidRPr="00955C8C" w:rsidRDefault="00943E45" w:rsidP="00943E45">
      <w:pPr>
        <w:jc w:val="both"/>
        <w:rPr>
          <w:rFonts w:ascii="CG Omega" w:hAnsi="CG Omega" w:cs="Arial"/>
          <w:highlight w:val="yellow"/>
        </w:rPr>
      </w:pPr>
      <w:r w:rsidRPr="00746DC7">
        <w:rPr>
          <w:rFonts w:ascii="CG Omega" w:hAnsi="CG Omega" w:cs="Arial"/>
        </w:rPr>
        <w:t xml:space="preserve">Many people with disabilities live on fixed incomes and thus face financial and housing challenges similar to those of the elderly.  Without a stable, affordable housing situation, persons with disabilities can find daily life challenging.  In addition, patients from psychiatric hospitals and structured residential programs have a hard time transitioning back in to mainstream society without a reasonably priced and supportive living situation.   The U.S. Conference of Mayors </w:t>
      </w:r>
      <w:r w:rsidRPr="00DE3F87">
        <w:rPr>
          <w:rFonts w:ascii="CG Omega" w:hAnsi="CG Omega" w:cs="Arial"/>
          <w:i/>
        </w:rPr>
        <w:t>2013 Hunger and Homeless Survey</w:t>
      </w:r>
      <w:r>
        <w:rPr>
          <w:rFonts w:ascii="CG Omega" w:hAnsi="CG Omega" w:cs="Arial"/>
        </w:rPr>
        <w:t xml:space="preserve"> found that</w:t>
      </w:r>
      <w:r w:rsidRPr="00746DC7">
        <w:rPr>
          <w:rFonts w:ascii="CG Omega" w:hAnsi="CG Omega" w:cs="Arial"/>
        </w:rPr>
        <w:t xml:space="preserve"> mental </w:t>
      </w:r>
      <w:r>
        <w:rPr>
          <w:rFonts w:ascii="CG Omega" w:hAnsi="CG Omega" w:cs="Arial"/>
        </w:rPr>
        <w:t>illness</w:t>
      </w:r>
      <w:r w:rsidRPr="00746DC7">
        <w:rPr>
          <w:rFonts w:ascii="CG Omega" w:hAnsi="CG Omega" w:cs="Arial"/>
        </w:rPr>
        <w:t xml:space="preserve"> </w:t>
      </w:r>
      <w:r>
        <w:rPr>
          <w:rFonts w:ascii="CG Omega" w:hAnsi="CG Omega" w:cs="Arial"/>
        </w:rPr>
        <w:t xml:space="preserve">was cited 44 percent of the time as a </w:t>
      </w:r>
      <w:r w:rsidRPr="00746DC7">
        <w:rPr>
          <w:rFonts w:ascii="CG Omega" w:hAnsi="CG Omega" w:cs="Arial"/>
        </w:rPr>
        <w:t xml:space="preserve">cause of homelessness among </w:t>
      </w:r>
      <w:r>
        <w:rPr>
          <w:rFonts w:ascii="CG Omega" w:hAnsi="CG Omega" w:cs="Arial"/>
        </w:rPr>
        <w:t>unaccompanied individuals.</w:t>
      </w:r>
      <w:r w:rsidRPr="00746DC7">
        <w:rPr>
          <w:rFonts w:ascii="CG Omega" w:hAnsi="CG Omega" w:cs="Arial"/>
        </w:rPr>
        <w:t xml:space="preserve"> Likewise, they reported that 30 percent of homeless adults in their cities had severe mental illness.</w:t>
      </w:r>
      <w:r w:rsidRPr="00746DC7">
        <w:rPr>
          <w:rStyle w:val="FootnoteReference"/>
          <w:rFonts w:ascii="CG Omega" w:hAnsi="CG Omega" w:cs="Arial"/>
        </w:rPr>
        <w:footnoteReference w:id="62"/>
      </w:r>
      <w:r w:rsidRPr="00746DC7">
        <w:rPr>
          <w:rFonts w:ascii="CG Omega" w:hAnsi="CG Omega" w:cs="Arial"/>
        </w:rPr>
        <w:t xml:space="preserve">  </w:t>
      </w:r>
    </w:p>
    <w:p w:rsidR="00943E45" w:rsidRPr="007F6B6C" w:rsidRDefault="00943E45" w:rsidP="00943E45">
      <w:pPr>
        <w:jc w:val="both"/>
        <w:rPr>
          <w:rFonts w:ascii="CG Omega" w:hAnsi="CG Omega" w:cs="Arial"/>
          <w:b/>
          <w:snapToGrid w:val="0"/>
          <w:sz w:val="16"/>
          <w:szCs w:val="16"/>
          <w:highlight w:val="yellow"/>
        </w:rPr>
      </w:pPr>
    </w:p>
    <w:p w:rsidR="00943E45" w:rsidRPr="00D45927" w:rsidRDefault="00943E45" w:rsidP="00943E45">
      <w:pPr>
        <w:jc w:val="both"/>
        <w:rPr>
          <w:rFonts w:ascii="CG Omega" w:hAnsi="CG Omega" w:cs="Arial"/>
          <w:b/>
          <w:snapToGrid w:val="0"/>
        </w:rPr>
      </w:pPr>
      <w:r w:rsidRPr="00D45927">
        <w:rPr>
          <w:rFonts w:ascii="CG Omega" w:hAnsi="CG Omega" w:cs="Arial"/>
          <w:b/>
          <w:snapToGrid w:val="0"/>
        </w:rPr>
        <w:t>Size and Characteristics</w:t>
      </w:r>
    </w:p>
    <w:p w:rsidR="00943E45" w:rsidRPr="007F6B6C" w:rsidRDefault="00943E45" w:rsidP="00943E45">
      <w:pPr>
        <w:jc w:val="both"/>
        <w:rPr>
          <w:rFonts w:ascii="CG Omega" w:hAnsi="CG Omega" w:cs="Arial"/>
          <w:b/>
          <w:snapToGrid w:val="0"/>
          <w:sz w:val="16"/>
          <w:szCs w:val="16"/>
          <w:highlight w:val="yellow"/>
        </w:rPr>
      </w:pPr>
    </w:p>
    <w:p w:rsidR="00943E45" w:rsidRDefault="00943E45" w:rsidP="00943E45">
      <w:pPr>
        <w:jc w:val="both"/>
        <w:rPr>
          <w:rFonts w:ascii="CG Omega" w:hAnsi="CG Omega" w:cs="Arial"/>
        </w:rPr>
      </w:pPr>
      <w:r>
        <w:rPr>
          <w:rFonts w:ascii="CG Omega" w:hAnsi="CG Omega" w:cs="Arial"/>
        </w:rPr>
        <w:t>Data from</w:t>
      </w:r>
      <w:r w:rsidRPr="005830A4">
        <w:rPr>
          <w:rFonts w:ascii="CG Omega" w:hAnsi="CG Omega" w:cs="Arial"/>
        </w:rPr>
        <w:t xml:space="preserve"> the 20</w:t>
      </w:r>
      <w:r>
        <w:rPr>
          <w:rFonts w:ascii="CG Omega" w:hAnsi="CG Omega" w:cs="Arial"/>
        </w:rPr>
        <w:t>12 Five-Year American Community Survey</w:t>
      </w:r>
      <w:r w:rsidRPr="005830A4">
        <w:rPr>
          <w:rFonts w:ascii="CG Omega" w:hAnsi="CG Omega" w:cs="Arial"/>
        </w:rPr>
        <w:t xml:space="preserve"> for New Mexico showed a total population of persons with disabilities of </w:t>
      </w:r>
      <w:r>
        <w:rPr>
          <w:rFonts w:ascii="CG Omega" w:hAnsi="CG Omega" w:cs="Arial"/>
        </w:rPr>
        <w:t>277,345</w:t>
      </w:r>
      <w:r w:rsidRPr="005830A4">
        <w:rPr>
          <w:rFonts w:ascii="CG Omega" w:hAnsi="CG Omega" w:cs="Arial"/>
        </w:rPr>
        <w:t xml:space="preserve">, with an overall disability rate of </w:t>
      </w:r>
      <w:r>
        <w:rPr>
          <w:rFonts w:ascii="CG Omega" w:hAnsi="CG Omega" w:cs="Arial"/>
        </w:rPr>
        <w:t>13.7</w:t>
      </w:r>
      <w:r w:rsidRPr="005830A4">
        <w:rPr>
          <w:rFonts w:ascii="CG Omega" w:hAnsi="CG Omega" w:cs="Arial"/>
        </w:rPr>
        <w:t xml:space="preserve"> percent</w:t>
      </w:r>
      <w:r>
        <w:rPr>
          <w:rFonts w:ascii="CG Omega" w:hAnsi="CG Omega" w:cs="Arial"/>
        </w:rPr>
        <w:t>.</w:t>
      </w:r>
      <w:r w:rsidRPr="005830A4">
        <w:rPr>
          <w:rFonts w:ascii="CG Omega" w:hAnsi="CG Omega" w:cs="Arial"/>
        </w:rPr>
        <w:t xml:space="preserve"> </w:t>
      </w:r>
      <w:r w:rsidRPr="00DE3F87">
        <w:rPr>
          <w:rFonts w:ascii="CG Omega" w:hAnsi="CG Omega" w:cs="Arial"/>
          <w:b/>
        </w:rPr>
        <w:t>Table</w:t>
      </w:r>
      <w:r w:rsidR="000D21C9" w:rsidRPr="00DE3F87">
        <w:rPr>
          <w:rFonts w:ascii="CG Omega" w:hAnsi="CG Omega" w:cs="Arial"/>
          <w:b/>
        </w:rPr>
        <w:t xml:space="preserve"> V.2</w:t>
      </w:r>
      <w:r w:rsidR="000155B6" w:rsidRPr="00DE3F87">
        <w:rPr>
          <w:rFonts w:ascii="CG Omega" w:hAnsi="CG Omega" w:cs="Arial"/>
          <w:b/>
        </w:rPr>
        <w:t>1</w:t>
      </w:r>
      <w:r w:rsidRPr="00832AB3">
        <w:rPr>
          <w:rFonts w:ascii="CG Omega" w:hAnsi="CG Omega" w:cs="Arial"/>
        </w:rPr>
        <w:t xml:space="preserve"> </w:t>
      </w:r>
      <w:r w:rsidRPr="005830A4">
        <w:rPr>
          <w:rFonts w:ascii="CG Omega" w:hAnsi="CG Omega" w:cs="Arial"/>
        </w:rPr>
        <w:t>presents a tally of disabilities by age</w:t>
      </w:r>
      <w:r>
        <w:rPr>
          <w:rFonts w:ascii="CG Omega" w:hAnsi="CG Omega" w:cs="Arial"/>
        </w:rPr>
        <w:t xml:space="preserve"> and gender.  The age group with the highest disability rate is persons aged 75 and older. Males had a slightly higher disability rate at 14.1 percent, than females, at 13.4 percent.  Children under </w:t>
      </w:r>
      <w:r w:rsidR="00DE3F87">
        <w:rPr>
          <w:rFonts w:ascii="CG Omega" w:hAnsi="CG Omega" w:cs="Arial"/>
        </w:rPr>
        <w:t xml:space="preserve">five </w:t>
      </w:r>
      <w:r>
        <w:rPr>
          <w:rFonts w:ascii="CG Omega" w:hAnsi="CG Omega" w:cs="Arial"/>
        </w:rPr>
        <w:t>had the lowest disability rate, at one percent for both males and females.</w:t>
      </w:r>
    </w:p>
    <w:p w:rsidR="00943E45" w:rsidRPr="00E03899" w:rsidRDefault="00943E45" w:rsidP="00943E45">
      <w:pPr>
        <w:jc w:val="both"/>
        <w:rPr>
          <w:rFonts w:ascii="CG Omega" w:hAnsi="CG Omega" w:cs="Arial"/>
          <w:sz w:val="16"/>
          <w:szCs w:val="16"/>
        </w:rPr>
      </w:pPr>
    </w:p>
    <w:tbl>
      <w:tblPr>
        <w:tblW w:w="7418" w:type="dxa"/>
        <w:jc w:val="center"/>
        <w:tblLook w:val="04A0" w:firstRow="1" w:lastRow="0" w:firstColumn="1" w:lastColumn="0" w:noHBand="0" w:noVBand="1"/>
      </w:tblPr>
      <w:tblGrid>
        <w:gridCol w:w="1059"/>
        <w:gridCol w:w="1099"/>
        <w:gridCol w:w="990"/>
        <w:gridCol w:w="1120"/>
        <w:gridCol w:w="1040"/>
        <w:gridCol w:w="1120"/>
        <w:gridCol w:w="990"/>
      </w:tblGrid>
      <w:tr w:rsidR="00943E45" w:rsidRPr="00AF0F26" w:rsidTr="00E56B71">
        <w:trPr>
          <w:trHeight w:val="216"/>
          <w:jc w:val="center"/>
        </w:trPr>
        <w:tc>
          <w:tcPr>
            <w:tcW w:w="7418" w:type="dxa"/>
            <w:gridSpan w:val="7"/>
            <w:tcBorders>
              <w:bottom w:val="single" w:sz="4" w:space="0" w:color="009900"/>
            </w:tcBorders>
            <w:shd w:val="clear" w:color="000000" w:fill="auto"/>
            <w:noWrap/>
            <w:vAlign w:val="center"/>
            <w:hideMark/>
          </w:tcPr>
          <w:p w:rsidR="00943E45" w:rsidRPr="00943E45" w:rsidRDefault="00943E45" w:rsidP="00A836ED">
            <w:pPr>
              <w:pStyle w:val="Caption"/>
              <w:spacing w:after="0"/>
              <w:jc w:val="center"/>
              <w:rPr>
                <w:rFonts w:ascii="Arial" w:hAnsi="Arial" w:cs="Arial"/>
                <w:sz w:val="22"/>
                <w:szCs w:val="22"/>
              </w:rPr>
            </w:pPr>
            <w:r w:rsidRPr="00832AB3">
              <w:rPr>
                <w:rFonts w:ascii="Arial" w:hAnsi="Arial" w:cs="Arial"/>
                <w:sz w:val="22"/>
                <w:szCs w:val="22"/>
              </w:rPr>
              <w:t xml:space="preserve">Table </w:t>
            </w:r>
            <w:r w:rsidR="000D21C9">
              <w:rPr>
                <w:rFonts w:ascii="Arial" w:hAnsi="Arial" w:cs="Arial"/>
                <w:noProof/>
                <w:sz w:val="22"/>
                <w:szCs w:val="22"/>
              </w:rPr>
              <w:t>V.2</w:t>
            </w:r>
            <w:r w:rsidR="000155B6">
              <w:rPr>
                <w:rFonts w:ascii="Arial" w:hAnsi="Arial" w:cs="Arial"/>
                <w:noProof/>
                <w:sz w:val="22"/>
                <w:szCs w:val="22"/>
              </w:rPr>
              <w:t>1</w:t>
            </w:r>
          </w:p>
          <w:p w:rsidR="00943E45" w:rsidRPr="00AF0F26" w:rsidRDefault="00943E45" w:rsidP="00E56B71">
            <w:pPr>
              <w:pStyle w:val="ObjectSubtitle"/>
            </w:pPr>
            <w:r w:rsidRPr="00AF0F26">
              <w:t>Disability by Age</w:t>
            </w:r>
          </w:p>
          <w:p w:rsidR="00943E45" w:rsidRPr="00751D0F" w:rsidRDefault="00943E45" w:rsidP="00E56B71">
            <w:pPr>
              <w:pStyle w:val="ObjectAreaData"/>
            </w:pPr>
            <w:r w:rsidRPr="009C69D6">
              <w:rPr>
                <w:noProof/>
              </w:rPr>
              <w:t>State of New Mexico</w:t>
            </w:r>
          </w:p>
          <w:p w:rsidR="00943E45" w:rsidRPr="00AF0F26" w:rsidRDefault="00943E45" w:rsidP="00E56B71">
            <w:pPr>
              <w:pStyle w:val="ObjectAreaData"/>
              <w:rPr>
                <w:b/>
                <w:bCs/>
              </w:rPr>
            </w:pPr>
            <w:r>
              <w:t>2012</w:t>
            </w:r>
            <w:r w:rsidRPr="00AF0F26">
              <w:t xml:space="preserve"> </w:t>
            </w:r>
            <w:r>
              <w:t>Five</w:t>
            </w:r>
            <w:r w:rsidRPr="00AF0F26">
              <w:t>-Year ACS Data</w:t>
            </w:r>
          </w:p>
        </w:tc>
      </w:tr>
      <w:tr w:rsidR="00943E45" w:rsidRPr="002E5098" w:rsidTr="00E56B71">
        <w:trPr>
          <w:trHeight w:val="216"/>
          <w:jc w:val="center"/>
        </w:trPr>
        <w:tc>
          <w:tcPr>
            <w:tcW w:w="1059" w:type="dxa"/>
            <w:vMerge w:val="restart"/>
            <w:tcBorders>
              <w:top w:val="single" w:sz="4" w:space="0" w:color="009900"/>
              <w:left w:val="single" w:sz="4" w:space="0" w:color="009900"/>
              <w:bottom w:val="single" w:sz="4" w:space="0" w:color="009900"/>
              <w:right w:val="nil"/>
            </w:tcBorders>
            <w:shd w:val="clear" w:color="000000" w:fill="FFFFE1"/>
            <w:noWrap/>
            <w:vAlign w:val="center"/>
            <w:hideMark/>
          </w:tcPr>
          <w:p w:rsidR="00943E45" w:rsidRPr="002E5098" w:rsidRDefault="00943E45" w:rsidP="00E56B71">
            <w:pPr>
              <w:pStyle w:val="ObjectAreaData"/>
              <w:jc w:val="left"/>
              <w:rPr>
                <w:b/>
              </w:rPr>
            </w:pPr>
            <w:r w:rsidRPr="002E5098">
              <w:rPr>
                <w:b/>
              </w:rPr>
              <w:t>Age</w:t>
            </w:r>
          </w:p>
        </w:tc>
        <w:tc>
          <w:tcPr>
            <w:tcW w:w="2089" w:type="dxa"/>
            <w:gridSpan w:val="2"/>
            <w:tcBorders>
              <w:top w:val="single" w:sz="4" w:space="0" w:color="009900"/>
              <w:left w:val="nil"/>
              <w:bottom w:val="dotted" w:sz="4" w:space="0" w:color="009900"/>
              <w:right w:val="nil"/>
            </w:tcBorders>
            <w:shd w:val="clear" w:color="000000" w:fill="FFFFE1"/>
            <w:noWrap/>
            <w:vAlign w:val="center"/>
            <w:hideMark/>
          </w:tcPr>
          <w:p w:rsidR="00943E45" w:rsidRPr="002E5098" w:rsidRDefault="00943E45" w:rsidP="00E56B71">
            <w:pPr>
              <w:pStyle w:val="ObjectAreaData"/>
              <w:rPr>
                <w:b/>
              </w:rPr>
            </w:pPr>
            <w:r w:rsidRPr="002E5098">
              <w:rPr>
                <w:b/>
              </w:rPr>
              <w:t>Male</w:t>
            </w:r>
          </w:p>
        </w:tc>
        <w:tc>
          <w:tcPr>
            <w:tcW w:w="2160" w:type="dxa"/>
            <w:gridSpan w:val="2"/>
            <w:tcBorders>
              <w:top w:val="single" w:sz="4" w:space="0" w:color="009900"/>
              <w:left w:val="dotted" w:sz="4" w:space="0" w:color="009900"/>
              <w:bottom w:val="dotted" w:sz="4" w:space="0" w:color="009900"/>
              <w:right w:val="dotted" w:sz="4" w:space="0" w:color="009900"/>
            </w:tcBorders>
            <w:shd w:val="clear" w:color="000000" w:fill="FFFFE1"/>
            <w:noWrap/>
            <w:vAlign w:val="center"/>
            <w:hideMark/>
          </w:tcPr>
          <w:p w:rsidR="00943E45" w:rsidRPr="002E5098" w:rsidRDefault="00943E45" w:rsidP="00E56B71">
            <w:pPr>
              <w:pStyle w:val="ObjectAreaData"/>
              <w:rPr>
                <w:b/>
              </w:rPr>
            </w:pPr>
            <w:r w:rsidRPr="002E5098">
              <w:rPr>
                <w:b/>
              </w:rPr>
              <w:t>Female</w:t>
            </w:r>
          </w:p>
        </w:tc>
        <w:tc>
          <w:tcPr>
            <w:tcW w:w="2110" w:type="dxa"/>
            <w:gridSpan w:val="2"/>
            <w:tcBorders>
              <w:top w:val="single" w:sz="4" w:space="0" w:color="009900"/>
              <w:left w:val="nil"/>
              <w:bottom w:val="dotted" w:sz="4" w:space="0" w:color="009900"/>
              <w:right w:val="single" w:sz="4" w:space="0" w:color="009900"/>
            </w:tcBorders>
            <w:shd w:val="clear" w:color="000000" w:fill="FFFFE1"/>
            <w:noWrap/>
            <w:vAlign w:val="center"/>
            <w:hideMark/>
          </w:tcPr>
          <w:p w:rsidR="00943E45" w:rsidRPr="002E5098" w:rsidRDefault="00943E45" w:rsidP="00E56B71">
            <w:pPr>
              <w:pStyle w:val="ObjectAreaData"/>
              <w:rPr>
                <w:b/>
              </w:rPr>
            </w:pPr>
            <w:r w:rsidRPr="002E5098">
              <w:rPr>
                <w:b/>
              </w:rPr>
              <w:t>Total</w:t>
            </w:r>
          </w:p>
        </w:tc>
      </w:tr>
      <w:tr w:rsidR="00943E45" w:rsidRPr="002E5098" w:rsidTr="00E56B71">
        <w:trPr>
          <w:trHeight w:val="216"/>
          <w:jc w:val="center"/>
        </w:trPr>
        <w:tc>
          <w:tcPr>
            <w:tcW w:w="1059" w:type="dxa"/>
            <w:vMerge/>
            <w:tcBorders>
              <w:top w:val="single" w:sz="4" w:space="0" w:color="009900"/>
              <w:left w:val="single" w:sz="4" w:space="0" w:color="009900"/>
              <w:bottom w:val="single" w:sz="4" w:space="0" w:color="009900"/>
              <w:right w:val="nil"/>
            </w:tcBorders>
            <w:vAlign w:val="center"/>
            <w:hideMark/>
          </w:tcPr>
          <w:p w:rsidR="00943E45" w:rsidRPr="002E5098" w:rsidRDefault="00943E45" w:rsidP="00E56B71">
            <w:pPr>
              <w:pStyle w:val="ObjectAreaData"/>
              <w:jc w:val="left"/>
              <w:rPr>
                <w:b/>
              </w:rPr>
            </w:pPr>
          </w:p>
        </w:tc>
        <w:tc>
          <w:tcPr>
            <w:tcW w:w="1099" w:type="dxa"/>
            <w:tcBorders>
              <w:top w:val="nil"/>
              <w:left w:val="nil"/>
              <w:bottom w:val="single" w:sz="4" w:space="0" w:color="009900"/>
              <w:right w:val="nil"/>
            </w:tcBorders>
            <w:shd w:val="clear" w:color="000000" w:fill="FFFFE1"/>
            <w:vAlign w:val="center"/>
            <w:hideMark/>
          </w:tcPr>
          <w:p w:rsidR="00943E45" w:rsidRPr="002E5098" w:rsidRDefault="00943E45" w:rsidP="00E56B71">
            <w:pPr>
              <w:pStyle w:val="ObjectAreaData"/>
              <w:rPr>
                <w:b/>
              </w:rPr>
            </w:pPr>
            <w:r w:rsidRPr="002E5098">
              <w:rPr>
                <w:b/>
              </w:rPr>
              <w:t xml:space="preserve">Disabled </w:t>
            </w:r>
          </w:p>
          <w:p w:rsidR="00943E45" w:rsidRPr="002E5098" w:rsidRDefault="00943E45" w:rsidP="00E56B71">
            <w:pPr>
              <w:pStyle w:val="ObjectAreaData"/>
              <w:rPr>
                <w:b/>
              </w:rPr>
            </w:pPr>
            <w:r w:rsidRPr="002E5098">
              <w:rPr>
                <w:b/>
              </w:rPr>
              <w:t>Population</w:t>
            </w:r>
          </w:p>
        </w:tc>
        <w:tc>
          <w:tcPr>
            <w:tcW w:w="990" w:type="dxa"/>
            <w:tcBorders>
              <w:top w:val="nil"/>
              <w:left w:val="nil"/>
              <w:bottom w:val="single" w:sz="4" w:space="0" w:color="009900"/>
              <w:right w:val="nil"/>
            </w:tcBorders>
            <w:shd w:val="clear" w:color="000000" w:fill="FFFFE1"/>
            <w:vAlign w:val="center"/>
            <w:hideMark/>
          </w:tcPr>
          <w:p w:rsidR="00943E45" w:rsidRPr="002E5098" w:rsidRDefault="00943E45" w:rsidP="00E56B71">
            <w:pPr>
              <w:pStyle w:val="ObjectAreaData"/>
              <w:rPr>
                <w:b/>
              </w:rPr>
            </w:pPr>
            <w:r w:rsidRPr="002E5098">
              <w:rPr>
                <w:b/>
              </w:rPr>
              <w:t xml:space="preserve">Disability </w:t>
            </w:r>
          </w:p>
          <w:p w:rsidR="00943E45" w:rsidRPr="002E5098" w:rsidRDefault="00943E45" w:rsidP="00E56B71">
            <w:pPr>
              <w:pStyle w:val="ObjectAreaData"/>
              <w:rPr>
                <w:b/>
              </w:rPr>
            </w:pPr>
            <w:r w:rsidRPr="002E5098">
              <w:rPr>
                <w:b/>
              </w:rPr>
              <w:t>Rate</w:t>
            </w:r>
          </w:p>
        </w:tc>
        <w:tc>
          <w:tcPr>
            <w:tcW w:w="1120" w:type="dxa"/>
            <w:tcBorders>
              <w:top w:val="nil"/>
              <w:left w:val="dotted" w:sz="4" w:space="0" w:color="009900"/>
              <w:bottom w:val="single" w:sz="4" w:space="0" w:color="009900"/>
              <w:right w:val="nil"/>
            </w:tcBorders>
            <w:shd w:val="clear" w:color="000000" w:fill="FFFFE1"/>
            <w:vAlign w:val="center"/>
            <w:hideMark/>
          </w:tcPr>
          <w:p w:rsidR="00943E45" w:rsidRPr="002E5098" w:rsidRDefault="00943E45" w:rsidP="00E56B71">
            <w:pPr>
              <w:pStyle w:val="ObjectAreaData"/>
              <w:rPr>
                <w:b/>
              </w:rPr>
            </w:pPr>
            <w:r w:rsidRPr="002E5098">
              <w:rPr>
                <w:b/>
              </w:rPr>
              <w:t xml:space="preserve">Disabled </w:t>
            </w:r>
          </w:p>
          <w:p w:rsidR="00943E45" w:rsidRPr="002E5098" w:rsidRDefault="00943E45" w:rsidP="00E56B71">
            <w:pPr>
              <w:pStyle w:val="ObjectAreaData"/>
              <w:rPr>
                <w:b/>
              </w:rPr>
            </w:pPr>
            <w:r w:rsidRPr="002E5098">
              <w:rPr>
                <w:b/>
              </w:rPr>
              <w:t>Population</w:t>
            </w:r>
          </w:p>
        </w:tc>
        <w:tc>
          <w:tcPr>
            <w:tcW w:w="1040" w:type="dxa"/>
            <w:tcBorders>
              <w:top w:val="nil"/>
              <w:left w:val="nil"/>
              <w:bottom w:val="single" w:sz="4" w:space="0" w:color="009900"/>
              <w:right w:val="dotted" w:sz="4" w:space="0" w:color="009900"/>
            </w:tcBorders>
            <w:shd w:val="clear" w:color="000000" w:fill="FFFFE1"/>
            <w:vAlign w:val="center"/>
            <w:hideMark/>
          </w:tcPr>
          <w:p w:rsidR="00943E45" w:rsidRPr="002E5098" w:rsidRDefault="00943E45" w:rsidP="00E56B71">
            <w:pPr>
              <w:pStyle w:val="ObjectAreaData"/>
              <w:rPr>
                <w:b/>
              </w:rPr>
            </w:pPr>
            <w:r w:rsidRPr="002E5098">
              <w:rPr>
                <w:b/>
              </w:rPr>
              <w:t xml:space="preserve">Disability </w:t>
            </w:r>
          </w:p>
          <w:p w:rsidR="00943E45" w:rsidRPr="002E5098" w:rsidRDefault="00943E45" w:rsidP="00E56B71">
            <w:pPr>
              <w:pStyle w:val="ObjectAreaData"/>
              <w:rPr>
                <w:b/>
              </w:rPr>
            </w:pPr>
            <w:r w:rsidRPr="002E5098">
              <w:rPr>
                <w:b/>
              </w:rPr>
              <w:t>Rate</w:t>
            </w:r>
          </w:p>
        </w:tc>
        <w:tc>
          <w:tcPr>
            <w:tcW w:w="1120" w:type="dxa"/>
            <w:tcBorders>
              <w:top w:val="nil"/>
              <w:left w:val="nil"/>
              <w:bottom w:val="single" w:sz="4" w:space="0" w:color="009900"/>
              <w:right w:val="nil"/>
            </w:tcBorders>
            <w:shd w:val="clear" w:color="000000" w:fill="FFFFE1"/>
            <w:vAlign w:val="center"/>
            <w:hideMark/>
          </w:tcPr>
          <w:p w:rsidR="00943E45" w:rsidRPr="002E5098" w:rsidRDefault="00943E45" w:rsidP="00E56B71">
            <w:pPr>
              <w:pStyle w:val="ObjectAreaData"/>
              <w:rPr>
                <w:b/>
              </w:rPr>
            </w:pPr>
            <w:r w:rsidRPr="002E5098">
              <w:rPr>
                <w:b/>
              </w:rPr>
              <w:t xml:space="preserve">Disabled </w:t>
            </w:r>
          </w:p>
          <w:p w:rsidR="00943E45" w:rsidRPr="002E5098" w:rsidRDefault="00943E45" w:rsidP="00E56B71">
            <w:pPr>
              <w:pStyle w:val="ObjectAreaData"/>
              <w:rPr>
                <w:b/>
              </w:rPr>
            </w:pPr>
            <w:r w:rsidRPr="002E5098">
              <w:rPr>
                <w:b/>
              </w:rPr>
              <w:t>Population</w:t>
            </w:r>
          </w:p>
        </w:tc>
        <w:tc>
          <w:tcPr>
            <w:tcW w:w="990" w:type="dxa"/>
            <w:tcBorders>
              <w:top w:val="nil"/>
              <w:left w:val="nil"/>
              <w:bottom w:val="single" w:sz="4" w:space="0" w:color="009900"/>
              <w:right w:val="single" w:sz="4" w:space="0" w:color="009900"/>
            </w:tcBorders>
            <w:shd w:val="clear" w:color="000000" w:fill="FFFFE1"/>
            <w:vAlign w:val="center"/>
            <w:hideMark/>
          </w:tcPr>
          <w:p w:rsidR="00943E45" w:rsidRPr="002E5098" w:rsidRDefault="00943E45" w:rsidP="00E56B71">
            <w:pPr>
              <w:pStyle w:val="ObjectAreaData"/>
              <w:rPr>
                <w:b/>
              </w:rPr>
            </w:pPr>
            <w:r w:rsidRPr="002E5098">
              <w:rPr>
                <w:b/>
              </w:rPr>
              <w:t xml:space="preserve">Disability </w:t>
            </w:r>
          </w:p>
          <w:p w:rsidR="00943E45" w:rsidRPr="002E5098" w:rsidRDefault="00943E45" w:rsidP="00E56B71">
            <w:pPr>
              <w:pStyle w:val="ObjectAreaData"/>
              <w:rPr>
                <w:b/>
              </w:rPr>
            </w:pPr>
            <w:r w:rsidRPr="002E5098">
              <w:rPr>
                <w:b/>
              </w:rPr>
              <w:t>Rate</w:t>
            </w:r>
          </w:p>
        </w:tc>
      </w:tr>
      <w:tr w:rsidR="00943E45" w:rsidRPr="00AF0F26" w:rsidTr="00E56B71">
        <w:trPr>
          <w:trHeight w:val="216"/>
          <w:jc w:val="center"/>
        </w:trPr>
        <w:tc>
          <w:tcPr>
            <w:tcW w:w="1059" w:type="dxa"/>
            <w:tcBorders>
              <w:top w:val="nil"/>
              <w:left w:val="single" w:sz="4" w:space="0" w:color="009900"/>
              <w:bottom w:val="nil"/>
              <w:right w:val="nil"/>
            </w:tcBorders>
            <w:shd w:val="clear" w:color="000000" w:fill="FFFFE1"/>
            <w:noWrap/>
            <w:vAlign w:val="center"/>
            <w:hideMark/>
          </w:tcPr>
          <w:p w:rsidR="00943E45" w:rsidRPr="002E5098" w:rsidRDefault="00943E45" w:rsidP="00E56B71">
            <w:pPr>
              <w:pStyle w:val="ObjectAreaData"/>
              <w:jc w:val="left"/>
            </w:pPr>
            <w:r w:rsidRPr="002E5098">
              <w:t>Under 5</w:t>
            </w:r>
          </w:p>
        </w:tc>
        <w:tc>
          <w:tcPr>
            <w:tcW w:w="1099" w:type="dxa"/>
            <w:tcBorders>
              <w:top w:val="nil"/>
              <w:left w:val="nil"/>
              <w:bottom w:val="nil"/>
              <w:right w:val="nil"/>
            </w:tcBorders>
            <w:shd w:val="clear" w:color="000000" w:fill="FFFFE1"/>
            <w:noWrap/>
            <w:vAlign w:val="center"/>
            <w:hideMark/>
          </w:tcPr>
          <w:p w:rsidR="00943E45" w:rsidRPr="00AF0F26" w:rsidRDefault="00943E45" w:rsidP="00E56B71">
            <w:pPr>
              <w:pStyle w:val="ObjectAreaData"/>
            </w:pPr>
            <w:r w:rsidRPr="009C69D6">
              <w:rPr>
                <w:noProof/>
              </w:rPr>
              <w:t>772</w:t>
            </w:r>
          </w:p>
        </w:tc>
        <w:tc>
          <w:tcPr>
            <w:tcW w:w="990" w:type="dxa"/>
            <w:tcBorders>
              <w:top w:val="nil"/>
              <w:left w:val="nil"/>
              <w:bottom w:val="nil"/>
              <w:right w:val="nil"/>
            </w:tcBorders>
            <w:shd w:val="clear" w:color="000000" w:fill="FFFFE1"/>
            <w:noWrap/>
            <w:vAlign w:val="center"/>
            <w:hideMark/>
          </w:tcPr>
          <w:p w:rsidR="00943E45" w:rsidRPr="00AF0F26" w:rsidRDefault="00943E45" w:rsidP="00E56B71">
            <w:pPr>
              <w:pStyle w:val="ObjectAreaData"/>
            </w:pPr>
            <w:r w:rsidRPr="009C69D6">
              <w:rPr>
                <w:noProof/>
              </w:rPr>
              <w:t>1.0</w:t>
            </w:r>
            <w:r w:rsidRPr="00AF0F26">
              <w:t>%</w:t>
            </w:r>
          </w:p>
        </w:tc>
        <w:tc>
          <w:tcPr>
            <w:tcW w:w="1120" w:type="dxa"/>
            <w:tcBorders>
              <w:top w:val="nil"/>
              <w:left w:val="dotted" w:sz="4" w:space="0" w:color="009900"/>
              <w:bottom w:val="nil"/>
              <w:right w:val="nil"/>
            </w:tcBorders>
            <w:shd w:val="clear" w:color="000000" w:fill="FFFFE1"/>
            <w:noWrap/>
            <w:vAlign w:val="center"/>
            <w:hideMark/>
          </w:tcPr>
          <w:p w:rsidR="00943E45" w:rsidRPr="00AF0F26" w:rsidRDefault="00943E45" w:rsidP="00E56B71">
            <w:pPr>
              <w:pStyle w:val="ObjectAreaData"/>
            </w:pPr>
            <w:r w:rsidRPr="009C69D6">
              <w:rPr>
                <w:noProof/>
              </w:rPr>
              <w:t>702</w:t>
            </w:r>
          </w:p>
        </w:tc>
        <w:tc>
          <w:tcPr>
            <w:tcW w:w="1040" w:type="dxa"/>
            <w:tcBorders>
              <w:top w:val="nil"/>
              <w:left w:val="nil"/>
              <w:bottom w:val="nil"/>
              <w:right w:val="dotted" w:sz="4" w:space="0" w:color="009900"/>
            </w:tcBorders>
            <w:shd w:val="clear" w:color="000000" w:fill="FFFFE1"/>
            <w:noWrap/>
            <w:vAlign w:val="center"/>
            <w:hideMark/>
          </w:tcPr>
          <w:p w:rsidR="00943E45" w:rsidRPr="00AF0F26" w:rsidRDefault="00943E45" w:rsidP="00E56B71">
            <w:pPr>
              <w:pStyle w:val="ObjectAreaData"/>
            </w:pPr>
            <w:r w:rsidRPr="009C69D6">
              <w:rPr>
                <w:noProof/>
              </w:rPr>
              <w:t>1.0</w:t>
            </w:r>
            <w:r w:rsidRPr="00AF0F26">
              <w:t>%</w:t>
            </w:r>
          </w:p>
        </w:tc>
        <w:tc>
          <w:tcPr>
            <w:tcW w:w="1120" w:type="dxa"/>
            <w:tcBorders>
              <w:top w:val="nil"/>
              <w:left w:val="nil"/>
              <w:bottom w:val="nil"/>
              <w:right w:val="nil"/>
            </w:tcBorders>
            <w:shd w:val="clear" w:color="000000" w:fill="FFFFE1"/>
            <w:noWrap/>
            <w:vAlign w:val="center"/>
            <w:hideMark/>
          </w:tcPr>
          <w:p w:rsidR="00943E45" w:rsidRPr="00AF0F26" w:rsidRDefault="00943E45" w:rsidP="00E56B71">
            <w:pPr>
              <w:pStyle w:val="ObjectAreaData"/>
            </w:pPr>
            <w:r w:rsidRPr="009C69D6">
              <w:rPr>
                <w:noProof/>
              </w:rPr>
              <w:t>1,474</w:t>
            </w:r>
          </w:p>
        </w:tc>
        <w:tc>
          <w:tcPr>
            <w:tcW w:w="990" w:type="dxa"/>
            <w:tcBorders>
              <w:top w:val="nil"/>
              <w:left w:val="nil"/>
              <w:bottom w:val="nil"/>
              <w:right w:val="single" w:sz="4" w:space="0" w:color="009900"/>
            </w:tcBorders>
            <w:shd w:val="clear" w:color="000000" w:fill="FFFFE1"/>
            <w:noWrap/>
            <w:vAlign w:val="center"/>
            <w:hideMark/>
          </w:tcPr>
          <w:p w:rsidR="00943E45" w:rsidRPr="00AF0F26" w:rsidRDefault="00943E45" w:rsidP="00E56B71">
            <w:pPr>
              <w:pStyle w:val="ObjectAreaData"/>
            </w:pPr>
            <w:r w:rsidRPr="009C69D6">
              <w:rPr>
                <w:noProof/>
              </w:rPr>
              <w:t>1.0</w:t>
            </w:r>
            <w:r w:rsidRPr="00AF0F26">
              <w:t>%</w:t>
            </w:r>
          </w:p>
        </w:tc>
      </w:tr>
      <w:tr w:rsidR="00943E45" w:rsidRPr="00AF0F26" w:rsidTr="00E56B71">
        <w:trPr>
          <w:trHeight w:val="216"/>
          <w:jc w:val="center"/>
        </w:trPr>
        <w:tc>
          <w:tcPr>
            <w:tcW w:w="1059" w:type="dxa"/>
            <w:tcBorders>
              <w:top w:val="nil"/>
              <w:left w:val="single" w:sz="4" w:space="0" w:color="009900"/>
              <w:bottom w:val="nil"/>
              <w:right w:val="nil"/>
            </w:tcBorders>
            <w:shd w:val="clear" w:color="000000" w:fill="FFFFE1"/>
            <w:noWrap/>
            <w:vAlign w:val="center"/>
            <w:hideMark/>
          </w:tcPr>
          <w:p w:rsidR="00943E45" w:rsidRPr="002E5098" w:rsidRDefault="00943E45" w:rsidP="00E56B71">
            <w:pPr>
              <w:pStyle w:val="ObjectAreaData"/>
              <w:jc w:val="left"/>
            </w:pPr>
            <w:r w:rsidRPr="002E5098">
              <w:t>5 to 17</w:t>
            </w:r>
          </w:p>
        </w:tc>
        <w:tc>
          <w:tcPr>
            <w:tcW w:w="1099" w:type="dxa"/>
            <w:tcBorders>
              <w:top w:val="nil"/>
              <w:left w:val="nil"/>
              <w:bottom w:val="nil"/>
              <w:right w:val="nil"/>
            </w:tcBorders>
            <w:shd w:val="clear" w:color="000000" w:fill="FFFFE1"/>
            <w:noWrap/>
            <w:vAlign w:val="center"/>
            <w:hideMark/>
          </w:tcPr>
          <w:p w:rsidR="00943E45" w:rsidRPr="00AF0F26" w:rsidRDefault="00943E45" w:rsidP="00E56B71">
            <w:pPr>
              <w:pStyle w:val="ObjectAreaData"/>
            </w:pPr>
            <w:r w:rsidRPr="009C69D6">
              <w:rPr>
                <w:noProof/>
              </w:rPr>
              <w:t>10,406</w:t>
            </w:r>
          </w:p>
        </w:tc>
        <w:tc>
          <w:tcPr>
            <w:tcW w:w="990" w:type="dxa"/>
            <w:tcBorders>
              <w:top w:val="nil"/>
              <w:left w:val="nil"/>
              <w:bottom w:val="nil"/>
              <w:right w:val="nil"/>
            </w:tcBorders>
            <w:shd w:val="clear" w:color="000000" w:fill="FFFFE1"/>
            <w:noWrap/>
            <w:vAlign w:val="center"/>
            <w:hideMark/>
          </w:tcPr>
          <w:p w:rsidR="00943E45" w:rsidRPr="00AF0F26" w:rsidRDefault="00943E45" w:rsidP="00E56B71">
            <w:pPr>
              <w:pStyle w:val="ObjectAreaData"/>
            </w:pPr>
            <w:r w:rsidRPr="009C69D6">
              <w:rPr>
                <w:noProof/>
              </w:rPr>
              <w:t>5.5</w:t>
            </w:r>
            <w:r w:rsidRPr="00AF0F26">
              <w:t>%</w:t>
            </w:r>
          </w:p>
        </w:tc>
        <w:tc>
          <w:tcPr>
            <w:tcW w:w="1120" w:type="dxa"/>
            <w:tcBorders>
              <w:top w:val="nil"/>
              <w:left w:val="dotted" w:sz="4" w:space="0" w:color="009900"/>
              <w:bottom w:val="nil"/>
              <w:right w:val="nil"/>
            </w:tcBorders>
            <w:shd w:val="clear" w:color="000000" w:fill="FFFFE1"/>
            <w:noWrap/>
            <w:vAlign w:val="center"/>
            <w:hideMark/>
          </w:tcPr>
          <w:p w:rsidR="00943E45" w:rsidRPr="00AF0F26" w:rsidRDefault="00943E45" w:rsidP="00E56B71">
            <w:pPr>
              <w:pStyle w:val="ObjectAreaData"/>
            </w:pPr>
            <w:r w:rsidRPr="009C69D6">
              <w:rPr>
                <w:noProof/>
              </w:rPr>
              <w:t>6,594</w:t>
            </w:r>
          </w:p>
        </w:tc>
        <w:tc>
          <w:tcPr>
            <w:tcW w:w="1040" w:type="dxa"/>
            <w:tcBorders>
              <w:top w:val="nil"/>
              <w:left w:val="nil"/>
              <w:bottom w:val="nil"/>
              <w:right w:val="dotted" w:sz="4" w:space="0" w:color="009900"/>
            </w:tcBorders>
            <w:shd w:val="clear" w:color="000000" w:fill="FFFFE1"/>
            <w:noWrap/>
            <w:vAlign w:val="center"/>
            <w:hideMark/>
          </w:tcPr>
          <w:p w:rsidR="00943E45" w:rsidRPr="00AF0F26" w:rsidRDefault="00943E45" w:rsidP="00E56B71">
            <w:pPr>
              <w:pStyle w:val="ObjectAreaData"/>
            </w:pPr>
            <w:r w:rsidRPr="009C69D6">
              <w:rPr>
                <w:noProof/>
              </w:rPr>
              <w:t>3.6</w:t>
            </w:r>
            <w:r w:rsidRPr="00AF0F26">
              <w:t>%</w:t>
            </w:r>
          </w:p>
        </w:tc>
        <w:tc>
          <w:tcPr>
            <w:tcW w:w="1120" w:type="dxa"/>
            <w:tcBorders>
              <w:top w:val="nil"/>
              <w:left w:val="nil"/>
              <w:bottom w:val="nil"/>
              <w:right w:val="nil"/>
            </w:tcBorders>
            <w:shd w:val="clear" w:color="000000" w:fill="FFFFE1"/>
            <w:noWrap/>
            <w:vAlign w:val="center"/>
            <w:hideMark/>
          </w:tcPr>
          <w:p w:rsidR="00943E45" w:rsidRPr="00AF0F26" w:rsidRDefault="00943E45" w:rsidP="00E56B71">
            <w:pPr>
              <w:pStyle w:val="ObjectAreaData"/>
            </w:pPr>
            <w:r w:rsidRPr="009C69D6">
              <w:rPr>
                <w:noProof/>
              </w:rPr>
              <w:t>17,000</w:t>
            </w:r>
          </w:p>
        </w:tc>
        <w:tc>
          <w:tcPr>
            <w:tcW w:w="990" w:type="dxa"/>
            <w:tcBorders>
              <w:top w:val="nil"/>
              <w:left w:val="nil"/>
              <w:bottom w:val="nil"/>
              <w:right w:val="single" w:sz="4" w:space="0" w:color="009900"/>
            </w:tcBorders>
            <w:shd w:val="clear" w:color="000000" w:fill="FFFFE1"/>
            <w:noWrap/>
            <w:vAlign w:val="center"/>
            <w:hideMark/>
          </w:tcPr>
          <w:p w:rsidR="00943E45" w:rsidRPr="00AF0F26" w:rsidRDefault="00943E45" w:rsidP="00E56B71">
            <w:pPr>
              <w:pStyle w:val="ObjectAreaData"/>
            </w:pPr>
            <w:r w:rsidRPr="009C69D6">
              <w:rPr>
                <w:noProof/>
              </w:rPr>
              <w:t>4.6</w:t>
            </w:r>
            <w:r w:rsidRPr="00AF0F26">
              <w:t>%</w:t>
            </w:r>
          </w:p>
        </w:tc>
      </w:tr>
      <w:tr w:rsidR="00943E45" w:rsidRPr="00AF0F26" w:rsidTr="00E56B71">
        <w:trPr>
          <w:trHeight w:val="216"/>
          <w:jc w:val="center"/>
        </w:trPr>
        <w:tc>
          <w:tcPr>
            <w:tcW w:w="1059" w:type="dxa"/>
            <w:tcBorders>
              <w:top w:val="nil"/>
              <w:left w:val="single" w:sz="4" w:space="0" w:color="009900"/>
              <w:bottom w:val="nil"/>
              <w:right w:val="nil"/>
            </w:tcBorders>
            <w:shd w:val="clear" w:color="000000" w:fill="FFFFE1"/>
            <w:noWrap/>
            <w:vAlign w:val="center"/>
            <w:hideMark/>
          </w:tcPr>
          <w:p w:rsidR="00943E45" w:rsidRPr="002E5098" w:rsidRDefault="00943E45" w:rsidP="00E56B71">
            <w:pPr>
              <w:pStyle w:val="ObjectAreaData"/>
              <w:jc w:val="left"/>
            </w:pPr>
            <w:r w:rsidRPr="002E5098">
              <w:t>18 to 34</w:t>
            </w:r>
          </w:p>
        </w:tc>
        <w:tc>
          <w:tcPr>
            <w:tcW w:w="1099" w:type="dxa"/>
            <w:tcBorders>
              <w:top w:val="nil"/>
              <w:left w:val="nil"/>
              <w:bottom w:val="nil"/>
              <w:right w:val="nil"/>
            </w:tcBorders>
            <w:shd w:val="clear" w:color="000000" w:fill="FFFFE1"/>
            <w:noWrap/>
            <w:vAlign w:val="center"/>
            <w:hideMark/>
          </w:tcPr>
          <w:p w:rsidR="00943E45" w:rsidRPr="00AF0F26" w:rsidRDefault="00943E45" w:rsidP="00E56B71">
            <w:pPr>
              <w:pStyle w:val="ObjectAreaData"/>
            </w:pPr>
            <w:r w:rsidRPr="009C69D6">
              <w:rPr>
                <w:noProof/>
              </w:rPr>
              <w:t>15,983</w:t>
            </w:r>
          </w:p>
        </w:tc>
        <w:tc>
          <w:tcPr>
            <w:tcW w:w="990" w:type="dxa"/>
            <w:tcBorders>
              <w:top w:val="nil"/>
              <w:left w:val="nil"/>
              <w:bottom w:val="nil"/>
              <w:right w:val="nil"/>
            </w:tcBorders>
            <w:shd w:val="clear" w:color="000000" w:fill="FFFFE1"/>
            <w:noWrap/>
            <w:vAlign w:val="center"/>
            <w:hideMark/>
          </w:tcPr>
          <w:p w:rsidR="00943E45" w:rsidRPr="00AF0F26" w:rsidRDefault="00943E45" w:rsidP="00E56B71">
            <w:pPr>
              <w:pStyle w:val="ObjectAreaData"/>
            </w:pPr>
            <w:r w:rsidRPr="009C69D6">
              <w:rPr>
                <w:noProof/>
              </w:rPr>
              <w:t>7.0</w:t>
            </w:r>
            <w:r w:rsidRPr="00AF0F26">
              <w:t>%</w:t>
            </w:r>
          </w:p>
        </w:tc>
        <w:tc>
          <w:tcPr>
            <w:tcW w:w="1120" w:type="dxa"/>
            <w:tcBorders>
              <w:top w:val="nil"/>
              <w:left w:val="dotted" w:sz="4" w:space="0" w:color="009900"/>
              <w:bottom w:val="nil"/>
              <w:right w:val="nil"/>
            </w:tcBorders>
            <w:shd w:val="clear" w:color="000000" w:fill="FFFFE1"/>
            <w:noWrap/>
            <w:vAlign w:val="center"/>
            <w:hideMark/>
          </w:tcPr>
          <w:p w:rsidR="00943E45" w:rsidRPr="00AF0F26" w:rsidRDefault="00943E45" w:rsidP="00E56B71">
            <w:pPr>
              <w:pStyle w:val="ObjectAreaData"/>
            </w:pPr>
            <w:r w:rsidRPr="009C69D6">
              <w:rPr>
                <w:noProof/>
              </w:rPr>
              <w:t>13,024</w:t>
            </w:r>
          </w:p>
        </w:tc>
        <w:tc>
          <w:tcPr>
            <w:tcW w:w="1040" w:type="dxa"/>
            <w:tcBorders>
              <w:top w:val="nil"/>
              <w:left w:val="nil"/>
              <w:bottom w:val="nil"/>
              <w:right w:val="dotted" w:sz="4" w:space="0" w:color="009900"/>
            </w:tcBorders>
            <w:shd w:val="clear" w:color="000000" w:fill="FFFFE1"/>
            <w:noWrap/>
            <w:vAlign w:val="center"/>
            <w:hideMark/>
          </w:tcPr>
          <w:p w:rsidR="00943E45" w:rsidRPr="00AF0F26" w:rsidRDefault="00943E45" w:rsidP="00E56B71">
            <w:pPr>
              <w:pStyle w:val="ObjectAreaData"/>
            </w:pPr>
            <w:r w:rsidRPr="009C69D6">
              <w:rPr>
                <w:noProof/>
              </w:rPr>
              <w:t>5.7</w:t>
            </w:r>
            <w:r w:rsidRPr="00AF0F26">
              <w:t>%</w:t>
            </w:r>
          </w:p>
        </w:tc>
        <w:tc>
          <w:tcPr>
            <w:tcW w:w="1120" w:type="dxa"/>
            <w:tcBorders>
              <w:top w:val="nil"/>
              <w:left w:val="nil"/>
              <w:bottom w:val="nil"/>
              <w:right w:val="nil"/>
            </w:tcBorders>
            <w:shd w:val="clear" w:color="000000" w:fill="FFFFE1"/>
            <w:noWrap/>
            <w:vAlign w:val="center"/>
            <w:hideMark/>
          </w:tcPr>
          <w:p w:rsidR="00943E45" w:rsidRPr="00AF0F26" w:rsidRDefault="00943E45" w:rsidP="00E56B71">
            <w:pPr>
              <w:pStyle w:val="ObjectAreaData"/>
            </w:pPr>
            <w:r w:rsidRPr="009C69D6">
              <w:rPr>
                <w:noProof/>
              </w:rPr>
              <w:t>29,007</w:t>
            </w:r>
          </w:p>
        </w:tc>
        <w:tc>
          <w:tcPr>
            <w:tcW w:w="990" w:type="dxa"/>
            <w:tcBorders>
              <w:top w:val="nil"/>
              <w:left w:val="nil"/>
              <w:bottom w:val="nil"/>
              <w:right w:val="single" w:sz="4" w:space="0" w:color="009900"/>
            </w:tcBorders>
            <w:shd w:val="clear" w:color="000000" w:fill="FFFFE1"/>
            <w:noWrap/>
            <w:vAlign w:val="center"/>
            <w:hideMark/>
          </w:tcPr>
          <w:p w:rsidR="00943E45" w:rsidRPr="00AF0F26" w:rsidRDefault="00943E45" w:rsidP="00E56B71">
            <w:pPr>
              <w:pStyle w:val="ObjectAreaData"/>
            </w:pPr>
            <w:r w:rsidRPr="009C69D6">
              <w:rPr>
                <w:noProof/>
              </w:rPr>
              <w:t>6.3</w:t>
            </w:r>
            <w:r w:rsidRPr="00AF0F26">
              <w:t>%</w:t>
            </w:r>
          </w:p>
        </w:tc>
      </w:tr>
      <w:tr w:rsidR="00943E45" w:rsidRPr="00AF0F26" w:rsidTr="00E56B71">
        <w:trPr>
          <w:trHeight w:val="216"/>
          <w:jc w:val="center"/>
        </w:trPr>
        <w:tc>
          <w:tcPr>
            <w:tcW w:w="1059" w:type="dxa"/>
            <w:tcBorders>
              <w:top w:val="nil"/>
              <w:left w:val="single" w:sz="4" w:space="0" w:color="009900"/>
              <w:bottom w:val="nil"/>
              <w:right w:val="nil"/>
            </w:tcBorders>
            <w:shd w:val="clear" w:color="000000" w:fill="FFFFE1"/>
            <w:noWrap/>
            <w:vAlign w:val="center"/>
            <w:hideMark/>
          </w:tcPr>
          <w:p w:rsidR="00943E45" w:rsidRPr="002E5098" w:rsidRDefault="00943E45" w:rsidP="00E56B71">
            <w:pPr>
              <w:pStyle w:val="ObjectAreaData"/>
              <w:jc w:val="left"/>
            </w:pPr>
            <w:r w:rsidRPr="002E5098">
              <w:t>35 to 64</w:t>
            </w:r>
          </w:p>
        </w:tc>
        <w:tc>
          <w:tcPr>
            <w:tcW w:w="1099" w:type="dxa"/>
            <w:tcBorders>
              <w:top w:val="nil"/>
              <w:left w:val="nil"/>
              <w:bottom w:val="nil"/>
              <w:right w:val="nil"/>
            </w:tcBorders>
            <w:shd w:val="clear" w:color="000000" w:fill="FFFFE1"/>
            <w:noWrap/>
            <w:vAlign w:val="center"/>
            <w:hideMark/>
          </w:tcPr>
          <w:p w:rsidR="00943E45" w:rsidRPr="00AF0F26" w:rsidRDefault="00943E45" w:rsidP="00E56B71">
            <w:pPr>
              <w:pStyle w:val="ObjectAreaData"/>
            </w:pPr>
            <w:r w:rsidRPr="009C69D6">
              <w:rPr>
                <w:noProof/>
              </w:rPr>
              <w:t>61,493</w:t>
            </w:r>
          </w:p>
        </w:tc>
        <w:tc>
          <w:tcPr>
            <w:tcW w:w="990" w:type="dxa"/>
            <w:tcBorders>
              <w:top w:val="nil"/>
              <w:left w:val="nil"/>
              <w:bottom w:val="nil"/>
              <w:right w:val="nil"/>
            </w:tcBorders>
            <w:shd w:val="clear" w:color="000000" w:fill="FFFFE1"/>
            <w:noWrap/>
            <w:vAlign w:val="center"/>
            <w:hideMark/>
          </w:tcPr>
          <w:p w:rsidR="00943E45" w:rsidRPr="00AF0F26" w:rsidRDefault="00943E45" w:rsidP="00E56B71">
            <w:pPr>
              <w:pStyle w:val="ObjectAreaData"/>
            </w:pPr>
            <w:r w:rsidRPr="009C69D6">
              <w:rPr>
                <w:noProof/>
              </w:rPr>
              <w:t>16.3</w:t>
            </w:r>
            <w:r w:rsidRPr="00AF0F26">
              <w:t>%</w:t>
            </w:r>
          </w:p>
        </w:tc>
        <w:tc>
          <w:tcPr>
            <w:tcW w:w="1120" w:type="dxa"/>
            <w:tcBorders>
              <w:top w:val="nil"/>
              <w:left w:val="dotted" w:sz="4" w:space="0" w:color="009900"/>
              <w:bottom w:val="nil"/>
              <w:right w:val="nil"/>
            </w:tcBorders>
            <w:shd w:val="clear" w:color="000000" w:fill="FFFFE1"/>
            <w:noWrap/>
            <w:vAlign w:val="center"/>
            <w:hideMark/>
          </w:tcPr>
          <w:p w:rsidR="00943E45" w:rsidRPr="00AF0F26" w:rsidRDefault="00943E45" w:rsidP="00E56B71">
            <w:pPr>
              <w:pStyle w:val="ObjectAreaData"/>
            </w:pPr>
            <w:r w:rsidRPr="009C69D6">
              <w:rPr>
                <w:noProof/>
              </w:rPr>
              <w:t>57,220</w:t>
            </w:r>
          </w:p>
        </w:tc>
        <w:tc>
          <w:tcPr>
            <w:tcW w:w="1040" w:type="dxa"/>
            <w:tcBorders>
              <w:top w:val="nil"/>
              <w:left w:val="nil"/>
              <w:bottom w:val="nil"/>
              <w:right w:val="dotted" w:sz="4" w:space="0" w:color="009900"/>
            </w:tcBorders>
            <w:shd w:val="clear" w:color="000000" w:fill="FFFFE1"/>
            <w:noWrap/>
            <w:vAlign w:val="center"/>
            <w:hideMark/>
          </w:tcPr>
          <w:p w:rsidR="00943E45" w:rsidRPr="00AF0F26" w:rsidRDefault="00943E45" w:rsidP="00E56B71">
            <w:pPr>
              <w:pStyle w:val="ObjectAreaData"/>
            </w:pPr>
            <w:r w:rsidRPr="009C69D6">
              <w:rPr>
                <w:noProof/>
              </w:rPr>
              <w:t>14.2</w:t>
            </w:r>
            <w:r w:rsidRPr="00AF0F26">
              <w:t>%</w:t>
            </w:r>
          </w:p>
        </w:tc>
        <w:tc>
          <w:tcPr>
            <w:tcW w:w="1120" w:type="dxa"/>
            <w:tcBorders>
              <w:top w:val="nil"/>
              <w:left w:val="nil"/>
              <w:bottom w:val="nil"/>
              <w:right w:val="nil"/>
            </w:tcBorders>
            <w:shd w:val="clear" w:color="000000" w:fill="FFFFE1"/>
            <w:noWrap/>
            <w:vAlign w:val="center"/>
            <w:hideMark/>
          </w:tcPr>
          <w:p w:rsidR="00943E45" w:rsidRPr="00AF0F26" w:rsidRDefault="00943E45" w:rsidP="00E56B71">
            <w:pPr>
              <w:pStyle w:val="ObjectAreaData"/>
            </w:pPr>
            <w:r w:rsidRPr="009C69D6">
              <w:rPr>
                <w:noProof/>
              </w:rPr>
              <w:t>118,713</w:t>
            </w:r>
          </w:p>
        </w:tc>
        <w:tc>
          <w:tcPr>
            <w:tcW w:w="990" w:type="dxa"/>
            <w:tcBorders>
              <w:top w:val="nil"/>
              <w:left w:val="nil"/>
              <w:bottom w:val="nil"/>
              <w:right w:val="single" w:sz="4" w:space="0" w:color="009900"/>
            </w:tcBorders>
            <w:shd w:val="clear" w:color="000000" w:fill="FFFFE1"/>
            <w:noWrap/>
            <w:vAlign w:val="center"/>
            <w:hideMark/>
          </w:tcPr>
          <w:p w:rsidR="00943E45" w:rsidRPr="00AF0F26" w:rsidRDefault="00943E45" w:rsidP="00E56B71">
            <w:pPr>
              <w:pStyle w:val="ObjectAreaData"/>
            </w:pPr>
            <w:r w:rsidRPr="009C69D6">
              <w:rPr>
                <w:noProof/>
              </w:rPr>
              <w:t>15.2</w:t>
            </w:r>
            <w:r w:rsidRPr="00AF0F26">
              <w:t>%</w:t>
            </w:r>
          </w:p>
        </w:tc>
      </w:tr>
      <w:tr w:rsidR="00943E45" w:rsidRPr="00AF0F26" w:rsidTr="00E56B71">
        <w:trPr>
          <w:trHeight w:val="216"/>
          <w:jc w:val="center"/>
        </w:trPr>
        <w:tc>
          <w:tcPr>
            <w:tcW w:w="1059" w:type="dxa"/>
            <w:tcBorders>
              <w:top w:val="nil"/>
              <w:left w:val="single" w:sz="4" w:space="0" w:color="009900"/>
              <w:bottom w:val="nil"/>
              <w:right w:val="nil"/>
            </w:tcBorders>
            <w:shd w:val="clear" w:color="000000" w:fill="FFFFE1"/>
            <w:noWrap/>
            <w:vAlign w:val="center"/>
            <w:hideMark/>
          </w:tcPr>
          <w:p w:rsidR="00943E45" w:rsidRPr="002E5098" w:rsidRDefault="00943E45" w:rsidP="00E56B71">
            <w:pPr>
              <w:pStyle w:val="ObjectAreaData"/>
              <w:jc w:val="left"/>
            </w:pPr>
            <w:r w:rsidRPr="002E5098">
              <w:t>65 to 74</w:t>
            </w:r>
          </w:p>
        </w:tc>
        <w:tc>
          <w:tcPr>
            <w:tcW w:w="1099" w:type="dxa"/>
            <w:tcBorders>
              <w:top w:val="nil"/>
              <w:left w:val="nil"/>
              <w:bottom w:val="nil"/>
              <w:right w:val="nil"/>
            </w:tcBorders>
            <w:shd w:val="clear" w:color="000000" w:fill="FFFFE1"/>
            <w:noWrap/>
            <w:vAlign w:val="center"/>
            <w:hideMark/>
          </w:tcPr>
          <w:p w:rsidR="00943E45" w:rsidRPr="00AF0F26" w:rsidRDefault="00943E45" w:rsidP="00E56B71">
            <w:pPr>
              <w:pStyle w:val="ObjectAreaData"/>
            </w:pPr>
            <w:r w:rsidRPr="009C69D6">
              <w:rPr>
                <w:noProof/>
              </w:rPr>
              <w:t>22,908</w:t>
            </w:r>
          </w:p>
        </w:tc>
        <w:tc>
          <w:tcPr>
            <w:tcW w:w="990" w:type="dxa"/>
            <w:tcBorders>
              <w:top w:val="nil"/>
              <w:left w:val="nil"/>
              <w:bottom w:val="nil"/>
              <w:right w:val="nil"/>
            </w:tcBorders>
            <w:shd w:val="clear" w:color="000000" w:fill="FFFFE1"/>
            <w:noWrap/>
            <w:vAlign w:val="center"/>
            <w:hideMark/>
          </w:tcPr>
          <w:p w:rsidR="00943E45" w:rsidRPr="00AF0F26" w:rsidRDefault="00943E45" w:rsidP="00E56B71">
            <w:pPr>
              <w:pStyle w:val="ObjectAreaData"/>
            </w:pPr>
            <w:r w:rsidRPr="009C69D6">
              <w:rPr>
                <w:noProof/>
              </w:rPr>
              <w:t>31.2</w:t>
            </w:r>
            <w:r w:rsidRPr="00AF0F26">
              <w:t>%</w:t>
            </w:r>
          </w:p>
        </w:tc>
        <w:tc>
          <w:tcPr>
            <w:tcW w:w="1120" w:type="dxa"/>
            <w:tcBorders>
              <w:top w:val="nil"/>
              <w:left w:val="dotted" w:sz="4" w:space="0" w:color="009900"/>
              <w:bottom w:val="nil"/>
              <w:right w:val="nil"/>
            </w:tcBorders>
            <w:shd w:val="clear" w:color="000000" w:fill="FFFFE1"/>
            <w:noWrap/>
            <w:vAlign w:val="center"/>
            <w:hideMark/>
          </w:tcPr>
          <w:p w:rsidR="00943E45" w:rsidRPr="00AF0F26" w:rsidRDefault="00943E45" w:rsidP="00E56B71">
            <w:pPr>
              <w:pStyle w:val="ObjectAreaData"/>
            </w:pPr>
            <w:r w:rsidRPr="009C69D6">
              <w:rPr>
                <w:noProof/>
              </w:rPr>
              <w:t>23,031</w:t>
            </w:r>
          </w:p>
        </w:tc>
        <w:tc>
          <w:tcPr>
            <w:tcW w:w="1040" w:type="dxa"/>
            <w:tcBorders>
              <w:top w:val="nil"/>
              <w:left w:val="nil"/>
              <w:bottom w:val="nil"/>
              <w:right w:val="dotted" w:sz="4" w:space="0" w:color="009900"/>
            </w:tcBorders>
            <w:shd w:val="clear" w:color="000000" w:fill="FFFFE1"/>
            <w:noWrap/>
            <w:vAlign w:val="center"/>
            <w:hideMark/>
          </w:tcPr>
          <w:p w:rsidR="00943E45" w:rsidRPr="00AF0F26" w:rsidRDefault="00943E45" w:rsidP="00E56B71">
            <w:pPr>
              <w:pStyle w:val="ObjectAreaData"/>
            </w:pPr>
            <w:r w:rsidRPr="009C69D6">
              <w:rPr>
                <w:noProof/>
              </w:rPr>
              <w:t>28.2</w:t>
            </w:r>
            <w:r w:rsidRPr="00AF0F26">
              <w:t>%</w:t>
            </w:r>
          </w:p>
        </w:tc>
        <w:tc>
          <w:tcPr>
            <w:tcW w:w="1120" w:type="dxa"/>
            <w:tcBorders>
              <w:top w:val="nil"/>
              <w:left w:val="nil"/>
              <w:bottom w:val="nil"/>
              <w:right w:val="nil"/>
            </w:tcBorders>
            <w:shd w:val="clear" w:color="000000" w:fill="FFFFE1"/>
            <w:noWrap/>
            <w:vAlign w:val="center"/>
            <w:hideMark/>
          </w:tcPr>
          <w:p w:rsidR="00943E45" w:rsidRPr="00AF0F26" w:rsidRDefault="00943E45" w:rsidP="00E56B71">
            <w:pPr>
              <w:pStyle w:val="ObjectAreaData"/>
            </w:pPr>
            <w:r w:rsidRPr="009C69D6">
              <w:rPr>
                <w:noProof/>
              </w:rPr>
              <w:t>45,939</w:t>
            </w:r>
          </w:p>
        </w:tc>
        <w:tc>
          <w:tcPr>
            <w:tcW w:w="990" w:type="dxa"/>
            <w:tcBorders>
              <w:top w:val="nil"/>
              <w:left w:val="nil"/>
              <w:bottom w:val="nil"/>
              <w:right w:val="single" w:sz="4" w:space="0" w:color="009900"/>
            </w:tcBorders>
            <w:shd w:val="clear" w:color="000000" w:fill="FFFFE1"/>
            <w:noWrap/>
            <w:vAlign w:val="center"/>
            <w:hideMark/>
          </w:tcPr>
          <w:p w:rsidR="00943E45" w:rsidRPr="00AF0F26" w:rsidRDefault="00943E45" w:rsidP="00E56B71">
            <w:pPr>
              <w:pStyle w:val="ObjectAreaData"/>
            </w:pPr>
            <w:r w:rsidRPr="009C69D6">
              <w:rPr>
                <w:noProof/>
              </w:rPr>
              <w:t>29.6</w:t>
            </w:r>
            <w:r w:rsidRPr="00AF0F26">
              <w:t>%</w:t>
            </w:r>
          </w:p>
        </w:tc>
      </w:tr>
      <w:tr w:rsidR="00943E45" w:rsidRPr="00AF0F26" w:rsidTr="00E56B71">
        <w:trPr>
          <w:trHeight w:val="216"/>
          <w:jc w:val="center"/>
        </w:trPr>
        <w:tc>
          <w:tcPr>
            <w:tcW w:w="1059" w:type="dxa"/>
            <w:tcBorders>
              <w:top w:val="nil"/>
              <w:left w:val="single" w:sz="4" w:space="0" w:color="009900"/>
              <w:bottom w:val="nil"/>
              <w:right w:val="nil"/>
            </w:tcBorders>
            <w:shd w:val="clear" w:color="000000" w:fill="FFFFE1"/>
            <w:noWrap/>
            <w:vAlign w:val="center"/>
            <w:hideMark/>
          </w:tcPr>
          <w:p w:rsidR="00943E45" w:rsidRPr="002E5098" w:rsidRDefault="00943E45" w:rsidP="00E56B71">
            <w:pPr>
              <w:pStyle w:val="ObjectAreaData"/>
              <w:jc w:val="left"/>
            </w:pPr>
            <w:r w:rsidRPr="002E5098">
              <w:t>75 or Older</w:t>
            </w:r>
          </w:p>
        </w:tc>
        <w:tc>
          <w:tcPr>
            <w:tcW w:w="1099" w:type="dxa"/>
            <w:tcBorders>
              <w:top w:val="nil"/>
              <w:left w:val="nil"/>
              <w:bottom w:val="nil"/>
              <w:right w:val="nil"/>
            </w:tcBorders>
            <w:shd w:val="clear" w:color="000000" w:fill="FFFFE1"/>
            <w:noWrap/>
            <w:vAlign w:val="center"/>
            <w:hideMark/>
          </w:tcPr>
          <w:p w:rsidR="00943E45" w:rsidRPr="00AF0F26" w:rsidRDefault="00943E45" w:rsidP="00E56B71">
            <w:pPr>
              <w:pStyle w:val="ObjectAreaData"/>
            </w:pPr>
            <w:r w:rsidRPr="009C69D6">
              <w:rPr>
                <w:noProof/>
              </w:rPr>
              <w:t>27,576</w:t>
            </w:r>
          </w:p>
        </w:tc>
        <w:tc>
          <w:tcPr>
            <w:tcW w:w="990" w:type="dxa"/>
            <w:tcBorders>
              <w:top w:val="nil"/>
              <w:left w:val="nil"/>
              <w:bottom w:val="nil"/>
              <w:right w:val="nil"/>
            </w:tcBorders>
            <w:shd w:val="clear" w:color="000000" w:fill="FFFFE1"/>
            <w:noWrap/>
            <w:vAlign w:val="center"/>
            <w:hideMark/>
          </w:tcPr>
          <w:p w:rsidR="00943E45" w:rsidRPr="00AF0F26" w:rsidRDefault="00943E45" w:rsidP="00E56B71">
            <w:pPr>
              <w:pStyle w:val="ObjectAreaData"/>
            </w:pPr>
            <w:r w:rsidRPr="009C69D6">
              <w:rPr>
                <w:noProof/>
              </w:rPr>
              <w:t>56.3</w:t>
            </w:r>
            <w:r w:rsidRPr="00AF0F26">
              <w:t>%</w:t>
            </w:r>
          </w:p>
        </w:tc>
        <w:tc>
          <w:tcPr>
            <w:tcW w:w="1120" w:type="dxa"/>
            <w:tcBorders>
              <w:top w:val="nil"/>
              <w:left w:val="dotted" w:sz="4" w:space="0" w:color="009900"/>
              <w:bottom w:val="nil"/>
              <w:right w:val="nil"/>
            </w:tcBorders>
            <w:shd w:val="clear" w:color="000000" w:fill="FFFFE1"/>
            <w:noWrap/>
            <w:vAlign w:val="center"/>
            <w:hideMark/>
          </w:tcPr>
          <w:p w:rsidR="00943E45" w:rsidRPr="00AF0F26" w:rsidRDefault="00943E45" w:rsidP="00E56B71">
            <w:pPr>
              <w:pStyle w:val="ObjectAreaData"/>
            </w:pPr>
            <w:r w:rsidRPr="009C69D6">
              <w:rPr>
                <w:noProof/>
              </w:rPr>
              <w:t>37,636</w:t>
            </w:r>
          </w:p>
        </w:tc>
        <w:tc>
          <w:tcPr>
            <w:tcW w:w="1040" w:type="dxa"/>
            <w:tcBorders>
              <w:top w:val="nil"/>
              <w:left w:val="nil"/>
              <w:bottom w:val="nil"/>
              <w:right w:val="dotted" w:sz="4" w:space="0" w:color="009900"/>
            </w:tcBorders>
            <w:shd w:val="clear" w:color="000000" w:fill="FFFFE1"/>
            <w:noWrap/>
            <w:vAlign w:val="center"/>
            <w:hideMark/>
          </w:tcPr>
          <w:p w:rsidR="00943E45" w:rsidRPr="00AF0F26" w:rsidRDefault="00943E45" w:rsidP="00E56B71">
            <w:pPr>
              <w:pStyle w:val="ObjectAreaData"/>
            </w:pPr>
            <w:r w:rsidRPr="009C69D6">
              <w:rPr>
                <w:noProof/>
              </w:rPr>
              <w:t>56.9</w:t>
            </w:r>
            <w:r w:rsidRPr="00AF0F26">
              <w:t>%</w:t>
            </w:r>
          </w:p>
        </w:tc>
        <w:tc>
          <w:tcPr>
            <w:tcW w:w="1120" w:type="dxa"/>
            <w:tcBorders>
              <w:top w:val="nil"/>
              <w:left w:val="nil"/>
              <w:bottom w:val="nil"/>
              <w:right w:val="nil"/>
            </w:tcBorders>
            <w:shd w:val="clear" w:color="000000" w:fill="FFFFE1"/>
            <w:noWrap/>
            <w:vAlign w:val="center"/>
            <w:hideMark/>
          </w:tcPr>
          <w:p w:rsidR="00943E45" w:rsidRPr="00AF0F26" w:rsidRDefault="00943E45" w:rsidP="00E56B71">
            <w:pPr>
              <w:pStyle w:val="ObjectAreaData"/>
            </w:pPr>
            <w:r w:rsidRPr="009C69D6">
              <w:rPr>
                <w:noProof/>
              </w:rPr>
              <w:t>65,212</w:t>
            </w:r>
          </w:p>
        </w:tc>
        <w:tc>
          <w:tcPr>
            <w:tcW w:w="990" w:type="dxa"/>
            <w:tcBorders>
              <w:top w:val="nil"/>
              <w:left w:val="nil"/>
              <w:bottom w:val="nil"/>
              <w:right w:val="single" w:sz="4" w:space="0" w:color="009900"/>
            </w:tcBorders>
            <w:shd w:val="clear" w:color="000000" w:fill="FFFFE1"/>
            <w:noWrap/>
            <w:vAlign w:val="center"/>
            <w:hideMark/>
          </w:tcPr>
          <w:p w:rsidR="00943E45" w:rsidRPr="00AF0F26" w:rsidRDefault="00943E45" w:rsidP="00E56B71">
            <w:pPr>
              <w:pStyle w:val="ObjectAreaData"/>
            </w:pPr>
            <w:r w:rsidRPr="009C69D6">
              <w:rPr>
                <w:noProof/>
              </w:rPr>
              <w:t>56.7</w:t>
            </w:r>
            <w:r w:rsidRPr="00AF0F26">
              <w:t>%</w:t>
            </w:r>
          </w:p>
        </w:tc>
      </w:tr>
      <w:tr w:rsidR="00943E45" w:rsidRPr="002E5098" w:rsidTr="00E56B71">
        <w:trPr>
          <w:trHeight w:val="216"/>
          <w:jc w:val="center"/>
        </w:trPr>
        <w:tc>
          <w:tcPr>
            <w:tcW w:w="1059" w:type="dxa"/>
            <w:tcBorders>
              <w:top w:val="double" w:sz="6" w:space="0" w:color="009900"/>
              <w:left w:val="single" w:sz="4" w:space="0" w:color="009900"/>
              <w:bottom w:val="single" w:sz="4" w:space="0" w:color="009900"/>
              <w:right w:val="nil"/>
            </w:tcBorders>
            <w:shd w:val="clear" w:color="000000" w:fill="FFFFE1"/>
            <w:noWrap/>
            <w:vAlign w:val="center"/>
            <w:hideMark/>
          </w:tcPr>
          <w:p w:rsidR="00943E45" w:rsidRPr="002E5098" w:rsidRDefault="00943E45" w:rsidP="00E56B71">
            <w:pPr>
              <w:pStyle w:val="ObjectAreaData"/>
              <w:jc w:val="left"/>
              <w:rPr>
                <w:b/>
              </w:rPr>
            </w:pPr>
            <w:r w:rsidRPr="002E5098">
              <w:rPr>
                <w:b/>
              </w:rPr>
              <w:t>Total</w:t>
            </w:r>
          </w:p>
        </w:tc>
        <w:tc>
          <w:tcPr>
            <w:tcW w:w="1099" w:type="dxa"/>
            <w:tcBorders>
              <w:top w:val="double" w:sz="6" w:space="0" w:color="009900"/>
              <w:left w:val="nil"/>
              <w:bottom w:val="single" w:sz="4" w:space="0" w:color="009900"/>
              <w:right w:val="nil"/>
            </w:tcBorders>
            <w:shd w:val="clear" w:color="000000" w:fill="FFFFE1"/>
            <w:noWrap/>
            <w:vAlign w:val="center"/>
            <w:hideMark/>
          </w:tcPr>
          <w:p w:rsidR="00943E45" w:rsidRPr="002E5098" w:rsidRDefault="00943E45" w:rsidP="00E56B71">
            <w:pPr>
              <w:pStyle w:val="ObjectAreaData"/>
              <w:rPr>
                <w:b/>
                <w:bCs/>
              </w:rPr>
            </w:pPr>
            <w:r w:rsidRPr="009C69D6">
              <w:rPr>
                <w:b/>
                <w:noProof/>
              </w:rPr>
              <w:t>139,138</w:t>
            </w:r>
          </w:p>
        </w:tc>
        <w:tc>
          <w:tcPr>
            <w:tcW w:w="990" w:type="dxa"/>
            <w:tcBorders>
              <w:top w:val="double" w:sz="6" w:space="0" w:color="009900"/>
              <w:left w:val="nil"/>
              <w:bottom w:val="single" w:sz="4" w:space="0" w:color="009900"/>
              <w:right w:val="nil"/>
            </w:tcBorders>
            <w:shd w:val="clear" w:color="000000" w:fill="FFFFE1"/>
            <w:noWrap/>
            <w:vAlign w:val="center"/>
            <w:hideMark/>
          </w:tcPr>
          <w:p w:rsidR="00943E45" w:rsidRPr="002E5098" w:rsidRDefault="00943E45" w:rsidP="00E56B71">
            <w:pPr>
              <w:pStyle w:val="ObjectAreaData"/>
              <w:rPr>
                <w:b/>
                <w:bCs/>
              </w:rPr>
            </w:pPr>
            <w:r w:rsidRPr="009C69D6">
              <w:rPr>
                <w:b/>
                <w:noProof/>
              </w:rPr>
              <w:t>14.1</w:t>
            </w:r>
            <w:r w:rsidRPr="002E5098">
              <w:rPr>
                <w:b/>
              </w:rPr>
              <w:t>%</w:t>
            </w:r>
          </w:p>
        </w:tc>
        <w:tc>
          <w:tcPr>
            <w:tcW w:w="1120" w:type="dxa"/>
            <w:tcBorders>
              <w:top w:val="double" w:sz="6" w:space="0" w:color="009900"/>
              <w:left w:val="dotted" w:sz="4" w:space="0" w:color="009900"/>
              <w:bottom w:val="single" w:sz="4" w:space="0" w:color="009900"/>
              <w:right w:val="nil"/>
            </w:tcBorders>
            <w:shd w:val="clear" w:color="000000" w:fill="FFFFE1"/>
            <w:noWrap/>
            <w:vAlign w:val="center"/>
            <w:hideMark/>
          </w:tcPr>
          <w:p w:rsidR="00943E45" w:rsidRPr="002E5098" w:rsidRDefault="00943E45" w:rsidP="00E56B71">
            <w:pPr>
              <w:pStyle w:val="ObjectAreaData"/>
              <w:rPr>
                <w:b/>
                <w:bCs/>
              </w:rPr>
            </w:pPr>
            <w:r w:rsidRPr="009C69D6">
              <w:rPr>
                <w:b/>
                <w:noProof/>
              </w:rPr>
              <w:t>138,207</w:t>
            </w:r>
          </w:p>
        </w:tc>
        <w:tc>
          <w:tcPr>
            <w:tcW w:w="1040" w:type="dxa"/>
            <w:tcBorders>
              <w:top w:val="double" w:sz="6" w:space="0" w:color="009900"/>
              <w:left w:val="nil"/>
              <w:bottom w:val="single" w:sz="4" w:space="0" w:color="009900"/>
              <w:right w:val="dotted" w:sz="4" w:space="0" w:color="009900"/>
            </w:tcBorders>
            <w:shd w:val="clear" w:color="000000" w:fill="FFFFE1"/>
            <w:noWrap/>
            <w:vAlign w:val="center"/>
            <w:hideMark/>
          </w:tcPr>
          <w:p w:rsidR="00943E45" w:rsidRPr="002E5098" w:rsidRDefault="00943E45" w:rsidP="00E56B71">
            <w:pPr>
              <w:pStyle w:val="ObjectAreaData"/>
              <w:rPr>
                <w:b/>
                <w:bCs/>
              </w:rPr>
            </w:pPr>
            <w:r w:rsidRPr="009C69D6">
              <w:rPr>
                <w:b/>
                <w:noProof/>
              </w:rPr>
              <w:t>13.4</w:t>
            </w:r>
            <w:r w:rsidRPr="002E5098">
              <w:rPr>
                <w:b/>
              </w:rPr>
              <w:t>%</w:t>
            </w:r>
          </w:p>
        </w:tc>
        <w:tc>
          <w:tcPr>
            <w:tcW w:w="1120" w:type="dxa"/>
            <w:tcBorders>
              <w:top w:val="double" w:sz="6" w:space="0" w:color="009900"/>
              <w:left w:val="nil"/>
              <w:bottom w:val="single" w:sz="4" w:space="0" w:color="009900"/>
              <w:right w:val="nil"/>
            </w:tcBorders>
            <w:shd w:val="clear" w:color="000000" w:fill="FFFFE1"/>
            <w:noWrap/>
            <w:vAlign w:val="center"/>
            <w:hideMark/>
          </w:tcPr>
          <w:p w:rsidR="00943E45" w:rsidRPr="002E5098" w:rsidRDefault="00943E45" w:rsidP="00E56B71">
            <w:pPr>
              <w:pStyle w:val="ObjectAreaData"/>
              <w:rPr>
                <w:b/>
                <w:bCs/>
              </w:rPr>
            </w:pPr>
            <w:r w:rsidRPr="009C69D6">
              <w:rPr>
                <w:b/>
                <w:noProof/>
              </w:rPr>
              <w:t>277,345</w:t>
            </w:r>
          </w:p>
        </w:tc>
        <w:tc>
          <w:tcPr>
            <w:tcW w:w="990" w:type="dxa"/>
            <w:tcBorders>
              <w:top w:val="double" w:sz="6" w:space="0" w:color="009900"/>
              <w:left w:val="nil"/>
              <w:bottom w:val="single" w:sz="4" w:space="0" w:color="009900"/>
              <w:right w:val="single" w:sz="4" w:space="0" w:color="009900"/>
            </w:tcBorders>
            <w:shd w:val="clear" w:color="000000" w:fill="FFFFE1"/>
            <w:noWrap/>
            <w:vAlign w:val="center"/>
            <w:hideMark/>
          </w:tcPr>
          <w:p w:rsidR="00943E45" w:rsidRPr="002E5098" w:rsidRDefault="00943E45" w:rsidP="00E56B71">
            <w:pPr>
              <w:pStyle w:val="ObjectAreaData"/>
              <w:rPr>
                <w:b/>
                <w:bCs/>
              </w:rPr>
            </w:pPr>
            <w:r w:rsidRPr="009C69D6">
              <w:rPr>
                <w:b/>
                <w:noProof/>
              </w:rPr>
              <w:t>13.7</w:t>
            </w:r>
            <w:r w:rsidRPr="002E5098">
              <w:rPr>
                <w:b/>
              </w:rPr>
              <w:t>%</w:t>
            </w:r>
          </w:p>
        </w:tc>
      </w:tr>
    </w:tbl>
    <w:p w:rsidR="00943E45" w:rsidRPr="007F6B6C" w:rsidRDefault="00943E45" w:rsidP="00943E45">
      <w:pPr>
        <w:jc w:val="both"/>
        <w:rPr>
          <w:rFonts w:ascii="CG Omega" w:hAnsi="CG Omega" w:cs="Arial"/>
          <w:sz w:val="16"/>
          <w:szCs w:val="16"/>
          <w:highlight w:val="yellow"/>
        </w:rPr>
      </w:pPr>
    </w:p>
    <w:p w:rsidR="00943E45" w:rsidRDefault="00943E45" w:rsidP="00943E45">
      <w:pPr>
        <w:jc w:val="both"/>
        <w:rPr>
          <w:rFonts w:ascii="CG Omega" w:hAnsi="CG Omega" w:cs="Arial"/>
        </w:rPr>
      </w:pPr>
      <w:r w:rsidRPr="00DE3F87">
        <w:rPr>
          <w:rFonts w:ascii="CG Omega" w:hAnsi="CG Omega" w:cs="Arial"/>
          <w:b/>
        </w:rPr>
        <w:t>Table</w:t>
      </w:r>
      <w:r w:rsidR="000D21C9" w:rsidRPr="00DE3F87">
        <w:rPr>
          <w:rFonts w:ascii="CG Omega" w:hAnsi="CG Omega" w:cs="Arial"/>
          <w:b/>
        </w:rPr>
        <w:t xml:space="preserve"> V.2</w:t>
      </w:r>
      <w:r w:rsidR="000155B6" w:rsidRPr="00DE3F87">
        <w:rPr>
          <w:rFonts w:ascii="CG Omega" w:hAnsi="CG Omega" w:cs="Arial"/>
          <w:b/>
        </w:rPr>
        <w:t>2</w:t>
      </w:r>
      <w:r w:rsidR="00DE3F87">
        <w:rPr>
          <w:rFonts w:ascii="CG Omega" w:hAnsi="CG Omega" w:cs="Arial"/>
          <w:b/>
        </w:rPr>
        <w:t xml:space="preserve"> </w:t>
      </w:r>
      <w:r>
        <w:rPr>
          <w:rFonts w:ascii="CG Omega" w:hAnsi="CG Omega" w:cs="Arial"/>
        </w:rPr>
        <w:t>breaks down disabilities by disability type for persons aged 5 and older, from the 2000 census data.  The most common disability is a physical disability, followed by an employment disability. The third most common disability type is a Go-outside-home disa</w:t>
      </w:r>
      <w:r w:rsidR="002436B5">
        <w:rPr>
          <w:rFonts w:ascii="CG Omega" w:hAnsi="CG Omega" w:cs="Arial"/>
        </w:rPr>
        <w:t>bility.</w:t>
      </w:r>
    </w:p>
    <w:p w:rsidR="00FF6A8B" w:rsidRDefault="00FF6A8B" w:rsidP="00943E45">
      <w:pPr>
        <w:jc w:val="both"/>
        <w:rPr>
          <w:rFonts w:ascii="CG Omega" w:hAnsi="CG Omega" w:cs="Arial"/>
        </w:rPr>
      </w:pPr>
    </w:p>
    <w:tbl>
      <w:tblPr>
        <w:tblW w:w="4502" w:type="dxa"/>
        <w:jc w:val="center"/>
        <w:tblLook w:val="04A0" w:firstRow="1" w:lastRow="0" w:firstColumn="1" w:lastColumn="0" w:noHBand="0" w:noVBand="1"/>
      </w:tblPr>
      <w:tblGrid>
        <w:gridCol w:w="2377"/>
        <w:gridCol w:w="2125"/>
      </w:tblGrid>
      <w:tr w:rsidR="00943E45" w:rsidRPr="008E487F" w:rsidTr="00E56B71">
        <w:trPr>
          <w:trHeight w:val="216"/>
          <w:jc w:val="center"/>
        </w:trPr>
        <w:tc>
          <w:tcPr>
            <w:tcW w:w="4502" w:type="dxa"/>
            <w:gridSpan w:val="2"/>
            <w:tcBorders>
              <w:bottom w:val="single" w:sz="8" w:space="0" w:color="009900"/>
            </w:tcBorders>
            <w:shd w:val="clear" w:color="000000" w:fill="FFFFFF" w:themeFill="background1"/>
            <w:noWrap/>
            <w:vAlign w:val="center"/>
            <w:hideMark/>
          </w:tcPr>
          <w:p w:rsidR="00943E45" w:rsidRPr="00943E45" w:rsidRDefault="00943E45" w:rsidP="002436B5">
            <w:pPr>
              <w:pStyle w:val="Caption"/>
              <w:spacing w:after="0"/>
              <w:jc w:val="center"/>
              <w:rPr>
                <w:rFonts w:ascii="Arial" w:hAnsi="Arial" w:cs="Arial"/>
                <w:sz w:val="22"/>
                <w:szCs w:val="22"/>
              </w:rPr>
            </w:pPr>
            <w:r w:rsidRPr="00832AB3">
              <w:rPr>
                <w:rFonts w:ascii="Arial" w:hAnsi="Arial" w:cs="Arial"/>
                <w:sz w:val="22"/>
                <w:szCs w:val="22"/>
              </w:rPr>
              <w:t xml:space="preserve">Table </w:t>
            </w:r>
            <w:r w:rsidR="000D21C9">
              <w:rPr>
                <w:rFonts w:ascii="Arial" w:hAnsi="Arial" w:cs="Arial"/>
                <w:noProof/>
                <w:sz w:val="22"/>
                <w:szCs w:val="22"/>
              </w:rPr>
              <w:t>V.2</w:t>
            </w:r>
            <w:r w:rsidR="000155B6">
              <w:rPr>
                <w:rFonts w:ascii="Arial" w:hAnsi="Arial" w:cs="Arial"/>
                <w:noProof/>
                <w:sz w:val="22"/>
                <w:szCs w:val="22"/>
              </w:rPr>
              <w:t>2</w:t>
            </w:r>
          </w:p>
          <w:p w:rsidR="00943E45" w:rsidRPr="008E487F" w:rsidRDefault="00943E45" w:rsidP="00E56B71">
            <w:pPr>
              <w:jc w:val="center"/>
              <w:rPr>
                <w:rFonts w:ascii="Arial" w:hAnsi="Arial" w:cs="Arial"/>
                <w:b/>
                <w:bCs/>
                <w:color w:val="000000"/>
                <w:sz w:val="20"/>
                <w:szCs w:val="20"/>
              </w:rPr>
            </w:pPr>
            <w:r w:rsidRPr="008E487F">
              <w:rPr>
                <w:rFonts w:ascii="Arial" w:hAnsi="Arial" w:cs="Arial"/>
                <w:b/>
                <w:bCs/>
                <w:color w:val="000000"/>
                <w:sz w:val="20"/>
                <w:szCs w:val="20"/>
              </w:rPr>
              <w:t>Total Disabilities Tallied: Aged 5 and Older</w:t>
            </w:r>
          </w:p>
          <w:p w:rsidR="00943E45" w:rsidRPr="008E487F" w:rsidRDefault="00943E45" w:rsidP="00E56B71">
            <w:pPr>
              <w:jc w:val="center"/>
              <w:rPr>
                <w:rFonts w:ascii="Arial" w:hAnsi="Arial" w:cs="Arial"/>
                <w:b/>
                <w:bCs/>
                <w:sz w:val="16"/>
                <w:szCs w:val="16"/>
              </w:rPr>
            </w:pPr>
            <w:r w:rsidRPr="009C69D6">
              <w:rPr>
                <w:rFonts w:ascii="Arial" w:hAnsi="Arial" w:cs="Arial"/>
                <w:noProof/>
                <w:sz w:val="16"/>
                <w:szCs w:val="16"/>
              </w:rPr>
              <w:t>State of New Mexico</w:t>
            </w:r>
          </w:p>
          <w:p w:rsidR="00943E45" w:rsidRPr="008E487F" w:rsidRDefault="00943E45" w:rsidP="00E56B71">
            <w:pPr>
              <w:jc w:val="center"/>
              <w:rPr>
                <w:rFonts w:ascii="Arial" w:hAnsi="Arial" w:cs="Arial"/>
                <w:b/>
                <w:bCs/>
                <w:color w:val="000000"/>
                <w:sz w:val="22"/>
                <w:szCs w:val="22"/>
              </w:rPr>
            </w:pPr>
            <w:r w:rsidRPr="008E487F">
              <w:rPr>
                <w:rFonts w:ascii="Arial" w:hAnsi="Arial" w:cs="Arial"/>
                <w:color w:val="000000"/>
                <w:sz w:val="16"/>
                <w:szCs w:val="16"/>
              </w:rPr>
              <w:t>2000 Census SF3 Data</w:t>
            </w:r>
          </w:p>
        </w:tc>
      </w:tr>
      <w:tr w:rsidR="00943E45" w:rsidRPr="008E487F" w:rsidTr="00E56B71">
        <w:trPr>
          <w:trHeight w:val="216"/>
          <w:jc w:val="center"/>
        </w:trPr>
        <w:tc>
          <w:tcPr>
            <w:tcW w:w="2377" w:type="dxa"/>
            <w:tcBorders>
              <w:top w:val="single" w:sz="8" w:space="0" w:color="009900"/>
              <w:left w:val="single" w:sz="8" w:space="0" w:color="009900"/>
              <w:bottom w:val="single" w:sz="8" w:space="0" w:color="009900"/>
              <w:right w:val="nil"/>
            </w:tcBorders>
            <w:shd w:val="clear" w:color="000000" w:fill="FFFFE1"/>
            <w:noWrap/>
            <w:vAlign w:val="center"/>
            <w:hideMark/>
          </w:tcPr>
          <w:p w:rsidR="00943E45" w:rsidRPr="008E487F" w:rsidRDefault="00943E45" w:rsidP="00E56B71">
            <w:pPr>
              <w:rPr>
                <w:rFonts w:ascii="Arial" w:hAnsi="Arial" w:cs="Arial"/>
                <w:b/>
                <w:bCs/>
                <w:color w:val="000000"/>
                <w:sz w:val="16"/>
                <w:szCs w:val="16"/>
              </w:rPr>
            </w:pPr>
            <w:r w:rsidRPr="008E487F">
              <w:rPr>
                <w:rFonts w:ascii="Arial" w:hAnsi="Arial" w:cs="Arial"/>
                <w:b/>
                <w:bCs/>
                <w:color w:val="000000"/>
                <w:sz w:val="16"/>
                <w:szCs w:val="16"/>
              </w:rPr>
              <w:t>Disability Type</w:t>
            </w:r>
          </w:p>
        </w:tc>
        <w:tc>
          <w:tcPr>
            <w:tcW w:w="2125" w:type="dxa"/>
            <w:tcBorders>
              <w:top w:val="single" w:sz="8" w:space="0" w:color="009900"/>
              <w:left w:val="nil"/>
              <w:bottom w:val="single" w:sz="8" w:space="0" w:color="009900"/>
              <w:right w:val="single" w:sz="8" w:space="0" w:color="009900"/>
            </w:tcBorders>
            <w:shd w:val="clear" w:color="000000" w:fill="FFFFE1"/>
            <w:vAlign w:val="center"/>
            <w:hideMark/>
          </w:tcPr>
          <w:p w:rsidR="00943E45" w:rsidRPr="008E487F" w:rsidRDefault="00943E45" w:rsidP="00E56B71">
            <w:pPr>
              <w:jc w:val="center"/>
              <w:rPr>
                <w:rFonts w:ascii="Arial" w:hAnsi="Arial" w:cs="Arial"/>
                <w:b/>
                <w:bCs/>
                <w:color w:val="000000"/>
                <w:sz w:val="16"/>
                <w:szCs w:val="16"/>
              </w:rPr>
            </w:pPr>
            <w:r w:rsidRPr="008E487F">
              <w:rPr>
                <w:rFonts w:ascii="Arial" w:hAnsi="Arial" w:cs="Arial"/>
                <w:b/>
                <w:bCs/>
                <w:color w:val="000000"/>
                <w:sz w:val="16"/>
                <w:szCs w:val="16"/>
              </w:rPr>
              <w:t>Population</w:t>
            </w:r>
          </w:p>
        </w:tc>
      </w:tr>
      <w:tr w:rsidR="00943E45" w:rsidRPr="008E487F" w:rsidTr="00E56B71">
        <w:trPr>
          <w:trHeight w:val="216"/>
          <w:jc w:val="center"/>
        </w:trPr>
        <w:tc>
          <w:tcPr>
            <w:tcW w:w="2377" w:type="dxa"/>
            <w:tcBorders>
              <w:top w:val="nil"/>
              <w:left w:val="single" w:sz="8" w:space="0" w:color="009900"/>
              <w:bottom w:val="nil"/>
              <w:right w:val="nil"/>
            </w:tcBorders>
            <w:shd w:val="clear" w:color="000000" w:fill="FFFFE1"/>
            <w:noWrap/>
            <w:vAlign w:val="center"/>
          </w:tcPr>
          <w:p w:rsidR="00943E45" w:rsidRPr="008E487F" w:rsidRDefault="00943E45" w:rsidP="00E56B71">
            <w:pPr>
              <w:rPr>
                <w:rFonts w:ascii="Arial" w:hAnsi="Arial" w:cs="Arial"/>
                <w:color w:val="000000"/>
                <w:sz w:val="16"/>
                <w:szCs w:val="16"/>
              </w:rPr>
            </w:pPr>
            <w:r w:rsidRPr="008E487F">
              <w:rPr>
                <w:rFonts w:ascii="Arial" w:hAnsi="Arial" w:cs="Arial"/>
                <w:color w:val="000000"/>
                <w:sz w:val="16"/>
                <w:szCs w:val="16"/>
              </w:rPr>
              <w:t>Sensory disability</w:t>
            </w:r>
          </w:p>
        </w:tc>
        <w:tc>
          <w:tcPr>
            <w:tcW w:w="2125" w:type="dxa"/>
            <w:tcBorders>
              <w:top w:val="nil"/>
              <w:left w:val="nil"/>
              <w:bottom w:val="nil"/>
              <w:right w:val="single" w:sz="8" w:space="0" w:color="009900"/>
            </w:tcBorders>
            <w:shd w:val="clear" w:color="000000" w:fill="FFFFE1"/>
            <w:noWrap/>
            <w:vAlign w:val="center"/>
          </w:tcPr>
          <w:p w:rsidR="00943E45" w:rsidRPr="008E487F" w:rsidRDefault="00943E45" w:rsidP="00E56B71">
            <w:pPr>
              <w:jc w:val="center"/>
              <w:rPr>
                <w:rFonts w:ascii="Arial" w:hAnsi="Arial" w:cs="Arial"/>
                <w:color w:val="000000"/>
                <w:sz w:val="16"/>
                <w:szCs w:val="16"/>
              </w:rPr>
            </w:pPr>
            <w:r w:rsidRPr="009C69D6">
              <w:rPr>
                <w:rFonts w:ascii="Arial" w:hAnsi="Arial" w:cs="Arial"/>
                <w:noProof/>
                <w:sz w:val="16"/>
                <w:szCs w:val="16"/>
              </w:rPr>
              <w:t>74,309</w:t>
            </w:r>
          </w:p>
        </w:tc>
      </w:tr>
      <w:tr w:rsidR="00943E45" w:rsidRPr="008E487F" w:rsidTr="00E56B71">
        <w:trPr>
          <w:trHeight w:val="216"/>
          <w:jc w:val="center"/>
        </w:trPr>
        <w:tc>
          <w:tcPr>
            <w:tcW w:w="2377" w:type="dxa"/>
            <w:tcBorders>
              <w:top w:val="nil"/>
              <w:left w:val="single" w:sz="8" w:space="0" w:color="009900"/>
              <w:bottom w:val="nil"/>
              <w:right w:val="nil"/>
            </w:tcBorders>
            <w:shd w:val="clear" w:color="000000" w:fill="FFFFE1"/>
            <w:noWrap/>
            <w:vAlign w:val="center"/>
          </w:tcPr>
          <w:p w:rsidR="00943E45" w:rsidRPr="008E487F" w:rsidRDefault="00943E45" w:rsidP="00E56B71">
            <w:pPr>
              <w:rPr>
                <w:rFonts w:ascii="Arial" w:hAnsi="Arial" w:cs="Arial"/>
                <w:color w:val="000000"/>
                <w:sz w:val="16"/>
                <w:szCs w:val="16"/>
              </w:rPr>
            </w:pPr>
            <w:r w:rsidRPr="008E487F">
              <w:rPr>
                <w:rFonts w:ascii="Arial" w:hAnsi="Arial" w:cs="Arial"/>
                <w:color w:val="000000"/>
                <w:sz w:val="16"/>
                <w:szCs w:val="16"/>
              </w:rPr>
              <w:t>Physical disability</w:t>
            </w:r>
          </w:p>
        </w:tc>
        <w:tc>
          <w:tcPr>
            <w:tcW w:w="2125" w:type="dxa"/>
            <w:tcBorders>
              <w:top w:val="nil"/>
              <w:left w:val="nil"/>
              <w:bottom w:val="nil"/>
              <w:right w:val="single" w:sz="8" w:space="0" w:color="009900"/>
            </w:tcBorders>
            <w:shd w:val="clear" w:color="000000" w:fill="FFFFE1"/>
            <w:noWrap/>
            <w:vAlign w:val="center"/>
          </w:tcPr>
          <w:p w:rsidR="00943E45" w:rsidRPr="008E487F" w:rsidRDefault="00943E45" w:rsidP="00E56B71">
            <w:pPr>
              <w:jc w:val="center"/>
              <w:rPr>
                <w:rFonts w:ascii="Arial" w:hAnsi="Arial" w:cs="Arial"/>
                <w:color w:val="000000"/>
                <w:sz w:val="16"/>
                <w:szCs w:val="16"/>
              </w:rPr>
            </w:pPr>
            <w:r w:rsidRPr="009C69D6">
              <w:rPr>
                <w:rFonts w:ascii="Arial" w:hAnsi="Arial" w:cs="Arial"/>
                <w:noProof/>
                <w:sz w:val="16"/>
                <w:szCs w:val="16"/>
              </w:rPr>
              <w:t>149,317</w:t>
            </w:r>
          </w:p>
        </w:tc>
      </w:tr>
      <w:tr w:rsidR="00943E45" w:rsidRPr="008E487F" w:rsidTr="00E56B71">
        <w:trPr>
          <w:trHeight w:val="216"/>
          <w:jc w:val="center"/>
        </w:trPr>
        <w:tc>
          <w:tcPr>
            <w:tcW w:w="2377" w:type="dxa"/>
            <w:tcBorders>
              <w:top w:val="nil"/>
              <w:left w:val="single" w:sz="8" w:space="0" w:color="009900"/>
              <w:bottom w:val="nil"/>
              <w:right w:val="nil"/>
            </w:tcBorders>
            <w:shd w:val="clear" w:color="000000" w:fill="FFFFE1"/>
            <w:noWrap/>
            <w:vAlign w:val="center"/>
          </w:tcPr>
          <w:p w:rsidR="00943E45" w:rsidRPr="008E487F" w:rsidRDefault="00943E45" w:rsidP="00E56B71">
            <w:pPr>
              <w:rPr>
                <w:rFonts w:ascii="Arial" w:hAnsi="Arial" w:cs="Arial"/>
                <w:color w:val="000000"/>
                <w:sz w:val="16"/>
                <w:szCs w:val="16"/>
              </w:rPr>
            </w:pPr>
            <w:r w:rsidRPr="008E487F">
              <w:rPr>
                <w:rFonts w:ascii="Arial" w:hAnsi="Arial" w:cs="Arial"/>
                <w:color w:val="000000"/>
                <w:sz w:val="16"/>
                <w:szCs w:val="16"/>
              </w:rPr>
              <w:t>Mental disability</w:t>
            </w:r>
          </w:p>
        </w:tc>
        <w:tc>
          <w:tcPr>
            <w:tcW w:w="2125" w:type="dxa"/>
            <w:tcBorders>
              <w:top w:val="nil"/>
              <w:left w:val="nil"/>
              <w:bottom w:val="nil"/>
              <w:right w:val="single" w:sz="8" w:space="0" w:color="009900"/>
            </w:tcBorders>
            <w:shd w:val="clear" w:color="000000" w:fill="FFFFE1"/>
            <w:noWrap/>
            <w:vAlign w:val="center"/>
          </w:tcPr>
          <w:p w:rsidR="00943E45" w:rsidRPr="008E487F" w:rsidRDefault="00943E45" w:rsidP="00E56B71">
            <w:pPr>
              <w:jc w:val="center"/>
              <w:rPr>
                <w:rFonts w:ascii="Arial" w:hAnsi="Arial" w:cs="Arial"/>
                <w:color w:val="000000"/>
                <w:sz w:val="16"/>
                <w:szCs w:val="16"/>
              </w:rPr>
            </w:pPr>
            <w:r w:rsidRPr="009C69D6">
              <w:rPr>
                <w:rFonts w:ascii="Arial" w:hAnsi="Arial" w:cs="Arial"/>
                <w:noProof/>
                <w:sz w:val="16"/>
                <w:szCs w:val="16"/>
              </w:rPr>
              <w:t>90,020</w:t>
            </w:r>
          </w:p>
        </w:tc>
      </w:tr>
      <w:tr w:rsidR="00943E45" w:rsidRPr="008E487F" w:rsidTr="00E56B71">
        <w:trPr>
          <w:trHeight w:val="216"/>
          <w:jc w:val="center"/>
        </w:trPr>
        <w:tc>
          <w:tcPr>
            <w:tcW w:w="2377" w:type="dxa"/>
            <w:tcBorders>
              <w:top w:val="nil"/>
              <w:left w:val="single" w:sz="8" w:space="0" w:color="009900"/>
              <w:bottom w:val="nil"/>
              <w:right w:val="nil"/>
            </w:tcBorders>
            <w:shd w:val="clear" w:color="000000" w:fill="FFFFE1"/>
            <w:noWrap/>
            <w:vAlign w:val="center"/>
          </w:tcPr>
          <w:p w:rsidR="00943E45" w:rsidRPr="008E487F" w:rsidRDefault="00943E45" w:rsidP="00E56B71">
            <w:pPr>
              <w:rPr>
                <w:rFonts w:ascii="Arial" w:hAnsi="Arial" w:cs="Arial"/>
                <w:color w:val="000000"/>
                <w:sz w:val="16"/>
                <w:szCs w:val="16"/>
              </w:rPr>
            </w:pPr>
            <w:r w:rsidRPr="008E487F">
              <w:rPr>
                <w:rFonts w:ascii="Arial" w:hAnsi="Arial" w:cs="Arial"/>
                <w:color w:val="000000"/>
                <w:sz w:val="16"/>
                <w:szCs w:val="16"/>
              </w:rPr>
              <w:t>Self-care disability</w:t>
            </w:r>
          </w:p>
        </w:tc>
        <w:tc>
          <w:tcPr>
            <w:tcW w:w="2125" w:type="dxa"/>
            <w:tcBorders>
              <w:top w:val="nil"/>
              <w:left w:val="nil"/>
              <w:bottom w:val="nil"/>
              <w:right w:val="single" w:sz="8" w:space="0" w:color="009900"/>
            </w:tcBorders>
            <w:shd w:val="clear" w:color="000000" w:fill="FFFFE1"/>
            <w:noWrap/>
            <w:vAlign w:val="center"/>
          </w:tcPr>
          <w:p w:rsidR="00943E45" w:rsidRPr="008E487F" w:rsidRDefault="00943E45" w:rsidP="00E56B71">
            <w:pPr>
              <w:jc w:val="center"/>
              <w:rPr>
                <w:rFonts w:ascii="Arial" w:hAnsi="Arial" w:cs="Arial"/>
                <w:color w:val="000000"/>
                <w:sz w:val="16"/>
                <w:szCs w:val="16"/>
              </w:rPr>
            </w:pPr>
            <w:r w:rsidRPr="009C69D6">
              <w:rPr>
                <w:rFonts w:ascii="Arial" w:hAnsi="Arial" w:cs="Arial"/>
                <w:noProof/>
                <w:sz w:val="16"/>
                <w:szCs w:val="16"/>
              </w:rPr>
              <w:t>44,025</w:t>
            </w:r>
          </w:p>
        </w:tc>
      </w:tr>
      <w:tr w:rsidR="00943E45" w:rsidRPr="008E487F" w:rsidTr="00E56B71">
        <w:trPr>
          <w:trHeight w:val="216"/>
          <w:jc w:val="center"/>
        </w:trPr>
        <w:tc>
          <w:tcPr>
            <w:tcW w:w="2377" w:type="dxa"/>
            <w:tcBorders>
              <w:top w:val="nil"/>
              <w:left w:val="single" w:sz="8" w:space="0" w:color="009900"/>
              <w:bottom w:val="nil"/>
              <w:right w:val="nil"/>
            </w:tcBorders>
            <w:shd w:val="clear" w:color="000000" w:fill="FFFFE1"/>
            <w:noWrap/>
            <w:vAlign w:val="center"/>
          </w:tcPr>
          <w:p w:rsidR="00943E45" w:rsidRPr="008E487F" w:rsidRDefault="00943E45" w:rsidP="00E56B71">
            <w:pPr>
              <w:rPr>
                <w:rFonts w:ascii="Arial" w:hAnsi="Arial" w:cs="Arial"/>
                <w:color w:val="000000"/>
                <w:sz w:val="16"/>
                <w:szCs w:val="16"/>
              </w:rPr>
            </w:pPr>
            <w:r w:rsidRPr="008E487F">
              <w:rPr>
                <w:rFonts w:ascii="Arial" w:hAnsi="Arial" w:cs="Arial"/>
                <w:color w:val="000000"/>
                <w:sz w:val="16"/>
                <w:szCs w:val="16"/>
              </w:rPr>
              <w:t>Employment disability</w:t>
            </w:r>
          </w:p>
        </w:tc>
        <w:tc>
          <w:tcPr>
            <w:tcW w:w="2125" w:type="dxa"/>
            <w:tcBorders>
              <w:top w:val="nil"/>
              <w:left w:val="nil"/>
              <w:bottom w:val="nil"/>
              <w:right w:val="single" w:sz="8" w:space="0" w:color="009900"/>
            </w:tcBorders>
            <w:shd w:val="clear" w:color="000000" w:fill="FFFFE1"/>
            <w:noWrap/>
            <w:vAlign w:val="center"/>
          </w:tcPr>
          <w:p w:rsidR="00943E45" w:rsidRPr="008E487F" w:rsidRDefault="00943E45" w:rsidP="00E56B71">
            <w:pPr>
              <w:jc w:val="center"/>
              <w:rPr>
                <w:rFonts w:ascii="Arial" w:hAnsi="Arial" w:cs="Arial"/>
                <w:color w:val="000000"/>
                <w:sz w:val="16"/>
                <w:szCs w:val="16"/>
              </w:rPr>
            </w:pPr>
            <w:r w:rsidRPr="009C69D6">
              <w:rPr>
                <w:rFonts w:ascii="Arial" w:hAnsi="Arial" w:cs="Arial"/>
                <w:noProof/>
                <w:sz w:val="16"/>
                <w:szCs w:val="16"/>
              </w:rPr>
              <w:t>139,826</w:t>
            </w:r>
          </w:p>
        </w:tc>
      </w:tr>
      <w:tr w:rsidR="00943E45" w:rsidRPr="008E487F" w:rsidTr="00E56B71">
        <w:trPr>
          <w:trHeight w:val="216"/>
          <w:jc w:val="center"/>
        </w:trPr>
        <w:tc>
          <w:tcPr>
            <w:tcW w:w="2377" w:type="dxa"/>
            <w:tcBorders>
              <w:top w:val="nil"/>
              <w:left w:val="single" w:sz="8" w:space="0" w:color="009900"/>
              <w:bottom w:val="nil"/>
              <w:right w:val="nil"/>
            </w:tcBorders>
            <w:shd w:val="clear" w:color="000000" w:fill="FFFFE1"/>
            <w:noWrap/>
            <w:vAlign w:val="center"/>
          </w:tcPr>
          <w:p w:rsidR="00943E45" w:rsidRPr="008E487F" w:rsidRDefault="00943E45" w:rsidP="00E56B71">
            <w:pPr>
              <w:rPr>
                <w:rFonts w:ascii="Arial" w:hAnsi="Arial" w:cs="Arial"/>
                <w:color w:val="000000"/>
                <w:sz w:val="16"/>
                <w:szCs w:val="16"/>
              </w:rPr>
            </w:pPr>
            <w:r w:rsidRPr="008E487F">
              <w:rPr>
                <w:rFonts w:ascii="Arial" w:hAnsi="Arial" w:cs="Arial"/>
                <w:color w:val="000000"/>
                <w:sz w:val="16"/>
                <w:szCs w:val="16"/>
              </w:rPr>
              <w:t>Go-outside-home disability</w:t>
            </w:r>
          </w:p>
        </w:tc>
        <w:tc>
          <w:tcPr>
            <w:tcW w:w="2125" w:type="dxa"/>
            <w:tcBorders>
              <w:top w:val="nil"/>
              <w:left w:val="nil"/>
              <w:bottom w:val="nil"/>
              <w:right w:val="single" w:sz="8" w:space="0" w:color="009900"/>
            </w:tcBorders>
            <w:shd w:val="clear" w:color="000000" w:fill="FFFFE1"/>
            <w:noWrap/>
            <w:vAlign w:val="center"/>
          </w:tcPr>
          <w:p w:rsidR="00943E45" w:rsidRPr="008E487F" w:rsidRDefault="00943E45" w:rsidP="00E56B71">
            <w:pPr>
              <w:jc w:val="center"/>
              <w:rPr>
                <w:rFonts w:ascii="Arial" w:hAnsi="Arial" w:cs="Arial"/>
                <w:color w:val="000000"/>
                <w:sz w:val="16"/>
                <w:szCs w:val="16"/>
              </w:rPr>
            </w:pPr>
            <w:r w:rsidRPr="009C69D6">
              <w:rPr>
                <w:rFonts w:ascii="Arial" w:hAnsi="Arial" w:cs="Arial"/>
                <w:noProof/>
                <w:sz w:val="16"/>
                <w:szCs w:val="16"/>
              </w:rPr>
              <w:t>115,076</w:t>
            </w:r>
          </w:p>
        </w:tc>
      </w:tr>
      <w:tr w:rsidR="00943E45" w:rsidRPr="008E487F" w:rsidTr="00E56B71">
        <w:trPr>
          <w:trHeight w:val="216"/>
          <w:jc w:val="center"/>
        </w:trPr>
        <w:tc>
          <w:tcPr>
            <w:tcW w:w="2377" w:type="dxa"/>
            <w:tcBorders>
              <w:top w:val="double" w:sz="6" w:space="0" w:color="009900"/>
              <w:left w:val="single" w:sz="8" w:space="0" w:color="009900"/>
              <w:bottom w:val="single" w:sz="8" w:space="0" w:color="009900"/>
            </w:tcBorders>
            <w:shd w:val="clear" w:color="000000" w:fill="FFFFE1"/>
            <w:noWrap/>
            <w:vAlign w:val="center"/>
            <w:hideMark/>
          </w:tcPr>
          <w:p w:rsidR="00943E45" w:rsidRPr="008E487F" w:rsidRDefault="00943E45" w:rsidP="00E56B71">
            <w:pPr>
              <w:rPr>
                <w:rFonts w:ascii="Arial" w:hAnsi="Arial" w:cs="Arial"/>
                <w:b/>
                <w:bCs/>
                <w:color w:val="000000"/>
                <w:sz w:val="16"/>
                <w:szCs w:val="16"/>
              </w:rPr>
            </w:pPr>
            <w:r w:rsidRPr="008E487F">
              <w:rPr>
                <w:rFonts w:ascii="Arial" w:hAnsi="Arial" w:cs="Arial"/>
                <w:b/>
                <w:bCs/>
                <w:color w:val="000000"/>
                <w:sz w:val="16"/>
                <w:szCs w:val="16"/>
              </w:rPr>
              <w:t>Total</w:t>
            </w:r>
          </w:p>
        </w:tc>
        <w:tc>
          <w:tcPr>
            <w:tcW w:w="2125" w:type="dxa"/>
            <w:tcBorders>
              <w:top w:val="double" w:sz="6" w:space="0" w:color="009900"/>
              <w:bottom w:val="single" w:sz="8" w:space="0" w:color="009900"/>
              <w:right w:val="single" w:sz="8" w:space="0" w:color="009900"/>
            </w:tcBorders>
            <w:shd w:val="clear" w:color="000000" w:fill="FFFFE1"/>
            <w:noWrap/>
            <w:vAlign w:val="center"/>
            <w:hideMark/>
          </w:tcPr>
          <w:p w:rsidR="00943E45" w:rsidRPr="008E487F" w:rsidRDefault="00943E45" w:rsidP="00E56B71">
            <w:pPr>
              <w:jc w:val="center"/>
              <w:rPr>
                <w:rFonts w:ascii="Arial" w:hAnsi="Arial" w:cs="Arial"/>
                <w:b/>
                <w:bCs/>
                <w:color w:val="000000"/>
                <w:sz w:val="16"/>
                <w:szCs w:val="16"/>
              </w:rPr>
            </w:pPr>
            <w:r w:rsidRPr="009C69D6">
              <w:rPr>
                <w:rFonts w:ascii="Arial" w:hAnsi="Arial" w:cs="Arial"/>
                <w:b/>
                <w:noProof/>
                <w:sz w:val="16"/>
                <w:szCs w:val="16"/>
              </w:rPr>
              <w:t>612,573</w:t>
            </w:r>
          </w:p>
        </w:tc>
      </w:tr>
    </w:tbl>
    <w:p w:rsidR="00943E45" w:rsidRPr="00DE3F87" w:rsidRDefault="00943E45" w:rsidP="00943E45">
      <w:pPr>
        <w:jc w:val="both"/>
        <w:rPr>
          <w:rFonts w:ascii="CG Omega" w:hAnsi="CG Omega" w:cs="Arial"/>
          <w:b/>
          <w:snapToGrid w:val="0"/>
          <w:highlight w:val="yellow"/>
        </w:rPr>
      </w:pPr>
    </w:p>
    <w:p w:rsidR="00943E45" w:rsidRPr="00DE3F87" w:rsidRDefault="00943E45" w:rsidP="00943E45">
      <w:pPr>
        <w:jc w:val="both"/>
        <w:rPr>
          <w:rFonts w:ascii="CG Omega" w:hAnsi="CG Omega" w:cs="Arial"/>
          <w:b/>
          <w:snapToGrid w:val="0"/>
        </w:rPr>
      </w:pPr>
      <w:r w:rsidRPr="00DE3F87">
        <w:rPr>
          <w:rFonts w:ascii="CG Omega" w:hAnsi="CG Omega" w:cs="Arial"/>
          <w:b/>
          <w:snapToGrid w:val="0"/>
        </w:rPr>
        <w:t>Services and Housing Currently Provided</w:t>
      </w:r>
    </w:p>
    <w:p w:rsidR="00943E45" w:rsidRPr="00DE3F87" w:rsidRDefault="00943E45" w:rsidP="00943E45">
      <w:pPr>
        <w:jc w:val="both"/>
        <w:rPr>
          <w:rFonts w:ascii="CG Omega" w:hAnsi="CG Omega" w:cs="Arial"/>
          <w:b/>
          <w:snapToGrid w:val="0"/>
          <w:highlight w:val="yellow"/>
        </w:rPr>
      </w:pPr>
    </w:p>
    <w:p w:rsidR="00943E45" w:rsidRPr="00DC6DB8" w:rsidRDefault="00943E45" w:rsidP="00943E45">
      <w:pPr>
        <w:jc w:val="both"/>
        <w:rPr>
          <w:rFonts w:ascii="CG Omega" w:hAnsi="CG Omega" w:cs="Arial"/>
        </w:rPr>
      </w:pPr>
      <w:r w:rsidRPr="00DC6DB8">
        <w:rPr>
          <w:rFonts w:ascii="CG Omega" w:hAnsi="CG Omega" w:cs="Arial"/>
        </w:rPr>
        <w:t xml:space="preserve">The Aging and Disability Resource Center, through the New Mexico Aging and Long-Term Services Department, provides information and referrals to organizations throughout the state that aid persons with disabilities. </w:t>
      </w:r>
      <w:r>
        <w:rPr>
          <w:rFonts w:ascii="CG Omega" w:hAnsi="CG Omega" w:cs="Arial"/>
        </w:rPr>
        <w:t>The Aging and Disability Resource Center is available to assist elders, persons with disabilities and caregivers to find services and resources to help them live well and independently.</w:t>
      </w:r>
      <w:r>
        <w:rPr>
          <w:rStyle w:val="FootnoteReference"/>
          <w:rFonts w:ascii="CG Omega" w:hAnsi="CG Omega" w:cs="Arial"/>
        </w:rPr>
        <w:footnoteReference w:id="63"/>
      </w:r>
    </w:p>
    <w:p w:rsidR="00943E45" w:rsidRPr="00DE3F87" w:rsidRDefault="00943E45" w:rsidP="00943E45">
      <w:pPr>
        <w:jc w:val="both"/>
        <w:rPr>
          <w:rFonts w:ascii="CG Omega" w:hAnsi="CG Omega" w:cs="Arial"/>
          <w:highlight w:val="yellow"/>
        </w:rPr>
      </w:pPr>
    </w:p>
    <w:p w:rsidR="00943E45" w:rsidRPr="00DE3F87" w:rsidRDefault="00943E45" w:rsidP="00943E45">
      <w:pPr>
        <w:jc w:val="both"/>
        <w:rPr>
          <w:rFonts w:ascii="CG Omega" w:hAnsi="CG Omega" w:cs="Arial"/>
          <w:highlight w:val="yellow"/>
        </w:rPr>
      </w:pPr>
      <w:r w:rsidRPr="00DE3F87">
        <w:rPr>
          <w:rFonts w:ascii="CG Omega" w:hAnsi="CG Omega" w:cs="Arial"/>
        </w:rPr>
        <w:t>The Department of Health also offers services through the Developmental Disabilities Support Division. The Division’s mission is to effectively administer a system of person-centered community supports services that promote positive outcomes for all stakeholders with a primary focus on assisting individuals with developmental disabilities and their families to exercise their right to make choices, grow and contribute to their community.</w:t>
      </w:r>
      <w:r w:rsidRPr="00DE3F87">
        <w:rPr>
          <w:rStyle w:val="FootnoteReference"/>
          <w:rFonts w:ascii="CG Omega" w:hAnsi="CG Omega" w:cs="Arial"/>
        </w:rPr>
        <w:footnoteReference w:id="64"/>
      </w:r>
      <w:r w:rsidRPr="00DE3F87">
        <w:rPr>
          <w:rFonts w:ascii="CG Omega" w:hAnsi="CG Omega" w:cs="Arial"/>
        </w:rPr>
        <w:t xml:space="preserve">  The Division offers case management, day services, therapy, employment support, nutritional care, counseling, accessibility adaptations and community engagement opportunities.</w:t>
      </w:r>
      <w:r w:rsidRPr="00DE3F87">
        <w:rPr>
          <w:rStyle w:val="FootnoteReference"/>
          <w:rFonts w:ascii="CG Omega" w:hAnsi="CG Omega" w:cs="Arial"/>
        </w:rPr>
        <w:footnoteReference w:id="65"/>
      </w:r>
    </w:p>
    <w:p w:rsidR="00943E45" w:rsidRPr="00DE3F87" w:rsidRDefault="00943E45" w:rsidP="00943E45">
      <w:pPr>
        <w:jc w:val="both"/>
        <w:rPr>
          <w:rFonts w:ascii="CG Omega" w:hAnsi="CG Omega" w:cs="Arial"/>
          <w:snapToGrid w:val="0"/>
          <w:highlight w:val="yellow"/>
        </w:rPr>
      </w:pPr>
    </w:p>
    <w:p w:rsidR="00943E45" w:rsidRPr="00DE3F87" w:rsidRDefault="00943E45" w:rsidP="00943E45">
      <w:pPr>
        <w:jc w:val="both"/>
        <w:rPr>
          <w:rFonts w:ascii="CG Omega" w:hAnsi="CG Omega" w:cs="Arial"/>
          <w:b/>
          <w:snapToGrid w:val="0"/>
        </w:rPr>
      </w:pPr>
      <w:r w:rsidRPr="00DE3F87">
        <w:rPr>
          <w:rFonts w:ascii="CG Omega" w:hAnsi="CG Omega" w:cs="Arial"/>
          <w:b/>
          <w:snapToGrid w:val="0"/>
        </w:rPr>
        <w:t>Services and Facilities Needed</w:t>
      </w:r>
    </w:p>
    <w:p w:rsidR="00943E45" w:rsidRPr="00DE3F87" w:rsidRDefault="00943E45" w:rsidP="00943E45">
      <w:pPr>
        <w:jc w:val="both"/>
        <w:rPr>
          <w:rFonts w:ascii="CG Omega" w:hAnsi="CG Omega" w:cs="Arial"/>
          <w:b/>
          <w:snapToGrid w:val="0"/>
          <w:highlight w:val="yellow"/>
        </w:rPr>
      </w:pPr>
    </w:p>
    <w:p w:rsidR="00D93E3B" w:rsidRDefault="00746495" w:rsidP="00746495">
      <w:pPr>
        <w:jc w:val="both"/>
        <w:rPr>
          <w:rFonts w:ascii="CG Omega" w:hAnsi="CG Omega" w:cs="Arial"/>
          <w:snapToGrid w:val="0"/>
        </w:rPr>
      </w:pPr>
      <w:r w:rsidRPr="00DE3F87">
        <w:rPr>
          <w:rFonts w:ascii="CG Omega" w:hAnsi="CG Omega" w:cs="Arial"/>
          <w:snapToGrid w:val="0"/>
        </w:rPr>
        <w:t>The Housing</w:t>
      </w:r>
      <w:r w:rsidRPr="007614FB">
        <w:rPr>
          <w:rFonts w:ascii="CG Omega" w:hAnsi="CG Omega" w:cs="Arial"/>
          <w:snapToGrid w:val="0"/>
        </w:rPr>
        <w:t xml:space="preserve"> and Community Development Survey also asked participants to rank the need for services and facilities for persons with disabilities. The results, </w:t>
      </w:r>
      <w:r w:rsidRPr="00832AB3">
        <w:rPr>
          <w:rFonts w:ascii="CG Omega" w:hAnsi="CG Omega" w:cs="Arial"/>
          <w:snapToGrid w:val="0"/>
        </w:rPr>
        <w:t xml:space="preserve">shown in </w:t>
      </w:r>
      <w:r w:rsidRPr="00DE3F87">
        <w:rPr>
          <w:rFonts w:ascii="CG Omega" w:hAnsi="CG Omega" w:cs="Arial"/>
          <w:b/>
          <w:snapToGrid w:val="0"/>
        </w:rPr>
        <w:t>Table V.</w:t>
      </w:r>
      <w:r w:rsidR="000D21C9" w:rsidRPr="00DE3F87">
        <w:rPr>
          <w:rFonts w:ascii="CG Omega" w:hAnsi="CG Omega" w:cs="Arial"/>
          <w:b/>
          <w:snapToGrid w:val="0"/>
        </w:rPr>
        <w:t>2</w:t>
      </w:r>
      <w:r w:rsidR="000155B6" w:rsidRPr="00DE3F87">
        <w:rPr>
          <w:rFonts w:ascii="CG Omega" w:hAnsi="CG Omega" w:cs="Arial"/>
          <w:b/>
          <w:snapToGrid w:val="0"/>
        </w:rPr>
        <w:t>3</w:t>
      </w:r>
      <w:r w:rsidR="00C419B6">
        <w:rPr>
          <w:rFonts w:ascii="CG Omega" w:hAnsi="CG Omega" w:cs="Arial"/>
          <w:snapToGrid w:val="0"/>
        </w:rPr>
        <w:t>,</w:t>
      </w:r>
      <w:r w:rsidRPr="00832AB3">
        <w:rPr>
          <w:rFonts w:ascii="CG Omega" w:hAnsi="CG Omega" w:cs="Arial"/>
          <w:snapToGrid w:val="0"/>
        </w:rPr>
        <w:t xml:space="preserve"> </w:t>
      </w:r>
      <w:r w:rsidR="00DE3F87">
        <w:rPr>
          <w:rFonts w:ascii="CG Omega" w:hAnsi="CG Omega" w:cs="Arial"/>
          <w:snapToGrid w:val="0"/>
        </w:rPr>
        <w:t>on the following page,.</w:t>
      </w:r>
      <w:r w:rsidRPr="007614FB">
        <w:rPr>
          <w:rFonts w:ascii="CG Omega" w:hAnsi="CG Omega" w:cs="Arial"/>
          <w:snapToGrid w:val="0"/>
        </w:rPr>
        <w:t xml:space="preserve">indicate a strong need for housing for both persons with physical disabilities and developmental disabilities, with over </w:t>
      </w:r>
      <w:r w:rsidRPr="00F215BB">
        <w:rPr>
          <w:rFonts w:ascii="CG Omega" w:hAnsi="CG Omega" w:cs="Arial"/>
          <w:snapToGrid w:val="0"/>
        </w:rPr>
        <w:t xml:space="preserve">60 percent </w:t>
      </w:r>
      <w:r w:rsidRPr="007614FB">
        <w:rPr>
          <w:rFonts w:ascii="CG Omega" w:hAnsi="CG Omega" w:cs="Arial"/>
          <w:snapToGrid w:val="0"/>
        </w:rPr>
        <w:t>of respondents indicating a medium to high level of need for services and facilities for both groups.</w:t>
      </w:r>
    </w:p>
    <w:p w:rsidR="00A00EDA" w:rsidRPr="00DE3F87" w:rsidRDefault="00A00EDA" w:rsidP="00746495">
      <w:pPr>
        <w:jc w:val="both"/>
        <w:rPr>
          <w:rFonts w:ascii="CG Omega" w:hAnsi="CG Omega" w:cs="Arial"/>
          <w:snapToGrid w:val="0"/>
          <w:highlight w:val="yellow"/>
        </w:rPr>
      </w:pPr>
    </w:p>
    <w:tbl>
      <w:tblPr>
        <w:tblW w:w="9195" w:type="dxa"/>
        <w:jc w:val="center"/>
        <w:tblLook w:val="04A0" w:firstRow="1" w:lastRow="0" w:firstColumn="1" w:lastColumn="0" w:noHBand="0" w:noVBand="1"/>
      </w:tblPr>
      <w:tblGrid>
        <w:gridCol w:w="4059"/>
        <w:gridCol w:w="608"/>
        <w:gridCol w:w="608"/>
        <w:gridCol w:w="916"/>
        <w:gridCol w:w="608"/>
        <w:gridCol w:w="1144"/>
        <w:gridCol w:w="1252"/>
      </w:tblGrid>
      <w:tr w:rsidR="00646D63" w:rsidTr="00646D63">
        <w:trPr>
          <w:trHeight w:val="255"/>
          <w:jc w:val="center"/>
        </w:trPr>
        <w:tc>
          <w:tcPr>
            <w:tcW w:w="9195" w:type="dxa"/>
            <w:gridSpan w:val="7"/>
            <w:tcBorders>
              <w:top w:val="nil"/>
              <w:left w:val="nil"/>
              <w:bottom w:val="nil"/>
              <w:right w:val="nil"/>
            </w:tcBorders>
            <w:shd w:val="clear" w:color="auto" w:fill="auto"/>
            <w:noWrap/>
            <w:vAlign w:val="center"/>
            <w:hideMark/>
          </w:tcPr>
          <w:p w:rsidR="00646D63" w:rsidRDefault="00646D63" w:rsidP="000155B6">
            <w:pPr>
              <w:jc w:val="center"/>
              <w:rPr>
                <w:rFonts w:ascii="Arial" w:hAnsi="Arial" w:cs="Arial"/>
                <w:b/>
                <w:bCs/>
                <w:color w:val="000000"/>
                <w:sz w:val="22"/>
                <w:szCs w:val="22"/>
              </w:rPr>
            </w:pPr>
            <w:r>
              <w:rPr>
                <w:rFonts w:ascii="Arial" w:hAnsi="Arial" w:cs="Arial"/>
                <w:b/>
                <w:bCs/>
                <w:color w:val="000000"/>
                <w:sz w:val="22"/>
                <w:szCs w:val="22"/>
              </w:rPr>
              <w:t>Table V.2</w:t>
            </w:r>
            <w:r w:rsidR="000155B6">
              <w:rPr>
                <w:rFonts w:ascii="Arial" w:hAnsi="Arial" w:cs="Arial"/>
                <w:b/>
                <w:bCs/>
                <w:color w:val="000000"/>
                <w:sz w:val="22"/>
                <w:szCs w:val="22"/>
              </w:rPr>
              <w:t>3</w:t>
            </w:r>
          </w:p>
        </w:tc>
      </w:tr>
      <w:tr w:rsidR="00646D63" w:rsidTr="00646D63">
        <w:trPr>
          <w:trHeight w:val="240"/>
          <w:jc w:val="center"/>
        </w:trPr>
        <w:tc>
          <w:tcPr>
            <w:tcW w:w="9195" w:type="dxa"/>
            <w:gridSpan w:val="7"/>
            <w:tcBorders>
              <w:top w:val="nil"/>
              <w:left w:val="nil"/>
              <w:bottom w:val="nil"/>
              <w:right w:val="nil"/>
            </w:tcBorders>
            <w:shd w:val="clear" w:color="auto" w:fill="auto"/>
            <w:noWrap/>
            <w:vAlign w:val="center"/>
            <w:hideMark/>
          </w:tcPr>
          <w:p w:rsidR="00646D63" w:rsidRDefault="00646D63">
            <w:pPr>
              <w:jc w:val="center"/>
              <w:rPr>
                <w:rFonts w:ascii="Arial" w:hAnsi="Arial" w:cs="Arial"/>
                <w:b/>
                <w:bCs/>
                <w:color w:val="000000"/>
                <w:sz w:val="20"/>
                <w:szCs w:val="20"/>
              </w:rPr>
            </w:pPr>
            <w:r>
              <w:rPr>
                <w:rFonts w:ascii="Arial" w:hAnsi="Arial" w:cs="Arial"/>
                <w:b/>
                <w:bCs/>
                <w:color w:val="000000"/>
                <w:sz w:val="20"/>
                <w:szCs w:val="20"/>
              </w:rPr>
              <w:t>Please rate the need for services and facilities for each of the following special needs groups.</w:t>
            </w:r>
          </w:p>
        </w:tc>
      </w:tr>
      <w:tr w:rsidR="00646D63" w:rsidTr="00646D63">
        <w:trPr>
          <w:trHeight w:val="135"/>
          <w:jc w:val="center"/>
        </w:trPr>
        <w:tc>
          <w:tcPr>
            <w:tcW w:w="9195" w:type="dxa"/>
            <w:gridSpan w:val="7"/>
            <w:tcBorders>
              <w:top w:val="nil"/>
              <w:left w:val="nil"/>
              <w:bottom w:val="nil"/>
              <w:right w:val="nil"/>
            </w:tcBorders>
            <w:shd w:val="clear" w:color="auto" w:fill="auto"/>
            <w:noWrap/>
            <w:vAlign w:val="center"/>
            <w:hideMark/>
          </w:tcPr>
          <w:p w:rsidR="00646D63" w:rsidRDefault="00646D63">
            <w:pPr>
              <w:jc w:val="center"/>
              <w:rPr>
                <w:rFonts w:ascii="Arial" w:hAnsi="Arial" w:cs="Arial"/>
                <w:color w:val="000000"/>
                <w:sz w:val="16"/>
                <w:szCs w:val="16"/>
              </w:rPr>
            </w:pPr>
            <w:r>
              <w:rPr>
                <w:rFonts w:ascii="Arial" w:hAnsi="Arial" w:cs="Arial"/>
                <w:noProof/>
                <w:color w:val="000000"/>
                <w:sz w:val="16"/>
                <w:szCs w:val="16"/>
              </w:rPr>
              <w:t>State of New Mexico</w:t>
            </w:r>
          </w:p>
        </w:tc>
      </w:tr>
      <w:tr w:rsidR="00646D63" w:rsidTr="00646D63">
        <w:trPr>
          <w:trHeight w:val="255"/>
          <w:jc w:val="center"/>
        </w:trPr>
        <w:tc>
          <w:tcPr>
            <w:tcW w:w="9195" w:type="dxa"/>
            <w:gridSpan w:val="7"/>
            <w:tcBorders>
              <w:top w:val="nil"/>
              <w:left w:val="nil"/>
              <w:bottom w:val="single" w:sz="8" w:space="0" w:color="009900"/>
              <w:right w:val="nil"/>
            </w:tcBorders>
            <w:shd w:val="clear" w:color="auto" w:fill="auto"/>
            <w:noWrap/>
            <w:vAlign w:val="center"/>
            <w:hideMark/>
          </w:tcPr>
          <w:p w:rsidR="00646D63" w:rsidRDefault="00646D63">
            <w:pPr>
              <w:jc w:val="center"/>
              <w:rPr>
                <w:rFonts w:ascii="Arial" w:hAnsi="Arial" w:cs="Arial"/>
                <w:color w:val="000000"/>
                <w:sz w:val="16"/>
                <w:szCs w:val="16"/>
              </w:rPr>
            </w:pPr>
            <w:r>
              <w:rPr>
                <w:rFonts w:ascii="Arial" w:hAnsi="Arial" w:cs="Arial"/>
                <w:bCs/>
                <w:color w:val="000000"/>
                <w:sz w:val="16"/>
                <w:szCs w:val="16"/>
              </w:rPr>
              <w:t>2014 Housing and Community Development Survey</w:t>
            </w:r>
          </w:p>
        </w:tc>
      </w:tr>
      <w:tr w:rsidR="00646D63" w:rsidTr="00646D63">
        <w:trPr>
          <w:trHeight w:val="300"/>
          <w:jc w:val="center"/>
        </w:trPr>
        <w:tc>
          <w:tcPr>
            <w:tcW w:w="4059" w:type="dxa"/>
            <w:vMerge w:val="restart"/>
            <w:tcBorders>
              <w:top w:val="nil"/>
              <w:left w:val="single" w:sz="8" w:space="0" w:color="009900"/>
              <w:bottom w:val="single" w:sz="8" w:space="0" w:color="009900"/>
              <w:right w:val="nil"/>
            </w:tcBorders>
            <w:shd w:val="clear" w:color="000000" w:fill="FFFFE1"/>
            <w:noWrap/>
            <w:vAlign w:val="center"/>
            <w:hideMark/>
          </w:tcPr>
          <w:p w:rsidR="00646D63" w:rsidRDefault="00646D63">
            <w:pPr>
              <w:rPr>
                <w:rFonts w:ascii="Arial" w:hAnsi="Arial" w:cs="Arial"/>
                <w:b/>
                <w:bCs/>
                <w:color w:val="000000"/>
                <w:sz w:val="16"/>
                <w:szCs w:val="16"/>
              </w:rPr>
            </w:pPr>
            <w:r>
              <w:rPr>
                <w:rFonts w:ascii="Arial" w:hAnsi="Arial" w:cs="Arial"/>
                <w:b/>
                <w:bCs/>
                <w:color w:val="000000"/>
                <w:sz w:val="16"/>
                <w:szCs w:val="16"/>
              </w:rPr>
              <w:t>Question</w:t>
            </w:r>
          </w:p>
        </w:tc>
        <w:tc>
          <w:tcPr>
            <w:tcW w:w="608" w:type="dxa"/>
            <w:tcBorders>
              <w:top w:val="nil"/>
              <w:left w:val="nil"/>
              <w:bottom w:val="nil"/>
              <w:right w:val="nil"/>
            </w:tcBorders>
            <w:shd w:val="clear" w:color="000000" w:fill="FFFFE1"/>
            <w:noWrap/>
            <w:vAlign w:val="center"/>
            <w:hideMark/>
          </w:tcPr>
          <w:p w:rsidR="00646D63" w:rsidRDefault="00646D63">
            <w:pPr>
              <w:jc w:val="center"/>
              <w:rPr>
                <w:rFonts w:ascii="Arial" w:hAnsi="Arial" w:cs="Arial"/>
                <w:b/>
                <w:bCs/>
                <w:color w:val="000000"/>
                <w:sz w:val="16"/>
                <w:szCs w:val="16"/>
              </w:rPr>
            </w:pPr>
            <w:r>
              <w:rPr>
                <w:rFonts w:ascii="Arial" w:hAnsi="Arial" w:cs="Arial"/>
                <w:b/>
                <w:bCs/>
                <w:color w:val="000000"/>
                <w:sz w:val="16"/>
                <w:szCs w:val="16"/>
              </w:rPr>
              <w:t xml:space="preserve">No </w:t>
            </w:r>
          </w:p>
        </w:tc>
        <w:tc>
          <w:tcPr>
            <w:tcW w:w="608" w:type="dxa"/>
            <w:tcBorders>
              <w:top w:val="nil"/>
              <w:left w:val="nil"/>
              <w:bottom w:val="nil"/>
              <w:right w:val="nil"/>
            </w:tcBorders>
            <w:shd w:val="clear" w:color="000000" w:fill="FFFFE1"/>
            <w:noWrap/>
            <w:vAlign w:val="center"/>
            <w:hideMark/>
          </w:tcPr>
          <w:p w:rsidR="00646D63" w:rsidRDefault="00646D63">
            <w:pPr>
              <w:jc w:val="center"/>
              <w:rPr>
                <w:rFonts w:ascii="Arial" w:hAnsi="Arial" w:cs="Arial"/>
                <w:b/>
                <w:bCs/>
                <w:color w:val="000000"/>
                <w:sz w:val="16"/>
                <w:szCs w:val="16"/>
              </w:rPr>
            </w:pPr>
            <w:r>
              <w:rPr>
                <w:rFonts w:ascii="Arial" w:hAnsi="Arial" w:cs="Arial"/>
                <w:b/>
                <w:bCs/>
                <w:color w:val="000000"/>
                <w:sz w:val="16"/>
                <w:szCs w:val="16"/>
              </w:rPr>
              <w:t xml:space="preserve">Low </w:t>
            </w:r>
          </w:p>
        </w:tc>
        <w:tc>
          <w:tcPr>
            <w:tcW w:w="916" w:type="dxa"/>
            <w:tcBorders>
              <w:top w:val="nil"/>
              <w:left w:val="nil"/>
              <w:bottom w:val="nil"/>
              <w:right w:val="nil"/>
            </w:tcBorders>
            <w:shd w:val="clear" w:color="000000" w:fill="FFFFE1"/>
            <w:noWrap/>
            <w:vAlign w:val="center"/>
            <w:hideMark/>
          </w:tcPr>
          <w:p w:rsidR="00646D63" w:rsidRDefault="00646D63">
            <w:pPr>
              <w:jc w:val="center"/>
              <w:rPr>
                <w:rFonts w:ascii="Arial" w:hAnsi="Arial" w:cs="Arial"/>
                <w:b/>
                <w:bCs/>
                <w:color w:val="000000"/>
                <w:sz w:val="16"/>
                <w:szCs w:val="16"/>
              </w:rPr>
            </w:pPr>
            <w:r>
              <w:rPr>
                <w:rFonts w:ascii="Arial" w:hAnsi="Arial" w:cs="Arial"/>
                <w:b/>
                <w:bCs/>
                <w:color w:val="000000"/>
                <w:sz w:val="16"/>
                <w:szCs w:val="16"/>
              </w:rPr>
              <w:t xml:space="preserve">Medium </w:t>
            </w:r>
          </w:p>
        </w:tc>
        <w:tc>
          <w:tcPr>
            <w:tcW w:w="608" w:type="dxa"/>
            <w:tcBorders>
              <w:top w:val="nil"/>
              <w:left w:val="nil"/>
              <w:bottom w:val="nil"/>
              <w:right w:val="nil"/>
            </w:tcBorders>
            <w:shd w:val="clear" w:color="000000" w:fill="FFFFE1"/>
            <w:noWrap/>
            <w:vAlign w:val="center"/>
            <w:hideMark/>
          </w:tcPr>
          <w:p w:rsidR="00646D63" w:rsidRDefault="00646D63">
            <w:pPr>
              <w:jc w:val="center"/>
              <w:rPr>
                <w:rFonts w:ascii="Arial" w:hAnsi="Arial" w:cs="Arial"/>
                <w:b/>
                <w:bCs/>
                <w:color w:val="000000"/>
                <w:sz w:val="16"/>
                <w:szCs w:val="16"/>
              </w:rPr>
            </w:pPr>
            <w:r>
              <w:rPr>
                <w:rFonts w:ascii="Arial" w:hAnsi="Arial" w:cs="Arial"/>
                <w:b/>
                <w:bCs/>
                <w:color w:val="000000"/>
                <w:sz w:val="16"/>
                <w:szCs w:val="16"/>
              </w:rPr>
              <w:t xml:space="preserve">High </w:t>
            </w:r>
          </w:p>
        </w:tc>
        <w:tc>
          <w:tcPr>
            <w:tcW w:w="1144" w:type="dxa"/>
            <w:vMerge w:val="restart"/>
            <w:tcBorders>
              <w:top w:val="nil"/>
              <w:left w:val="nil"/>
              <w:bottom w:val="single" w:sz="8" w:space="0" w:color="009900"/>
              <w:right w:val="nil"/>
            </w:tcBorders>
            <w:shd w:val="clear" w:color="000000" w:fill="FFFFE1"/>
            <w:vAlign w:val="center"/>
            <w:hideMark/>
          </w:tcPr>
          <w:p w:rsidR="00646D63" w:rsidRDefault="00646D63">
            <w:pPr>
              <w:jc w:val="center"/>
              <w:rPr>
                <w:rFonts w:ascii="Arial" w:hAnsi="Arial" w:cs="Arial"/>
                <w:b/>
                <w:bCs/>
                <w:color w:val="000000"/>
                <w:sz w:val="16"/>
                <w:szCs w:val="16"/>
              </w:rPr>
            </w:pPr>
            <w:r>
              <w:rPr>
                <w:rFonts w:ascii="Arial" w:hAnsi="Arial" w:cs="Arial"/>
                <w:b/>
                <w:bCs/>
                <w:color w:val="000000"/>
                <w:sz w:val="16"/>
                <w:szCs w:val="16"/>
              </w:rPr>
              <w:t>Missing</w:t>
            </w:r>
          </w:p>
        </w:tc>
        <w:tc>
          <w:tcPr>
            <w:tcW w:w="1252" w:type="dxa"/>
            <w:vMerge w:val="restart"/>
            <w:tcBorders>
              <w:top w:val="nil"/>
              <w:left w:val="nil"/>
              <w:bottom w:val="single" w:sz="8" w:space="0" w:color="009900"/>
              <w:right w:val="single" w:sz="8" w:space="0" w:color="009900"/>
            </w:tcBorders>
            <w:shd w:val="clear" w:color="000000" w:fill="FFFFE1"/>
            <w:vAlign w:val="center"/>
            <w:hideMark/>
          </w:tcPr>
          <w:p w:rsidR="00646D63" w:rsidRDefault="00646D63">
            <w:pPr>
              <w:jc w:val="center"/>
              <w:rPr>
                <w:rFonts w:ascii="Arial" w:hAnsi="Arial" w:cs="Arial"/>
                <w:b/>
                <w:bCs/>
                <w:color w:val="000000"/>
                <w:sz w:val="16"/>
                <w:szCs w:val="16"/>
              </w:rPr>
            </w:pPr>
            <w:r>
              <w:rPr>
                <w:rFonts w:ascii="Arial" w:hAnsi="Arial" w:cs="Arial"/>
                <w:b/>
                <w:bCs/>
                <w:color w:val="000000"/>
                <w:sz w:val="16"/>
                <w:szCs w:val="16"/>
              </w:rPr>
              <w:t>Total</w:t>
            </w:r>
          </w:p>
        </w:tc>
      </w:tr>
      <w:tr w:rsidR="00646D63" w:rsidTr="00646D63">
        <w:trPr>
          <w:trHeight w:val="315"/>
          <w:jc w:val="center"/>
        </w:trPr>
        <w:tc>
          <w:tcPr>
            <w:tcW w:w="4059" w:type="dxa"/>
            <w:vMerge/>
            <w:tcBorders>
              <w:top w:val="nil"/>
              <w:left w:val="single" w:sz="8" w:space="0" w:color="009900"/>
              <w:bottom w:val="single" w:sz="8" w:space="0" w:color="009900"/>
              <w:right w:val="nil"/>
            </w:tcBorders>
            <w:vAlign w:val="center"/>
            <w:hideMark/>
          </w:tcPr>
          <w:p w:rsidR="00646D63" w:rsidRDefault="00646D63">
            <w:pPr>
              <w:rPr>
                <w:rFonts w:ascii="Arial" w:hAnsi="Arial" w:cs="Arial"/>
                <w:b/>
                <w:bCs/>
                <w:color w:val="000000"/>
                <w:sz w:val="16"/>
                <w:szCs w:val="16"/>
              </w:rPr>
            </w:pPr>
          </w:p>
        </w:tc>
        <w:tc>
          <w:tcPr>
            <w:tcW w:w="608" w:type="dxa"/>
            <w:tcBorders>
              <w:top w:val="nil"/>
              <w:left w:val="nil"/>
              <w:bottom w:val="single" w:sz="8" w:space="0" w:color="009900"/>
              <w:right w:val="nil"/>
            </w:tcBorders>
            <w:shd w:val="clear" w:color="000000" w:fill="FFFFE1"/>
            <w:noWrap/>
            <w:vAlign w:val="center"/>
            <w:hideMark/>
          </w:tcPr>
          <w:p w:rsidR="00646D63" w:rsidRDefault="00646D63">
            <w:pPr>
              <w:jc w:val="center"/>
              <w:rPr>
                <w:rFonts w:ascii="Arial" w:hAnsi="Arial" w:cs="Arial"/>
                <w:b/>
                <w:bCs/>
                <w:color w:val="000000"/>
                <w:sz w:val="16"/>
                <w:szCs w:val="16"/>
              </w:rPr>
            </w:pPr>
            <w:r>
              <w:rPr>
                <w:rFonts w:ascii="Arial" w:hAnsi="Arial" w:cs="Arial"/>
                <w:b/>
                <w:bCs/>
                <w:color w:val="000000"/>
                <w:sz w:val="16"/>
                <w:szCs w:val="16"/>
              </w:rPr>
              <w:t>Need</w:t>
            </w:r>
          </w:p>
        </w:tc>
        <w:tc>
          <w:tcPr>
            <w:tcW w:w="608" w:type="dxa"/>
            <w:tcBorders>
              <w:top w:val="nil"/>
              <w:left w:val="nil"/>
              <w:bottom w:val="single" w:sz="8" w:space="0" w:color="009900"/>
              <w:right w:val="nil"/>
            </w:tcBorders>
            <w:shd w:val="clear" w:color="000000" w:fill="FFFFE1"/>
            <w:noWrap/>
            <w:vAlign w:val="center"/>
            <w:hideMark/>
          </w:tcPr>
          <w:p w:rsidR="00646D63" w:rsidRDefault="00646D63">
            <w:pPr>
              <w:jc w:val="center"/>
              <w:rPr>
                <w:rFonts w:ascii="Arial" w:hAnsi="Arial" w:cs="Arial"/>
                <w:b/>
                <w:bCs/>
                <w:color w:val="000000"/>
                <w:sz w:val="16"/>
                <w:szCs w:val="16"/>
              </w:rPr>
            </w:pPr>
            <w:r>
              <w:rPr>
                <w:rFonts w:ascii="Arial" w:hAnsi="Arial" w:cs="Arial"/>
                <w:b/>
                <w:bCs/>
                <w:color w:val="000000"/>
                <w:sz w:val="16"/>
                <w:szCs w:val="16"/>
              </w:rPr>
              <w:t>Need</w:t>
            </w:r>
          </w:p>
        </w:tc>
        <w:tc>
          <w:tcPr>
            <w:tcW w:w="916" w:type="dxa"/>
            <w:tcBorders>
              <w:top w:val="nil"/>
              <w:left w:val="nil"/>
              <w:bottom w:val="single" w:sz="8" w:space="0" w:color="009900"/>
              <w:right w:val="nil"/>
            </w:tcBorders>
            <w:shd w:val="clear" w:color="000000" w:fill="FFFFE1"/>
            <w:noWrap/>
            <w:vAlign w:val="center"/>
            <w:hideMark/>
          </w:tcPr>
          <w:p w:rsidR="00646D63" w:rsidRDefault="00646D63">
            <w:pPr>
              <w:jc w:val="center"/>
              <w:rPr>
                <w:rFonts w:ascii="Arial" w:hAnsi="Arial" w:cs="Arial"/>
                <w:b/>
                <w:bCs/>
                <w:color w:val="000000"/>
                <w:sz w:val="16"/>
                <w:szCs w:val="16"/>
              </w:rPr>
            </w:pPr>
            <w:r>
              <w:rPr>
                <w:rFonts w:ascii="Arial" w:hAnsi="Arial" w:cs="Arial"/>
                <w:b/>
                <w:bCs/>
                <w:color w:val="000000"/>
                <w:sz w:val="16"/>
                <w:szCs w:val="16"/>
              </w:rPr>
              <w:t>Need</w:t>
            </w:r>
          </w:p>
        </w:tc>
        <w:tc>
          <w:tcPr>
            <w:tcW w:w="608" w:type="dxa"/>
            <w:tcBorders>
              <w:top w:val="nil"/>
              <w:left w:val="nil"/>
              <w:bottom w:val="single" w:sz="8" w:space="0" w:color="009900"/>
              <w:right w:val="nil"/>
            </w:tcBorders>
            <w:shd w:val="clear" w:color="000000" w:fill="FFFFE1"/>
            <w:noWrap/>
            <w:vAlign w:val="center"/>
            <w:hideMark/>
          </w:tcPr>
          <w:p w:rsidR="00646D63" w:rsidRDefault="00646D63">
            <w:pPr>
              <w:jc w:val="center"/>
              <w:rPr>
                <w:rFonts w:ascii="Arial" w:hAnsi="Arial" w:cs="Arial"/>
                <w:b/>
                <w:bCs/>
                <w:color w:val="000000"/>
                <w:sz w:val="16"/>
                <w:szCs w:val="16"/>
              </w:rPr>
            </w:pPr>
            <w:r>
              <w:rPr>
                <w:rFonts w:ascii="Arial" w:hAnsi="Arial" w:cs="Arial"/>
                <w:b/>
                <w:bCs/>
                <w:color w:val="000000"/>
                <w:sz w:val="16"/>
                <w:szCs w:val="16"/>
              </w:rPr>
              <w:t>Need</w:t>
            </w:r>
          </w:p>
        </w:tc>
        <w:tc>
          <w:tcPr>
            <w:tcW w:w="1144" w:type="dxa"/>
            <w:vMerge/>
            <w:tcBorders>
              <w:top w:val="nil"/>
              <w:left w:val="nil"/>
              <w:bottom w:val="single" w:sz="8" w:space="0" w:color="009900"/>
              <w:right w:val="nil"/>
            </w:tcBorders>
            <w:vAlign w:val="center"/>
            <w:hideMark/>
          </w:tcPr>
          <w:p w:rsidR="00646D63" w:rsidRDefault="00646D63">
            <w:pPr>
              <w:rPr>
                <w:rFonts w:ascii="Arial" w:hAnsi="Arial" w:cs="Arial"/>
                <w:b/>
                <w:bCs/>
                <w:color w:val="000000"/>
                <w:sz w:val="16"/>
                <w:szCs w:val="16"/>
              </w:rPr>
            </w:pPr>
          </w:p>
        </w:tc>
        <w:tc>
          <w:tcPr>
            <w:tcW w:w="1252" w:type="dxa"/>
            <w:vMerge/>
            <w:tcBorders>
              <w:top w:val="nil"/>
              <w:left w:val="nil"/>
              <w:bottom w:val="single" w:sz="8" w:space="0" w:color="009900"/>
              <w:right w:val="single" w:sz="8" w:space="0" w:color="009900"/>
            </w:tcBorders>
            <w:vAlign w:val="center"/>
            <w:hideMark/>
          </w:tcPr>
          <w:p w:rsidR="00646D63" w:rsidRDefault="00646D63">
            <w:pPr>
              <w:rPr>
                <w:rFonts w:ascii="Arial" w:hAnsi="Arial" w:cs="Arial"/>
                <w:b/>
                <w:bCs/>
                <w:color w:val="000000"/>
                <w:sz w:val="16"/>
                <w:szCs w:val="16"/>
              </w:rPr>
            </w:pPr>
          </w:p>
        </w:tc>
      </w:tr>
      <w:tr w:rsidR="00646D63" w:rsidTr="00646D63">
        <w:trPr>
          <w:trHeight w:val="240"/>
          <w:jc w:val="center"/>
        </w:trPr>
        <w:tc>
          <w:tcPr>
            <w:tcW w:w="4059" w:type="dxa"/>
            <w:tcBorders>
              <w:top w:val="nil"/>
              <w:left w:val="single" w:sz="8" w:space="0" w:color="009900"/>
              <w:bottom w:val="nil"/>
              <w:right w:val="nil"/>
            </w:tcBorders>
            <w:shd w:val="clear" w:color="000000" w:fill="FFFFE1"/>
            <w:noWrap/>
            <w:vAlign w:val="center"/>
            <w:hideMark/>
          </w:tcPr>
          <w:p w:rsidR="00646D63" w:rsidRDefault="00646D63">
            <w:pPr>
              <w:rPr>
                <w:rFonts w:ascii="Arial" w:hAnsi="Arial" w:cs="Arial"/>
                <w:color w:val="000000"/>
                <w:sz w:val="16"/>
                <w:szCs w:val="16"/>
              </w:rPr>
            </w:pPr>
            <w:r>
              <w:rPr>
                <w:rFonts w:ascii="Arial" w:hAnsi="Arial" w:cs="Arial"/>
                <w:color w:val="000000"/>
                <w:sz w:val="16"/>
                <w:szCs w:val="16"/>
              </w:rPr>
              <w:t>Persons with physical disabilities</w:t>
            </w:r>
          </w:p>
        </w:tc>
        <w:tc>
          <w:tcPr>
            <w:tcW w:w="608" w:type="dxa"/>
            <w:tcBorders>
              <w:top w:val="nil"/>
              <w:left w:val="nil"/>
              <w:bottom w:val="nil"/>
              <w:right w:val="nil"/>
            </w:tcBorders>
            <w:shd w:val="clear" w:color="000000" w:fill="FFFFE1"/>
            <w:noWrap/>
            <w:vAlign w:val="center"/>
            <w:hideMark/>
          </w:tcPr>
          <w:p w:rsidR="00646D63" w:rsidRDefault="00646D63">
            <w:pPr>
              <w:jc w:val="center"/>
              <w:rPr>
                <w:rFonts w:ascii="Arial" w:hAnsi="Arial" w:cs="Arial"/>
                <w:color w:val="000000"/>
                <w:sz w:val="16"/>
                <w:szCs w:val="16"/>
              </w:rPr>
            </w:pPr>
            <w:r>
              <w:rPr>
                <w:rFonts w:ascii="Arial" w:hAnsi="Arial" w:cs="Arial"/>
                <w:noProof/>
                <w:color w:val="000000"/>
                <w:sz w:val="16"/>
                <w:szCs w:val="16"/>
              </w:rPr>
              <w:t>1</w:t>
            </w:r>
          </w:p>
        </w:tc>
        <w:tc>
          <w:tcPr>
            <w:tcW w:w="608" w:type="dxa"/>
            <w:tcBorders>
              <w:top w:val="nil"/>
              <w:left w:val="nil"/>
              <w:bottom w:val="nil"/>
              <w:right w:val="nil"/>
            </w:tcBorders>
            <w:shd w:val="clear" w:color="000000" w:fill="FFFFE1"/>
            <w:noWrap/>
            <w:vAlign w:val="center"/>
            <w:hideMark/>
          </w:tcPr>
          <w:p w:rsidR="00646D63" w:rsidRDefault="00646D63">
            <w:pPr>
              <w:jc w:val="center"/>
              <w:rPr>
                <w:rFonts w:ascii="Arial" w:hAnsi="Arial" w:cs="Arial"/>
                <w:color w:val="000000"/>
                <w:sz w:val="16"/>
                <w:szCs w:val="16"/>
              </w:rPr>
            </w:pPr>
            <w:r>
              <w:rPr>
                <w:rFonts w:ascii="Arial" w:hAnsi="Arial" w:cs="Arial"/>
                <w:noProof/>
                <w:color w:val="000000"/>
                <w:sz w:val="16"/>
                <w:szCs w:val="16"/>
              </w:rPr>
              <w:t>15</w:t>
            </w:r>
          </w:p>
        </w:tc>
        <w:tc>
          <w:tcPr>
            <w:tcW w:w="916" w:type="dxa"/>
            <w:tcBorders>
              <w:top w:val="nil"/>
              <w:left w:val="nil"/>
              <w:bottom w:val="nil"/>
              <w:right w:val="nil"/>
            </w:tcBorders>
            <w:shd w:val="clear" w:color="000000" w:fill="FFFFE1"/>
            <w:noWrap/>
            <w:vAlign w:val="center"/>
            <w:hideMark/>
          </w:tcPr>
          <w:p w:rsidR="00646D63" w:rsidRDefault="00646D63">
            <w:pPr>
              <w:jc w:val="center"/>
              <w:rPr>
                <w:rFonts w:ascii="Arial" w:hAnsi="Arial" w:cs="Arial"/>
                <w:color w:val="000000"/>
                <w:sz w:val="16"/>
                <w:szCs w:val="16"/>
              </w:rPr>
            </w:pPr>
            <w:r>
              <w:rPr>
                <w:rFonts w:ascii="Arial" w:hAnsi="Arial" w:cs="Arial"/>
                <w:noProof/>
                <w:color w:val="000000"/>
                <w:sz w:val="16"/>
                <w:szCs w:val="16"/>
              </w:rPr>
              <w:t>102</w:t>
            </w:r>
          </w:p>
        </w:tc>
        <w:tc>
          <w:tcPr>
            <w:tcW w:w="608" w:type="dxa"/>
            <w:tcBorders>
              <w:top w:val="nil"/>
              <w:left w:val="nil"/>
              <w:bottom w:val="nil"/>
              <w:right w:val="nil"/>
            </w:tcBorders>
            <w:shd w:val="clear" w:color="000000" w:fill="FFFFE1"/>
            <w:noWrap/>
            <w:vAlign w:val="center"/>
            <w:hideMark/>
          </w:tcPr>
          <w:p w:rsidR="00646D63" w:rsidRDefault="00646D63">
            <w:pPr>
              <w:jc w:val="center"/>
              <w:rPr>
                <w:rFonts w:ascii="Arial" w:hAnsi="Arial" w:cs="Arial"/>
                <w:color w:val="000000"/>
                <w:sz w:val="16"/>
                <w:szCs w:val="16"/>
              </w:rPr>
            </w:pPr>
            <w:r>
              <w:rPr>
                <w:rFonts w:ascii="Arial" w:hAnsi="Arial" w:cs="Arial"/>
                <w:noProof/>
                <w:color w:val="000000"/>
                <w:sz w:val="16"/>
                <w:szCs w:val="16"/>
              </w:rPr>
              <w:t>111</w:t>
            </w:r>
          </w:p>
        </w:tc>
        <w:tc>
          <w:tcPr>
            <w:tcW w:w="1144" w:type="dxa"/>
            <w:tcBorders>
              <w:top w:val="nil"/>
              <w:left w:val="nil"/>
              <w:bottom w:val="nil"/>
              <w:right w:val="nil"/>
            </w:tcBorders>
            <w:shd w:val="clear" w:color="000000" w:fill="FFFFE1"/>
            <w:vAlign w:val="center"/>
            <w:hideMark/>
          </w:tcPr>
          <w:p w:rsidR="00646D63" w:rsidRDefault="00646D63">
            <w:pPr>
              <w:jc w:val="center"/>
              <w:rPr>
                <w:rFonts w:ascii="Arial" w:hAnsi="Arial" w:cs="Arial"/>
                <w:color w:val="000000"/>
                <w:sz w:val="16"/>
                <w:szCs w:val="16"/>
              </w:rPr>
            </w:pPr>
            <w:r>
              <w:rPr>
                <w:rFonts w:ascii="Arial" w:hAnsi="Arial" w:cs="Arial"/>
                <w:noProof/>
                <w:color w:val="000000"/>
                <w:sz w:val="16"/>
                <w:szCs w:val="16"/>
              </w:rPr>
              <w:t>114</w:t>
            </w:r>
          </w:p>
        </w:tc>
        <w:tc>
          <w:tcPr>
            <w:tcW w:w="1252" w:type="dxa"/>
            <w:tcBorders>
              <w:top w:val="nil"/>
              <w:left w:val="nil"/>
              <w:bottom w:val="nil"/>
              <w:right w:val="single" w:sz="8" w:space="0" w:color="009900"/>
            </w:tcBorders>
            <w:shd w:val="clear" w:color="000000" w:fill="FFFFE1"/>
            <w:vAlign w:val="center"/>
            <w:hideMark/>
          </w:tcPr>
          <w:p w:rsidR="00646D63" w:rsidRDefault="00646D63">
            <w:pPr>
              <w:jc w:val="center"/>
              <w:rPr>
                <w:rFonts w:ascii="Arial" w:hAnsi="Arial" w:cs="Arial"/>
                <w:color w:val="000000"/>
                <w:sz w:val="16"/>
                <w:szCs w:val="16"/>
              </w:rPr>
            </w:pPr>
            <w:r>
              <w:rPr>
                <w:rFonts w:ascii="Arial" w:hAnsi="Arial" w:cs="Arial"/>
                <w:noProof/>
                <w:color w:val="000000"/>
                <w:sz w:val="16"/>
                <w:szCs w:val="16"/>
              </w:rPr>
              <w:t>343</w:t>
            </w:r>
          </w:p>
        </w:tc>
      </w:tr>
      <w:tr w:rsidR="00646D63" w:rsidTr="00646D63">
        <w:trPr>
          <w:trHeight w:val="240"/>
          <w:jc w:val="center"/>
        </w:trPr>
        <w:tc>
          <w:tcPr>
            <w:tcW w:w="4059" w:type="dxa"/>
            <w:tcBorders>
              <w:top w:val="nil"/>
              <w:left w:val="single" w:sz="8" w:space="0" w:color="009900"/>
              <w:bottom w:val="single" w:sz="8" w:space="0" w:color="009900"/>
              <w:right w:val="nil"/>
            </w:tcBorders>
            <w:shd w:val="clear" w:color="000000" w:fill="FFFFE1"/>
            <w:noWrap/>
            <w:vAlign w:val="center"/>
            <w:hideMark/>
          </w:tcPr>
          <w:p w:rsidR="00646D63" w:rsidRDefault="00646D63">
            <w:pPr>
              <w:rPr>
                <w:rFonts w:ascii="Arial" w:hAnsi="Arial" w:cs="Arial"/>
                <w:color w:val="000000"/>
                <w:sz w:val="16"/>
                <w:szCs w:val="16"/>
              </w:rPr>
            </w:pPr>
            <w:r>
              <w:rPr>
                <w:rFonts w:ascii="Arial" w:hAnsi="Arial" w:cs="Arial"/>
                <w:color w:val="000000"/>
                <w:sz w:val="16"/>
                <w:szCs w:val="16"/>
              </w:rPr>
              <w:t>Persons with developmental disabilities</w:t>
            </w:r>
          </w:p>
        </w:tc>
        <w:tc>
          <w:tcPr>
            <w:tcW w:w="608" w:type="dxa"/>
            <w:tcBorders>
              <w:top w:val="nil"/>
              <w:left w:val="nil"/>
              <w:bottom w:val="single" w:sz="8" w:space="0" w:color="009900"/>
              <w:right w:val="nil"/>
            </w:tcBorders>
            <w:shd w:val="clear" w:color="000000" w:fill="FFFFE1"/>
            <w:noWrap/>
            <w:vAlign w:val="center"/>
            <w:hideMark/>
          </w:tcPr>
          <w:p w:rsidR="00646D63" w:rsidRDefault="00646D63">
            <w:pPr>
              <w:jc w:val="center"/>
              <w:rPr>
                <w:rFonts w:ascii="Arial" w:hAnsi="Arial" w:cs="Arial"/>
                <w:color w:val="000000"/>
                <w:sz w:val="16"/>
                <w:szCs w:val="16"/>
              </w:rPr>
            </w:pPr>
            <w:r>
              <w:rPr>
                <w:rFonts w:ascii="Arial" w:hAnsi="Arial" w:cs="Arial"/>
                <w:noProof/>
                <w:color w:val="000000"/>
                <w:sz w:val="16"/>
                <w:szCs w:val="16"/>
              </w:rPr>
              <w:t>1</w:t>
            </w:r>
          </w:p>
        </w:tc>
        <w:tc>
          <w:tcPr>
            <w:tcW w:w="608" w:type="dxa"/>
            <w:tcBorders>
              <w:top w:val="nil"/>
              <w:left w:val="nil"/>
              <w:bottom w:val="single" w:sz="8" w:space="0" w:color="009900"/>
              <w:right w:val="nil"/>
            </w:tcBorders>
            <w:shd w:val="clear" w:color="000000" w:fill="FFFFE1"/>
            <w:noWrap/>
            <w:vAlign w:val="center"/>
            <w:hideMark/>
          </w:tcPr>
          <w:p w:rsidR="00646D63" w:rsidRDefault="00646D63">
            <w:pPr>
              <w:jc w:val="center"/>
              <w:rPr>
                <w:rFonts w:ascii="Arial" w:hAnsi="Arial" w:cs="Arial"/>
                <w:color w:val="000000"/>
                <w:sz w:val="16"/>
                <w:szCs w:val="16"/>
              </w:rPr>
            </w:pPr>
            <w:r>
              <w:rPr>
                <w:rFonts w:ascii="Arial" w:hAnsi="Arial" w:cs="Arial"/>
                <w:noProof/>
                <w:color w:val="000000"/>
                <w:sz w:val="16"/>
                <w:szCs w:val="16"/>
              </w:rPr>
              <w:t>14</w:t>
            </w:r>
          </w:p>
        </w:tc>
        <w:tc>
          <w:tcPr>
            <w:tcW w:w="916" w:type="dxa"/>
            <w:tcBorders>
              <w:top w:val="nil"/>
              <w:left w:val="nil"/>
              <w:bottom w:val="single" w:sz="8" w:space="0" w:color="009900"/>
              <w:right w:val="nil"/>
            </w:tcBorders>
            <w:shd w:val="clear" w:color="000000" w:fill="FFFFE1"/>
            <w:noWrap/>
            <w:vAlign w:val="center"/>
            <w:hideMark/>
          </w:tcPr>
          <w:p w:rsidR="00646D63" w:rsidRDefault="00646D63">
            <w:pPr>
              <w:jc w:val="center"/>
              <w:rPr>
                <w:rFonts w:ascii="Arial" w:hAnsi="Arial" w:cs="Arial"/>
                <w:color w:val="000000"/>
                <w:sz w:val="16"/>
                <w:szCs w:val="16"/>
              </w:rPr>
            </w:pPr>
            <w:r>
              <w:rPr>
                <w:rFonts w:ascii="Arial" w:hAnsi="Arial" w:cs="Arial"/>
                <w:noProof/>
                <w:color w:val="000000"/>
                <w:sz w:val="16"/>
                <w:szCs w:val="16"/>
              </w:rPr>
              <w:t>106</w:t>
            </w:r>
          </w:p>
        </w:tc>
        <w:tc>
          <w:tcPr>
            <w:tcW w:w="608" w:type="dxa"/>
            <w:tcBorders>
              <w:top w:val="nil"/>
              <w:left w:val="nil"/>
              <w:bottom w:val="single" w:sz="8" w:space="0" w:color="009900"/>
              <w:right w:val="nil"/>
            </w:tcBorders>
            <w:shd w:val="clear" w:color="000000" w:fill="FFFFE1"/>
            <w:noWrap/>
            <w:vAlign w:val="center"/>
            <w:hideMark/>
          </w:tcPr>
          <w:p w:rsidR="00646D63" w:rsidRDefault="00646D63">
            <w:pPr>
              <w:jc w:val="center"/>
              <w:rPr>
                <w:rFonts w:ascii="Arial" w:hAnsi="Arial" w:cs="Arial"/>
                <w:color w:val="000000"/>
                <w:sz w:val="16"/>
                <w:szCs w:val="16"/>
              </w:rPr>
            </w:pPr>
            <w:r>
              <w:rPr>
                <w:rFonts w:ascii="Arial" w:hAnsi="Arial" w:cs="Arial"/>
                <w:noProof/>
                <w:color w:val="000000"/>
                <w:sz w:val="16"/>
                <w:szCs w:val="16"/>
              </w:rPr>
              <w:t>108</w:t>
            </w:r>
          </w:p>
        </w:tc>
        <w:tc>
          <w:tcPr>
            <w:tcW w:w="1144" w:type="dxa"/>
            <w:tcBorders>
              <w:top w:val="nil"/>
              <w:left w:val="nil"/>
              <w:bottom w:val="single" w:sz="8" w:space="0" w:color="009900"/>
              <w:right w:val="nil"/>
            </w:tcBorders>
            <w:shd w:val="clear" w:color="000000" w:fill="FFFFE1"/>
            <w:vAlign w:val="center"/>
            <w:hideMark/>
          </w:tcPr>
          <w:p w:rsidR="00646D63" w:rsidRDefault="00646D63">
            <w:pPr>
              <w:jc w:val="center"/>
              <w:rPr>
                <w:rFonts w:ascii="Arial" w:hAnsi="Arial" w:cs="Arial"/>
                <w:color w:val="000000"/>
                <w:sz w:val="16"/>
                <w:szCs w:val="16"/>
              </w:rPr>
            </w:pPr>
            <w:r>
              <w:rPr>
                <w:rFonts w:ascii="Arial" w:hAnsi="Arial" w:cs="Arial"/>
                <w:noProof/>
                <w:color w:val="000000"/>
                <w:sz w:val="16"/>
                <w:szCs w:val="16"/>
              </w:rPr>
              <w:t>114</w:t>
            </w:r>
          </w:p>
        </w:tc>
        <w:tc>
          <w:tcPr>
            <w:tcW w:w="1252" w:type="dxa"/>
            <w:tcBorders>
              <w:top w:val="nil"/>
              <w:left w:val="nil"/>
              <w:bottom w:val="single" w:sz="8" w:space="0" w:color="009900"/>
              <w:right w:val="single" w:sz="8" w:space="0" w:color="009900"/>
            </w:tcBorders>
            <w:shd w:val="clear" w:color="000000" w:fill="FFFFE1"/>
            <w:vAlign w:val="center"/>
            <w:hideMark/>
          </w:tcPr>
          <w:p w:rsidR="00646D63" w:rsidRDefault="00646D63">
            <w:pPr>
              <w:jc w:val="center"/>
              <w:rPr>
                <w:rFonts w:ascii="Arial" w:hAnsi="Arial" w:cs="Arial"/>
                <w:color w:val="000000"/>
                <w:sz w:val="16"/>
                <w:szCs w:val="16"/>
              </w:rPr>
            </w:pPr>
            <w:r>
              <w:rPr>
                <w:rFonts w:ascii="Arial" w:hAnsi="Arial" w:cs="Arial"/>
                <w:noProof/>
                <w:color w:val="000000"/>
                <w:sz w:val="16"/>
                <w:szCs w:val="16"/>
              </w:rPr>
              <w:t>343</w:t>
            </w:r>
          </w:p>
        </w:tc>
      </w:tr>
    </w:tbl>
    <w:p w:rsidR="00DE3F87" w:rsidRDefault="00DE3F87" w:rsidP="00943E45">
      <w:pPr>
        <w:jc w:val="both"/>
        <w:rPr>
          <w:rFonts w:ascii="CG Omega" w:hAnsi="CG Omega"/>
          <w:b/>
          <w:bCs/>
          <w:smallCaps/>
          <w:sz w:val="26"/>
          <w:szCs w:val="26"/>
        </w:rPr>
      </w:pPr>
    </w:p>
    <w:p w:rsidR="00943E45" w:rsidRPr="00FB49C7" w:rsidRDefault="00943E45" w:rsidP="00943E45">
      <w:pPr>
        <w:jc w:val="both"/>
        <w:rPr>
          <w:rFonts w:ascii="CG Omega" w:hAnsi="CG Omega"/>
          <w:b/>
          <w:bCs/>
          <w:smallCaps/>
          <w:sz w:val="26"/>
          <w:szCs w:val="26"/>
        </w:rPr>
      </w:pPr>
      <w:r w:rsidRPr="00FB49C7">
        <w:rPr>
          <w:rFonts w:ascii="CG Omega" w:hAnsi="CG Omega"/>
          <w:b/>
          <w:bCs/>
          <w:smallCaps/>
          <w:sz w:val="26"/>
          <w:szCs w:val="26"/>
        </w:rPr>
        <w:t>People with Alcohol or other Drug Addictions</w:t>
      </w:r>
    </w:p>
    <w:p w:rsidR="00943E45" w:rsidRPr="00DE3F87" w:rsidRDefault="00943E45" w:rsidP="00943E45">
      <w:pPr>
        <w:jc w:val="both"/>
        <w:rPr>
          <w:rFonts w:ascii="CG Omega" w:hAnsi="CG Omega"/>
          <w:highlight w:val="yellow"/>
        </w:rPr>
      </w:pPr>
    </w:p>
    <w:p w:rsidR="00943E45" w:rsidRPr="00DE3F87" w:rsidRDefault="00943E45" w:rsidP="00943E45">
      <w:pPr>
        <w:jc w:val="both"/>
        <w:rPr>
          <w:rFonts w:ascii="CG Omega" w:hAnsi="CG Omega" w:cs="Arial"/>
          <w:highlight w:val="yellow"/>
        </w:rPr>
      </w:pPr>
      <w:r w:rsidRPr="00DE3F87">
        <w:rPr>
          <w:rFonts w:ascii="CG Omega" w:hAnsi="CG Omega" w:cs="Arial"/>
          <w:snapToGrid w:val="0"/>
        </w:rPr>
        <w:t>According to the National Coalition for the Homeless, for persons “just one step away from homelessness, the onset or exacerbation of an addictive disorder may provide just the catalyst to plunge them into residential instability.”</w:t>
      </w:r>
      <w:r w:rsidRPr="00DE3F87">
        <w:rPr>
          <w:rStyle w:val="FootnoteReference"/>
          <w:rFonts w:ascii="CG Omega" w:hAnsi="CG Omega" w:cs="Arial"/>
          <w:snapToGrid w:val="0"/>
        </w:rPr>
        <w:footnoteReference w:id="66"/>
      </w:r>
      <w:r w:rsidRPr="00DE3F87">
        <w:rPr>
          <w:rFonts w:ascii="CG Omega" w:hAnsi="CG Omega" w:cs="Arial"/>
          <w:snapToGrid w:val="0"/>
        </w:rPr>
        <w:t xml:space="preserve"> For persons suffering from addictions to drugs and alcohol, housing is complicated.  Persons who have stable housing are much better able to treat their addictions.  However, obtaining stable housing while suffering from addiction can be quite difficult, and the frustrations caused by a lack of housing options may only exacerbate addictions. </w:t>
      </w:r>
      <w:r w:rsidRPr="00DE3F87">
        <w:rPr>
          <w:rFonts w:ascii="CG Omega" w:hAnsi="CG Omega" w:cs="Arial"/>
        </w:rPr>
        <w:t>According to the 2013 U.S. Conference of Mayors Hunger &amp; Homelessness Report, substance abuse is one of the most cited causes of homelessness.</w:t>
      </w:r>
      <w:r w:rsidRPr="00DE3F87">
        <w:rPr>
          <w:rStyle w:val="FootnoteReference"/>
          <w:rFonts w:ascii="CG Omega" w:hAnsi="CG Omega" w:cs="Arial"/>
        </w:rPr>
        <w:footnoteReference w:id="67"/>
      </w:r>
      <w:r w:rsidRPr="00DE3F87">
        <w:rPr>
          <w:rFonts w:ascii="CG Omega" w:hAnsi="CG Omega" w:cs="Arial"/>
        </w:rPr>
        <w:t xml:space="preserve"> </w:t>
      </w:r>
    </w:p>
    <w:p w:rsidR="00943E45" w:rsidRPr="00DE3F87" w:rsidRDefault="00943E45" w:rsidP="00943E45">
      <w:pPr>
        <w:jc w:val="both"/>
        <w:rPr>
          <w:rFonts w:ascii="CG Omega" w:hAnsi="CG Omega" w:cs="Arial"/>
          <w:snapToGrid w:val="0"/>
          <w:highlight w:val="yellow"/>
        </w:rPr>
      </w:pPr>
    </w:p>
    <w:p w:rsidR="00943E45" w:rsidRPr="00DE3F87" w:rsidRDefault="00943E45" w:rsidP="00943E45">
      <w:pPr>
        <w:jc w:val="both"/>
        <w:rPr>
          <w:rFonts w:ascii="CG Omega" w:hAnsi="CG Omega" w:cs="Arial"/>
          <w:b/>
          <w:snapToGrid w:val="0"/>
        </w:rPr>
      </w:pPr>
      <w:r w:rsidRPr="00DE3F87">
        <w:rPr>
          <w:rFonts w:ascii="CG Omega" w:hAnsi="CG Omega" w:cs="Arial"/>
          <w:b/>
          <w:snapToGrid w:val="0"/>
        </w:rPr>
        <w:t>Size and Characteristics</w:t>
      </w:r>
    </w:p>
    <w:p w:rsidR="00943E45" w:rsidRPr="00DE3F87" w:rsidRDefault="00943E45" w:rsidP="00943E45">
      <w:pPr>
        <w:jc w:val="both"/>
        <w:rPr>
          <w:rFonts w:ascii="CG Omega" w:hAnsi="CG Omega" w:cs="Arial"/>
          <w:highlight w:val="yellow"/>
        </w:rPr>
      </w:pPr>
    </w:p>
    <w:p w:rsidR="00943E45" w:rsidRPr="00970C54" w:rsidRDefault="00943E45" w:rsidP="00943E45">
      <w:pPr>
        <w:jc w:val="both"/>
        <w:rPr>
          <w:rFonts w:ascii="CG Omega" w:hAnsi="CG Omega" w:cs="Arial"/>
        </w:rPr>
      </w:pPr>
      <w:r>
        <w:rPr>
          <w:rFonts w:ascii="CG Omega" w:hAnsi="CG Omega" w:cs="Arial"/>
        </w:rPr>
        <w:t xml:space="preserve">The New Mexico Department of Health issued a New Mexico Substance Abuse Epidemiology Profile in 2011.  The state found that between 2006 and 2008, </w:t>
      </w:r>
      <w:r w:rsidR="00DE3F87">
        <w:rPr>
          <w:rFonts w:ascii="CG Omega" w:hAnsi="CG Omega" w:cs="Arial"/>
        </w:rPr>
        <w:t>alcohol or i</w:t>
      </w:r>
      <w:r>
        <w:rPr>
          <w:rFonts w:ascii="CG Omega" w:hAnsi="CG Omega" w:cs="Arial"/>
        </w:rPr>
        <w:t xml:space="preserve">llicit </w:t>
      </w:r>
      <w:r w:rsidR="00DE3F87">
        <w:rPr>
          <w:rFonts w:ascii="CG Omega" w:hAnsi="CG Omega" w:cs="Arial"/>
        </w:rPr>
        <w:t>d</w:t>
      </w:r>
      <w:r>
        <w:rPr>
          <w:rFonts w:ascii="CG Omega" w:hAnsi="CG Omega" w:cs="Arial"/>
        </w:rPr>
        <w:t xml:space="preserve">rug </w:t>
      </w:r>
      <w:r w:rsidR="00DE3F87">
        <w:rPr>
          <w:rFonts w:ascii="CG Omega" w:hAnsi="CG Omega" w:cs="Arial"/>
        </w:rPr>
        <w:t>u</w:t>
      </w:r>
      <w:r>
        <w:rPr>
          <w:rFonts w:ascii="CG Omega" w:hAnsi="CG Omega" w:cs="Arial"/>
        </w:rPr>
        <w:t xml:space="preserve">se or </w:t>
      </w:r>
      <w:r w:rsidR="00DE3F87">
        <w:rPr>
          <w:rFonts w:ascii="CG Omega" w:hAnsi="CG Omega" w:cs="Arial"/>
        </w:rPr>
        <w:t>d</w:t>
      </w:r>
      <w:r>
        <w:rPr>
          <w:rFonts w:ascii="CG Omega" w:hAnsi="CG Omega" w:cs="Arial"/>
        </w:rPr>
        <w:t>ependence for persons over the age of 12 was at a rate of 10.12 for the state.</w:t>
      </w:r>
      <w:r>
        <w:rPr>
          <w:rStyle w:val="FootnoteReference"/>
          <w:rFonts w:ascii="CG Omega" w:hAnsi="CG Omega" w:cs="Arial"/>
        </w:rPr>
        <w:footnoteReference w:id="68"/>
      </w:r>
      <w:r>
        <w:rPr>
          <w:rFonts w:ascii="CG Omega" w:hAnsi="CG Omega" w:cs="Arial"/>
        </w:rPr>
        <w:t xml:space="preserve"> The region with the highest dependence rates for this period was the Northwest, followed by Bernalillo County.  In addition, there were 5,111 alcohol related deaths in New Mexico from 2005-2009. More than 50 percent of these deaths were White or Hispanic males. The highest demographic group with alcohol-related deaths in the state were American Indian males, aged 25-64, with a rate of 193.6 per 100,000.  In addition, the Trust for America’s Health found that New Mexico had the second highest drug overdose mortality rate in the United States, with 23.8 per 100,000 people suffering drug overdose fatalities.</w:t>
      </w:r>
      <w:r>
        <w:rPr>
          <w:rStyle w:val="FootnoteReference"/>
          <w:rFonts w:ascii="CG Omega" w:hAnsi="CG Omega" w:cs="Arial"/>
        </w:rPr>
        <w:footnoteReference w:id="69"/>
      </w:r>
      <w:r>
        <w:rPr>
          <w:rFonts w:ascii="CG Omega" w:hAnsi="CG Omega" w:cs="Arial"/>
        </w:rPr>
        <w:t xml:space="preserve">  </w:t>
      </w:r>
    </w:p>
    <w:p w:rsidR="00943E45" w:rsidRPr="007F6B6C" w:rsidRDefault="00943E45" w:rsidP="00943E45">
      <w:pPr>
        <w:jc w:val="both"/>
        <w:rPr>
          <w:rFonts w:ascii="CG Omega" w:hAnsi="CG Omega" w:cs="Arial"/>
          <w:sz w:val="16"/>
          <w:szCs w:val="16"/>
          <w:highlight w:val="yellow"/>
        </w:rPr>
      </w:pPr>
    </w:p>
    <w:p w:rsidR="00943E45" w:rsidRPr="00FB49C7" w:rsidRDefault="00943E45" w:rsidP="00943E45">
      <w:pPr>
        <w:jc w:val="both"/>
        <w:rPr>
          <w:rFonts w:ascii="CG Omega" w:hAnsi="CG Omega" w:cs="Arial"/>
          <w:b/>
          <w:snapToGrid w:val="0"/>
        </w:rPr>
      </w:pPr>
      <w:r w:rsidRPr="00FB49C7">
        <w:rPr>
          <w:rFonts w:ascii="CG Omega" w:hAnsi="CG Omega" w:cs="Arial"/>
          <w:b/>
          <w:snapToGrid w:val="0"/>
        </w:rPr>
        <w:t>Services and Housing Currently Provided</w:t>
      </w:r>
    </w:p>
    <w:p w:rsidR="00943E45" w:rsidRPr="007F6B6C" w:rsidRDefault="00943E45" w:rsidP="00943E45">
      <w:pPr>
        <w:jc w:val="both"/>
        <w:rPr>
          <w:rFonts w:ascii="CG Omega" w:hAnsi="CG Omega" w:cs="Arial"/>
          <w:b/>
          <w:snapToGrid w:val="0"/>
          <w:sz w:val="16"/>
          <w:szCs w:val="16"/>
          <w:highlight w:val="yellow"/>
        </w:rPr>
      </w:pPr>
    </w:p>
    <w:p w:rsidR="00943E45" w:rsidRDefault="00865C66" w:rsidP="00943E45">
      <w:pPr>
        <w:jc w:val="both"/>
        <w:rPr>
          <w:rFonts w:ascii="CG Omega" w:hAnsi="CG Omega" w:cs="Arial"/>
          <w:snapToGrid w:val="0"/>
        </w:rPr>
      </w:pPr>
      <w:r>
        <w:rPr>
          <w:rFonts w:ascii="CG Omega" w:hAnsi="CG Omega" w:cs="Arial"/>
          <w:snapToGrid w:val="0"/>
        </w:rPr>
        <w:t xml:space="preserve">Substance abuse treatment centers in New Mexico are shown in </w:t>
      </w:r>
      <w:r w:rsidRPr="00DE3F87">
        <w:rPr>
          <w:rFonts w:ascii="CG Omega" w:hAnsi="CG Omega" w:cs="Arial"/>
          <w:b/>
          <w:snapToGrid w:val="0"/>
        </w:rPr>
        <w:t>Table V.24</w:t>
      </w:r>
      <w:r w:rsidR="00A00EDA" w:rsidRPr="00DE3F87">
        <w:rPr>
          <w:rFonts w:ascii="CG Omega" w:hAnsi="CG Omega" w:cs="Arial"/>
          <w:b/>
          <w:snapToGrid w:val="0"/>
        </w:rPr>
        <w:t xml:space="preserve">, </w:t>
      </w:r>
      <w:r w:rsidR="00A00EDA">
        <w:rPr>
          <w:rFonts w:ascii="CG Omega" w:hAnsi="CG Omega" w:cs="Arial"/>
          <w:snapToGrid w:val="0"/>
        </w:rPr>
        <w:t>on the following page</w:t>
      </w:r>
      <w:r>
        <w:rPr>
          <w:rFonts w:ascii="CG Omega" w:hAnsi="CG Omega" w:cs="Arial"/>
          <w:snapToGrid w:val="0"/>
        </w:rPr>
        <w:t>.  These include a variety of private and public centers and are located throughout the state.</w:t>
      </w:r>
    </w:p>
    <w:p w:rsidR="00865C66" w:rsidRPr="00865C66" w:rsidRDefault="00865C66" w:rsidP="00943E45">
      <w:pPr>
        <w:jc w:val="both"/>
        <w:rPr>
          <w:rFonts w:ascii="CG Omega" w:hAnsi="CG Omega" w:cs="Arial"/>
          <w:b/>
          <w:snapToGrid w:val="0"/>
          <w:sz w:val="16"/>
          <w:szCs w:val="16"/>
        </w:rPr>
      </w:pPr>
    </w:p>
    <w:tbl>
      <w:tblPr>
        <w:tblW w:w="6220" w:type="dxa"/>
        <w:jc w:val="center"/>
        <w:tblLook w:val="04A0" w:firstRow="1" w:lastRow="0" w:firstColumn="1" w:lastColumn="0" w:noHBand="0" w:noVBand="1"/>
      </w:tblPr>
      <w:tblGrid>
        <w:gridCol w:w="4790"/>
        <w:gridCol w:w="1430"/>
      </w:tblGrid>
      <w:tr w:rsidR="00865C66" w:rsidTr="00865C66">
        <w:trPr>
          <w:trHeight w:val="300"/>
          <w:jc w:val="center"/>
        </w:trPr>
        <w:tc>
          <w:tcPr>
            <w:tcW w:w="6220" w:type="dxa"/>
            <w:gridSpan w:val="2"/>
            <w:tcBorders>
              <w:top w:val="single" w:sz="8" w:space="0" w:color="009900"/>
              <w:left w:val="single" w:sz="8" w:space="0" w:color="009900"/>
              <w:bottom w:val="nil"/>
              <w:right w:val="single" w:sz="8" w:space="0" w:color="009900"/>
            </w:tcBorders>
            <w:shd w:val="clear" w:color="000000" w:fill="FFFFE1"/>
            <w:noWrap/>
            <w:vAlign w:val="center"/>
            <w:hideMark/>
          </w:tcPr>
          <w:p w:rsidR="00865C66" w:rsidRDefault="00865C66" w:rsidP="00865C66">
            <w:pPr>
              <w:jc w:val="center"/>
              <w:rPr>
                <w:rFonts w:ascii="Arial" w:hAnsi="Arial" w:cs="Arial"/>
                <w:b/>
                <w:bCs/>
                <w:color w:val="000000"/>
                <w:sz w:val="23"/>
                <w:szCs w:val="23"/>
              </w:rPr>
            </w:pPr>
            <w:r>
              <w:rPr>
                <w:rFonts w:ascii="Arial" w:hAnsi="Arial" w:cs="Arial"/>
                <w:b/>
                <w:bCs/>
                <w:color w:val="000000"/>
                <w:sz w:val="23"/>
                <w:szCs w:val="23"/>
              </w:rPr>
              <w:t>Table V.24</w:t>
            </w:r>
          </w:p>
        </w:tc>
      </w:tr>
      <w:tr w:rsidR="00865C66" w:rsidTr="00865C66">
        <w:trPr>
          <w:trHeight w:val="195"/>
          <w:jc w:val="center"/>
        </w:trPr>
        <w:tc>
          <w:tcPr>
            <w:tcW w:w="6220" w:type="dxa"/>
            <w:gridSpan w:val="2"/>
            <w:tcBorders>
              <w:top w:val="nil"/>
              <w:left w:val="single" w:sz="8" w:space="0" w:color="009900"/>
              <w:bottom w:val="nil"/>
              <w:right w:val="single" w:sz="8" w:space="0" w:color="009900"/>
            </w:tcBorders>
            <w:shd w:val="clear" w:color="000000" w:fill="FFFFE1"/>
            <w:noWrap/>
            <w:vAlign w:val="center"/>
            <w:hideMark/>
          </w:tcPr>
          <w:p w:rsidR="00865C66" w:rsidRDefault="00865C66">
            <w:pPr>
              <w:jc w:val="center"/>
              <w:rPr>
                <w:rFonts w:ascii="Arial" w:hAnsi="Arial" w:cs="Arial"/>
                <w:b/>
                <w:bCs/>
                <w:color w:val="000000"/>
                <w:sz w:val="20"/>
                <w:szCs w:val="20"/>
              </w:rPr>
            </w:pPr>
            <w:r>
              <w:rPr>
                <w:rFonts w:ascii="Arial" w:hAnsi="Arial" w:cs="Arial"/>
                <w:b/>
                <w:bCs/>
                <w:color w:val="000000"/>
                <w:sz w:val="20"/>
                <w:szCs w:val="20"/>
              </w:rPr>
              <w:t>Substance Abuse Treatment Centers</w:t>
            </w:r>
          </w:p>
        </w:tc>
      </w:tr>
      <w:tr w:rsidR="00865C66" w:rsidTr="00865C66">
        <w:trPr>
          <w:trHeight w:val="165"/>
          <w:jc w:val="center"/>
        </w:trPr>
        <w:tc>
          <w:tcPr>
            <w:tcW w:w="6220" w:type="dxa"/>
            <w:gridSpan w:val="2"/>
            <w:tcBorders>
              <w:top w:val="nil"/>
              <w:left w:val="single" w:sz="8" w:space="0" w:color="009900"/>
              <w:bottom w:val="nil"/>
              <w:right w:val="single" w:sz="8" w:space="0" w:color="009900"/>
            </w:tcBorders>
            <w:shd w:val="clear" w:color="000000" w:fill="FFFFE1"/>
            <w:noWrap/>
            <w:vAlign w:val="center"/>
            <w:hideMark/>
          </w:tcPr>
          <w:p w:rsidR="00865C66" w:rsidRDefault="00865C66">
            <w:pPr>
              <w:jc w:val="center"/>
              <w:rPr>
                <w:rFonts w:ascii="Arial" w:hAnsi="Arial" w:cs="Arial"/>
                <w:color w:val="000000"/>
                <w:sz w:val="16"/>
                <w:szCs w:val="16"/>
              </w:rPr>
            </w:pPr>
            <w:r>
              <w:rPr>
                <w:rFonts w:ascii="Arial" w:hAnsi="Arial" w:cs="Arial"/>
                <w:bCs/>
                <w:color w:val="000000"/>
                <w:sz w:val="16"/>
                <w:szCs w:val="16"/>
              </w:rPr>
              <w:t>State of New Mexico</w:t>
            </w:r>
          </w:p>
        </w:tc>
      </w:tr>
      <w:tr w:rsidR="00865C66" w:rsidTr="00865C66">
        <w:trPr>
          <w:trHeight w:val="225"/>
          <w:jc w:val="center"/>
        </w:trPr>
        <w:tc>
          <w:tcPr>
            <w:tcW w:w="6220" w:type="dxa"/>
            <w:gridSpan w:val="2"/>
            <w:tcBorders>
              <w:top w:val="nil"/>
              <w:left w:val="single" w:sz="8" w:space="0" w:color="009900"/>
              <w:bottom w:val="single" w:sz="8" w:space="0" w:color="009900"/>
              <w:right w:val="single" w:sz="8" w:space="0" w:color="009900"/>
            </w:tcBorders>
            <w:shd w:val="clear" w:color="000000" w:fill="FFFFE1"/>
            <w:noWrap/>
            <w:vAlign w:val="center"/>
            <w:hideMark/>
          </w:tcPr>
          <w:p w:rsidR="00865C66" w:rsidRDefault="00865C66">
            <w:pPr>
              <w:jc w:val="center"/>
              <w:rPr>
                <w:rFonts w:ascii="Arial" w:hAnsi="Arial" w:cs="Arial"/>
                <w:color w:val="000000"/>
                <w:sz w:val="16"/>
                <w:szCs w:val="16"/>
              </w:rPr>
            </w:pPr>
            <w:r>
              <w:rPr>
                <w:rFonts w:ascii="Arial" w:hAnsi="Arial" w:cs="Arial"/>
                <w:bCs/>
                <w:color w:val="000000"/>
                <w:sz w:val="16"/>
                <w:szCs w:val="16"/>
              </w:rPr>
              <w:t>MFA Data</w:t>
            </w:r>
          </w:p>
        </w:tc>
      </w:tr>
      <w:tr w:rsidR="00865C66" w:rsidTr="00865C66">
        <w:trPr>
          <w:trHeight w:val="315"/>
          <w:jc w:val="center"/>
        </w:trPr>
        <w:tc>
          <w:tcPr>
            <w:tcW w:w="4790" w:type="dxa"/>
            <w:tcBorders>
              <w:top w:val="nil"/>
              <w:left w:val="single" w:sz="8" w:space="0" w:color="009900"/>
              <w:bottom w:val="single" w:sz="8" w:space="0" w:color="009900"/>
              <w:right w:val="nil"/>
            </w:tcBorders>
            <w:shd w:val="clear" w:color="000000" w:fill="FFFFE1"/>
            <w:noWrap/>
            <w:vAlign w:val="center"/>
            <w:hideMark/>
          </w:tcPr>
          <w:p w:rsidR="00865C66" w:rsidRDefault="00865C66">
            <w:pPr>
              <w:rPr>
                <w:rFonts w:ascii="Arial" w:hAnsi="Arial" w:cs="Arial"/>
                <w:b/>
                <w:bCs/>
                <w:color w:val="000000"/>
                <w:sz w:val="16"/>
                <w:szCs w:val="16"/>
              </w:rPr>
            </w:pPr>
            <w:r>
              <w:rPr>
                <w:rFonts w:ascii="Arial" w:hAnsi="Arial" w:cs="Arial"/>
                <w:b/>
                <w:bCs/>
                <w:color w:val="000000"/>
                <w:sz w:val="16"/>
                <w:szCs w:val="16"/>
              </w:rPr>
              <w:t>Treatment Center</w:t>
            </w:r>
          </w:p>
        </w:tc>
        <w:tc>
          <w:tcPr>
            <w:tcW w:w="1430" w:type="dxa"/>
            <w:tcBorders>
              <w:top w:val="nil"/>
              <w:left w:val="nil"/>
              <w:bottom w:val="single" w:sz="8" w:space="0" w:color="009900"/>
              <w:right w:val="single" w:sz="8" w:space="0" w:color="009900"/>
            </w:tcBorders>
            <w:shd w:val="clear" w:color="000000" w:fill="FFFFE1"/>
            <w:noWrap/>
            <w:vAlign w:val="center"/>
            <w:hideMark/>
          </w:tcPr>
          <w:p w:rsidR="00865C66" w:rsidRDefault="00865C66">
            <w:pPr>
              <w:rPr>
                <w:rFonts w:ascii="Arial" w:hAnsi="Arial" w:cs="Arial"/>
                <w:b/>
                <w:bCs/>
                <w:color w:val="000000"/>
                <w:sz w:val="16"/>
                <w:szCs w:val="16"/>
              </w:rPr>
            </w:pPr>
            <w:r>
              <w:rPr>
                <w:rFonts w:ascii="Arial" w:hAnsi="Arial" w:cs="Arial"/>
                <w:b/>
                <w:bCs/>
                <w:color w:val="000000"/>
                <w:sz w:val="16"/>
                <w:szCs w:val="16"/>
              </w:rPr>
              <w:t>Location</w:t>
            </w:r>
          </w:p>
        </w:tc>
      </w:tr>
      <w:tr w:rsidR="00865C66" w:rsidTr="00865C66">
        <w:trPr>
          <w:trHeight w:val="240"/>
          <w:jc w:val="center"/>
        </w:trPr>
        <w:tc>
          <w:tcPr>
            <w:tcW w:w="4790" w:type="dxa"/>
            <w:tcBorders>
              <w:top w:val="nil"/>
              <w:left w:val="single" w:sz="8" w:space="0" w:color="009900"/>
              <w:bottom w:val="nil"/>
              <w:right w:val="nil"/>
            </w:tcBorders>
            <w:shd w:val="clear" w:color="000000" w:fill="FFFFE1"/>
            <w:noWrap/>
            <w:vAlign w:val="center"/>
            <w:hideMark/>
          </w:tcPr>
          <w:p w:rsidR="00865C66" w:rsidRDefault="00865C66">
            <w:pPr>
              <w:rPr>
                <w:rFonts w:ascii="Arial" w:hAnsi="Arial" w:cs="Arial"/>
                <w:color w:val="000000"/>
                <w:sz w:val="16"/>
                <w:szCs w:val="16"/>
              </w:rPr>
            </w:pPr>
            <w:r>
              <w:rPr>
                <w:rFonts w:ascii="Arial" w:hAnsi="Arial" w:cs="Arial"/>
                <w:color w:val="000000"/>
                <w:sz w:val="16"/>
                <w:szCs w:val="16"/>
              </w:rPr>
              <w:t>Counseling Center, Inc.</w:t>
            </w:r>
          </w:p>
        </w:tc>
        <w:tc>
          <w:tcPr>
            <w:tcW w:w="1430" w:type="dxa"/>
            <w:tcBorders>
              <w:top w:val="nil"/>
              <w:left w:val="nil"/>
              <w:bottom w:val="nil"/>
              <w:right w:val="single" w:sz="8" w:space="0" w:color="009900"/>
            </w:tcBorders>
            <w:shd w:val="clear" w:color="000000" w:fill="FFFFE1"/>
            <w:noWrap/>
            <w:vAlign w:val="center"/>
            <w:hideMark/>
          </w:tcPr>
          <w:p w:rsidR="00865C66" w:rsidRDefault="00865C66">
            <w:pPr>
              <w:rPr>
                <w:rFonts w:ascii="Arial" w:hAnsi="Arial" w:cs="Arial"/>
                <w:color w:val="000000"/>
                <w:sz w:val="16"/>
                <w:szCs w:val="16"/>
              </w:rPr>
            </w:pPr>
            <w:r>
              <w:rPr>
                <w:rFonts w:ascii="Arial" w:hAnsi="Arial" w:cs="Arial"/>
                <w:color w:val="000000"/>
                <w:sz w:val="16"/>
                <w:szCs w:val="16"/>
              </w:rPr>
              <w:t>Alamogordo</w:t>
            </w:r>
          </w:p>
        </w:tc>
      </w:tr>
      <w:tr w:rsidR="00865C66" w:rsidTr="00865C66">
        <w:trPr>
          <w:trHeight w:val="240"/>
          <w:jc w:val="center"/>
        </w:trPr>
        <w:tc>
          <w:tcPr>
            <w:tcW w:w="4790" w:type="dxa"/>
            <w:tcBorders>
              <w:top w:val="nil"/>
              <w:left w:val="single" w:sz="8" w:space="0" w:color="009900"/>
              <w:bottom w:val="nil"/>
              <w:right w:val="nil"/>
            </w:tcBorders>
            <w:shd w:val="clear" w:color="000000" w:fill="FFFFE1"/>
            <w:noWrap/>
            <w:vAlign w:val="center"/>
            <w:hideMark/>
          </w:tcPr>
          <w:p w:rsidR="00865C66" w:rsidRDefault="00865C66">
            <w:pPr>
              <w:rPr>
                <w:rFonts w:ascii="Arial" w:hAnsi="Arial" w:cs="Arial"/>
                <w:color w:val="000000"/>
                <w:sz w:val="16"/>
                <w:szCs w:val="16"/>
              </w:rPr>
            </w:pPr>
            <w:r>
              <w:rPr>
                <w:rFonts w:ascii="Arial" w:hAnsi="Arial" w:cs="Arial"/>
                <w:color w:val="000000"/>
                <w:sz w:val="16"/>
                <w:szCs w:val="16"/>
              </w:rPr>
              <w:t>Otero County Council</w:t>
            </w:r>
          </w:p>
        </w:tc>
        <w:tc>
          <w:tcPr>
            <w:tcW w:w="1430" w:type="dxa"/>
            <w:tcBorders>
              <w:top w:val="nil"/>
              <w:left w:val="nil"/>
              <w:bottom w:val="nil"/>
              <w:right w:val="single" w:sz="8" w:space="0" w:color="009900"/>
            </w:tcBorders>
            <w:shd w:val="clear" w:color="000000" w:fill="FFFFE1"/>
            <w:noWrap/>
            <w:vAlign w:val="center"/>
            <w:hideMark/>
          </w:tcPr>
          <w:p w:rsidR="00865C66" w:rsidRDefault="00865C66">
            <w:pPr>
              <w:rPr>
                <w:rFonts w:ascii="Arial" w:hAnsi="Arial" w:cs="Arial"/>
                <w:color w:val="000000"/>
                <w:sz w:val="16"/>
                <w:szCs w:val="16"/>
              </w:rPr>
            </w:pPr>
            <w:r>
              <w:rPr>
                <w:rFonts w:ascii="Arial" w:hAnsi="Arial" w:cs="Arial"/>
                <w:color w:val="000000"/>
                <w:sz w:val="16"/>
                <w:szCs w:val="16"/>
              </w:rPr>
              <w:t>Alamogordo</w:t>
            </w:r>
          </w:p>
        </w:tc>
      </w:tr>
      <w:tr w:rsidR="00865C66" w:rsidTr="00865C66">
        <w:trPr>
          <w:trHeight w:val="240"/>
          <w:jc w:val="center"/>
        </w:trPr>
        <w:tc>
          <w:tcPr>
            <w:tcW w:w="4790" w:type="dxa"/>
            <w:tcBorders>
              <w:top w:val="nil"/>
              <w:left w:val="single" w:sz="8" w:space="0" w:color="009900"/>
              <w:bottom w:val="nil"/>
              <w:right w:val="nil"/>
            </w:tcBorders>
            <w:shd w:val="clear" w:color="000000" w:fill="FFFFE1"/>
            <w:noWrap/>
            <w:vAlign w:val="center"/>
            <w:hideMark/>
          </w:tcPr>
          <w:p w:rsidR="00865C66" w:rsidRDefault="00865C66">
            <w:pPr>
              <w:rPr>
                <w:rFonts w:ascii="Arial" w:hAnsi="Arial" w:cs="Arial"/>
                <w:color w:val="000000"/>
                <w:sz w:val="16"/>
                <w:szCs w:val="16"/>
              </w:rPr>
            </w:pPr>
            <w:r>
              <w:rPr>
                <w:rFonts w:ascii="Arial" w:hAnsi="Arial" w:cs="Arial"/>
                <w:color w:val="000000"/>
                <w:sz w:val="16"/>
                <w:szCs w:val="16"/>
              </w:rPr>
              <w:t>A Balanced Path</w:t>
            </w:r>
          </w:p>
        </w:tc>
        <w:tc>
          <w:tcPr>
            <w:tcW w:w="1430" w:type="dxa"/>
            <w:tcBorders>
              <w:top w:val="nil"/>
              <w:left w:val="nil"/>
              <w:bottom w:val="nil"/>
              <w:right w:val="single" w:sz="8" w:space="0" w:color="009900"/>
            </w:tcBorders>
            <w:shd w:val="clear" w:color="000000" w:fill="FFFFE1"/>
            <w:noWrap/>
            <w:vAlign w:val="center"/>
            <w:hideMark/>
          </w:tcPr>
          <w:p w:rsidR="00865C66" w:rsidRDefault="00865C66">
            <w:pPr>
              <w:rPr>
                <w:rFonts w:ascii="Arial" w:hAnsi="Arial" w:cs="Arial"/>
                <w:color w:val="000000"/>
                <w:sz w:val="16"/>
                <w:szCs w:val="16"/>
              </w:rPr>
            </w:pPr>
            <w:r>
              <w:rPr>
                <w:rFonts w:ascii="Arial" w:hAnsi="Arial" w:cs="Arial"/>
                <w:color w:val="000000"/>
                <w:sz w:val="16"/>
                <w:szCs w:val="16"/>
              </w:rPr>
              <w:t>Albuquerque</w:t>
            </w:r>
          </w:p>
        </w:tc>
      </w:tr>
      <w:tr w:rsidR="00865C66" w:rsidTr="00865C66">
        <w:trPr>
          <w:trHeight w:val="240"/>
          <w:jc w:val="center"/>
        </w:trPr>
        <w:tc>
          <w:tcPr>
            <w:tcW w:w="4790" w:type="dxa"/>
            <w:tcBorders>
              <w:top w:val="nil"/>
              <w:left w:val="single" w:sz="8" w:space="0" w:color="009900"/>
              <w:bottom w:val="nil"/>
              <w:right w:val="nil"/>
            </w:tcBorders>
            <w:shd w:val="clear" w:color="000000" w:fill="FFFFE1"/>
            <w:noWrap/>
            <w:vAlign w:val="center"/>
            <w:hideMark/>
          </w:tcPr>
          <w:p w:rsidR="00865C66" w:rsidRDefault="00865C66">
            <w:pPr>
              <w:rPr>
                <w:rFonts w:ascii="Arial" w:hAnsi="Arial" w:cs="Arial"/>
                <w:color w:val="000000"/>
                <w:sz w:val="16"/>
                <w:szCs w:val="16"/>
              </w:rPr>
            </w:pPr>
            <w:r>
              <w:rPr>
                <w:rFonts w:ascii="Arial" w:hAnsi="Arial" w:cs="Arial"/>
                <w:color w:val="000000"/>
                <w:sz w:val="16"/>
                <w:szCs w:val="16"/>
              </w:rPr>
              <w:t>Albuquerque Healthcare for the Homeless</w:t>
            </w:r>
          </w:p>
        </w:tc>
        <w:tc>
          <w:tcPr>
            <w:tcW w:w="1430" w:type="dxa"/>
            <w:tcBorders>
              <w:top w:val="nil"/>
              <w:left w:val="nil"/>
              <w:bottom w:val="nil"/>
              <w:right w:val="single" w:sz="8" w:space="0" w:color="009900"/>
            </w:tcBorders>
            <w:shd w:val="clear" w:color="000000" w:fill="FFFFE1"/>
            <w:noWrap/>
            <w:vAlign w:val="center"/>
            <w:hideMark/>
          </w:tcPr>
          <w:p w:rsidR="00865C66" w:rsidRDefault="00865C66">
            <w:pPr>
              <w:rPr>
                <w:rFonts w:ascii="Arial" w:hAnsi="Arial" w:cs="Arial"/>
                <w:color w:val="000000"/>
                <w:sz w:val="16"/>
                <w:szCs w:val="16"/>
              </w:rPr>
            </w:pPr>
            <w:r>
              <w:rPr>
                <w:rFonts w:ascii="Arial" w:hAnsi="Arial" w:cs="Arial"/>
                <w:color w:val="000000"/>
                <w:sz w:val="16"/>
                <w:szCs w:val="16"/>
              </w:rPr>
              <w:t>Albuquerque</w:t>
            </w:r>
          </w:p>
        </w:tc>
      </w:tr>
      <w:tr w:rsidR="00865C66" w:rsidTr="00865C66">
        <w:trPr>
          <w:trHeight w:val="240"/>
          <w:jc w:val="center"/>
        </w:trPr>
        <w:tc>
          <w:tcPr>
            <w:tcW w:w="4790" w:type="dxa"/>
            <w:tcBorders>
              <w:top w:val="nil"/>
              <w:left w:val="single" w:sz="8" w:space="0" w:color="009900"/>
              <w:bottom w:val="nil"/>
              <w:right w:val="nil"/>
            </w:tcBorders>
            <w:shd w:val="clear" w:color="000000" w:fill="FFFFE1"/>
            <w:noWrap/>
            <w:vAlign w:val="center"/>
            <w:hideMark/>
          </w:tcPr>
          <w:p w:rsidR="00865C66" w:rsidRDefault="00865C66">
            <w:pPr>
              <w:rPr>
                <w:rFonts w:ascii="Arial" w:hAnsi="Arial" w:cs="Arial"/>
                <w:color w:val="000000"/>
                <w:sz w:val="16"/>
                <w:szCs w:val="16"/>
              </w:rPr>
            </w:pPr>
            <w:r>
              <w:rPr>
                <w:rFonts w:ascii="Arial" w:hAnsi="Arial" w:cs="Arial"/>
                <w:color w:val="000000"/>
                <w:sz w:val="16"/>
                <w:szCs w:val="16"/>
              </w:rPr>
              <w:t>Crossroads</w:t>
            </w:r>
          </w:p>
        </w:tc>
        <w:tc>
          <w:tcPr>
            <w:tcW w:w="1430" w:type="dxa"/>
            <w:tcBorders>
              <w:top w:val="nil"/>
              <w:left w:val="nil"/>
              <w:bottom w:val="nil"/>
              <w:right w:val="single" w:sz="8" w:space="0" w:color="009900"/>
            </w:tcBorders>
            <w:shd w:val="clear" w:color="000000" w:fill="FFFFE1"/>
            <w:noWrap/>
            <w:vAlign w:val="center"/>
            <w:hideMark/>
          </w:tcPr>
          <w:p w:rsidR="00865C66" w:rsidRDefault="00865C66">
            <w:pPr>
              <w:rPr>
                <w:rFonts w:ascii="Arial" w:hAnsi="Arial" w:cs="Arial"/>
                <w:color w:val="000000"/>
                <w:sz w:val="16"/>
                <w:szCs w:val="16"/>
              </w:rPr>
            </w:pPr>
            <w:r>
              <w:rPr>
                <w:rFonts w:ascii="Arial" w:hAnsi="Arial" w:cs="Arial"/>
                <w:color w:val="000000"/>
                <w:sz w:val="16"/>
                <w:szCs w:val="16"/>
              </w:rPr>
              <w:t>Albuquerque</w:t>
            </w:r>
          </w:p>
        </w:tc>
      </w:tr>
      <w:tr w:rsidR="00865C66" w:rsidTr="00865C66">
        <w:trPr>
          <w:trHeight w:val="240"/>
          <w:jc w:val="center"/>
        </w:trPr>
        <w:tc>
          <w:tcPr>
            <w:tcW w:w="4790" w:type="dxa"/>
            <w:tcBorders>
              <w:top w:val="nil"/>
              <w:left w:val="single" w:sz="8" w:space="0" w:color="009900"/>
              <w:bottom w:val="nil"/>
              <w:right w:val="nil"/>
            </w:tcBorders>
            <w:shd w:val="clear" w:color="000000" w:fill="FFFFE1"/>
            <w:noWrap/>
            <w:vAlign w:val="center"/>
            <w:hideMark/>
          </w:tcPr>
          <w:p w:rsidR="00865C66" w:rsidRDefault="00865C66">
            <w:pPr>
              <w:rPr>
                <w:rFonts w:ascii="Arial" w:hAnsi="Arial" w:cs="Arial"/>
                <w:color w:val="000000"/>
                <w:sz w:val="16"/>
                <w:szCs w:val="16"/>
              </w:rPr>
            </w:pPr>
            <w:r>
              <w:rPr>
                <w:rFonts w:ascii="Arial" w:hAnsi="Arial" w:cs="Arial"/>
                <w:color w:val="000000"/>
                <w:sz w:val="16"/>
                <w:szCs w:val="16"/>
              </w:rPr>
              <w:t>Evolution Group, Inc.</w:t>
            </w:r>
          </w:p>
        </w:tc>
        <w:tc>
          <w:tcPr>
            <w:tcW w:w="1430" w:type="dxa"/>
            <w:tcBorders>
              <w:top w:val="nil"/>
              <w:left w:val="nil"/>
              <w:bottom w:val="nil"/>
              <w:right w:val="single" w:sz="8" w:space="0" w:color="009900"/>
            </w:tcBorders>
            <w:shd w:val="clear" w:color="000000" w:fill="FFFFE1"/>
            <w:noWrap/>
            <w:vAlign w:val="center"/>
            <w:hideMark/>
          </w:tcPr>
          <w:p w:rsidR="00865C66" w:rsidRDefault="00865C66">
            <w:pPr>
              <w:rPr>
                <w:rFonts w:ascii="Arial" w:hAnsi="Arial" w:cs="Arial"/>
                <w:color w:val="000000"/>
                <w:sz w:val="16"/>
                <w:szCs w:val="16"/>
              </w:rPr>
            </w:pPr>
            <w:r>
              <w:rPr>
                <w:rFonts w:ascii="Arial" w:hAnsi="Arial" w:cs="Arial"/>
                <w:color w:val="000000"/>
                <w:sz w:val="16"/>
                <w:szCs w:val="16"/>
              </w:rPr>
              <w:t>Albuquerque</w:t>
            </w:r>
          </w:p>
        </w:tc>
      </w:tr>
      <w:tr w:rsidR="00865C66" w:rsidTr="00865C66">
        <w:trPr>
          <w:trHeight w:val="240"/>
          <w:jc w:val="center"/>
        </w:trPr>
        <w:tc>
          <w:tcPr>
            <w:tcW w:w="4790" w:type="dxa"/>
            <w:tcBorders>
              <w:top w:val="nil"/>
              <w:left w:val="single" w:sz="8" w:space="0" w:color="009900"/>
              <w:bottom w:val="nil"/>
              <w:right w:val="nil"/>
            </w:tcBorders>
            <w:shd w:val="clear" w:color="000000" w:fill="FFFFE1"/>
            <w:noWrap/>
            <w:vAlign w:val="center"/>
            <w:hideMark/>
          </w:tcPr>
          <w:p w:rsidR="00865C66" w:rsidRDefault="00865C66">
            <w:pPr>
              <w:rPr>
                <w:rFonts w:ascii="Arial" w:hAnsi="Arial" w:cs="Arial"/>
                <w:color w:val="000000"/>
                <w:sz w:val="16"/>
                <w:szCs w:val="16"/>
              </w:rPr>
            </w:pPr>
            <w:r>
              <w:rPr>
                <w:rFonts w:ascii="Arial" w:hAnsi="Arial" w:cs="Arial"/>
                <w:color w:val="000000"/>
                <w:sz w:val="16"/>
                <w:szCs w:val="16"/>
              </w:rPr>
              <w:t>First Nations Community Healthsource</w:t>
            </w:r>
          </w:p>
        </w:tc>
        <w:tc>
          <w:tcPr>
            <w:tcW w:w="1430" w:type="dxa"/>
            <w:tcBorders>
              <w:top w:val="nil"/>
              <w:left w:val="nil"/>
              <w:bottom w:val="nil"/>
              <w:right w:val="single" w:sz="8" w:space="0" w:color="009900"/>
            </w:tcBorders>
            <w:shd w:val="clear" w:color="000000" w:fill="FFFFE1"/>
            <w:noWrap/>
            <w:vAlign w:val="center"/>
            <w:hideMark/>
          </w:tcPr>
          <w:p w:rsidR="00865C66" w:rsidRDefault="00865C66">
            <w:pPr>
              <w:rPr>
                <w:rFonts w:ascii="Arial" w:hAnsi="Arial" w:cs="Arial"/>
                <w:color w:val="000000"/>
                <w:sz w:val="16"/>
                <w:szCs w:val="16"/>
              </w:rPr>
            </w:pPr>
            <w:r>
              <w:rPr>
                <w:rFonts w:ascii="Arial" w:hAnsi="Arial" w:cs="Arial"/>
                <w:color w:val="000000"/>
                <w:sz w:val="16"/>
                <w:szCs w:val="16"/>
              </w:rPr>
              <w:t>Albuquerque</w:t>
            </w:r>
          </w:p>
        </w:tc>
      </w:tr>
      <w:tr w:rsidR="00865C66" w:rsidTr="00865C66">
        <w:trPr>
          <w:trHeight w:val="240"/>
          <w:jc w:val="center"/>
        </w:trPr>
        <w:tc>
          <w:tcPr>
            <w:tcW w:w="4790" w:type="dxa"/>
            <w:tcBorders>
              <w:top w:val="nil"/>
              <w:left w:val="single" w:sz="8" w:space="0" w:color="009900"/>
              <w:bottom w:val="nil"/>
              <w:right w:val="nil"/>
            </w:tcBorders>
            <w:shd w:val="clear" w:color="000000" w:fill="FFFFE1"/>
            <w:noWrap/>
            <w:vAlign w:val="center"/>
            <w:hideMark/>
          </w:tcPr>
          <w:p w:rsidR="00865C66" w:rsidRDefault="00865C66">
            <w:pPr>
              <w:rPr>
                <w:rFonts w:ascii="Arial" w:hAnsi="Arial" w:cs="Arial"/>
                <w:color w:val="000000"/>
                <w:sz w:val="16"/>
                <w:szCs w:val="16"/>
              </w:rPr>
            </w:pPr>
            <w:r>
              <w:rPr>
                <w:rFonts w:ascii="Arial" w:hAnsi="Arial" w:cs="Arial"/>
                <w:color w:val="000000"/>
                <w:sz w:val="16"/>
                <w:szCs w:val="16"/>
              </w:rPr>
              <w:t>University of New Mexico</w:t>
            </w:r>
          </w:p>
        </w:tc>
        <w:tc>
          <w:tcPr>
            <w:tcW w:w="1430" w:type="dxa"/>
            <w:tcBorders>
              <w:top w:val="nil"/>
              <w:left w:val="nil"/>
              <w:bottom w:val="nil"/>
              <w:right w:val="single" w:sz="8" w:space="0" w:color="009900"/>
            </w:tcBorders>
            <w:shd w:val="clear" w:color="000000" w:fill="FFFFE1"/>
            <w:noWrap/>
            <w:vAlign w:val="center"/>
            <w:hideMark/>
          </w:tcPr>
          <w:p w:rsidR="00865C66" w:rsidRDefault="00865C66">
            <w:pPr>
              <w:rPr>
                <w:rFonts w:ascii="Arial" w:hAnsi="Arial" w:cs="Arial"/>
                <w:color w:val="000000"/>
                <w:sz w:val="16"/>
                <w:szCs w:val="16"/>
              </w:rPr>
            </w:pPr>
            <w:r>
              <w:rPr>
                <w:rFonts w:ascii="Arial" w:hAnsi="Arial" w:cs="Arial"/>
                <w:color w:val="000000"/>
                <w:sz w:val="16"/>
                <w:szCs w:val="16"/>
              </w:rPr>
              <w:t>Albuquerque</w:t>
            </w:r>
          </w:p>
        </w:tc>
      </w:tr>
      <w:tr w:rsidR="00865C66" w:rsidTr="00865C66">
        <w:trPr>
          <w:trHeight w:val="240"/>
          <w:jc w:val="center"/>
        </w:trPr>
        <w:tc>
          <w:tcPr>
            <w:tcW w:w="4790" w:type="dxa"/>
            <w:tcBorders>
              <w:top w:val="nil"/>
              <w:left w:val="single" w:sz="8" w:space="0" w:color="009900"/>
              <w:bottom w:val="nil"/>
              <w:right w:val="nil"/>
            </w:tcBorders>
            <w:shd w:val="clear" w:color="000000" w:fill="FFFFE1"/>
            <w:noWrap/>
            <w:vAlign w:val="center"/>
            <w:hideMark/>
          </w:tcPr>
          <w:p w:rsidR="00865C66" w:rsidRDefault="00865C66">
            <w:pPr>
              <w:rPr>
                <w:rFonts w:ascii="Arial" w:hAnsi="Arial" w:cs="Arial"/>
                <w:color w:val="000000"/>
                <w:sz w:val="16"/>
                <w:szCs w:val="16"/>
              </w:rPr>
            </w:pPr>
            <w:r>
              <w:rPr>
                <w:rFonts w:ascii="Arial" w:hAnsi="Arial" w:cs="Arial"/>
                <w:color w:val="000000"/>
                <w:sz w:val="16"/>
                <w:szCs w:val="16"/>
              </w:rPr>
              <w:t>Veterans Affairs Medical Center</w:t>
            </w:r>
          </w:p>
        </w:tc>
        <w:tc>
          <w:tcPr>
            <w:tcW w:w="1430" w:type="dxa"/>
            <w:tcBorders>
              <w:top w:val="nil"/>
              <w:left w:val="nil"/>
              <w:bottom w:val="nil"/>
              <w:right w:val="single" w:sz="8" w:space="0" w:color="009900"/>
            </w:tcBorders>
            <w:shd w:val="clear" w:color="000000" w:fill="FFFFE1"/>
            <w:noWrap/>
            <w:vAlign w:val="center"/>
            <w:hideMark/>
          </w:tcPr>
          <w:p w:rsidR="00865C66" w:rsidRDefault="00865C66">
            <w:pPr>
              <w:rPr>
                <w:rFonts w:ascii="Arial" w:hAnsi="Arial" w:cs="Arial"/>
                <w:color w:val="000000"/>
                <w:sz w:val="16"/>
                <w:szCs w:val="16"/>
              </w:rPr>
            </w:pPr>
            <w:r>
              <w:rPr>
                <w:rFonts w:ascii="Arial" w:hAnsi="Arial" w:cs="Arial"/>
                <w:color w:val="000000"/>
                <w:sz w:val="16"/>
                <w:szCs w:val="16"/>
              </w:rPr>
              <w:t>Albuquerque</w:t>
            </w:r>
          </w:p>
        </w:tc>
      </w:tr>
      <w:tr w:rsidR="00865C66" w:rsidTr="00865C66">
        <w:trPr>
          <w:trHeight w:val="240"/>
          <w:jc w:val="center"/>
        </w:trPr>
        <w:tc>
          <w:tcPr>
            <w:tcW w:w="4790" w:type="dxa"/>
            <w:tcBorders>
              <w:top w:val="nil"/>
              <w:left w:val="single" w:sz="8" w:space="0" w:color="009900"/>
              <w:bottom w:val="nil"/>
              <w:right w:val="nil"/>
            </w:tcBorders>
            <w:shd w:val="clear" w:color="000000" w:fill="FFFFE1"/>
            <w:noWrap/>
            <w:vAlign w:val="center"/>
            <w:hideMark/>
          </w:tcPr>
          <w:p w:rsidR="00865C66" w:rsidRDefault="00865C66">
            <w:pPr>
              <w:rPr>
                <w:rFonts w:ascii="Arial" w:hAnsi="Arial" w:cs="Arial"/>
                <w:color w:val="000000"/>
                <w:sz w:val="16"/>
                <w:szCs w:val="16"/>
              </w:rPr>
            </w:pPr>
            <w:r>
              <w:rPr>
                <w:rFonts w:ascii="Arial" w:hAnsi="Arial" w:cs="Arial"/>
                <w:color w:val="000000"/>
                <w:sz w:val="16"/>
                <w:szCs w:val="16"/>
              </w:rPr>
              <w:t>Hoy Recovery Program, Inc.</w:t>
            </w:r>
          </w:p>
        </w:tc>
        <w:tc>
          <w:tcPr>
            <w:tcW w:w="1430" w:type="dxa"/>
            <w:tcBorders>
              <w:top w:val="nil"/>
              <w:left w:val="nil"/>
              <w:bottom w:val="nil"/>
              <w:right w:val="single" w:sz="8" w:space="0" w:color="009900"/>
            </w:tcBorders>
            <w:shd w:val="clear" w:color="000000" w:fill="FFFFE1"/>
            <w:noWrap/>
            <w:vAlign w:val="center"/>
            <w:hideMark/>
          </w:tcPr>
          <w:p w:rsidR="00865C66" w:rsidRDefault="00865C66">
            <w:pPr>
              <w:rPr>
                <w:rFonts w:ascii="Arial" w:hAnsi="Arial" w:cs="Arial"/>
                <w:color w:val="000000"/>
                <w:sz w:val="16"/>
                <w:szCs w:val="16"/>
              </w:rPr>
            </w:pPr>
            <w:r>
              <w:rPr>
                <w:rFonts w:ascii="Arial" w:hAnsi="Arial" w:cs="Arial"/>
                <w:color w:val="000000"/>
                <w:sz w:val="16"/>
                <w:szCs w:val="16"/>
              </w:rPr>
              <w:t>Alcalde</w:t>
            </w:r>
          </w:p>
        </w:tc>
      </w:tr>
      <w:tr w:rsidR="00865C66" w:rsidTr="00865C66">
        <w:trPr>
          <w:trHeight w:val="240"/>
          <w:jc w:val="center"/>
        </w:trPr>
        <w:tc>
          <w:tcPr>
            <w:tcW w:w="4790" w:type="dxa"/>
            <w:tcBorders>
              <w:top w:val="nil"/>
              <w:left w:val="single" w:sz="8" w:space="0" w:color="009900"/>
              <w:bottom w:val="nil"/>
              <w:right w:val="nil"/>
            </w:tcBorders>
            <w:shd w:val="clear" w:color="000000" w:fill="FFFFE1"/>
            <w:noWrap/>
            <w:vAlign w:val="center"/>
            <w:hideMark/>
          </w:tcPr>
          <w:p w:rsidR="00865C66" w:rsidRDefault="00865C66">
            <w:pPr>
              <w:rPr>
                <w:rFonts w:ascii="Arial" w:hAnsi="Arial" w:cs="Arial"/>
                <w:color w:val="000000"/>
                <w:sz w:val="16"/>
                <w:szCs w:val="16"/>
              </w:rPr>
            </w:pPr>
            <w:r>
              <w:rPr>
                <w:rFonts w:ascii="Arial" w:hAnsi="Arial" w:cs="Arial"/>
                <w:color w:val="000000"/>
                <w:sz w:val="16"/>
                <w:szCs w:val="16"/>
              </w:rPr>
              <w:t>Southern New Mexico Human Development</w:t>
            </w:r>
          </w:p>
        </w:tc>
        <w:tc>
          <w:tcPr>
            <w:tcW w:w="1430" w:type="dxa"/>
            <w:tcBorders>
              <w:top w:val="nil"/>
              <w:left w:val="nil"/>
              <w:bottom w:val="nil"/>
              <w:right w:val="single" w:sz="8" w:space="0" w:color="009900"/>
            </w:tcBorders>
            <w:shd w:val="clear" w:color="000000" w:fill="FFFFE1"/>
            <w:noWrap/>
            <w:vAlign w:val="center"/>
            <w:hideMark/>
          </w:tcPr>
          <w:p w:rsidR="00865C66" w:rsidRDefault="00865C66">
            <w:pPr>
              <w:rPr>
                <w:rFonts w:ascii="Arial" w:hAnsi="Arial" w:cs="Arial"/>
                <w:color w:val="000000"/>
                <w:sz w:val="16"/>
                <w:szCs w:val="16"/>
              </w:rPr>
            </w:pPr>
            <w:r>
              <w:rPr>
                <w:rFonts w:ascii="Arial" w:hAnsi="Arial" w:cs="Arial"/>
                <w:color w:val="000000"/>
                <w:sz w:val="16"/>
                <w:szCs w:val="16"/>
              </w:rPr>
              <w:t>Anthony</w:t>
            </w:r>
          </w:p>
        </w:tc>
      </w:tr>
      <w:tr w:rsidR="00865C66" w:rsidTr="00865C66">
        <w:trPr>
          <w:trHeight w:val="240"/>
          <w:jc w:val="center"/>
        </w:trPr>
        <w:tc>
          <w:tcPr>
            <w:tcW w:w="4790" w:type="dxa"/>
            <w:tcBorders>
              <w:top w:val="nil"/>
              <w:left w:val="single" w:sz="8" w:space="0" w:color="009900"/>
              <w:bottom w:val="nil"/>
              <w:right w:val="nil"/>
            </w:tcBorders>
            <w:shd w:val="clear" w:color="000000" w:fill="FFFFE1"/>
            <w:noWrap/>
            <w:vAlign w:val="center"/>
            <w:hideMark/>
          </w:tcPr>
          <w:p w:rsidR="00865C66" w:rsidRDefault="00865C66">
            <w:pPr>
              <w:rPr>
                <w:rFonts w:ascii="Arial" w:hAnsi="Arial" w:cs="Arial"/>
                <w:color w:val="000000"/>
                <w:sz w:val="16"/>
                <w:szCs w:val="16"/>
              </w:rPr>
            </w:pPr>
            <w:r>
              <w:rPr>
                <w:rFonts w:ascii="Arial" w:hAnsi="Arial" w:cs="Arial"/>
                <w:color w:val="000000"/>
                <w:sz w:val="16"/>
                <w:szCs w:val="16"/>
              </w:rPr>
              <w:t>La Buena Vida Inc</w:t>
            </w:r>
          </w:p>
        </w:tc>
        <w:tc>
          <w:tcPr>
            <w:tcW w:w="1430" w:type="dxa"/>
            <w:tcBorders>
              <w:top w:val="nil"/>
              <w:left w:val="nil"/>
              <w:bottom w:val="nil"/>
              <w:right w:val="single" w:sz="8" w:space="0" w:color="009900"/>
            </w:tcBorders>
            <w:shd w:val="clear" w:color="000000" w:fill="FFFFE1"/>
            <w:noWrap/>
            <w:vAlign w:val="center"/>
            <w:hideMark/>
          </w:tcPr>
          <w:p w:rsidR="00865C66" w:rsidRDefault="00865C66">
            <w:pPr>
              <w:rPr>
                <w:rFonts w:ascii="Arial" w:hAnsi="Arial" w:cs="Arial"/>
                <w:color w:val="000000"/>
                <w:sz w:val="16"/>
                <w:szCs w:val="16"/>
              </w:rPr>
            </w:pPr>
            <w:r>
              <w:rPr>
                <w:rFonts w:ascii="Arial" w:hAnsi="Arial" w:cs="Arial"/>
                <w:color w:val="000000"/>
                <w:sz w:val="16"/>
                <w:szCs w:val="16"/>
              </w:rPr>
              <w:t>Bernalillo</w:t>
            </w:r>
          </w:p>
        </w:tc>
      </w:tr>
      <w:tr w:rsidR="00865C66" w:rsidTr="00865C66">
        <w:trPr>
          <w:trHeight w:val="240"/>
          <w:jc w:val="center"/>
        </w:trPr>
        <w:tc>
          <w:tcPr>
            <w:tcW w:w="4790" w:type="dxa"/>
            <w:tcBorders>
              <w:top w:val="nil"/>
              <w:left w:val="single" w:sz="8" w:space="0" w:color="009900"/>
              <w:bottom w:val="nil"/>
              <w:right w:val="nil"/>
            </w:tcBorders>
            <w:shd w:val="clear" w:color="000000" w:fill="FFFFE1"/>
            <w:noWrap/>
            <w:vAlign w:val="center"/>
            <w:hideMark/>
          </w:tcPr>
          <w:p w:rsidR="00865C66" w:rsidRDefault="00865C66">
            <w:pPr>
              <w:rPr>
                <w:rFonts w:ascii="Arial" w:hAnsi="Arial" w:cs="Arial"/>
                <w:color w:val="000000"/>
                <w:sz w:val="16"/>
                <w:szCs w:val="16"/>
              </w:rPr>
            </w:pPr>
            <w:r>
              <w:rPr>
                <w:rFonts w:ascii="Arial" w:hAnsi="Arial" w:cs="Arial"/>
                <w:color w:val="000000"/>
                <w:sz w:val="16"/>
                <w:szCs w:val="16"/>
              </w:rPr>
              <w:t>Five Sandoval Indian Pueblos Inc</w:t>
            </w:r>
          </w:p>
        </w:tc>
        <w:tc>
          <w:tcPr>
            <w:tcW w:w="1430" w:type="dxa"/>
            <w:tcBorders>
              <w:top w:val="nil"/>
              <w:left w:val="nil"/>
              <w:bottom w:val="nil"/>
              <w:right w:val="single" w:sz="8" w:space="0" w:color="009900"/>
            </w:tcBorders>
            <w:shd w:val="clear" w:color="000000" w:fill="FFFFE1"/>
            <w:noWrap/>
            <w:vAlign w:val="center"/>
            <w:hideMark/>
          </w:tcPr>
          <w:p w:rsidR="00865C66" w:rsidRDefault="00865C66">
            <w:pPr>
              <w:rPr>
                <w:rFonts w:ascii="Arial" w:hAnsi="Arial" w:cs="Arial"/>
                <w:color w:val="000000"/>
                <w:sz w:val="16"/>
                <w:szCs w:val="16"/>
              </w:rPr>
            </w:pPr>
            <w:r>
              <w:rPr>
                <w:rFonts w:ascii="Arial" w:hAnsi="Arial" w:cs="Arial"/>
                <w:color w:val="000000"/>
                <w:sz w:val="16"/>
                <w:szCs w:val="16"/>
              </w:rPr>
              <w:t>Bernalillo</w:t>
            </w:r>
          </w:p>
        </w:tc>
      </w:tr>
      <w:tr w:rsidR="00865C66" w:rsidTr="00865C66">
        <w:trPr>
          <w:trHeight w:val="240"/>
          <w:jc w:val="center"/>
        </w:trPr>
        <w:tc>
          <w:tcPr>
            <w:tcW w:w="4790" w:type="dxa"/>
            <w:tcBorders>
              <w:top w:val="nil"/>
              <w:left w:val="single" w:sz="8" w:space="0" w:color="009900"/>
              <w:bottom w:val="nil"/>
              <w:right w:val="nil"/>
            </w:tcBorders>
            <w:shd w:val="clear" w:color="000000" w:fill="FFFFE1"/>
            <w:noWrap/>
            <w:vAlign w:val="center"/>
            <w:hideMark/>
          </w:tcPr>
          <w:p w:rsidR="00865C66" w:rsidRDefault="00865C66">
            <w:pPr>
              <w:rPr>
                <w:rFonts w:ascii="Arial" w:hAnsi="Arial" w:cs="Arial"/>
                <w:color w:val="000000"/>
                <w:sz w:val="16"/>
                <w:szCs w:val="16"/>
              </w:rPr>
            </w:pPr>
            <w:r>
              <w:rPr>
                <w:rFonts w:ascii="Arial" w:hAnsi="Arial" w:cs="Arial"/>
                <w:color w:val="000000"/>
                <w:sz w:val="16"/>
                <w:szCs w:val="16"/>
              </w:rPr>
              <w:t>Carlsbad Mental Health Association</w:t>
            </w:r>
          </w:p>
        </w:tc>
        <w:tc>
          <w:tcPr>
            <w:tcW w:w="1430" w:type="dxa"/>
            <w:tcBorders>
              <w:top w:val="nil"/>
              <w:left w:val="nil"/>
              <w:bottom w:val="nil"/>
              <w:right w:val="single" w:sz="8" w:space="0" w:color="009900"/>
            </w:tcBorders>
            <w:shd w:val="clear" w:color="000000" w:fill="FFFFE1"/>
            <w:noWrap/>
            <w:vAlign w:val="center"/>
            <w:hideMark/>
          </w:tcPr>
          <w:p w:rsidR="00865C66" w:rsidRDefault="00865C66">
            <w:pPr>
              <w:rPr>
                <w:rFonts w:ascii="Arial" w:hAnsi="Arial" w:cs="Arial"/>
                <w:color w:val="000000"/>
                <w:sz w:val="16"/>
                <w:szCs w:val="16"/>
              </w:rPr>
            </w:pPr>
            <w:r>
              <w:rPr>
                <w:rFonts w:ascii="Arial" w:hAnsi="Arial" w:cs="Arial"/>
                <w:color w:val="000000"/>
                <w:sz w:val="16"/>
                <w:szCs w:val="16"/>
              </w:rPr>
              <w:t>Carlsbad</w:t>
            </w:r>
          </w:p>
        </w:tc>
      </w:tr>
      <w:tr w:rsidR="00865C66" w:rsidTr="00865C66">
        <w:trPr>
          <w:trHeight w:val="240"/>
          <w:jc w:val="center"/>
        </w:trPr>
        <w:tc>
          <w:tcPr>
            <w:tcW w:w="4790" w:type="dxa"/>
            <w:tcBorders>
              <w:top w:val="nil"/>
              <w:left w:val="single" w:sz="8" w:space="0" w:color="009900"/>
              <w:bottom w:val="nil"/>
              <w:right w:val="nil"/>
            </w:tcBorders>
            <w:shd w:val="clear" w:color="000000" w:fill="FFFFE1"/>
            <w:noWrap/>
            <w:vAlign w:val="center"/>
            <w:hideMark/>
          </w:tcPr>
          <w:p w:rsidR="00865C66" w:rsidRDefault="00865C66">
            <w:pPr>
              <w:rPr>
                <w:rFonts w:ascii="Arial" w:hAnsi="Arial" w:cs="Arial"/>
                <w:color w:val="000000"/>
                <w:sz w:val="16"/>
                <w:szCs w:val="16"/>
              </w:rPr>
            </w:pPr>
            <w:r>
              <w:rPr>
                <w:rFonts w:ascii="Arial" w:hAnsi="Arial" w:cs="Arial"/>
                <w:color w:val="000000"/>
                <w:sz w:val="16"/>
                <w:szCs w:val="16"/>
              </w:rPr>
              <w:t>Tri County Community Services</w:t>
            </w:r>
          </w:p>
        </w:tc>
        <w:tc>
          <w:tcPr>
            <w:tcW w:w="1430" w:type="dxa"/>
            <w:tcBorders>
              <w:top w:val="nil"/>
              <w:left w:val="nil"/>
              <w:bottom w:val="nil"/>
              <w:right w:val="single" w:sz="8" w:space="0" w:color="009900"/>
            </w:tcBorders>
            <w:shd w:val="clear" w:color="000000" w:fill="FFFFE1"/>
            <w:noWrap/>
            <w:vAlign w:val="center"/>
            <w:hideMark/>
          </w:tcPr>
          <w:p w:rsidR="00865C66" w:rsidRDefault="00865C66">
            <w:pPr>
              <w:rPr>
                <w:rFonts w:ascii="Arial" w:hAnsi="Arial" w:cs="Arial"/>
                <w:color w:val="000000"/>
                <w:sz w:val="16"/>
                <w:szCs w:val="16"/>
              </w:rPr>
            </w:pPr>
            <w:r>
              <w:rPr>
                <w:rFonts w:ascii="Arial" w:hAnsi="Arial" w:cs="Arial"/>
                <w:color w:val="000000"/>
                <w:sz w:val="16"/>
                <w:szCs w:val="16"/>
              </w:rPr>
              <w:t>Clayton</w:t>
            </w:r>
          </w:p>
        </w:tc>
      </w:tr>
      <w:tr w:rsidR="00865C66" w:rsidTr="00865C66">
        <w:trPr>
          <w:trHeight w:val="240"/>
          <w:jc w:val="center"/>
        </w:trPr>
        <w:tc>
          <w:tcPr>
            <w:tcW w:w="4790" w:type="dxa"/>
            <w:tcBorders>
              <w:top w:val="nil"/>
              <w:left w:val="single" w:sz="8" w:space="0" w:color="009900"/>
              <w:bottom w:val="nil"/>
              <w:right w:val="nil"/>
            </w:tcBorders>
            <w:shd w:val="clear" w:color="000000" w:fill="FFFFE1"/>
            <w:noWrap/>
            <w:vAlign w:val="center"/>
            <w:hideMark/>
          </w:tcPr>
          <w:p w:rsidR="00865C66" w:rsidRDefault="00865C66">
            <w:pPr>
              <w:rPr>
                <w:rFonts w:ascii="Arial" w:hAnsi="Arial" w:cs="Arial"/>
                <w:color w:val="000000"/>
                <w:sz w:val="16"/>
                <w:szCs w:val="16"/>
              </w:rPr>
            </w:pPr>
            <w:r>
              <w:rPr>
                <w:rFonts w:ascii="Arial" w:hAnsi="Arial" w:cs="Arial"/>
                <w:color w:val="000000"/>
                <w:sz w:val="16"/>
                <w:szCs w:val="16"/>
              </w:rPr>
              <w:t>New Mexico Behavioral Health Institute</w:t>
            </w:r>
          </w:p>
        </w:tc>
        <w:tc>
          <w:tcPr>
            <w:tcW w:w="1430" w:type="dxa"/>
            <w:tcBorders>
              <w:top w:val="nil"/>
              <w:left w:val="nil"/>
              <w:bottom w:val="nil"/>
              <w:right w:val="single" w:sz="8" w:space="0" w:color="009900"/>
            </w:tcBorders>
            <w:shd w:val="clear" w:color="000000" w:fill="FFFFE1"/>
            <w:noWrap/>
            <w:vAlign w:val="center"/>
            <w:hideMark/>
          </w:tcPr>
          <w:p w:rsidR="00865C66" w:rsidRDefault="00865C66">
            <w:pPr>
              <w:rPr>
                <w:rFonts w:ascii="Arial" w:hAnsi="Arial" w:cs="Arial"/>
                <w:color w:val="000000"/>
                <w:sz w:val="16"/>
                <w:szCs w:val="16"/>
              </w:rPr>
            </w:pPr>
            <w:r>
              <w:rPr>
                <w:rFonts w:ascii="Arial" w:hAnsi="Arial" w:cs="Arial"/>
                <w:color w:val="000000"/>
                <w:sz w:val="16"/>
                <w:szCs w:val="16"/>
              </w:rPr>
              <w:t>Santa Rosa</w:t>
            </w:r>
          </w:p>
        </w:tc>
      </w:tr>
      <w:tr w:rsidR="00865C66" w:rsidTr="00865C66">
        <w:trPr>
          <w:trHeight w:val="240"/>
          <w:jc w:val="center"/>
        </w:trPr>
        <w:tc>
          <w:tcPr>
            <w:tcW w:w="4790" w:type="dxa"/>
            <w:tcBorders>
              <w:top w:val="nil"/>
              <w:left w:val="single" w:sz="8" w:space="0" w:color="009900"/>
              <w:bottom w:val="nil"/>
              <w:right w:val="nil"/>
            </w:tcBorders>
            <w:shd w:val="clear" w:color="000000" w:fill="FFFFE1"/>
            <w:noWrap/>
            <w:vAlign w:val="center"/>
            <w:hideMark/>
          </w:tcPr>
          <w:p w:rsidR="00865C66" w:rsidRDefault="00865C66">
            <w:pPr>
              <w:rPr>
                <w:rFonts w:ascii="Arial" w:hAnsi="Arial" w:cs="Arial"/>
                <w:color w:val="000000"/>
                <w:sz w:val="16"/>
                <w:szCs w:val="16"/>
              </w:rPr>
            </w:pPr>
            <w:r>
              <w:rPr>
                <w:rFonts w:ascii="Arial" w:hAnsi="Arial" w:cs="Arial"/>
                <w:color w:val="000000"/>
                <w:sz w:val="16"/>
                <w:szCs w:val="16"/>
              </w:rPr>
              <w:t>Vista Taos Renewal Center</w:t>
            </w:r>
          </w:p>
        </w:tc>
        <w:tc>
          <w:tcPr>
            <w:tcW w:w="1430" w:type="dxa"/>
            <w:tcBorders>
              <w:top w:val="nil"/>
              <w:left w:val="nil"/>
              <w:bottom w:val="nil"/>
              <w:right w:val="single" w:sz="8" w:space="0" w:color="009900"/>
            </w:tcBorders>
            <w:shd w:val="clear" w:color="000000" w:fill="FFFFE1"/>
            <w:noWrap/>
            <w:vAlign w:val="center"/>
            <w:hideMark/>
          </w:tcPr>
          <w:p w:rsidR="00865C66" w:rsidRDefault="00865C66">
            <w:pPr>
              <w:rPr>
                <w:rFonts w:ascii="Arial" w:hAnsi="Arial" w:cs="Arial"/>
                <w:color w:val="000000"/>
                <w:sz w:val="16"/>
                <w:szCs w:val="16"/>
              </w:rPr>
            </w:pPr>
            <w:r>
              <w:rPr>
                <w:rFonts w:ascii="Arial" w:hAnsi="Arial" w:cs="Arial"/>
                <w:color w:val="000000"/>
                <w:sz w:val="16"/>
                <w:szCs w:val="16"/>
              </w:rPr>
              <w:t>Taos</w:t>
            </w:r>
          </w:p>
        </w:tc>
      </w:tr>
      <w:tr w:rsidR="00865C66" w:rsidTr="00865C66">
        <w:trPr>
          <w:trHeight w:val="240"/>
          <w:jc w:val="center"/>
        </w:trPr>
        <w:tc>
          <w:tcPr>
            <w:tcW w:w="4790" w:type="dxa"/>
            <w:tcBorders>
              <w:top w:val="nil"/>
              <w:left w:val="single" w:sz="8" w:space="0" w:color="009900"/>
              <w:bottom w:val="single" w:sz="8" w:space="0" w:color="009900"/>
              <w:right w:val="nil"/>
            </w:tcBorders>
            <w:shd w:val="clear" w:color="000000" w:fill="FFFFE1"/>
            <w:noWrap/>
            <w:vAlign w:val="center"/>
            <w:hideMark/>
          </w:tcPr>
          <w:p w:rsidR="00865C66" w:rsidRDefault="00865C66">
            <w:pPr>
              <w:rPr>
                <w:rFonts w:ascii="Arial" w:hAnsi="Arial" w:cs="Arial"/>
                <w:color w:val="000000"/>
                <w:sz w:val="16"/>
                <w:szCs w:val="16"/>
              </w:rPr>
            </w:pPr>
            <w:r>
              <w:rPr>
                <w:rFonts w:ascii="Arial" w:hAnsi="Arial" w:cs="Arial"/>
                <w:color w:val="000000"/>
                <w:sz w:val="16"/>
                <w:szCs w:val="16"/>
              </w:rPr>
              <w:t>San Cristobal Treatment Center</w:t>
            </w:r>
          </w:p>
        </w:tc>
        <w:tc>
          <w:tcPr>
            <w:tcW w:w="1430" w:type="dxa"/>
            <w:tcBorders>
              <w:top w:val="nil"/>
              <w:left w:val="nil"/>
              <w:bottom w:val="single" w:sz="8" w:space="0" w:color="009900"/>
              <w:right w:val="single" w:sz="8" w:space="0" w:color="009900"/>
            </w:tcBorders>
            <w:shd w:val="clear" w:color="000000" w:fill="FFFFE1"/>
            <w:noWrap/>
            <w:vAlign w:val="center"/>
            <w:hideMark/>
          </w:tcPr>
          <w:p w:rsidR="00865C66" w:rsidRDefault="00865C66">
            <w:pPr>
              <w:rPr>
                <w:rFonts w:ascii="Arial" w:hAnsi="Arial" w:cs="Arial"/>
                <w:color w:val="000000"/>
                <w:sz w:val="16"/>
                <w:szCs w:val="16"/>
              </w:rPr>
            </w:pPr>
            <w:r>
              <w:rPr>
                <w:rFonts w:ascii="Arial" w:hAnsi="Arial" w:cs="Arial"/>
                <w:color w:val="000000"/>
                <w:sz w:val="16"/>
                <w:szCs w:val="16"/>
              </w:rPr>
              <w:t>Taos</w:t>
            </w:r>
          </w:p>
        </w:tc>
      </w:tr>
    </w:tbl>
    <w:p w:rsidR="00943E45" w:rsidRPr="00DE3F87" w:rsidRDefault="00943E45" w:rsidP="00943E45">
      <w:pPr>
        <w:jc w:val="both"/>
        <w:rPr>
          <w:rFonts w:ascii="CG Omega" w:hAnsi="CG Omega" w:cs="Arial"/>
          <w:snapToGrid w:val="0"/>
          <w:highlight w:val="yellow"/>
        </w:rPr>
      </w:pPr>
    </w:p>
    <w:p w:rsidR="00943E45" w:rsidRPr="00F93791" w:rsidRDefault="00943E45" w:rsidP="00943E45">
      <w:pPr>
        <w:jc w:val="both"/>
        <w:rPr>
          <w:rFonts w:ascii="CG Omega" w:hAnsi="CG Omega" w:cs="Arial"/>
          <w:snapToGrid w:val="0"/>
        </w:rPr>
      </w:pPr>
      <w:r w:rsidRPr="0080677E">
        <w:rPr>
          <w:rFonts w:ascii="CG Omega" w:hAnsi="CG Omega" w:cs="Arial"/>
          <w:snapToGrid w:val="0"/>
        </w:rPr>
        <w:t xml:space="preserve">Publicly-funded services for drug and alcohol addiction are administered by the New Mexico Human Services Department, Division of Behavioral Health Services (BHSD). The BHSD operates the Office of Substance Abuse Prevention (OSAP).  </w:t>
      </w:r>
      <w:r>
        <w:rPr>
          <w:rFonts w:ascii="CG Omega" w:hAnsi="CG Omega" w:cs="Arial"/>
          <w:snapToGrid w:val="0"/>
        </w:rPr>
        <w:t>Funding is provided through the Substance Abuse and Treatment Block Grant (SAPT), Safe and Drug Free Schools and Communities, and the State General Fund.</w:t>
      </w:r>
      <w:bookmarkStart w:id="115" w:name="_Ref388441584"/>
      <w:r>
        <w:rPr>
          <w:rStyle w:val="FootnoteReference"/>
          <w:rFonts w:ascii="CG Omega" w:hAnsi="CG Omega" w:cs="Arial"/>
          <w:snapToGrid w:val="0"/>
        </w:rPr>
        <w:footnoteReference w:id="70"/>
      </w:r>
      <w:bookmarkEnd w:id="115"/>
      <w:r>
        <w:rPr>
          <w:rFonts w:ascii="CG Omega" w:hAnsi="CG Omega" w:cs="Arial"/>
          <w:snapToGrid w:val="0"/>
        </w:rPr>
        <w:t xml:space="preserve">  The </w:t>
      </w:r>
      <w:r w:rsidR="00DE3F87">
        <w:rPr>
          <w:rFonts w:ascii="CG Omega" w:hAnsi="CG Omega" w:cs="Arial"/>
          <w:snapToGrid w:val="0"/>
        </w:rPr>
        <w:t>BHSD</w:t>
      </w:r>
      <w:r>
        <w:rPr>
          <w:rFonts w:ascii="CG Omega" w:hAnsi="CG Omega" w:cs="Arial"/>
          <w:snapToGrid w:val="0"/>
        </w:rPr>
        <w:t xml:space="preserve"> allocated money for various programs, including Strategies for Success and Total Community Approach.  Strategies for Success is a program that</w:t>
      </w:r>
      <w:r w:rsidRPr="00F93791">
        <w:rPr>
          <w:rFonts w:ascii="CG Omega" w:hAnsi="CG Omega" w:cs="Arial"/>
          <w:snapToGrid w:val="0"/>
        </w:rPr>
        <w:t xml:space="preserve"> works with teens on multiple risk and protective factors to improve the student’s ability to resist drugs.</w:t>
      </w:r>
      <w:r>
        <w:rPr>
          <w:rFonts w:ascii="CG Omega" w:hAnsi="CG Omega" w:cs="Arial"/>
          <w:snapToGrid w:val="0"/>
        </w:rPr>
        <w:t xml:space="preserve">  The Total Community Approach is a partnership between the New Mexico Behavioral Health Collaborative and rural communities most affected by substance abuse.  Through targeting resources and engaging various community groups, services are targeted to the area where they are most needed to deal with substance abuse challenges.</w:t>
      </w:r>
      <w:r w:rsidRPr="0004650B">
        <w:rPr>
          <w:rStyle w:val="FootnoteReference"/>
          <w:rFonts w:ascii="CG Omega" w:hAnsi="CG Omega" w:cs="Arial"/>
          <w:snapToGrid w:val="0"/>
        </w:rPr>
        <w:fldChar w:fldCharType="begin"/>
      </w:r>
      <w:r w:rsidRPr="0004650B">
        <w:rPr>
          <w:rFonts w:ascii="CG Omega" w:hAnsi="CG Omega" w:cs="Arial"/>
          <w:snapToGrid w:val="0"/>
          <w:vertAlign w:val="superscript"/>
        </w:rPr>
        <w:instrText xml:space="preserve"> NOTEREF _Ref388441584 \h </w:instrText>
      </w:r>
      <w:r w:rsidRPr="0004650B">
        <w:rPr>
          <w:rStyle w:val="FootnoteReference"/>
          <w:rFonts w:ascii="CG Omega" w:hAnsi="CG Omega" w:cs="Arial"/>
          <w:snapToGrid w:val="0"/>
        </w:rPr>
        <w:instrText xml:space="preserve"> \* MERGEFORMAT </w:instrText>
      </w:r>
      <w:r w:rsidRPr="0004650B">
        <w:rPr>
          <w:rStyle w:val="FootnoteReference"/>
          <w:rFonts w:ascii="CG Omega" w:hAnsi="CG Omega" w:cs="Arial"/>
          <w:snapToGrid w:val="0"/>
        </w:rPr>
      </w:r>
      <w:r w:rsidRPr="0004650B">
        <w:rPr>
          <w:rStyle w:val="FootnoteReference"/>
          <w:rFonts w:ascii="CG Omega" w:hAnsi="CG Omega" w:cs="Arial"/>
          <w:snapToGrid w:val="0"/>
        </w:rPr>
        <w:fldChar w:fldCharType="separate"/>
      </w:r>
      <w:r w:rsidR="00754A91">
        <w:rPr>
          <w:rFonts w:ascii="CG Omega" w:hAnsi="CG Omega" w:cs="Arial"/>
          <w:snapToGrid w:val="0"/>
          <w:vertAlign w:val="superscript"/>
        </w:rPr>
        <w:t>70</w:t>
      </w:r>
      <w:r w:rsidRPr="0004650B">
        <w:rPr>
          <w:rStyle w:val="FootnoteReference"/>
          <w:rFonts w:ascii="CG Omega" w:hAnsi="CG Omega" w:cs="Arial"/>
          <w:snapToGrid w:val="0"/>
        </w:rPr>
        <w:fldChar w:fldCharType="end"/>
      </w:r>
      <w:r>
        <w:rPr>
          <w:rFonts w:ascii="CG Omega" w:hAnsi="CG Omega" w:cs="Arial"/>
          <w:snapToGrid w:val="0"/>
        </w:rPr>
        <w:t xml:space="preserve"> In 2014, there were 23 programs throughout New Mexico that were receiving prevention funds from the Office of Substance Abuse Prevention.</w:t>
      </w:r>
    </w:p>
    <w:p w:rsidR="00943E45" w:rsidRPr="00DE3F87" w:rsidRDefault="00943E45" w:rsidP="00943E45">
      <w:pPr>
        <w:jc w:val="both"/>
        <w:rPr>
          <w:rFonts w:ascii="CG Omega" w:hAnsi="CG Omega" w:cs="Arial"/>
          <w:snapToGrid w:val="0"/>
          <w:highlight w:val="yellow"/>
        </w:rPr>
      </w:pPr>
    </w:p>
    <w:p w:rsidR="00943E45" w:rsidRPr="00DE3F87" w:rsidRDefault="00CC3344" w:rsidP="00943E45">
      <w:pPr>
        <w:jc w:val="both"/>
        <w:rPr>
          <w:rFonts w:ascii="CG Omega" w:hAnsi="CG Omega" w:cs="Arial"/>
          <w:snapToGrid w:val="0"/>
          <w:highlight w:val="yellow"/>
        </w:rPr>
      </w:pPr>
      <w:r w:rsidRPr="00DE3F87">
        <w:rPr>
          <w:rFonts w:ascii="CG Omega" w:hAnsi="CG Omega" w:cs="Arial"/>
          <w:snapToGrid w:val="0"/>
        </w:rPr>
        <w:t>MFA</w:t>
      </w:r>
      <w:r w:rsidR="00943E45" w:rsidRPr="00DE3F87">
        <w:rPr>
          <w:rFonts w:ascii="CG Omega" w:hAnsi="CG Omega" w:cs="Arial"/>
          <w:snapToGrid w:val="0"/>
        </w:rPr>
        <w:t xml:space="preserve"> is a member agency of the New Mexico Behavioral Health Collaborative. The Collaborative was created in 2004 by Governor Bill Richardson to allow state agencies and resources involved in behavioral health prevention, treatment and recovery to work as one in an effort to improve mental health and substance abuse services in New Mexico.</w:t>
      </w:r>
      <w:r w:rsidR="00943E45" w:rsidRPr="00DE3F87">
        <w:rPr>
          <w:rStyle w:val="FootnoteReference"/>
          <w:rFonts w:ascii="CG Omega" w:hAnsi="CG Omega" w:cs="Arial"/>
          <w:snapToGrid w:val="0"/>
        </w:rPr>
        <w:footnoteReference w:id="71"/>
      </w:r>
      <w:r w:rsidR="00943E45" w:rsidRPr="00DE3F87">
        <w:rPr>
          <w:rFonts w:ascii="CG Omega" w:hAnsi="CG Omega" w:cs="Arial"/>
          <w:snapToGrid w:val="0"/>
        </w:rPr>
        <w:t xml:space="preserve"> </w:t>
      </w:r>
    </w:p>
    <w:p w:rsidR="00943E45" w:rsidRPr="00DE3F87" w:rsidRDefault="00943E45" w:rsidP="00943E45">
      <w:pPr>
        <w:jc w:val="both"/>
        <w:rPr>
          <w:rFonts w:ascii="CG Omega" w:hAnsi="CG Omega" w:cs="Arial"/>
          <w:snapToGrid w:val="0"/>
          <w:highlight w:val="yellow"/>
        </w:rPr>
      </w:pPr>
    </w:p>
    <w:p w:rsidR="00943E45" w:rsidRPr="00FB49C7" w:rsidRDefault="00943E45" w:rsidP="00943E45">
      <w:pPr>
        <w:jc w:val="both"/>
        <w:rPr>
          <w:rFonts w:ascii="CG Omega" w:hAnsi="CG Omega" w:cs="Arial"/>
          <w:b/>
          <w:snapToGrid w:val="0"/>
        </w:rPr>
      </w:pPr>
      <w:r w:rsidRPr="00FB49C7">
        <w:rPr>
          <w:rFonts w:ascii="CG Omega" w:hAnsi="CG Omega" w:cs="Arial"/>
          <w:b/>
          <w:snapToGrid w:val="0"/>
        </w:rPr>
        <w:t>Services and Housing Needed</w:t>
      </w:r>
    </w:p>
    <w:p w:rsidR="00943E45" w:rsidRPr="00DE3F87" w:rsidRDefault="00943E45" w:rsidP="00943E45">
      <w:pPr>
        <w:jc w:val="both"/>
        <w:rPr>
          <w:rFonts w:ascii="CG Omega" w:hAnsi="CG Omega" w:cs="Arial"/>
          <w:snapToGrid w:val="0"/>
          <w:highlight w:val="yellow"/>
        </w:rPr>
      </w:pPr>
    </w:p>
    <w:p w:rsidR="00943E45" w:rsidRPr="00DE3F87" w:rsidRDefault="00943E45" w:rsidP="00943E45">
      <w:pPr>
        <w:jc w:val="both"/>
        <w:rPr>
          <w:rFonts w:ascii="CG Omega" w:hAnsi="CG Omega" w:cs="Arial"/>
          <w:snapToGrid w:val="0"/>
          <w:highlight w:val="yellow"/>
        </w:rPr>
      </w:pPr>
      <w:r w:rsidRPr="00DE3F87">
        <w:rPr>
          <w:rFonts w:ascii="CG Omega" w:hAnsi="CG Omega" w:cs="Arial"/>
          <w:snapToGrid w:val="0"/>
        </w:rPr>
        <w:t>According to the Healthy People 2020 national objectives, there were 22 million Americans struggling with a drug or alcohol problem in 2005.  Of those with substance abuse problems, 95 percent are unaware of their problem.</w:t>
      </w:r>
      <w:r w:rsidRPr="00DE3F87">
        <w:rPr>
          <w:rStyle w:val="FootnoteReference"/>
          <w:rFonts w:ascii="CG Omega" w:hAnsi="CG Omega" w:cs="Arial"/>
          <w:snapToGrid w:val="0"/>
        </w:rPr>
        <w:footnoteReference w:id="72"/>
      </w:r>
      <w:r w:rsidRPr="00DE3F87">
        <w:rPr>
          <w:rFonts w:ascii="CG Omega" w:hAnsi="CG Omega" w:cs="Arial"/>
          <w:snapToGrid w:val="0"/>
        </w:rPr>
        <w:t xml:space="preserve"> Obtaining treatment is a primary concern for many, which often includes high costs and other impacts on the person’s ability to obtain or retain an income and housing.  </w:t>
      </w:r>
    </w:p>
    <w:p w:rsidR="00943E45" w:rsidRPr="00DE3F87" w:rsidRDefault="00943E45" w:rsidP="00943E45">
      <w:pPr>
        <w:jc w:val="both"/>
        <w:rPr>
          <w:rFonts w:ascii="CG Omega" w:hAnsi="CG Omega" w:cs="Arial"/>
          <w:snapToGrid w:val="0"/>
          <w:highlight w:val="yellow"/>
        </w:rPr>
      </w:pPr>
    </w:p>
    <w:p w:rsidR="00943E45" w:rsidRPr="00DE3F87" w:rsidRDefault="00943E45" w:rsidP="00943E45">
      <w:pPr>
        <w:jc w:val="both"/>
        <w:rPr>
          <w:rFonts w:ascii="CG Omega" w:hAnsi="CG Omega" w:cs="Arial"/>
          <w:snapToGrid w:val="0"/>
        </w:rPr>
      </w:pPr>
      <w:r w:rsidRPr="00DE3F87">
        <w:rPr>
          <w:rFonts w:ascii="CG Omega" w:hAnsi="CG Omega" w:cs="Arial"/>
          <w:snapToGrid w:val="0"/>
        </w:rPr>
        <w:t>The National Coalition for the Homeless notes that other needs for persons living with addictions to drugs or alcohol include transportation and support services, including work programs and therapy access.  Barriers also include programs that follow abstinence-only policies. These programs are often unrealistic for persons suffering from addictions because they fail to address the reality of relapses.  A person living in supportive housing with an addiction problem who experiences a relapse may suddenly become a homeless person.</w:t>
      </w:r>
      <w:r w:rsidRPr="00DE3F87">
        <w:rPr>
          <w:rStyle w:val="FootnoteReference"/>
          <w:rFonts w:ascii="CG Omega" w:hAnsi="CG Omega" w:cs="Arial"/>
          <w:snapToGrid w:val="0"/>
        </w:rPr>
        <w:footnoteReference w:id="73"/>
      </w:r>
    </w:p>
    <w:p w:rsidR="00943E45" w:rsidRPr="00DE3F87" w:rsidRDefault="00943E45" w:rsidP="00943E45">
      <w:pPr>
        <w:jc w:val="both"/>
        <w:rPr>
          <w:rFonts w:ascii="CG Omega" w:hAnsi="CG Omega" w:cs="Arial"/>
          <w:snapToGrid w:val="0"/>
          <w:highlight w:val="yellow"/>
        </w:rPr>
      </w:pPr>
    </w:p>
    <w:p w:rsidR="000343E4" w:rsidRPr="0002527C" w:rsidRDefault="000343E4" w:rsidP="000343E4">
      <w:pPr>
        <w:jc w:val="both"/>
        <w:rPr>
          <w:rFonts w:ascii="CG Omega" w:hAnsi="CG Omega" w:cs="Arial"/>
          <w:snapToGrid w:val="0"/>
          <w:highlight w:val="yellow"/>
        </w:rPr>
      </w:pPr>
      <w:r w:rsidRPr="0002527C">
        <w:rPr>
          <w:rFonts w:ascii="CG Omega" w:hAnsi="CG Omega" w:cs="Arial"/>
          <w:snapToGrid w:val="0"/>
        </w:rPr>
        <w:t xml:space="preserve">Results from the 2014 Housing and Community Development Survey, presented </w:t>
      </w:r>
      <w:r w:rsidR="000D21C9">
        <w:rPr>
          <w:rFonts w:ascii="CG Omega" w:hAnsi="CG Omega" w:cs="Arial"/>
          <w:snapToGrid w:val="0"/>
        </w:rPr>
        <w:t xml:space="preserve">in </w:t>
      </w:r>
      <w:r w:rsidR="000D21C9" w:rsidRPr="00DE3F87">
        <w:rPr>
          <w:rFonts w:ascii="CG Omega" w:hAnsi="CG Omega" w:cs="Arial"/>
          <w:b/>
          <w:snapToGrid w:val="0"/>
        </w:rPr>
        <w:t>Table V.2</w:t>
      </w:r>
      <w:r w:rsidR="00E60BBA" w:rsidRPr="00DE3F87">
        <w:rPr>
          <w:rFonts w:ascii="CG Omega" w:hAnsi="CG Omega" w:cs="Arial"/>
          <w:b/>
          <w:snapToGrid w:val="0"/>
        </w:rPr>
        <w:t>5</w:t>
      </w:r>
      <w:r w:rsidRPr="00DE3F87">
        <w:rPr>
          <w:rFonts w:ascii="CG Omega" w:hAnsi="CG Omega" w:cs="Arial"/>
          <w:b/>
          <w:snapToGrid w:val="0"/>
        </w:rPr>
        <w:t>,</w:t>
      </w:r>
      <w:r w:rsidRPr="00832AB3">
        <w:rPr>
          <w:rFonts w:ascii="CG Omega" w:hAnsi="CG Omega" w:cs="Arial"/>
          <w:snapToGrid w:val="0"/>
        </w:rPr>
        <w:t xml:space="preserve"> </w:t>
      </w:r>
      <w:r w:rsidRPr="0002527C">
        <w:rPr>
          <w:rFonts w:ascii="CG Omega" w:hAnsi="CG Omega" w:cs="Arial"/>
          <w:snapToGrid w:val="0"/>
        </w:rPr>
        <w:t>show that respondent</w:t>
      </w:r>
      <w:r w:rsidR="004C2AA6">
        <w:rPr>
          <w:rFonts w:ascii="CG Omega" w:hAnsi="CG Omega" w:cs="Arial"/>
          <w:snapToGrid w:val="0"/>
        </w:rPr>
        <w:t>s</w:t>
      </w:r>
      <w:r w:rsidRPr="0002527C">
        <w:rPr>
          <w:rFonts w:ascii="CG Omega" w:hAnsi="CG Omega" w:cs="Arial"/>
          <w:snapToGrid w:val="0"/>
        </w:rPr>
        <w:t xml:space="preserve"> indicated a high need level for additional services and facilities for this special needs group. </w:t>
      </w:r>
    </w:p>
    <w:tbl>
      <w:tblPr>
        <w:tblW w:w="8072" w:type="dxa"/>
        <w:jc w:val="center"/>
        <w:tblLook w:val="04A0" w:firstRow="1" w:lastRow="0" w:firstColumn="1" w:lastColumn="0" w:noHBand="0" w:noVBand="1"/>
      </w:tblPr>
      <w:tblGrid>
        <w:gridCol w:w="3290"/>
        <w:gridCol w:w="608"/>
        <w:gridCol w:w="608"/>
        <w:gridCol w:w="898"/>
        <w:gridCol w:w="608"/>
        <w:gridCol w:w="1122"/>
        <w:gridCol w:w="938"/>
      </w:tblGrid>
      <w:tr w:rsidR="000343E4" w:rsidRPr="0002527C" w:rsidTr="00570829">
        <w:trPr>
          <w:trHeight w:val="300"/>
          <w:jc w:val="center"/>
        </w:trPr>
        <w:tc>
          <w:tcPr>
            <w:tcW w:w="8072" w:type="dxa"/>
            <w:gridSpan w:val="7"/>
            <w:tcBorders>
              <w:top w:val="nil"/>
              <w:left w:val="nil"/>
              <w:bottom w:val="nil"/>
              <w:right w:val="nil"/>
            </w:tcBorders>
            <w:shd w:val="clear" w:color="auto" w:fill="auto"/>
            <w:noWrap/>
            <w:vAlign w:val="center"/>
            <w:hideMark/>
          </w:tcPr>
          <w:p w:rsidR="00DE3F87" w:rsidRDefault="00DE3F87" w:rsidP="00E60BBA">
            <w:pPr>
              <w:jc w:val="center"/>
              <w:rPr>
                <w:rFonts w:ascii="Arial" w:hAnsi="Arial" w:cs="Arial"/>
                <w:b/>
                <w:bCs/>
                <w:color w:val="000000"/>
                <w:sz w:val="22"/>
                <w:szCs w:val="22"/>
              </w:rPr>
            </w:pPr>
          </w:p>
          <w:p w:rsidR="000343E4" w:rsidRPr="0002527C" w:rsidRDefault="000343E4" w:rsidP="00E60BBA">
            <w:pPr>
              <w:jc w:val="center"/>
              <w:rPr>
                <w:rFonts w:ascii="Arial" w:hAnsi="Arial" w:cs="Arial"/>
                <w:b/>
                <w:bCs/>
                <w:color w:val="000000"/>
                <w:sz w:val="22"/>
                <w:szCs w:val="22"/>
              </w:rPr>
            </w:pPr>
            <w:r w:rsidRPr="00832AB3">
              <w:rPr>
                <w:rFonts w:ascii="Arial" w:hAnsi="Arial" w:cs="Arial"/>
                <w:b/>
                <w:bCs/>
                <w:color w:val="000000"/>
                <w:sz w:val="22"/>
                <w:szCs w:val="22"/>
              </w:rPr>
              <w:t xml:space="preserve">Table </w:t>
            </w:r>
            <w:r w:rsidR="00832AB3">
              <w:rPr>
                <w:rFonts w:ascii="Arial" w:hAnsi="Arial" w:cs="Arial"/>
                <w:b/>
                <w:bCs/>
                <w:color w:val="000000"/>
                <w:sz w:val="22"/>
                <w:szCs w:val="22"/>
              </w:rPr>
              <w:t>V.2</w:t>
            </w:r>
            <w:r w:rsidR="00E60BBA">
              <w:rPr>
                <w:rFonts w:ascii="Arial" w:hAnsi="Arial" w:cs="Arial"/>
                <w:b/>
                <w:bCs/>
                <w:color w:val="000000"/>
                <w:sz w:val="22"/>
                <w:szCs w:val="22"/>
              </w:rPr>
              <w:t>5</w:t>
            </w:r>
          </w:p>
        </w:tc>
      </w:tr>
      <w:tr w:rsidR="000343E4" w:rsidRPr="0002527C" w:rsidTr="00570829">
        <w:trPr>
          <w:trHeight w:val="210"/>
          <w:jc w:val="center"/>
        </w:trPr>
        <w:tc>
          <w:tcPr>
            <w:tcW w:w="8072" w:type="dxa"/>
            <w:gridSpan w:val="7"/>
            <w:tcBorders>
              <w:top w:val="nil"/>
              <w:left w:val="nil"/>
              <w:bottom w:val="nil"/>
              <w:right w:val="nil"/>
            </w:tcBorders>
            <w:shd w:val="clear" w:color="auto" w:fill="auto"/>
            <w:noWrap/>
            <w:vAlign w:val="center"/>
            <w:hideMark/>
          </w:tcPr>
          <w:p w:rsidR="000343E4" w:rsidRPr="0002527C" w:rsidRDefault="000343E4" w:rsidP="00570829">
            <w:pPr>
              <w:jc w:val="center"/>
              <w:rPr>
                <w:rFonts w:ascii="Arial" w:hAnsi="Arial" w:cs="Arial"/>
                <w:b/>
                <w:bCs/>
                <w:color w:val="000000"/>
                <w:sz w:val="20"/>
                <w:szCs w:val="20"/>
              </w:rPr>
            </w:pPr>
            <w:r w:rsidRPr="0002527C">
              <w:rPr>
                <w:rFonts w:ascii="Arial" w:hAnsi="Arial" w:cs="Arial"/>
                <w:b/>
                <w:bCs/>
                <w:color w:val="000000"/>
                <w:sz w:val="20"/>
                <w:szCs w:val="20"/>
              </w:rPr>
              <w:t>Please rate the need for services and facilities for each of the following special needs groups.</w:t>
            </w:r>
          </w:p>
        </w:tc>
      </w:tr>
      <w:tr w:rsidR="000343E4" w:rsidRPr="0002527C" w:rsidTr="00570829">
        <w:trPr>
          <w:trHeight w:val="210"/>
          <w:jc w:val="center"/>
        </w:trPr>
        <w:tc>
          <w:tcPr>
            <w:tcW w:w="8072" w:type="dxa"/>
            <w:gridSpan w:val="7"/>
            <w:tcBorders>
              <w:top w:val="nil"/>
              <w:left w:val="nil"/>
              <w:bottom w:val="nil"/>
              <w:right w:val="nil"/>
            </w:tcBorders>
            <w:shd w:val="clear" w:color="auto" w:fill="auto"/>
            <w:noWrap/>
            <w:vAlign w:val="center"/>
            <w:hideMark/>
          </w:tcPr>
          <w:p w:rsidR="000343E4" w:rsidRPr="0002527C" w:rsidRDefault="000343E4" w:rsidP="00570829">
            <w:pPr>
              <w:jc w:val="center"/>
              <w:rPr>
                <w:rFonts w:ascii="Arial" w:hAnsi="Arial" w:cs="Arial"/>
                <w:color w:val="000000"/>
                <w:sz w:val="16"/>
                <w:szCs w:val="16"/>
              </w:rPr>
            </w:pPr>
            <w:r w:rsidRPr="0002527C">
              <w:rPr>
                <w:rFonts w:ascii="Arial" w:hAnsi="Arial" w:cs="Arial"/>
                <w:noProof/>
                <w:color w:val="000000"/>
                <w:sz w:val="16"/>
                <w:szCs w:val="16"/>
              </w:rPr>
              <w:t>State of New Mexico</w:t>
            </w:r>
          </w:p>
        </w:tc>
      </w:tr>
      <w:tr w:rsidR="000343E4" w:rsidRPr="0002527C" w:rsidTr="00570829">
        <w:trPr>
          <w:trHeight w:val="240"/>
          <w:jc w:val="center"/>
        </w:trPr>
        <w:tc>
          <w:tcPr>
            <w:tcW w:w="8072" w:type="dxa"/>
            <w:gridSpan w:val="7"/>
            <w:tcBorders>
              <w:top w:val="nil"/>
              <w:left w:val="nil"/>
              <w:bottom w:val="single" w:sz="8" w:space="0" w:color="009900"/>
              <w:right w:val="nil"/>
            </w:tcBorders>
            <w:shd w:val="clear" w:color="auto" w:fill="auto"/>
            <w:noWrap/>
            <w:vAlign w:val="center"/>
            <w:hideMark/>
          </w:tcPr>
          <w:p w:rsidR="000343E4" w:rsidRPr="0002527C" w:rsidRDefault="000343E4" w:rsidP="00570829">
            <w:pPr>
              <w:jc w:val="center"/>
              <w:rPr>
                <w:rFonts w:ascii="Arial" w:hAnsi="Arial" w:cs="Arial"/>
                <w:color w:val="000000"/>
                <w:sz w:val="16"/>
                <w:szCs w:val="16"/>
              </w:rPr>
            </w:pPr>
            <w:r w:rsidRPr="0002527C">
              <w:rPr>
                <w:rFonts w:ascii="Arial" w:hAnsi="Arial" w:cs="Arial"/>
                <w:bCs/>
                <w:color w:val="000000"/>
                <w:sz w:val="16"/>
                <w:szCs w:val="16"/>
              </w:rPr>
              <w:t>2014 Housing and Community Development Survey</w:t>
            </w:r>
          </w:p>
        </w:tc>
      </w:tr>
      <w:tr w:rsidR="000343E4" w:rsidRPr="0002527C" w:rsidTr="00570829">
        <w:trPr>
          <w:trHeight w:val="300"/>
          <w:jc w:val="center"/>
        </w:trPr>
        <w:tc>
          <w:tcPr>
            <w:tcW w:w="3290" w:type="dxa"/>
            <w:vMerge w:val="restart"/>
            <w:tcBorders>
              <w:top w:val="nil"/>
              <w:left w:val="single" w:sz="8" w:space="0" w:color="009900"/>
              <w:bottom w:val="single" w:sz="8" w:space="0" w:color="009900"/>
              <w:right w:val="nil"/>
            </w:tcBorders>
            <w:shd w:val="clear" w:color="000000" w:fill="FFFFE1"/>
            <w:noWrap/>
            <w:vAlign w:val="center"/>
            <w:hideMark/>
          </w:tcPr>
          <w:p w:rsidR="000343E4" w:rsidRPr="0002527C" w:rsidRDefault="000343E4" w:rsidP="00570829">
            <w:pPr>
              <w:rPr>
                <w:rFonts w:ascii="Arial" w:hAnsi="Arial" w:cs="Arial"/>
                <w:b/>
                <w:bCs/>
                <w:color w:val="000000"/>
                <w:sz w:val="16"/>
                <w:szCs w:val="16"/>
              </w:rPr>
            </w:pPr>
            <w:r w:rsidRPr="0002527C">
              <w:rPr>
                <w:rFonts w:ascii="Arial" w:hAnsi="Arial" w:cs="Arial"/>
                <w:b/>
                <w:bCs/>
                <w:color w:val="000000"/>
                <w:sz w:val="16"/>
                <w:szCs w:val="16"/>
              </w:rPr>
              <w:t>Question</w:t>
            </w:r>
          </w:p>
        </w:tc>
        <w:tc>
          <w:tcPr>
            <w:tcW w:w="608" w:type="dxa"/>
            <w:tcBorders>
              <w:top w:val="nil"/>
              <w:left w:val="nil"/>
              <w:bottom w:val="nil"/>
              <w:right w:val="nil"/>
            </w:tcBorders>
            <w:shd w:val="clear" w:color="000000" w:fill="FFFFE1"/>
            <w:noWrap/>
            <w:vAlign w:val="center"/>
            <w:hideMark/>
          </w:tcPr>
          <w:p w:rsidR="000343E4" w:rsidRPr="0002527C" w:rsidRDefault="000343E4" w:rsidP="00570829">
            <w:pPr>
              <w:jc w:val="center"/>
              <w:rPr>
                <w:rFonts w:ascii="Arial" w:hAnsi="Arial" w:cs="Arial"/>
                <w:b/>
                <w:bCs/>
                <w:color w:val="000000"/>
                <w:sz w:val="16"/>
                <w:szCs w:val="16"/>
              </w:rPr>
            </w:pPr>
            <w:r w:rsidRPr="0002527C">
              <w:rPr>
                <w:rFonts w:ascii="Arial" w:hAnsi="Arial" w:cs="Arial"/>
                <w:b/>
                <w:bCs/>
                <w:color w:val="000000"/>
                <w:sz w:val="16"/>
                <w:szCs w:val="16"/>
              </w:rPr>
              <w:t xml:space="preserve">No </w:t>
            </w:r>
          </w:p>
        </w:tc>
        <w:tc>
          <w:tcPr>
            <w:tcW w:w="608" w:type="dxa"/>
            <w:tcBorders>
              <w:top w:val="nil"/>
              <w:left w:val="nil"/>
              <w:bottom w:val="nil"/>
              <w:right w:val="nil"/>
            </w:tcBorders>
            <w:shd w:val="clear" w:color="000000" w:fill="FFFFE1"/>
            <w:noWrap/>
            <w:vAlign w:val="center"/>
            <w:hideMark/>
          </w:tcPr>
          <w:p w:rsidR="000343E4" w:rsidRPr="0002527C" w:rsidRDefault="000343E4" w:rsidP="00570829">
            <w:pPr>
              <w:jc w:val="center"/>
              <w:rPr>
                <w:rFonts w:ascii="Arial" w:hAnsi="Arial" w:cs="Arial"/>
                <w:b/>
                <w:bCs/>
                <w:color w:val="000000"/>
                <w:sz w:val="16"/>
                <w:szCs w:val="16"/>
              </w:rPr>
            </w:pPr>
            <w:r w:rsidRPr="0002527C">
              <w:rPr>
                <w:rFonts w:ascii="Arial" w:hAnsi="Arial" w:cs="Arial"/>
                <w:b/>
                <w:bCs/>
                <w:color w:val="000000"/>
                <w:sz w:val="16"/>
                <w:szCs w:val="16"/>
              </w:rPr>
              <w:t xml:space="preserve">Low </w:t>
            </w:r>
          </w:p>
        </w:tc>
        <w:tc>
          <w:tcPr>
            <w:tcW w:w="898" w:type="dxa"/>
            <w:tcBorders>
              <w:top w:val="nil"/>
              <w:left w:val="nil"/>
              <w:bottom w:val="nil"/>
              <w:right w:val="nil"/>
            </w:tcBorders>
            <w:shd w:val="clear" w:color="000000" w:fill="FFFFE1"/>
            <w:noWrap/>
            <w:vAlign w:val="center"/>
            <w:hideMark/>
          </w:tcPr>
          <w:p w:rsidR="000343E4" w:rsidRPr="0002527C" w:rsidRDefault="000343E4" w:rsidP="00570829">
            <w:pPr>
              <w:jc w:val="center"/>
              <w:rPr>
                <w:rFonts w:ascii="Arial" w:hAnsi="Arial" w:cs="Arial"/>
                <w:b/>
                <w:bCs/>
                <w:color w:val="000000"/>
                <w:sz w:val="16"/>
                <w:szCs w:val="16"/>
              </w:rPr>
            </w:pPr>
            <w:r w:rsidRPr="0002527C">
              <w:rPr>
                <w:rFonts w:ascii="Arial" w:hAnsi="Arial" w:cs="Arial"/>
                <w:b/>
                <w:bCs/>
                <w:color w:val="000000"/>
                <w:sz w:val="16"/>
                <w:szCs w:val="16"/>
              </w:rPr>
              <w:t xml:space="preserve">Medium </w:t>
            </w:r>
          </w:p>
        </w:tc>
        <w:tc>
          <w:tcPr>
            <w:tcW w:w="608" w:type="dxa"/>
            <w:tcBorders>
              <w:top w:val="nil"/>
              <w:left w:val="nil"/>
              <w:bottom w:val="nil"/>
              <w:right w:val="nil"/>
            </w:tcBorders>
            <w:shd w:val="clear" w:color="000000" w:fill="FFFFE1"/>
            <w:noWrap/>
            <w:vAlign w:val="center"/>
            <w:hideMark/>
          </w:tcPr>
          <w:p w:rsidR="000343E4" w:rsidRPr="0002527C" w:rsidRDefault="000343E4" w:rsidP="00570829">
            <w:pPr>
              <w:jc w:val="center"/>
              <w:rPr>
                <w:rFonts w:ascii="Arial" w:hAnsi="Arial" w:cs="Arial"/>
                <w:b/>
                <w:bCs/>
                <w:color w:val="000000"/>
                <w:sz w:val="16"/>
                <w:szCs w:val="16"/>
              </w:rPr>
            </w:pPr>
            <w:r w:rsidRPr="0002527C">
              <w:rPr>
                <w:rFonts w:ascii="Arial" w:hAnsi="Arial" w:cs="Arial"/>
                <w:b/>
                <w:bCs/>
                <w:color w:val="000000"/>
                <w:sz w:val="16"/>
                <w:szCs w:val="16"/>
              </w:rPr>
              <w:t xml:space="preserve">High </w:t>
            </w:r>
          </w:p>
        </w:tc>
        <w:tc>
          <w:tcPr>
            <w:tcW w:w="1122" w:type="dxa"/>
            <w:vMerge w:val="restart"/>
            <w:tcBorders>
              <w:top w:val="nil"/>
              <w:left w:val="nil"/>
              <w:bottom w:val="single" w:sz="8" w:space="0" w:color="009900"/>
              <w:right w:val="nil"/>
            </w:tcBorders>
            <w:shd w:val="clear" w:color="000000" w:fill="FFFFE1"/>
            <w:vAlign w:val="center"/>
            <w:hideMark/>
          </w:tcPr>
          <w:p w:rsidR="000343E4" w:rsidRPr="0002527C" w:rsidRDefault="000343E4" w:rsidP="00570829">
            <w:pPr>
              <w:jc w:val="center"/>
              <w:rPr>
                <w:rFonts w:ascii="Arial" w:hAnsi="Arial" w:cs="Arial"/>
                <w:b/>
                <w:bCs/>
                <w:color w:val="000000"/>
                <w:sz w:val="16"/>
                <w:szCs w:val="16"/>
              </w:rPr>
            </w:pPr>
            <w:r w:rsidRPr="0002527C">
              <w:rPr>
                <w:rFonts w:ascii="Arial" w:hAnsi="Arial" w:cs="Arial"/>
                <w:b/>
                <w:bCs/>
                <w:color w:val="000000"/>
                <w:sz w:val="16"/>
                <w:szCs w:val="16"/>
              </w:rPr>
              <w:t>Missing</w:t>
            </w:r>
          </w:p>
        </w:tc>
        <w:tc>
          <w:tcPr>
            <w:tcW w:w="938" w:type="dxa"/>
            <w:vMerge w:val="restart"/>
            <w:tcBorders>
              <w:top w:val="nil"/>
              <w:left w:val="nil"/>
              <w:bottom w:val="single" w:sz="8" w:space="0" w:color="009900"/>
              <w:right w:val="single" w:sz="8" w:space="0" w:color="009900"/>
            </w:tcBorders>
            <w:shd w:val="clear" w:color="000000" w:fill="FFFFE1"/>
            <w:vAlign w:val="center"/>
            <w:hideMark/>
          </w:tcPr>
          <w:p w:rsidR="000343E4" w:rsidRPr="0002527C" w:rsidRDefault="000343E4" w:rsidP="00570829">
            <w:pPr>
              <w:jc w:val="center"/>
              <w:rPr>
                <w:rFonts w:ascii="Arial" w:hAnsi="Arial" w:cs="Arial"/>
                <w:b/>
                <w:bCs/>
                <w:color w:val="000000"/>
                <w:sz w:val="16"/>
                <w:szCs w:val="16"/>
              </w:rPr>
            </w:pPr>
            <w:r w:rsidRPr="0002527C">
              <w:rPr>
                <w:rFonts w:ascii="Arial" w:hAnsi="Arial" w:cs="Arial"/>
                <w:b/>
                <w:bCs/>
                <w:color w:val="000000"/>
                <w:sz w:val="16"/>
                <w:szCs w:val="16"/>
              </w:rPr>
              <w:t>Total</w:t>
            </w:r>
          </w:p>
        </w:tc>
      </w:tr>
      <w:tr w:rsidR="000343E4" w:rsidRPr="0002527C" w:rsidTr="00570829">
        <w:trPr>
          <w:trHeight w:val="315"/>
          <w:jc w:val="center"/>
        </w:trPr>
        <w:tc>
          <w:tcPr>
            <w:tcW w:w="3290" w:type="dxa"/>
            <w:vMerge/>
            <w:tcBorders>
              <w:top w:val="nil"/>
              <w:left w:val="single" w:sz="8" w:space="0" w:color="009900"/>
              <w:bottom w:val="single" w:sz="8" w:space="0" w:color="009900"/>
              <w:right w:val="nil"/>
            </w:tcBorders>
            <w:vAlign w:val="center"/>
            <w:hideMark/>
          </w:tcPr>
          <w:p w:rsidR="000343E4" w:rsidRPr="0002527C" w:rsidRDefault="000343E4" w:rsidP="00570829">
            <w:pPr>
              <w:rPr>
                <w:rFonts w:ascii="Arial" w:hAnsi="Arial" w:cs="Arial"/>
                <w:b/>
                <w:bCs/>
                <w:color w:val="000000"/>
                <w:sz w:val="16"/>
                <w:szCs w:val="16"/>
              </w:rPr>
            </w:pPr>
          </w:p>
        </w:tc>
        <w:tc>
          <w:tcPr>
            <w:tcW w:w="608" w:type="dxa"/>
            <w:tcBorders>
              <w:top w:val="nil"/>
              <w:left w:val="nil"/>
              <w:bottom w:val="single" w:sz="8" w:space="0" w:color="009900"/>
              <w:right w:val="nil"/>
            </w:tcBorders>
            <w:shd w:val="clear" w:color="000000" w:fill="FFFFE1"/>
            <w:noWrap/>
            <w:vAlign w:val="center"/>
            <w:hideMark/>
          </w:tcPr>
          <w:p w:rsidR="000343E4" w:rsidRPr="0002527C" w:rsidRDefault="000343E4" w:rsidP="00570829">
            <w:pPr>
              <w:jc w:val="center"/>
              <w:rPr>
                <w:rFonts w:ascii="Arial" w:hAnsi="Arial" w:cs="Arial"/>
                <w:b/>
                <w:bCs/>
                <w:color w:val="000000"/>
                <w:sz w:val="16"/>
                <w:szCs w:val="16"/>
              </w:rPr>
            </w:pPr>
            <w:r w:rsidRPr="0002527C">
              <w:rPr>
                <w:rFonts w:ascii="Arial" w:hAnsi="Arial" w:cs="Arial"/>
                <w:b/>
                <w:bCs/>
                <w:color w:val="000000"/>
                <w:sz w:val="16"/>
                <w:szCs w:val="16"/>
              </w:rPr>
              <w:t>Need</w:t>
            </w:r>
          </w:p>
        </w:tc>
        <w:tc>
          <w:tcPr>
            <w:tcW w:w="608" w:type="dxa"/>
            <w:tcBorders>
              <w:top w:val="nil"/>
              <w:left w:val="nil"/>
              <w:bottom w:val="single" w:sz="8" w:space="0" w:color="009900"/>
              <w:right w:val="nil"/>
            </w:tcBorders>
            <w:shd w:val="clear" w:color="000000" w:fill="FFFFE1"/>
            <w:noWrap/>
            <w:vAlign w:val="center"/>
            <w:hideMark/>
          </w:tcPr>
          <w:p w:rsidR="000343E4" w:rsidRPr="0002527C" w:rsidRDefault="000343E4" w:rsidP="00570829">
            <w:pPr>
              <w:jc w:val="center"/>
              <w:rPr>
                <w:rFonts w:ascii="Arial" w:hAnsi="Arial" w:cs="Arial"/>
                <w:b/>
                <w:bCs/>
                <w:color w:val="000000"/>
                <w:sz w:val="16"/>
                <w:szCs w:val="16"/>
              </w:rPr>
            </w:pPr>
            <w:r w:rsidRPr="0002527C">
              <w:rPr>
                <w:rFonts w:ascii="Arial" w:hAnsi="Arial" w:cs="Arial"/>
                <w:b/>
                <w:bCs/>
                <w:color w:val="000000"/>
                <w:sz w:val="16"/>
                <w:szCs w:val="16"/>
              </w:rPr>
              <w:t>Need</w:t>
            </w:r>
          </w:p>
        </w:tc>
        <w:tc>
          <w:tcPr>
            <w:tcW w:w="898" w:type="dxa"/>
            <w:tcBorders>
              <w:top w:val="nil"/>
              <w:left w:val="nil"/>
              <w:bottom w:val="single" w:sz="8" w:space="0" w:color="009900"/>
              <w:right w:val="nil"/>
            </w:tcBorders>
            <w:shd w:val="clear" w:color="000000" w:fill="FFFFE1"/>
            <w:noWrap/>
            <w:vAlign w:val="center"/>
            <w:hideMark/>
          </w:tcPr>
          <w:p w:rsidR="000343E4" w:rsidRPr="0002527C" w:rsidRDefault="000343E4" w:rsidP="00570829">
            <w:pPr>
              <w:jc w:val="center"/>
              <w:rPr>
                <w:rFonts w:ascii="Arial" w:hAnsi="Arial" w:cs="Arial"/>
                <w:b/>
                <w:bCs/>
                <w:color w:val="000000"/>
                <w:sz w:val="16"/>
                <w:szCs w:val="16"/>
              </w:rPr>
            </w:pPr>
            <w:r w:rsidRPr="0002527C">
              <w:rPr>
                <w:rFonts w:ascii="Arial" w:hAnsi="Arial" w:cs="Arial"/>
                <w:b/>
                <w:bCs/>
                <w:color w:val="000000"/>
                <w:sz w:val="16"/>
                <w:szCs w:val="16"/>
              </w:rPr>
              <w:t>Need</w:t>
            </w:r>
          </w:p>
        </w:tc>
        <w:tc>
          <w:tcPr>
            <w:tcW w:w="608" w:type="dxa"/>
            <w:tcBorders>
              <w:top w:val="nil"/>
              <w:left w:val="nil"/>
              <w:bottom w:val="single" w:sz="8" w:space="0" w:color="009900"/>
              <w:right w:val="nil"/>
            </w:tcBorders>
            <w:shd w:val="clear" w:color="000000" w:fill="FFFFE1"/>
            <w:noWrap/>
            <w:vAlign w:val="center"/>
            <w:hideMark/>
          </w:tcPr>
          <w:p w:rsidR="000343E4" w:rsidRPr="0002527C" w:rsidRDefault="000343E4" w:rsidP="00570829">
            <w:pPr>
              <w:jc w:val="center"/>
              <w:rPr>
                <w:rFonts w:ascii="Arial" w:hAnsi="Arial" w:cs="Arial"/>
                <w:b/>
                <w:bCs/>
                <w:color w:val="000000"/>
                <w:sz w:val="16"/>
                <w:szCs w:val="16"/>
              </w:rPr>
            </w:pPr>
            <w:r w:rsidRPr="0002527C">
              <w:rPr>
                <w:rFonts w:ascii="Arial" w:hAnsi="Arial" w:cs="Arial"/>
                <w:b/>
                <w:bCs/>
                <w:color w:val="000000"/>
                <w:sz w:val="16"/>
                <w:szCs w:val="16"/>
              </w:rPr>
              <w:t>Need</w:t>
            </w:r>
          </w:p>
        </w:tc>
        <w:tc>
          <w:tcPr>
            <w:tcW w:w="1122" w:type="dxa"/>
            <w:vMerge/>
            <w:tcBorders>
              <w:top w:val="nil"/>
              <w:left w:val="nil"/>
              <w:bottom w:val="single" w:sz="8" w:space="0" w:color="009900"/>
              <w:right w:val="nil"/>
            </w:tcBorders>
            <w:vAlign w:val="center"/>
            <w:hideMark/>
          </w:tcPr>
          <w:p w:rsidR="000343E4" w:rsidRPr="0002527C" w:rsidRDefault="000343E4" w:rsidP="00570829">
            <w:pPr>
              <w:rPr>
                <w:rFonts w:ascii="Arial" w:hAnsi="Arial" w:cs="Arial"/>
                <w:b/>
                <w:bCs/>
                <w:color w:val="000000"/>
                <w:sz w:val="16"/>
                <w:szCs w:val="16"/>
              </w:rPr>
            </w:pPr>
          </w:p>
        </w:tc>
        <w:tc>
          <w:tcPr>
            <w:tcW w:w="938" w:type="dxa"/>
            <w:vMerge/>
            <w:tcBorders>
              <w:top w:val="nil"/>
              <w:left w:val="nil"/>
              <w:bottom w:val="single" w:sz="8" w:space="0" w:color="009900"/>
              <w:right w:val="single" w:sz="8" w:space="0" w:color="009900"/>
            </w:tcBorders>
            <w:vAlign w:val="center"/>
            <w:hideMark/>
          </w:tcPr>
          <w:p w:rsidR="000343E4" w:rsidRPr="0002527C" w:rsidRDefault="000343E4" w:rsidP="00570829">
            <w:pPr>
              <w:rPr>
                <w:rFonts w:ascii="Arial" w:hAnsi="Arial" w:cs="Arial"/>
                <w:b/>
                <w:bCs/>
                <w:color w:val="000000"/>
                <w:sz w:val="16"/>
                <w:szCs w:val="16"/>
              </w:rPr>
            </w:pPr>
          </w:p>
        </w:tc>
      </w:tr>
      <w:tr w:rsidR="000343E4" w:rsidRPr="0002527C" w:rsidTr="00570829">
        <w:trPr>
          <w:trHeight w:val="315"/>
          <w:jc w:val="center"/>
        </w:trPr>
        <w:tc>
          <w:tcPr>
            <w:tcW w:w="3290" w:type="dxa"/>
            <w:tcBorders>
              <w:top w:val="nil"/>
              <w:left w:val="single" w:sz="8" w:space="0" w:color="009900"/>
              <w:bottom w:val="single" w:sz="8" w:space="0" w:color="009900"/>
              <w:right w:val="nil"/>
            </w:tcBorders>
            <w:shd w:val="clear" w:color="000000" w:fill="FFFFE1"/>
            <w:noWrap/>
            <w:vAlign w:val="center"/>
            <w:hideMark/>
          </w:tcPr>
          <w:p w:rsidR="000343E4" w:rsidRPr="0002527C" w:rsidRDefault="000343E4" w:rsidP="00570829">
            <w:pPr>
              <w:rPr>
                <w:rFonts w:ascii="Arial" w:hAnsi="Arial" w:cs="Arial"/>
                <w:color w:val="000000"/>
                <w:sz w:val="16"/>
                <w:szCs w:val="16"/>
              </w:rPr>
            </w:pPr>
            <w:r w:rsidRPr="0002527C">
              <w:rPr>
                <w:rFonts w:ascii="Arial" w:hAnsi="Arial" w:cs="Arial"/>
                <w:color w:val="000000"/>
                <w:sz w:val="16"/>
                <w:szCs w:val="16"/>
              </w:rPr>
              <w:t>Persons with substance abuse addictions</w:t>
            </w:r>
          </w:p>
        </w:tc>
        <w:tc>
          <w:tcPr>
            <w:tcW w:w="608" w:type="dxa"/>
            <w:tcBorders>
              <w:top w:val="nil"/>
              <w:left w:val="nil"/>
              <w:bottom w:val="single" w:sz="8" w:space="0" w:color="009900"/>
              <w:right w:val="nil"/>
            </w:tcBorders>
            <w:shd w:val="clear" w:color="000000" w:fill="FFFFE1"/>
            <w:noWrap/>
            <w:vAlign w:val="center"/>
            <w:hideMark/>
          </w:tcPr>
          <w:p w:rsidR="000343E4" w:rsidRPr="0002527C" w:rsidRDefault="000343E4" w:rsidP="00570829">
            <w:pPr>
              <w:jc w:val="center"/>
              <w:rPr>
                <w:rFonts w:ascii="Arial" w:hAnsi="Arial" w:cs="Arial"/>
                <w:color w:val="000000"/>
                <w:sz w:val="16"/>
                <w:szCs w:val="16"/>
              </w:rPr>
            </w:pPr>
            <w:r w:rsidRPr="0002527C">
              <w:rPr>
                <w:rFonts w:ascii="Arial" w:hAnsi="Arial" w:cs="Arial"/>
                <w:noProof/>
                <w:color w:val="000000"/>
                <w:sz w:val="16"/>
                <w:szCs w:val="16"/>
              </w:rPr>
              <w:t>1</w:t>
            </w:r>
          </w:p>
        </w:tc>
        <w:tc>
          <w:tcPr>
            <w:tcW w:w="608" w:type="dxa"/>
            <w:tcBorders>
              <w:top w:val="nil"/>
              <w:left w:val="nil"/>
              <w:bottom w:val="single" w:sz="8" w:space="0" w:color="009900"/>
              <w:right w:val="nil"/>
            </w:tcBorders>
            <w:shd w:val="clear" w:color="000000" w:fill="FFFFE1"/>
            <w:noWrap/>
            <w:vAlign w:val="center"/>
            <w:hideMark/>
          </w:tcPr>
          <w:p w:rsidR="000343E4" w:rsidRPr="0002527C" w:rsidRDefault="000343E4" w:rsidP="00570829">
            <w:pPr>
              <w:jc w:val="center"/>
              <w:rPr>
                <w:rFonts w:ascii="Arial" w:hAnsi="Arial" w:cs="Arial"/>
                <w:color w:val="000000"/>
                <w:sz w:val="16"/>
                <w:szCs w:val="16"/>
              </w:rPr>
            </w:pPr>
            <w:r w:rsidRPr="0002527C">
              <w:rPr>
                <w:rFonts w:ascii="Arial" w:hAnsi="Arial" w:cs="Arial"/>
                <w:noProof/>
                <w:color w:val="000000"/>
                <w:sz w:val="16"/>
                <w:szCs w:val="16"/>
              </w:rPr>
              <w:t>17</w:t>
            </w:r>
          </w:p>
        </w:tc>
        <w:tc>
          <w:tcPr>
            <w:tcW w:w="898" w:type="dxa"/>
            <w:tcBorders>
              <w:top w:val="nil"/>
              <w:left w:val="nil"/>
              <w:bottom w:val="single" w:sz="8" w:space="0" w:color="009900"/>
              <w:right w:val="nil"/>
            </w:tcBorders>
            <w:shd w:val="clear" w:color="000000" w:fill="FFFFE1"/>
            <w:noWrap/>
            <w:vAlign w:val="center"/>
            <w:hideMark/>
          </w:tcPr>
          <w:p w:rsidR="000343E4" w:rsidRPr="0002527C" w:rsidRDefault="000343E4" w:rsidP="00570829">
            <w:pPr>
              <w:jc w:val="center"/>
              <w:rPr>
                <w:rFonts w:ascii="Arial" w:hAnsi="Arial" w:cs="Arial"/>
                <w:color w:val="000000"/>
                <w:sz w:val="16"/>
                <w:szCs w:val="16"/>
              </w:rPr>
            </w:pPr>
            <w:r w:rsidRPr="0002527C">
              <w:rPr>
                <w:rFonts w:ascii="Arial" w:hAnsi="Arial" w:cs="Arial"/>
                <w:noProof/>
                <w:color w:val="000000"/>
                <w:sz w:val="16"/>
                <w:szCs w:val="16"/>
              </w:rPr>
              <w:t>73</w:t>
            </w:r>
          </w:p>
        </w:tc>
        <w:tc>
          <w:tcPr>
            <w:tcW w:w="608" w:type="dxa"/>
            <w:tcBorders>
              <w:top w:val="nil"/>
              <w:left w:val="nil"/>
              <w:bottom w:val="single" w:sz="8" w:space="0" w:color="009900"/>
              <w:right w:val="nil"/>
            </w:tcBorders>
            <w:shd w:val="clear" w:color="000000" w:fill="FFFFE1"/>
            <w:noWrap/>
            <w:vAlign w:val="center"/>
            <w:hideMark/>
          </w:tcPr>
          <w:p w:rsidR="000343E4" w:rsidRPr="0002527C" w:rsidRDefault="000343E4" w:rsidP="00570829">
            <w:pPr>
              <w:jc w:val="center"/>
              <w:rPr>
                <w:rFonts w:ascii="Arial" w:hAnsi="Arial" w:cs="Arial"/>
                <w:color w:val="000000"/>
                <w:sz w:val="16"/>
                <w:szCs w:val="16"/>
              </w:rPr>
            </w:pPr>
            <w:r w:rsidRPr="0002527C">
              <w:rPr>
                <w:rFonts w:ascii="Arial" w:hAnsi="Arial" w:cs="Arial"/>
                <w:noProof/>
                <w:color w:val="000000"/>
                <w:sz w:val="16"/>
                <w:szCs w:val="16"/>
              </w:rPr>
              <w:t>135</w:t>
            </w:r>
          </w:p>
        </w:tc>
        <w:tc>
          <w:tcPr>
            <w:tcW w:w="1122" w:type="dxa"/>
            <w:tcBorders>
              <w:top w:val="nil"/>
              <w:left w:val="nil"/>
              <w:bottom w:val="single" w:sz="8" w:space="0" w:color="009900"/>
              <w:right w:val="nil"/>
            </w:tcBorders>
            <w:shd w:val="clear" w:color="000000" w:fill="FFFFE1"/>
            <w:vAlign w:val="center"/>
            <w:hideMark/>
          </w:tcPr>
          <w:p w:rsidR="000343E4" w:rsidRPr="0002527C" w:rsidRDefault="000343E4" w:rsidP="00570829">
            <w:pPr>
              <w:jc w:val="center"/>
              <w:rPr>
                <w:rFonts w:ascii="Arial" w:hAnsi="Arial" w:cs="Arial"/>
                <w:color w:val="000000"/>
                <w:sz w:val="16"/>
                <w:szCs w:val="16"/>
              </w:rPr>
            </w:pPr>
            <w:r w:rsidRPr="0002527C">
              <w:rPr>
                <w:rFonts w:ascii="Arial" w:hAnsi="Arial" w:cs="Arial"/>
                <w:noProof/>
                <w:color w:val="000000"/>
                <w:sz w:val="16"/>
                <w:szCs w:val="16"/>
              </w:rPr>
              <w:t>117</w:t>
            </w:r>
          </w:p>
        </w:tc>
        <w:tc>
          <w:tcPr>
            <w:tcW w:w="938" w:type="dxa"/>
            <w:tcBorders>
              <w:top w:val="nil"/>
              <w:left w:val="nil"/>
              <w:bottom w:val="single" w:sz="8" w:space="0" w:color="009900"/>
              <w:right w:val="single" w:sz="8" w:space="0" w:color="009900"/>
            </w:tcBorders>
            <w:shd w:val="clear" w:color="000000" w:fill="FFFFE1"/>
            <w:vAlign w:val="center"/>
            <w:hideMark/>
          </w:tcPr>
          <w:p w:rsidR="000343E4" w:rsidRPr="0002527C" w:rsidRDefault="000343E4" w:rsidP="00570829">
            <w:pPr>
              <w:jc w:val="center"/>
              <w:rPr>
                <w:rFonts w:ascii="Arial" w:hAnsi="Arial" w:cs="Arial"/>
                <w:color w:val="000000"/>
                <w:sz w:val="16"/>
                <w:szCs w:val="16"/>
              </w:rPr>
            </w:pPr>
            <w:r w:rsidRPr="0002527C">
              <w:rPr>
                <w:rFonts w:ascii="Arial" w:hAnsi="Arial" w:cs="Arial"/>
                <w:noProof/>
                <w:color w:val="000000"/>
                <w:sz w:val="16"/>
                <w:szCs w:val="16"/>
              </w:rPr>
              <w:t>343</w:t>
            </w:r>
          </w:p>
        </w:tc>
      </w:tr>
    </w:tbl>
    <w:p w:rsidR="00943E45" w:rsidRPr="00DE3F87" w:rsidRDefault="00943E45" w:rsidP="00943E45">
      <w:pPr>
        <w:jc w:val="both"/>
        <w:rPr>
          <w:rFonts w:ascii="CG Omega" w:hAnsi="CG Omega" w:cs="Arial"/>
          <w:snapToGrid w:val="0"/>
          <w:highlight w:val="yellow"/>
        </w:rPr>
      </w:pPr>
    </w:p>
    <w:p w:rsidR="00943E45" w:rsidRPr="002722D2" w:rsidRDefault="00943E45" w:rsidP="00943E45">
      <w:pPr>
        <w:jc w:val="both"/>
        <w:rPr>
          <w:rFonts w:ascii="CG Omega" w:hAnsi="CG Omega"/>
          <w:sz w:val="26"/>
          <w:szCs w:val="26"/>
        </w:rPr>
      </w:pPr>
      <w:r w:rsidRPr="002722D2">
        <w:rPr>
          <w:rFonts w:ascii="CG Omega" w:hAnsi="CG Omega"/>
          <w:b/>
          <w:bCs/>
          <w:smallCaps/>
          <w:sz w:val="26"/>
          <w:szCs w:val="26"/>
        </w:rPr>
        <w:t>Victims of Domestic Violence</w:t>
      </w:r>
    </w:p>
    <w:p w:rsidR="00943E45" w:rsidRPr="00DE3F87" w:rsidRDefault="00943E45" w:rsidP="00943E45">
      <w:pPr>
        <w:jc w:val="both"/>
        <w:rPr>
          <w:rFonts w:ascii="CG Omega" w:hAnsi="CG Omega" w:cs="Arial"/>
          <w:highlight w:val="yellow"/>
        </w:rPr>
      </w:pPr>
    </w:p>
    <w:p w:rsidR="00943E45" w:rsidRPr="00955C8C" w:rsidRDefault="00943E45" w:rsidP="00943E45">
      <w:pPr>
        <w:jc w:val="both"/>
        <w:rPr>
          <w:rFonts w:ascii="CG Omega" w:hAnsi="CG Omega" w:cs="Arial"/>
          <w:highlight w:val="yellow"/>
        </w:rPr>
      </w:pPr>
      <w:r w:rsidRPr="004B0146">
        <w:rPr>
          <w:rFonts w:ascii="CG Omega" w:hAnsi="CG Omega" w:cs="Arial"/>
        </w:rPr>
        <w:t>Domestic violence describes behaviors that are used by one person in a relationship to control the other.  This aggressive conduct is often criminal, including physical assault, sexual abuse and stalking.</w:t>
      </w:r>
      <w:r>
        <w:rPr>
          <w:rFonts w:ascii="CG Omega" w:hAnsi="CG Omega" w:cs="Arial"/>
        </w:rPr>
        <w:t xml:space="preserve"> The U.S. Department of Justice</w:t>
      </w:r>
      <w:r w:rsidR="00DE3F87">
        <w:rPr>
          <w:rFonts w:ascii="CG Omega" w:hAnsi="CG Omega" w:cs="Arial"/>
        </w:rPr>
        <w:t xml:space="preserve"> (DOJ)</w:t>
      </w:r>
      <w:r>
        <w:rPr>
          <w:rFonts w:ascii="CG Omega" w:hAnsi="CG Omega" w:cs="Arial"/>
        </w:rPr>
        <w:t xml:space="preserve"> defines domestic violence as a pattern of abusive behavior in any relationship that is used by one partner to gain or maintain power and control over another intimate partner.</w:t>
      </w:r>
      <w:r>
        <w:rPr>
          <w:rStyle w:val="FootnoteReference"/>
          <w:rFonts w:ascii="CG Omega" w:hAnsi="CG Omega" w:cs="Arial"/>
        </w:rPr>
        <w:footnoteReference w:id="74"/>
      </w:r>
      <w:r w:rsidRPr="004B0146">
        <w:rPr>
          <w:rFonts w:ascii="CG Omega" w:hAnsi="CG Omega" w:cs="Arial"/>
        </w:rPr>
        <w:t xml:space="preserve"> </w:t>
      </w:r>
      <w:r w:rsidRPr="00487DC6">
        <w:rPr>
          <w:rFonts w:ascii="CG Omega" w:hAnsi="CG Omega" w:cs="Arial"/>
        </w:rPr>
        <w:t>Victims can be of all races, ages, genders, religions, cultures, education levels and marital statuses. Victims of domestic violence are at risk of becoming homeless due to an unstable living environment. If domestic violence victims flee the home, they are often faced with finding emergency shelter and services for themselves and their children. Victims of domestic violence are predominantly women. However, children can also be affected as either victims of abuse or as witnesses to abuse.</w:t>
      </w:r>
      <w:r>
        <w:rPr>
          <w:rFonts w:ascii="CG Omega" w:hAnsi="CG Omega" w:cs="Arial"/>
        </w:rPr>
        <w:t xml:space="preserve">  </w:t>
      </w:r>
      <w:r w:rsidR="00DE3F87">
        <w:rPr>
          <w:rFonts w:ascii="CG Omega" w:hAnsi="CG Omega" w:cs="Arial"/>
        </w:rPr>
        <w:t>DOJ</w:t>
      </w:r>
      <w:r>
        <w:rPr>
          <w:rFonts w:ascii="CG Omega" w:hAnsi="CG Omega" w:cs="Arial"/>
        </w:rPr>
        <w:t xml:space="preserve"> found that throughout their lifetime, over 25 million women and 7 million men were victimized by an intimate partner.</w:t>
      </w:r>
      <w:r>
        <w:rPr>
          <w:rStyle w:val="FootnoteReference"/>
          <w:rFonts w:ascii="CG Omega" w:hAnsi="CG Omega" w:cs="Arial"/>
        </w:rPr>
        <w:footnoteReference w:id="75"/>
      </w:r>
    </w:p>
    <w:p w:rsidR="00943E45" w:rsidRPr="00DE3F87" w:rsidRDefault="00943E45" w:rsidP="00943E45">
      <w:pPr>
        <w:jc w:val="both"/>
        <w:rPr>
          <w:rFonts w:ascii="CG Omega" w:hAnsi="CG Omega" w:cs="Arial"/>
        </w:rPr>
      </w:pPr>
    </w:p>
    <w:p w:rsidR="00943E45" w:rsidRPr="00DE3F87" w:rsidRDefault="00943E45" w:rsidP="00943E45">
      <w:pPr>
        <w:jc w:val="both"/>
        <w:rPr>
          <w:rFonts w:ascii="CG Omega" w:hAnsi="CG Omega" w:cs="Arial"/>
          <w:b/>
        </w:rPr>
      </w:pPr>
      <w:r w:rsidRPr="00DE3F87">
        <w:rPr>
          <w:rFonts w:ascii="CG Omega" w:hAnsi="CG Omega" w:cs="Arial"/>
          <w:b/>
        </w:rPr>
        <w:t>Size and Characteristics</w:t>
      </w:r>
    </w:p>
    <w:p w:rsidR="00943E45" w:rsidRPr="00DE3F87" w:rsidRDefault="00943E45" w:rsidP="00943E45">
      <w:pPr>
        <w:jc w:val="both"/>
        <w:rPr>
          <w:rFonts w:ascii="CG Omega" w:hAnsi="CG Omega" w:cs="Arial"/>
          <w:highlight w:val="yellow"/>
        </w:rPr>
      </w:pPr>
    </w:p>
    <w:p w:rsidR="00943E45" w:rsidRPr="00955C8C" w:rsidRDefault="00943E45" w:rsidP="00943E45">
      <w:pPr>
        <w:jc w:val="both"/>
        <w:rPr>
          <w:rFonts w:ascii="CG Omega" w:hAnsi="CG Omega" w:cs="Arial"/>
          <w:highlight w:val="yellow"/>
        </w:rPr>
      </w:pPr>
      <w:r w:rsidRPr="00870804">
        <w:rPr>
          <w:rFonts w:ascii="CG Omega" w:hAnsi="CG Omega" w:cs="Arial"/>
        </w:rPr>
        <w:t>Pinpointing a specific number of victims of domestic violence can be difficult because many cases go unreported. However, there are other means of gathering statistics, including tracking the number of cases that are reported to law enforcement.  According to the National Coalition Against Domestic Violence, 25,348 domestic violence incidents were reported to law enforcement officials in New Mexico in 2006, with 34 homicides noted to be a result of domestic violence.</w:t>
      </w:r>
      <w:r>
        <w:rPr>
          <w:rStyle w:val="FootnoteReference"/>
          <w:rFonts w:ascii="CG Omega" w:hAnsi="CG Omega" w:cs="Arial"/>
        </w:rPr>
        <w:footnoteReference w:id="76"/>
      </w:r>
      <w:r>
        <w:rPr>
          <w:rFonts w:ascii="CG Omega" w:hAnsi="CG Omega" w:cs="Arial"/>
        </w:rPr>
        <w:t xml:space="preserve"> </w:t>
      </w:r>
      <w:r w:rsidRPr="00870804">
        <w:rPr>
          <w:rFonts w:ascii="CG Omega" w:hAnsi="CG Omega" w:cs="Arial"/>
        </w:rPr>
        <w:t xml:space="preserve"> 61 percent of victims were between the ages of 22 and 40 years old and 92 percent were female.</w:t>
      </w:r>
    </w:p>
    <w:p w:rsidR="00943E45" w:rsidRPr="00DE3F87" w:rsidRDefault="00943E45" w:rsidP="00943E45">
      <w:pPr>
        <w:jc w:val="both"/>
        <w:rPr>
          <w:rFonts w:ascii="CG Omega" w:hAnsi="CG Omega" w:cs="Arial"/>
          <w:highlight w:val="yellow"/>
        </w:rPr>
      </w:pPr>
    </w:p>
    <w:p w:rsidR="00943E45" w:rsidRPr="00DE3F87" w:rsidRDefault="00943E45" w:rsidP="00943E45">
      <w:pPr>
        <w:jc w:val="both"/>
        <w:rPr>
          <w:rFonts w:ascii="CG Omega" w:hAnsi="CG Omega" w:cs="Arial"/>
        </w:rPr>
      </w:pPr>
      <w:r w:rsidRPr="00DE3F87">
        <w:rPr>
          <w:rFonts w:ascii="CG Omega" w:hAnsi="CG Omega" w:cs="Arial"/>
        </w:rPr>
        <w:t>In more than half of all domestic violence cases in the state in 2006, children witnessed the crime. Nearly 4,000 children were witnesses of domestic violence acts in the family in 2006 in New Mexico. More than one-fifth of these witnesses were also victims of domestic violence themselves. In New Mexico, a total of 6,844 children benefitted from services related to domestic violence programs in 2006.</w:t>
      </w:r>
      <w:r w:rsidRPr="00DE3F87">
        <w:rPr>
          <w:rStyle w:val="FootnoteReference"/>
          <w:rFonts w:ascii="CG Omega" w:hAnsi="CG Omega" w:cs="Arial"/>
        </w:rPr>
        <w:footnoteReference w:id="77"/>
      </w:r>
    </w:p>
    <w:p w:rsidR="007F6B6C" w:rsidRPr="00DE3F87" w:rsidRDefault="007F6B6C" w:rsidP="00943E45">
      <w:pPr>
        <w:jc w:val="both"/>
        <w:rPr>
          <w:rFonts w:ascii="CG Omega" w:hAnsi="CG Omega" w:cs="Arial"/>
          <w:highlight w:val="yellow"/>
        </w:rPr>
      </w:pPr>
    </w:p>
    <w:p w:rsidR="00943E45" w:rsidRPr="00FB49C7" w:rsidRDefault="00943E45" w:rsidP="00943E45">
      <w:pPr>
        <w:jc w:val="both"/>
        <w:rPr>
          <w:rFonts w:ascii="CG Omega" w:hAnsi="CG Omega" w:cs="Arial"/>
          <w:b/>
        </w:rPr>
      </w:pPr>
      <w:r w:rsidRPr="00FB49C7">
        <w:rPr>
          <w:rFonts w:ascii="CG Omega" w:hAnsi="CG Omega" w:cs="Arial"/>
          <w:b/>
        </w:rPr>
        <w:t>Services and Housing Currently Provided</w:t>
      </w:r>
    </w:p>
    <w:p w:rsidR="00943E45" w:rsidRPr="00DE3F87" w:rsidRDefault="00943E45" w:rsidP="00943E45">
      <w:pPr>
        <w:jc w:val="both"/>
        <w:rPr>
          <w:rFonts w:ascii="CG Omega" w:hAnsi="CG Omega" w:cs="Arial"/>
          <w:highlight w:val="yellow"/>
        </w:rPr>
      </w:pPr>
    </w:p>
    <w:p w:rsidR="00943E45" w:rsidRPr="00DE3F87" w:rsidRDefault="00943E45" w:rsidP="00943E45">
      <w:pPr>
        <w:jc w:val="both"/>
        <w:rPr>
          <w:rFonts w:ascii="CG Omega" w:hAnsi="CG Omega" w:cs="Arial"/>
          <w:highlight w:val="yellow"/>
        </w:rPr>
      </w:pPr>
      <w:r w:rsidRPr="00DE3F87">
        <w:rPr>
          <w:rFonts w:ascii="CG Omega" w:hAnsi="CG Omega" w:cs="Arial"/>
        </w:rPr>
        <w:t>The New Mexico Coalition Against Domestic Violence exists to provide a coordinated local, regional and statewide response to domestic violence in the state. The Coalition’s vision is to aspire to a world free to violence and oppression. With more than 33 member organizations, the Coalition advocates for positive social change, provides training, builds alliances, secure resources and develops public policy in New Mexico.</w:t>
      </w:r>
      <w:r w:rsidRPr="00DE3F87">
        <w:rPr>
          <w:rStyle w:val="FootnoteReference"/>
          <w:rFonts w:ascii="CG Omega" w:hAnsi="CG Omega" w:cs="Arial"/>
        </w:rPr>
        <w:footnoteReference w:id="78"/>
      </w:r>
    </w:p>
    <w:p w:rsidR="00943E45" w:rsidRPr="00DE3F87" w:rsidRDefault="00943E45" w:rsidP="00943E45">
      <w:pPr>
        <w:jc w:val="both"/>
        <w:rPr>
          <w:rFonts w:ascii="CG Omega" w:hAnsi="CG Omega" w:cs="Arial"/>
          <w:highlight w:val="yellow"/>
        </w:rPr>
      </w:pPr>
    </w:p>
    <w:p w:rsidR="00943E45" w:rsidRPr="00DE3F87" w:rsidRDefault="00943E45" w:rsidP="00943E45">
      <w:pPr>
        <w:jc w:val="both"/>
        <w:rPr>
          <w:rFonts w:ascii="CG Omega" w:hAnsi="CG Omega" w:cs="Arial"/>
        </w:rPr>
      </w:pPr>
      <w:r w:rsidRPr="00DE3F87">
        <w:rPr>
          <w:rFonts w:ascii="CG Omega" w:hAnsi="CG Omega" w:cs="Arial"/>
        </w:rPr>
        <w:t xml:space="preserve">Services for victims of domestic abuse are provided by a variety of </w:t>
      </w:r>
      <w:r w:rsidR="005347C1" w:rsidRPr="00DE3F87">
        <w:rPr>
          <w:rFonts w:ascii="CG Omega" w:hAnsi="CG Omega" w:cs="Arial"/>
        </w:rPr>
        <w:t>nonprofit</w:t>
      </w:r>
      <w:r w:rsidRPr="00DE3F87">
        <w:rPr>
          <w:rFonts w:ascii="CG Omega" w:hAnsi="CG Omega" w:cs="Arial"/>
        </w:rPr>
        <w:t xml:space="preserve"> and faith-based organizations across the state. Many of the shelters have 24-hour crisis lines and offer temporary housing, advocacy, referral programs, counseling, and transportation, as well as many other services. A partial list of domestic violence service </w:t>
      </w:r>
      <w:r w:rsidR="000D21C9" w:rsidRPr="00DE3F87">
        <w:rPr>
          <w:rFonts w:ascii="CG Omega" w:hAnsi="CG Omega" w:cs="Arial"/>
        </w:rPr>
        <w:t xml:space="preserve">providers is shown in </w:t>
      </w:r>
      <w:r w:rsidR="000D21C9" w:rsidRPr="00DE3F87">
        <w:rPr>
          <w:rFonts w:ascii="CG Omega" w:hAnsi="CG Omega" w:cs="Arial"/>
          <w:b/>
        </w:rPr>
        <w:t>Table V.</w:t>
      </w:r>
      <w:r w:rsidR="007F6B6C" w:rsidRPr="00DE3F87">
        <w:rPr>
          <w:rFonts w:ascii="CG Omega" w:hAnsi="CG Omega" w:cs="Arial"/>
          <w:b/>
        </w:rPr>
        <w:t>2</w:t>
      </w:r>
      <w:r w:rsidR="009C7784" w:rsidRPr="00DE3F87">
        <w:rPr>
          <w:rFonts w:ascii="CG Omega" w:hAnsi="CG Omega" w:cs="Arial"/>
          <w:b/>
        </w:rPr>
        <w:t>6</w:t>
      </w:r>
      <w:r w:rsidRPr="00DE3F87">
        <w:rPr>
          <w:rFonts w:ascii="CG Omega" w:hAnsi="CG Omega" w:cs="Arial"/>
        </w:rPr>
        <w:t>, on the following page.</w:t>
      </w:r>
    </w:p>
    <w:p w:rsidR="00943E45" w:rsidRPr="00DE3F87" w:rsidRDefault="00943E45" w:rsidP="00943E45">
      <w:pPr>
        <w:jc w:val="both"/>
        <w:rPr>
          <w:rFonts w:ascii="CG Omega" w:hAnsi="CG Omega" w:cs="Arial"/>
        </w:rPr>
      </w:pPr>
    </w:p>
    <w:p w:rsidR="009C7784" w:rsidRDefault="009C7784" w:rsidP="00943E45">
      <w:pPr>
        <w:jc w:val="both"/>
        <w:rPr>
          <w:rFonts w:ascii="CG Omega" w:hAnsi="CG Omega" w:cs="Arial"/>
          <w:sz w:val="18"/>
          <w:szCs w:val="18"/>
          <w:highlight w:val="yellow"/>
        </w:rPr>
      </w:pPr>
    </w:p>
    <w:p w:rsidR="009C7784" w:rsidRDefault="009C7784" w:rsidP="00943E45">
      <w:pPr>
        <w:jc w:val="both"/>
        <w:rPr>
          <w:rFonts w:ascii="CG Omega" w:hAnsi="CG Omega" w:cs="Arial"/>
          <w:sz w:val="18"/>
          <w:szCs w:val="18"/>
          <w:highlight w:val="yellow"/>
        </w:rPr>
      </w:pPr>
    </w:p>
    <w:p w:rsidR="009C7784" w:rsidRDefault="009C7784" w:rsidP="00943E45">
      <w:pPr>
        <w:jc w:val="both"/>
        <w:rPr>
          <w:rFonts w:ascii="CG Omega" w:hAnsi="CG Omega" w:cs="Arial"/>
          <w:sz w:val="18"/>
          <w:szCs w:val="18"/>
          <w:highlight w:val="yellow"/>
        </w:rPr>
      </w:pPr>
    </w:p>
    <w:p w:rsidR="009C7784" w:rsidRDefault="009C7784" w:rsidP="00943E45">
      <w:pPr>
        <w:jc w:val="both"/>
        <w:rPr>
          <w:rFonts w:ascii="CG Omega" w:hAnsi="CG Omega" w:cs="Arial"/>
          <w:sz w:val="18"/>
          <w:szCs w:val="18"/>
          <w:highlight w:val="yellow"/>
        </w:rPr>
      </w:pPr>
    </w:p>
    <w:p w:rsidR="009C7784" w:rsidRDefault="009C7784" w:rsidP="00943E45">
      <w:pPr>
        <w:jc w:val="both"/>
        <w:rPr>
          <w:rFonts w:ascii="CG Omega" w:hAnsi="CG Omega" w:cs="Arial"/>
          <w:sz w:val="18"/>
          <w:szCs w:val="18"/>
          <w:highlight w:val="yellow"/>
        </w:rPr>
      </w:pPr>
    </w:p>
    <w:p w:rsidR="00815CD4" w:rsidRDefault="00815CD4" w:rsidP="00943E45">
      <w:pPr>
        <w:jc w:val="both"/>
        <w:rPr>
          <w:rFonts w:ascii="CG Omega" w:hAnsi="CG Omega" w:cs="Arial"/>
          <w:sz w:val="18"/>
          <w:szCs w:val="18"/>
          <w:highlight w:val="yellow"/>
        </w:rPr>
      </w:pPr>
    </w:p>
    <w:p w:rsidR="009C7784" w:rsidRDefault="009C7784" w:rsidP="00943E45">
      <w:pPr>
        <w:jc w:val="both"/>
        <w:rPr>
          <w:rFonts w:ascii="CG Omega" w:hAnsi="CG Omega" w:cs="Arial"/>
          <w:sz w:val="18"/>
          <w:szCs w:val="18"/>
          <w:highlight w:val="yellow"/>
        </w:rPr>
      </w:pPr>
    </w:p>
    <w:p w:rsidR="00865C66" w:rsidRDefault="00865C66" w:rsidP="00943E45">
      <w:pPr>
        <w:jc w:val="both"/>
        <w:rPr>
          <w:rFonts w:ascii="CG Omega" w:hAnsi="CG Omega" w:cs="Arial"/>
          <w:sz w:val="18"/>
          <w:szCs w:val="18"/>
          <w:highlight w:val="yellow"/>
        </w:rPr>
      </w:pPr>
    </w:p>
    <w:p w:rsidR="00E60C5C" w:rsidRDefault="00E60C5C" w:rsidP="00943E45">
      <w:pPr>
        <w:jc w:val="both"/>
        <w:rPr>
          <w:rFonts w:ascii="CG Omega" w:hAnsi="CG Omega" w:cs="Arial"/>
          <w:sz w:val="18"/>
          <w:szCs w:val="18"/>
          <w:highlight w:val="yellow"/>
        </w:rPr>
      </w:pPr>
    </w:p>
    <w:p w:rsidR="00E60C5C" w:rsidRDefault="00E60C5C" w:rsidP="00943E45">
      <w:pPr>
        <w:jc w:val="both"/>
        <w:rPr>
          <w:rFonts w:ascii="CG Omega" w:hAnsi="CG Omega" w:cs="Arial"/>
          <w:sz w:val="18"/>
          <w:szCs w:val="18"/>
          <w:highlight w:val="yellow"/>
        </w:rPr>
      </w:pPr>
    </w:p>
    <w:tbl>
      <w:tblPr>
        <w:tblW w:w="6640" w:type="dxa"/>
        <w:jc w:val="center"/>
        <w:tblLook w:val="04A0" w:firstRow="1" w:lastRow="0" w:firstColumn="1" w:lastColumn="0" w:noHBand="0" w:noVBand="1"/>
      </w:tblPr>
      <w:tblGrid>
        <w:gridCol w:w="4421"/>
        <w:gridCol w:w="2219"/>
      </w:tblGrid>
      <w:tr w:rsidR="008026A9" w:rsidTr="008026A9">
        <w:trPr>
          <w:trHeight w:val="300"/>
          <w:jc w:val="center"/>
        </w:trPr>
        <w:tc>
          <w:tcPr>
            <w:tcW w:w="6640" w:type="dxa"/>
            <w:gridSpan w:val="2"/>
            <w:tcBorders>
              <w:top w:val="single" w:sz="8" w:space="0" w:color="009900"/>
              <w:left w:val="single" w:sz="8" w:space="0" w:color="009900"/>
              <w:bottom w:val="nil"/>
              <w:right w:val="single" w:sz="8" w:space="0" w:color="009900"/>
            </w:tcBorders>
            <w:shd w:val="clear" w:color="000000" w:fill="FFFFE1"/>
            <w:noWrap/>
            <w:vAlign w:val="center"/>
            <w:hideMark/>
          </w:tcPr>
          <w:p w:rsidR="008026A9" w:rsidRDefault="008026A9">
            <w:pPr>
              <w:jc w:val="center"/>
              <w:rPr>
                <w:rFonts w:ascii="Arial" w:hAnsi="Arial" w:cs="Arial"/>
                <w:b/>
                <w:bCs/>
                <w:color w:val="000000"/>
                <w:sz w:val="23"/>
                <w:szCs w:val="23"/>
              </w:rPr>
            </w:pPr>
            <w:r>
              <w:rPr>
                <w:rFonts w:ascii="Arial" w:hAnsi="Arial" w:cs="Arial"/>
                <w:b/>
                <w:bCs/>
                <w:color w:val="000000"/>
                <w:sz w:val="23"/>
                <w:szCs w:val="23"/>
              </w:rPr>
              <w:t>Table V.26</w:t>
            </w:r>
          </w:p>
        </w:tc>
      </w:tr>
      <w:tr w:rsidR="008026A9" w:rsidTr="008026A9">
        <w:trPr>
          <w:trHeight w:val="195"/>
          <w:jc w:val="center"/>
        </w:trPr>
        <w:tc>
          <w:tcPr>
            <w:tcW w:w="6640" w:type="dxa"/>
            <w:gridSpan w:val="2"/>
            <w:tcBorders>
              <w:top w:val="nil"/>
              <w:left w:val="single" w:sz="8" w:space="0" w:color="009900"/>
              <w:bottom w:val="nil"/>
              <w:right w:val="single" w:sz="8" w:space="0" w:color="009900"/>
            </w:tcBorders>
            <w:shd w:val="clear" w:color="000000" w:fill="FFFFE1"/>
            <w:noWrap/>
            <w:vAlign w:val="center"/>
            <w:hideMark/>
          </w:tcPr>
          <w:p w:rsidR="008026A9" w:rsidRDefault="008026A9">
            <w:pPr>
              <w:jc w:val="center"/>
              <w:rPr>
                <w:rFonts w:ascii="Arial" w:hAnsi="Arial" w:cs="Arial"/>
                <w:b/>
                <w:bCs/>
                <w:color w:val="000000"/>
                <w:sz w:val="20"/>
                <w:szCs w:val="20"/>
              </w:rPr>
            </w:pPr>
            <w:r>
              <w:rPr>
                <w:rFonts w:ascii="Arial" w:hAnsi="Arial" w:cs="Arial"/>
                <w:b/>
                <w:bCs/>
                <w:color w:val="000000"/>
                <w:sz w:val="20"/>
                <w:szCs w:val="20"/>
              </w:rPr>
              <w:t>Domestic Violence Service Providers</w:t>
            </w:r>
          </w:p>
        </w:tc>
      </w:tr>
      <w:tr w:rsidR="008026A9" w:rsidTr="008026A9">
        <w:trPr>
          <w:trHeight w:val="165"/>
          <w:jc w:val="center"/>
        </w:trPr>
        <w:tc>
          <w:tcPr>
            <w:tcW w:w="6640" w:type="dxa"/>
            <w:gridSpan w:val="2"/>
            <w:tcBorders>
              <w:top w:val="nil"/>
              <w:left w:val="single" w:sz="8" w:space="0" w:color="009900"/>
              <w:bottom w:val="nil"/>
              <w:right w:val="single" w:sz="8" w:space="0" w:color="009900"/>
            </w:tcBorders>
            <w:shd w:val="clear" w:color="000000" w:fill="FFFFE1"/>
            <w:noWrap/>
            <w:vAlign w:val="center"/>
            <w:hideMark/>
          </w:tcPr>
          <w:p w:rsidR="008026A9" w:rsidRDefault="008026A9">
            <w:pPr>
              <w:jc w:val="center"/>
              <w:rPr>
                <w:rFonts w:ascii="Arial" w:hAnsi="Arial" w:cs="Arial"/>
                <w:color w:val="000000"/>
                <w:sz w:val="16"/>
                <w:szCs w:val="16"/>
              </w:rPr>
            </w:pPr>
            <w:r>
              <w:rPr>
                <w:rFonts w:ascii="Arial" w:hAnsi="Arial" w:cs="Arial"/>
                <w:bCs/>
                <w:color w:val="000000"/>
                <w:sz w:val="16"/>
                <w:szCs w:val="16"/>
              </w:rPr>
              <w:t>State of New Mexico</w:t>
            </w:r>
          </w:p>
        </w:tc>
      </w:tr>
      <w:tr w:rsidR="008026A9" w:rsidTr="008026A9">
        <w:trPr>
          <w:trHeight w:val="225"/>
          <w:jc w:val="center"/>
        </w:trPr>
        <w:tc>
          <w:tcPr>
            <w:tcW w:w="6640" w:type="dxa"/>
            <w:gridSpan w:val="2"/>
            <w:tcBorders>
              <w:top w:val="nil"/>
              <w:left w:val="single" w:sz="8" w:space="0" w:color="009900"/>
              <w:bottom w:val="single" w:sz="8" w:space="0" w:color="009900"/>
              <w:right w:val="single" w:sz="8" w:space="0" w:color="009900"/>
            </w:tcBorders>
            <w:shd w:val="clear" w:color="000000" w:fill="FFFFE1"/>
            <w:noWrap/>
            <w:vAlign w:val="center"/>
            <w:hideMark/>
          </w:tcPr>
          <w:p w:rsidR="008026A9" w:rsidRDefault="008026A9">
            <w:pPr>
              <w:jc w:val="center"/>
              <w:rPr>
                <w:rFonts w:ascii="Arial" w:hAnsi="Arial" w:cs="Arial"/>
                <w:color w:val="000000"/>
                <w:sz w:val="16"/>
                <w:szCs w:val="16"/>
              </w:rPr>
            </w:pPr>
            <w:r>
              <w:rPr>
                <w:rFonts w:ascii="Arial" w:hAnsi="Arial" w:cs="Arial"/>
                <w:bCs/>
                <w:color w:val="000000"/>
                <w:sz w:val="16"/>
                <w:szCs w:val="16"/>
              </w:rPr>
              <w:t>MFA Data</w:t>
            </w:r>
          </w:p>
        </w:tc>
      </w:tr>
      <w:tr w:rsidR="008026A9" w:rsidTr="008026A9">
        <w:trPr>
          <w:trHeight w:val="315"/>
          <w:jc w:val="center"/>
        </w:trPr>
        <w:tc>
          <w:tcPr>
            <w:tcW w:w="4421" w:type="dxa"/>
            <w:tcBorders>
              <w:top w:val="nil"/>
              <w:left w:val="single" w:sz="8" w:space="0" w:color="009900"/>
              <w:bottom w:val="single" w:sz="8" w:space="0" w:color="009900"/>
              <w:right w:val="nil"/>
            </w:tcBorders>
            <w:shd w:val="clear" w:color="000000" w:fill="FFFFE1"/>
            <w:noWrap/>
            <w:vAlign w:val="center"/>
            <w:hideMark/>
          </w:tcPr>
          <w:p w:rsidR="008026A9" w:rsidRDefault="008026A9">
            <w:pPr>
              <w:rPr>
                <w:rFonts w:ascii="Arial" w:hAnsi="Arial" w:cs="Arial"/>
                <w:b/>
                <w:bCs/>
                <w:color w:val="000000"/>
                <w:sz w:val="16"/>
                <w:szCs w:val="16"/>
              </w:rPr>
            </w:pPr>
            <w:r>
              <w:rPr>
                <w:rFonts w:ascii="Arial" w:hAnsi="Arial" w:cs="Arial"/>
                <w:b/>
                <w:bCs/>
                <w:color w:val="000000"/>
                <w:sz w:val="16"/>
                <w:szCs w:val="16"/>
              </w:rPr>
              <w:t>Service Organization</w:t>
            </w:r>
          </w:p>
        </w:tc>
        <w:tc>
          <w:tcPr>
            <w:tcW w:w="2219" w:type="dxa"/>
            <w:tcBorders>
              <w:top w:val="nil"/>
              <w:left w:val="nil"/>
              <w:bottom w:val="single" w:sz="8" w:space="0" w:color="009900"/>
              <w:right w:val="single" w:sz="8" w:space="0" w:color="009900"/>
            </w:tcBorders>
            <w:shd w:val="clear" w:color="000000" w:fill="FFFFE1"/>
            <w:noWrap/>
            <w:vAlign w:val="center"/>
            <w:hideMark/>
          </w:tcPr>
          <w:p w:rsidR="008026A9" w:rsidRDefault="008026A9">
            <w:pPr>
              <w:rPr>
                <w:rFonts w:ascii="Arial" w:hAnsi="Arial" w:cs="Arial"/>
                <w:b/>
                <w:bCs/>
                <w:color w:val="000000"/>
                <w:sz w:val="16"/>
                <w:szCs w:val="16"/>
              </w:rPr>
            </w:pPr>
            <w:r>
              <w:rPr>
                <w:rFonts w:ascii="Arial" w:hAnsi="Arial" w:cs="Arial"/>
                <w:b/>
                <w:bCs/>
                <w:color w:val="000000"/>
                <w:sz w:val="16"/>
                <w:szCs w:val="16"/>
              </w:rPr>
              <w:t>Location</w:t>
            </w:r>
          </w:p>
        </w:tc>
      </w:tr>
      <w:tr w:rsidR="008026A9" w:rsidTr="008026A9">
        <w:trPr>
          <w:trHeight w:val="240"/>
          <w:jc w:val="center"/>
        </w:trPr>
        <w:tc>
          <w:tcPr>
            <w:tcW w:w="4421" w:type="dxa"/>
            <w:tcBorders>
              <w:top w:val="nil"/>
              <w:left w:val="single" w:sz="8" w:space="0" w:color="009900"/>
              <w:bottom w:val="nil"/>
              <w:right w:val="nil"/>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Alternatives to Violence</w:t>
            </w:r>
          </w:p>
        </w:tc>
        <w:tc>
          <w:tcPr>
            <w:tcW w:w="2219" w:type="dxa"/>
            <w:tcBorders>
              <w:top w:val="nil"/>
              <w:left w:val="nil"/>
              <w:bottom w:val="nil"/>
              <w:right w:val="single" w:sz="8" w:space="0" w:color="009900"/>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Raton</w:t>
            </w:r>
          </w:p>
        </w:tc>
      </w:tr>
      <w:tr w:rsidR="008026A9" w:rsidTr="008026A9">
        <w:trPr>
          <w:trHeight w:val="240"/>
          <w:jc w:val="center"/>
        </w:trPr>
        <w:tc>
          <w:tcPr>
            <w:tcW w:w="4421" w:type="dxa"/>
            <w:tcBorders>
              <w:top w:val="nil"/>
              <w:left w:val="single" w:sz="8" w:space="0" w:color="009900"/>
              <w:bottom w:val="nil"/>
              <w:right w:val="nil"/>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Battered Families Services</w:t>
            </w:r>
          </w:p>
        </w:tc>
        <w:tc>
          <w:tcPr>
            <w:tcW w:w="2219" w:type="dxa"/>
            <w:tcBorders>
              <w:top w:val="nil"/>
              <w:left w:val="nil"/>
              <w:bottom w:val="nil"/>
              <w:right w:val="single" w:sz="8" w:space="0" w:color="009900"/>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Gallup</w:t>
            </w:r>
          </w:p>
        </w:tc>
      </w:tr>
      <w:tr w:rsidR="008026A9" w:rsidTr="008026A9">
        <w:trPr>
          <w:trHeight w:val="240"/>
          <w:jc w:val="center"/>
        </w:trPr>
        <w:tc>
          <w:tcPr>
            <w:tcW w:w="4421" w:type="dxa"/>
            <w:tcBorders>
              <w:top w:val="nil"/>
              <w:left w:val="single" w:sz="8" w:space="0" w:color="009900"/>
              <w:bottom w:val="nil"/>
              <w:right w:val="nil"/>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Carlsbad Battered Families Shelter</w:t>
            </w:r>
          </w:p>
        </w:tc>
        <w:tc>
          <w:tcPr>
            <w:tcW w:w="2219" w:type="dxa"/>
            <w:tcBorders>
              <w:top w:val="nil"/>
              <w:left w:val="nil"/>
              <w:bottom w:val="nil"/>
              <w:right w:val="single" w:sz="8" w:space="0" w:color="009900"/>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Carlsbad</w:t>
            </w:r>
          </w:p>
        </w:tc>
      </w:tr>
      <w:tr w:rsidR="008026A9" w:rsidTr="008026A9">
        <w:trPr>
          <w:trHeight w:val="240"/>
          <w:jc w:val="center"/>
        </w:trPr>
        <w:tc>
          <w:tcPr>
            <w:tcW w:w="4421" w:type="dxa"/>
            <w:tcBorders>
              <w:top w:val="nil"/>
              <w:left w:val="single" w:sz="8" w:space="0" w:color="009900"/>
              <w:bottom w:val="nil"/>
              <w:right w:val="nil"/>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Community Against Violence</w:t>
            </w:r>
          </w:p>
        </w:tc>
        <w:tc>
          <w:tcPr>
            <w:tcW w:w="2219" w:type="dxa"/>
            <w:tcBorders>
              <w:top w:val="nil"/>
              <w:left w:val="nil"/>
              <w:bottom w:val="nil"/>
              <w:right w:val="single" w:sz="8" w:space="0" w:color="009900"/>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Taos</w:t>
            </w:r>
          </w:p>
        </w:tc>
      </w:tr>
      <w:tr w:rsidR="008026A9" w:rsidTr="008026A9">
        <w:trPr>
          <w:trHeight w:val="240"/>
          <w:jc w:val="center"/>
        </w:trPr>
        <w:tc>
          <w:tcPr>
            <w:tcW w:w="4421" w:type="dxa"/>
            <w:tcBorders>
              <w:top w:val="nil"/>
              <w:left w:val="single" w:sz="8" w:space="0" w:color="009900"/>
              <w:bottom w:val="nil"/>
              <w:right w:val="nil"/>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C.O.P.E</w:t>
            </w:r>
          </w:p>
        </w:tc>
        <w:tc>
          <w:tcPr>
            <w:tcW w:w="2219" w:type="dxa"/>
            <w:tcBorders>
              <w:top w:val="nil"/>
              <w:left w:val="nil"/>
              <w:bottom w:val="nil"/>
              <w:right w:val="single" w:sz="8" w:space="0" w:color="009900"/>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Alamogordo, Ruidoso</w:t>
            </w:r>
          </w:p>
        </w:tc>
      </w:tr>
      <w:tr w:rsidR="008026A9" w:rsidTr="008026A9">
        <w:trPr>
          <w:trHeight w:val="240"/>
          <w:jc w:val="center"/>
        </w:trPr>
        <w:tc>
          <w:tcPr>
            <w:tcW w:w="4421" w:type="dxa"/>
            <w:tcBorders>
              <w:top w:val="nil"/>
              <w:left w:val="single" w:sz="8" w:space="0" w:color="009900"/>
              <w:bottom w:val="nil"/>
              <w:right w:val="nil"/>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Crisis Center of Northern New Mexico</w:t>
            </w:r>
          </w:p>
        </w:tc>
        <w:tc>
          <w:tcPr>
            <w:tcW w:w="2219" w:type="dxa"/>
            <w:tcBorders>
              <w:top w:val="nil"/>
              <w:left w:val="nil"/>
              <w:bottom w:val="nil"/>
              <w:right w:val="single" w:sz="8" w:space="0" w:color="009900"/>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Espanola</w:t>
            </w:r>
          </w:p>
        </w:tc>
      </w:tr>
      <w:tr w:rsidR="008026A9" w:rsidTr="008026A9">
        <w:trPr>
          <w:trHeight w:val="240"/>
          <w:jc w:val="center"/>
        </w:trPr>
        <w:tc>
          <w:tcPr>
            <w:tcW w:w="4421" w:type="dxa"/>
            <w:tcBorders>
              <w:top w:val="nil"/>
              <w:left w:val="single" w:sz="8" w:space="0" w:color="009900"/>
              <w:bottom w:val="nil"/>
              <w:right w:val="nil"/>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Domestic Abuse Intervention Center</w:t>
            </w:r>
          </w:p>
        </w:tc>
        <w:tc>
          <w:tcPr>
            <w:tcW w:w="2219" w:type="dxa"/>
            <w:tcBorders>
              <w:top w:val="nil"/>
              <w:left w:val="nil"/>
              <w:bottom w:val="nil"/>
              <w:right w:val="single" w:sz="8" w:space="0" w:color="009900"/>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Truth or Consequences</w:t>
            </w:r>
          </w:p>
        </w:tc>
      </w:tr>
      <w:tr w:rsidR="008026A9" w:rsidTr="008026A9">
        <w:trPr>
          <w:trHeight w:val="240"/>
          <w:jc w:val="center"/>
        </w:trPr>
        <w:tc>
          <w:tcPr>
            <w:tcW w:w="4421" w:type="dxa"/>
            <w:tcBorders>
              <w:top w:val="nil"/>
              <w:left w:val="single" w:sz="8" w:space="0" w:color="009900"/>
              <w:bottom w:val="nil"/>
              <w:right w:val="nil"/>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DRVC</w:t>
            </w:r>
          </w:p>
        </w:tc>
        <w:tc>
          <w:tcPr>
            <w:tcW w:w="2219" w:type="dxa"/>
            <w:tcBorders>
              <w:top w:val="nil"/>
              <w:left w:val="nil"/>
              <w:bottom w:val="nil"/>
              <w:right w:val="single" w:sz="8" w:space="0" w:color="009900"/>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Albuquerque</w:t>
            </w:r>
          </w:p>
        </w:tc>
      </w:tr>
      <w:tr w:rsidR="008026A9" w:rsidTr="008026A9">
        <w:trPr>
          <w:trHeight w:val="240"/>
          <w:jc w:val="center"/>
        </w:trPr>
        <w:tc>
          <w:tcPr>
            <w:tcW w:w="4421" w:type="dxa"/>
            <w:tcBorders>
              <w:top w:val="nil"/>
              <w:left w:val="single" w:sz="8" w:space="0" w:color="009900"/>
              <w:bottom w:val="nil"/>
              <w:right w:val="nil"/>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El Refugio</w:t>
            </w:r>
          </w:p>
        </w:tc>
        <w:tc>
          <w:tcPr>
            <w:tcW w:w="2219" w:type="dxa"/>
            <w:tcBorders>
              <w:top w:val="nil"/>
              <w:left w:val="nil"/>
              <w:bottom w:val="nil"/>
              <w:right w:val="single" w:sz="8" w:space="0" w:color="009900"/>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Silver City</w:t>
            </w:r>
          </w:p>
        </w:tc>
      </w:tr>
      <w:tr w:rsidR="008026A9" w:rsidTr="008026A9">
        <w:trPr>
          <w:trHeight w:val="240"/>
          <w:jc w:val="center"/>
        </w:trPr>
        <w:tc>
          <w:tcPr>
            <w:tcW w:w="4421" w:type="dxa"/>
            <w:tcBorders>
              <w:top w:val="nil"/>
              <w:left w:val="single" w:sz="8" w:space="0" w:color="009900"/>
              <w:bottom w:val="nil"/>
              <w:right w:val="nil"/>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ENIPC Peacekeepers</w:t>
            </w:r>
          </w:p>
        </w:tc>
        <w:tc>
          <w:tcPr>
            <w:tcW w:w="2219" w:type="dxa"/>
            <w:tcBorders>
              <w:top w:val="nil"/>
              <w:left w:val="nil"/>
              <w:bottom w:val="nil"/>
              <w:right w:val="single" w:sz="8" w:space="0" w:color="009900"/>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Espanola</w:t>
            </w:r>
          </w:p>
        </w:tc>
      </w:tr>
      <w:tr w:rsidR="008026A9" w:rsidTr="008026A9">
        <w:trPr>
          <w:trHeight w:val="240"/>
          <w:jc w:val="center"/>
        </w:trPr>
        <w:tc>
          <w:tcPr>
            <w:tcW w:w="4421" w:type="dxa"/>
            <w:tcBorders>
              <w:top w:val="nil"/>
              <w:left w:val="single" w:sz="8" w:space="0" w:color="009900"/>
              <w:bottom w:val="nil"/>
              <w:right w:val="nil"/>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Enlace Comunitario</w:t>
            </w:r>
          </w:p>
        </w:tc>
        <w:tc>
          <w:tcPr>
            <w:tcW w:w="2219" w:type="dxa"/>
            <w:tcBorders>
              <w:top w:val="nil"/>
              <w:left w:val="nil"/>
              <w:bottom w:val="nil"/>
              <w:right w:val="single" w:sz="8" w:space="0" w:color="009900"/>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Espanola</w:t>
            </w:r>
          </w:p>
        </w:tc>
      </w:tr>
      <w:tr w:rsidR="008026A9" w:rsidTr="008026A9">
        <w:trPr>
          <w:trHeight w:val="240"/>
          <w:jc w:val="center"/>
        </w:trPr>
        <w:tc>
          <w:tcPr>
            <w:tcW w:w="4421" w:type="dxa"/>
            <w:tcBorders>
              <w:top w:val="nil"/>
              <w:left w:val="single" w:sz="8" w:space="0" w:color="009900"/>
              <w:bottom w:val="nil"/>
              <w:right w:val="nil"/>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Esperanza Shelter for Battered Families</w:t>
            </w:r>
          </w:p>
        </w:tc>
        <w:tc>
          <w:tcPr>
            <w:tcW w:w="2219" w:type="dxa"/>
            <w:tcBorders>
              <w:top w:val="nil"/>
              <w:left w:val="nil"/>
              <w:bottom w:val="nil"/>
              <w:right w:val="single" w:sz="8" w:space="0" w:color="009900"/>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Santa Fe</w:t>
            </w:r>
          </w:p>
        </w:tc>
      </w:tr>
      <w:tr w:rsidR="008026A9" w:rsidTr="008026A9">
        <w:trPr>
          <w:trHeight w:val="240"/>
          <w:jc w:val="center"/>
        </w:trPr>
        <w:tc>
          <w:tcPr>
            <w:tcW w:w="4421" w:type="dxa"/>
            <w:tcBorders>
              <w:top w:val="nil"/>
              <w:left w:val="single" w:sz="8" w:space="0" w:color="009900"/>
              <w:bottom w:val="nil"/>
              <w:right w:val="nil"/>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Family Crisis Center</w:t>
            </w:r>
          </w:p>
        </w:tc>
        <w:tc>
          <w:tcPr>
            <w:tcW w:w="2219" w:type="dxa"/>
            <w:tcBorders>
              <w:top w:val="nil"/>
              <w:left w:val="nil"/>
              <w:bottom w:val="nil"/>
              <w:right w:val="single" w:sz="8" w:space="0" w:color="009900"/>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Farmington</w:t>
            </w:r>
          </w:p>
        </w:tc>
      </w:tr>
      <w:tr w:rsidR="008026A9" w:rsidTr="008026A9">
        <w:trPr>
          <w:trHeight w:val="240"/>
          <w:jc w:val="center"/>
        </w:trPr>
        <w:tc>
          <w:tcPr>
            <w:tcW w:w="4421" w:type="dxa"/>
            <w:tcBorders>
              <w:top w:val="nil"/>
              <w:left w:val="single" w:sz="8" w:space="0" w:color="009900"/>
              <w:bottom w:val="nil"/>
              <w:right w:val="nil"/>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Grammy’s House</w:t>
            </w:r>
          </w:p>
        </w:tc>
        <w:tc>
          <w:tcPr>
            <w:tcW w:w="2219" w:type="dxa"/>
            <w:tcBorders>
              <w:top w:val="nil"/>
              <w:left w:val="nil"/>
              <w:bottom w:val="nil"/>
              <w:right w:val="single" w:sz="8" w:space="0" w:color="009900"/>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Artesia</w:t>
            </w:r>
          </w:p>
        </w:tc>
      </w:tr>
      <w:tr w:rsidR="008026A9" w:rsidTr="008026A9">
        <w:trPr>
          <w:trHeight w:val="240"/>
          <w:jc w:val="center"/>
        </w:trPr>
        <w:tc>
          <w:tcPr>
            <w:tcW w:w="4421" w:type="dxa"/>
            <w:tcBorders>
              <w:top w:val="nil"/>
              <w:left w:val="single" w:sz="8" w:space="0" w:color="009900"/>
              <w:bottom w:val="nil"/>
              <w:right w:val="nil"/>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Haven House</w:t>
            </w:r>
          </w:p>
        </w:tc>
        <w:tc>
          <w:tcPr>
            <w:tcW w:w="2219" w:type="dxa"/>
            <w:tcBorders>
              <w:top w:val="nil"/>
              <w:left w:val="nil"/>
              <w:bottom w:val="nil"/>
              <w:right w:val="single" w:sz="8" w:space="0" w:color="009900"/>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Rio Rancho</w:t>
            </w:r>
          </w:p>
        </w:tc>
      </w:tr>
      <w:tr w:rsidR="008026A9" w:rsidTr="008026A9">
        <w:trPr>
          <w:trHeight w:val="240"/>
          <w:jc w:val="center"/>
        </w:trPr>
        <w:tc>
          <w:tcPr>
            <w:tcW w:w="4421" w:type="dxa"/>
            <w:tcBorders>
              <w:top w:val="nil"/>
              <w:left w:val="single" w:sz="8" w:space="0" w:color="009900"/>
              <w:bottom w:val="nil"/>
              <w:right w:val="nil"/>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Help End Abuse for Life (HEAL)</w:t>
            </w:r>
          </w:p>
        </w:tc>
        <w:tc>
          <w:tcPr>
            <w:tcW w:w="2219" w:type="dxa"/>
            <w:tcBorders>
              <w:top w:val="nil"/>
              <w:left w:val="nil"/>
              <w:bottom w:val="nil"/>
              <w:right w:val="single" w:sz="8" w:space="0" w:color="009900"/>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Ruidoso Downs</w:t>
            </w:r>
          </w:p>
        </w:tc>
      </w:tr>
      <w:tr w:rsidR="008026A9" w:rsidTr="008026A9">
        <w:trPr>
          <w:trHeight w:val="240"/>
          <w:jc w:val="center"/>
        </w:trPr>
        <w:tc>
          <w:tcPr>
            <w:tcW w:w="4421" w:type="dxa"/>
            <w:tcBorders>
              <w:top w:val="nil"/>
              <w:left w:val="single" w:sz="8" w:space="0" w:color="009900"/>
              <w:bottom w:val="nil"/>
              <w:right w:val="nil"/>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Home for Women and Children</w:t>
            </w:r>
          </w:p>
        </w:tc>
        <w:tc>
          <w:tcPr>
            <w:tcW w:w="2219" w:type="dxa"/>
            <w:tcBorders>
              <w:top w:val="nil"/>
              <w:left w:val="nil"/>
              <w:bottom w:val="nil"/>
              <w:right w:val="single" w:sz="8" w:space="0" w:color="009900"/>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Shiprock</w:t>
            </w:r>
          </w:p>
        </w:tc>
      </w:tr>
      <w:tr w:rsidR="008026A9" w:rsidTr="008026A9">
        <w:trPr>
          <w:trHeight w:val="240"/>
          <w:jc w:val="center"/>
        </w:trPr>
        <w:tc>
          <w:tcPr>
            <w:tcW w:w="4421" w:type="dxa"/>
            <w:tcBorders>
              <w:top w:val="nil"/>
              <w:left w:val="single" w:sz="8" w:space="0" w:color="009900"/>
              <w:bottom w:val="nil"/>
              <w:right w:val="nil"/>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La Casa</w:t>
            </w:r>
          </w:p>
        </w:tc>
        <w:tc>
          <w:tcPr>
            <w:tcW w:w="2219" w:type="dxa"/>
            <w:tcBorders>
              <w:top w:val="nil"/>
              <w:left w:val="nil"/>
              <w:bottom w:val="nil"/>
              <w:right w:val="single" w:sz="8" w:space="0" w:color="009900"/>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Las Cruces</w:t>
            </w:r>
          </w:p>
        </w:tc>
      </w:tr>
      <w:tr w:rsidR="008026A9" w:rsidTr="008026A9">
        <w:trPr>
          <w:trHeight w:val="240"/>
          <w:jc w:val="center"/>
        </w:trPr>
        <w:tc>
          <w:tcPr>
            <w:tcW w:w="4421" w:type="dxa"/>
            <w:tcBorders>
              <w:top w:val="nil"/>
              <w:left w:val="single" w:sz="8" w:space="0" w:color="009900"/>
              <w:bottom w:val="nil"/>
              <w:right w:val="nil"/>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Navajo United Methodist Center</w:t>
            </w:r>
          </w:p>
        </w:tc>
        <w:tc>
          <w:tcPr>
            <w:tcW w:w="2219" w:type="dxa"/>
            <w:tcBorders>
              <w:top w:val="nil"/>
              <w:left w:val="nil"/>
              <w:bottom w:val="nil"/>
              <w:right w:val="single" w:sz="8" w:space="0" w:color="009900"/>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Farmington</w:t>
            </w:r>
          </w:p>
        </w:tc>
      </w:tr>
      <w:tr w:rsidR="008026A9" w:rsidTr="008026A9">
        <w:trPr>
          <w:trHeight w:val="240"/>
          <w:jc w:val="center"/>
        </w:trPr>
        <w:tc>
          <w:tcPr>
            <w:tcW w:w="4421" w:type="dxa"/>
            <w:tcBorders>
              <w:top w:val="nil"/>
              <w:left w:val="single" w:sz="8" w:space="0" w:color="009900"/>
              <w:bottom w:val="nil"/>
              <w:right w:val="nil"/>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New Mexico Coalition Against Dom. Violence</w:t>
            </w:r>
          </w:p>
        </w:tc>
        <w:tc>
          <w:tcPr>
            <w:tcW w:w="2219" w:type="dxa"/>
            <w:tcBorders>
              <w:top w:val="nil"/>
              <w:left w:val="nil"/>
              <w:bottom w:val="nil"/>
              <w:right w:val="single" w:sz="8" w:space="0" w:color="009900"/>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Santa Fe</w:t>
            </w:r>
          </w:p>
        </w:tc>
      </w:tr>
      <w:tr w:rsidR="008026A9" w:rsidTr="008026A9">
        <w:trPr>
          <w:trHeight w:val="240"/>
          <w:jc w:val="center"/>
        </w:trPr>
        <w:tc>
          <w:tcPr>
            <w:tcW w:w="4421" w:type="dxa"/>
            <w:tcBorders>
              <w:top w:val="nil"/>
              <w:left w:val="single" w:sz="8" w:space="0" w:color="009900"/>
              <w:bottom w:val="nil"/>
              <w:right w:val="nil"/>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New Mexico Legal Aid</w:t>
            </w:r>
          </w:p>
        </w:tc>
        <w:tc>
          <w:tcPr>
            <w:tcW w:w="2219" w:type="dxa"/>
            <w:tcBorders>
              <w:top w:val="nil"/>
              <w:left w:val="nil"/>
              <w:bottom w:val="nil"/>
              <w:right w:val="single" w:sz="8" w:space="0" w:color="009900"/>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Albuquerque, Clovis, Gallup</w:t>
            </w:r>
          </w:p>
        </w:tc>
      </w:tr>
      <w:tr w:rsidR="008026A9" w:rsidTr="008026A9">
        <w:trPr>
          <w:trHeight w:val="240"/>
          <w:jc w:val="center"/>
        </w:trPr>
        <w:tc>
          <w:tcPr>
            <w:tcW w:w="4421" w:type="dxa"/>
            <w:tcBorders>
              <w:top w:val="nil"/>
              <w:left w:val="single" w:sz="8" w:space="0" w:color="009900"/>
              <w:bottom w:val="nil"/>
              <w:right w:val="nil"/>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Option, Inc.</w:t>
            </w:r>
          </w:p>
        </w:tc>
        <w:tc>
          <w:tcPr>
            <w:tcW w:w="2219" w:type="dxa"/>
            <w:tcBorders>
              <w:top w:val="nil"/>
              <w:left w:val="nil"/>
              <w:bottom w:val="nil"/>
              <w:right w:val="single" w:sz="8" w:space="0" w:color="009900"/>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Hobbs</w:t>
            </w:r>
          </w:p>
        </w:tc>
      </w:tr>
      <w:tr w:rsidR="008026A9" w:rsidTr="008026A9">
        <w:trPr>
          <w:trHeight w:val="240"/>
          <w:jc w:val="center"/>
        </w:trPr>
        <w:tc>
          <w:tcPr>
            <w:tcW w:w="4421" w:type="dxa"/>
            <w:tcBorders>
              <w:top w:val="nil"/>
              <w:left w:val="single" w:sz="8" w:space="0" w:color="009900"/>
              <w:bottom w:val="nil"/>
              <w:right w:val="nil"/>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Roberta's Place</w:t>
            </w:r>
          </w:p>
        </w:tc>
        <w:tc>
          <w:tcPr>
            <w:tcW w:w="2219" w:type="dxa"/>
            <w:tcBorders>
              <w:top w:val="nil"/>
              <w:left w:val="nil"/>
              <w:bottom w:val="nil"/>
              <w:right w:val="single" w:sz="8" w:space="0" w:color="009900"/>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Grants</w:t>
            </w:r>
          </w:p>
        </w:tc>
      </w:tr>
      <w:tr w:rsidR="008026A9" w:rsidTr="008026A9">
        <w:trPr>
          <w:trHeight w:val="240"/>
          <w:jc w:val="center"/>
        </w:trPr>
        <w:tc>
          <w:tcPr>
            <w:tcW w:w="4421" w:type="dxa"/>
            <w:tcBorders>
              <w:top w:val="nil"/>
              <w:left w:val="single" w:sz="8" w:space="0" w:color="009900"/>
              <w:bottom w:val="nil"/>
              <w:right w:val="nil"/>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Roswell Refuge for Battered Adults</w:t>
            </w:r>
          </w:p>
        </w:tc>
        <w:tc>
          <w:tcPr>
            <w:tcW w:w="2219" w:type="dxa"/>
            <w:tcBorders>
              <w:top w:val="nil"/>
              <w:left w:val="nil"/>
              <w:bottom w:val="nil"/>
              <w:right w:val="single" w:sz="8" w:space="0" w:color="009900"/>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Roswell</w:t>
            </w:r>
          </w:p>
        </w:tc>
      </w:tr>
      <w:tr w:rsidR="008026A9" w:rsidTr="008026A9">
        <w:trPr>
          <w:trHeight w:val="240"/>
          <w:jc w:val="center"/>
        </w:trPr>
        <w:tc>
          <w:tcPr>
            <w:tcW w:w="4421" w:type="dxa"/>
            <w:tcBorders>
              <w:top w:val="nil"/>
              <w:left w:val="single" w:sz="8" w:space="0" w:color="009900"/>
              <w:bottom w:val="nil"/>
              <w:right w:val="nil"/>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Sanctuary Zone, Inc.</w:t>
            </w:r>
          </w:p>
        </w:tc>
        <w:tc>
          <w:tcPr>
            <w:tcW w:w="2219" w:type="dxa"/>
            <w:tcBorders>
              <w:top w:val="nil"/>
              <w:left w:val="nil"/>
              <w:bottom w:val="nil"/>
              <w:right w:val="single" w:sz="8" w:space="0" w:color="009900"/>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Estancia</w:t>
            </w:r>
          </w:p>
        </w:tc>
      </w:tr>
      <w:tr w:rsidR="008026A9" w:rsidTr="008026A9">
        <w:trPr>
          <w:trHeight w:val="240"/>
          <w:jc w:val="center"/>
        </w:trPr>
        <w:tc>
          <w:tcPr>
            <w:tcW w:w="4421" w:type="dxa"/>
            <w:tcBorders>
              <w:top w:val="nil"/>
              <w:left w:val="single" w:sz="8" w:space="0" w:color="009900"/>
              <w:bottom w:val="nil"/>
              <w:right w:val="nil"/>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The Healing House</w:t>
            </w:r>
          </w:p>
        </w:tc>
        <w:tc>
          <w:tcPr>
            <w:tcW w:w="2219" w:type="dxa"/>
            <w:tcBorders>
              <w:top w:val="nil"/>
              <w:left w:val="nil"/>
              <w:bottom w:val="nil"/>
              <w:right w:val="single" w:sz="8" w:space="0" w:color="009900"/>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Deming</w:t>
            </w:r>
          </w:p>
        </w:tc>
      </w:tr>
      <w:tr w:rsidR="008026A9" w:rsidTr="008026A9">
        <w:trPr>
          <w:trHeight w:val="240"/>
          <w:jc w:val="center"/>
        </w:trPr>
        <w:tc>
          <w:tcPr>
            <w:tcW w:w="4421" w:type="dxa"/>
            <w:tcBorders>
              <w:top w:val="nil"/>
              <w:left w:val="single" w:sz="8" w:space="0" w:color="009900"/>
              <w:bottom w:val="nil"/>
              <w:right w:val="nil"/>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Torrance County Project Office</w:t>
            </w:r>
          </w:p>
        </w:tc>
        <w:tc>
          <w:tcPr>
            <w:tcW w:w="2219" w:type="dxa"/>
            <w:tcBorders>
              <w:top w:val="nil"/>
              <w:left w:val="nil"/>
              <w:bottom w:val="nil"/>
              <w:right w:val="single" w:sz="8" w:space="0" w:color="009900"/>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Estancia</w:t>
            </w:r>
          </w:p>
        </w:tc>
      </w:tr>
      <w:tr w:rsidR="008026A9" w:rsidTr="008026A9">
        <w:trPr>
          <w:trHeight w:val="240"/>
          <w:jc w:val="center"/>
        </w:trPr>
        <w:tc>
          <w:tcPr>
            <w:tcW w:w="4421" w:type="dxa"/>
            <w:tcBorders>
              <w:top w:val="nil"/>
              <w:left w:val="single" w:sz="8" w:space="0" w:color="009900"/>
              <w:bottom w:val="nil"/>
              <w:right w:val="nil"/>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Tri-County Family Justice Center of New Mexico</w:t>
            </w:r>
          </w:p>
        </w:tc>
        <w:tc>
          <w:tcPr>
            <w:tcW w:w="2219" w:type="dxa"/>
            <w:tcBorders>
              <w:top w:val="nil"/>
              <w:left w:val="nil"/>
              <w:bottom w:val="nil"/>
              <w:right w:val="single" w:sz="8" w:space="0" w:color="009900"/>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Las Vega</w:t>
            </w:r>
            <w:r w:rsidR="00C3060F">
              <w:rPr>
                <w:rFonts w:ascii="Arial" w:hAnsi="Arial" w:cs="Arial"/>
                <w:color w:val="000000"/>
                <w:sz w:val="16"/>
                <w:szCs w:val="16"/>
              </w:rPr>
              <w:t>s</w:t>
            </w:r>
          </w:p>
        </w:tc>
      </w:tr>
      <w:tr w:rsidR="008026A9" w:rsidTr="008026A9">
        <w:trPr>
          <w:trHeight w:val="240"/>
          <w:jc w:val="center"/>
        </w:trPr>
        <w:tc>
          <w:tcPr>
            <w:tcW w:w="4421" w:type="dxa"/>
            <w:tcBorders>
              <w:top w:val="nil"/>
              <w:left w:val="single" w:sz="8" w:space="0" w:color="009900"/>
              <w:bottom w:val="single" w:sz="8" w:space="0" w:color="009900"/>
              <w:right w:val="nil"/>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Valencia Shelter Services for Victims of Domestic Violence</w:t>
            </w:r>
          </w:p>
        </w:tc>
        <w:tc>
          <w:tcPr>
            <w:tcW w:w="2219" w:type="dxa"/>
            <w:tcBorders>
              <w:top w:val="nil"/>
              <w:left w:val="nil"/>
              <w:bottom w:val="single" w:sz="8" w:space="0" w:color="009900"/>
              <w:right w:val="single" w:sz="8" w:space="0" w:color="009900"/>
            </w:tcBorders>
            <w:shd w:val="clear" w:color="000000" w:fill="FFFFE1"/>
            <w:noWrap/>
            <w:vAlign w:val="center"/>
            <w:hideMark/>
          </w:tcPr>
          <w:p w:rsidR="008026A9" w:rsidRDefault="008026A9">
            <w:pPr>
              <w:rPr>
                <w:rFonts w:ascii="Arial" w:hAnsi="Arial" w:cs="Arial"/>
                <w:color w:val="000000"/>
                <w:sz w:val="16"/>
                <w:szCs w:val="16"/>
              </w:rPr>
            </w:pPr>
            <w:r>
              <w:rPr>
                <w:rFonts w:ascii="Arial" w:hAnsi="Arial" w:cs="Arial"/>
                <w:color w:val="000000"/>
                <w:sz w:val="16"/>
                <w:szCs w:val="16"/>
              </w:rPr>
              <w:t>Los Lunas</w:t>
            </w:r>
          </w:p>
        </w:tc>
      </w:tr>
    </w:tbl>
    <w:p w:rsidR="002F2326" w:rsidRDefault="002F2326" w:rsidP="00E7106E">
      <w:pPr>
        <w:jc w:val="both"/>
        <w:rPr>
          <w:rFonts w:ascii="CG Omega" w:hAnsi="CG Omega" w:cs="Arial"/>
          <w:snapToGrid w:val="0"/>
          <w:sz w:val="20"/>
          <w:szCs w:val="20"/>
          <w:highlight w:val="yellow"/>
        </w:rPr>
      </w:pPr>
    </w:p>
    <w:p w:rsidR="00E60C5C" w:rsidRDefault="00E60C5C" w:rsidP="00E7106E">
      <w:pPr>
        <w:jc w:val="both"/>
        <w:rPr>
          <w:rFonts w:ascii="CG Omega" w:hAnsi="CG Omega" w:cs="Arial"/>
          <w:snapToGrid w:val="0"/>
          <w:sz w:val="20"/>
          <w:szCs w:val="20"/>
          <w:highlight w:val="yellow"/>
        </w:rPr>
      </w:pPr>
    </w:p>
    <w:p w:rsidR="00E60C5C" w:rsidRPr="00E60C5C" w:rsidRDefault="00E60C5C" w:rsidP="00E7106E">
      <w:pPr>
        <w:jc w:val="both"/>
        <w:rPr>
          <w:rFonts w:ascii="CG Omega" w:hAnsi="CG Omega" w:cs="Arial"/>
          <w:snapToGrid w:val="0"/>
          <w:sz w:val="20"/>
          <w:szCs w:val="20"/>
          <w:highlight w:val="yellow"/>
        </w:rPr>
      </w:pPr>
    </w:p>
    <w:p w:rsidR="00865C66" w:rsidRPr="00DE3F87" w:rsidRDefault="00865C66" w:rsidP="00865C66">
      <w:pPr>
        <w:jc w:val="both"/>
        <w:rPr>
          <w:rFonts w:ascii="CG Omega" w:hAnsi="CG Omega" w:cs="Arial"/>
          <w:b/>
        </w:rPr>
      </w:pPr>
      <w:r w:rsidRPr="00DE3F87">
        <w:rPr>
          <w:rFonts w:ascii="CG Omega" w:hAnsi="CG Omega" w:cs="Arial"/>
          <w:b/>
        </w:rPr>
        <w:t>Services and Housing Needed</w:t>
      </w:r>
    </w:p>
    <w:p w:rsidR="00865C66" w:rsidRPr="00E60C5C" w:rsidRDefault="00865C66" w:rsidP="00865C66">
      <w:pPr>
        <w:jc w:val="both"/>
        <w:rPr>
          <w:rFonts w:ascii="CG Omega" w:hAnsi="CG Omega" w:cs="Arial"/>
          <w:sz w:val="20"/>
          <w:szCs w:val="20"/>
          <w:highlight w:val="yellow"/>
        </w:rPr>
      </w:pPr>
    </w:p>
    <w:p w:rsidR="00865C66" w:rsidRDefault="00865C66" w:rsidP="00865C66">
      <w:pPr>
        <w:jc w:val="both"/>
        <w:rPr>
          <w:rFonts w:ascii="CG Omega" w:hAnsi="CG Omega" w:cs="Arial"/>
        </w:rPr>
      </w:pPr>
      <w:r w:rsidRPr="00AB29A7">
        <w:rPr>
          <w:rFonts w:ascii="CG Omega" w:hAnsi="CG Omega" w:cs="Arial"/>
        </w:rPr>
        <w:t xml:space="preserve">Results from the 2014 Housing and Community Development Survey indicated a medium to high need level for additional domestic violence facilities and services in New Mexico.  These data are shown in </w:t>
      </w:r>
      <w:r w:rsidRPr="00E60C5C">
        <w:rPr>
          <w:rFonts w:ascii="CG Omega" w:hAnsi="CG Omega" w:cs="Arial"/>
          <w:b/>
        </w:rPr>
        <w:t>Table V.2</w:t>
      </w:r>
      <w:r w:rsidR="00E60BBA" w:rsidRPr="00E60C5C">
        <w:rPr>
          <w:rFonts w:ascii="CG Omega" w:hAnsi="CG Omega" w:cs="Arial"/>
          <w:b/>
        </w:rPr>
        <w:t>7</w:t>
      </w:r>
      <w:r w:rsidR="00E60C5C">
        <w:rPr>
          <w:rFonts w:ascii="CG Omega" w:hAnsi="CG Omega" w:cs="Arial"/>
        </w:rPr>
        <w:t>, on the following page</w:t>
      </w:r>
      <w:r w:rsidR="00E60BBA">
        <w:rPr>
          <w:rFonts w:ascii="CG Omega" w:hAnsi="CG Omega" w:cs="Arial"/>
        </w:rPr>
        <w:t>.</w:t>
      </w:r>
      <w:r w:rsidRPr="00832AB3">
        <w:rPr>
          <w:rFonts w:ascii="CG Omega" w:hAnsi="CG Omega" w:cs="Arial"/>
        </w:rPr>
        <w:t xml:space="preserve">  </w:t>
      </w:r>
      <w:r w:rsidRPr="005F038A">
        <w:rPr>
          <w:rFonts w:ascii="CG Omega" w:hAnsi="CG Omega" w:cs="Arial"/>
        </w:rPr>
        <w:t xml:space="preserve">In addition, </w:t>
      </w:r>
      <w:r>
        <w:rPr>
          <w:rFonts w:ascii="CG Omega" w:hAnsi="CG Omega" w:cs="Arial"/>
        </w:rPr>
        <w:t>the 2013 point-in-time counts for the Continuums of Care showed that all homeless victims of domestic violence were sheltered on the night of the count.</w:t>
      </w:r>
    </w:p>
    <w:p w:rsidR="00865C66" w:rsidRPr="00865C66" w:rsidRDefault="00865C66" w:rsidP="00865C66">
      <w:pPr>
        <w:jc w:val="both"/>
        <w:rPr>
          <w:rFonts w:ascii="CG Omega" w:hAnsi="CG Omega" w:cs="Arial"/>
          <w:sz w:val="12"/>
          <w:szCs w:val="12"/>
          <w:highlight w:val="yellow"/>
        </w:rPr>
      </w:pPr>
    </w:p>
    <w:p w:rsidR="00E60C5C" w:rsidRDefault="00E60C5C">
      <w:r>
        <w:br w:type="page"/>
      </w:r>
    </w:p>
    <w:tbl>
      <w:tblPr>
        <w:tblW w:w="8425" w:type="dxa"/>
        <w:tblInd w:w="648" w:type="dxa"/>
        <w:tblLook w:val="04A0" w:firstRow="1" w:lastRow="0" w:firstColumn="1" w:lastColumn="0" w:noHBand="0" w:noVBand="1"/>
      </w:tblPr>
      <w:tblGrid>
        <w:gridCol w:w="2825"/>
        <w:gridCol w:w="699"/>
        <w:gridCol w:w="699"/>
        <w:gridCol w:w="1052"/>
        <w:gridCol w:w="699"/>
        <w:gridCol w:w="1314"/>
        <w:gridCol w:w="1137"/>
      </w:tblGrid>
      <w:tr w:rsidR="00865C66" w:rsidRPr="00AB29A7" w:rsidTr="009267A2">
        <w:trPr>
          <w:trHeight w:val="300"/>
        </w:trPr>
        <w:tc>
          <w:tcPr>
            <w:tcW w:w="8425" w:type="dxa"/>
            <w:gridSpan w:val="7"/>
            <w:tcBorders>
              <w:top w:val="nil"/>
              <w:left w:val="nil"/>
              <w:bottom w:val="nil"/>
              <w:right w:val="nil"/>
            </w:tcBorders>
            <w:shd w:val="clear" w:color="auto" w:fill="auto"/>
            <w:noWrap/>
            <w:vAlign w:val="center"/>
            <w:hideMark/>
          </w:tcPr>
          <w:p w:rsidR="00865C66" w:rsidRPr="00AB29A7" w:rsidRDefault="00865C66" w:rsidP="00E60BBA">
            <w:pPr>
              <w:jc w:val="center"/>
              <w:rPr>
                <w:rFonts w:ascii="Arial" w:hAnsi="Arial" w:cs="Arial"/>
                <w:b/>
                <w:bCs/>
                <w:color w:val="000000"/>
                <w:sz w:val="22"/>
                <w:szCs w:val="22"/>
              </w:rPr>
            </w:pPr>
            <w:r w:rsidRPr="00832AB3">
              <w:rPr>
                <w:rFonts w:ascii="Arial" w:hAnsi="Arial" w:cs="Arial"/>
                <w:b/>
                <w:bCs/>
                <w:color w:val="000000"/>
                <w:sz w:val="22"/>
                <w:szCs w:val="22"/>
              </w:rPr>
              <w:t xml:space="preserve">Table </w:t>
            </w:r>
            <w:r>
              <w:rPr>
                <w:rFonts w:ascii="Arial" w:hAnsi="Arial" w:cs="Arial"/>
                <w:b/>
                <w:bCs/>
                <w:color w:val="000000"/>
                <w:sz w:val="22"/>
                <w:szCs w:val="22"/>
              </w:rPr>
              <w:t>V.2</w:t>
            </w:r>
            <w:r w:rsidR="00E60BBA">
              <w:rPr>
                <w:rFonts w:ascii="Arial" w:hAnsi="Arial" w:cs="Arial"/>
                <w:b/>
                <w:bCs/>
                <w:color w:val="000000"/>
                <w:sz w:val="22"/>
                <w:szCs w:val="22"/>
              </w:rPr>
              <w:t>7</w:t>
            </w:r>
          </w:p>
        </w:tc>
      </w:tr>
      <w:tr w:rsidR="00865C66" w:rsidRPr="00AB29A7" w:rsidTr="009267A2">
        <w:trPr>
          <w:trHeight w:val="210"/>
        </w:trPr>
        <w:tc>
          <w:tcPr>
            <w:tcW w:w="8425" w:type="dxa"/>
            <w:gridSpan w:val="7"/>
            <w:tcBorders>
              <w:top w:val="nil"/>
              <w:left w:val="nil"/>
              <w:bottom w:val="nil"/>
              <w:right w:val="nil"/>
            </w:tcBorders>
            <w:shd w:val="clear" w:color="auto" w:fill="auto"/>
            <w:noWrap/>
            <w:vAlign w:val="center"/>
            <w:hideMark/>
          </w:tcPr>
          <w:p w:rsidR="00865C66" w:rsidRPr="00AB29A7" w:rsidRDefault="00865C66" w:rsidP="009267A2">
            <w:pPr>
              <w:jc w:val="center"/>
              <w:rPr>
                <w:rFonts w:ascii="Arial" w:hAnsi="Arial" w:cs="Arial"/>
                <w:b/>
                <w:bCs/>
                <w:color w:val="000000"/>
                <w:sz w:val="20"/>
                <w:szCs w:val="20"/>
              </w:rPr>
            </w:pPr>
            <w:r w:rsidRPr="00E60C5C">
              <w:rPr>
                <w:rFonts w:ascii="Arial" w:hAnsi="Arial" w:cs="Arial"/>
                <w:b/>
                <w:bCs/>
                <w:color w:val="000000"/>
                <w:sz w:val="18"/>
                <w:szCs w:val="18"/>
              </w:rPr>
              <w:t>Please rate the need for services and facilities for each of the following special needs groups</w:t>
            </w:r>
            <w:r w:rsidRPr="00AB29A7">
              <w:rPr>
                <w:rFonts w:ascii="Arial" w:hAnsi="Arial" w:cs="Arial"/>
                <w:b/>
                <w:bCs/>
                <w:color w:val="000000"/>
                <w:sz w:val="20"/>
                <w:szCs w:val="20"/>
              </w:rPr>
              <w:t>.</w:t>
            </w:r>
          </w:p>
        </w:tc>
      </w:tr>
      <w:tr w:rsidR="00865C66" w:rsidRPr="00AB29A7" w:rsidTr="009267A2">
        <w:trPr>
          <w:trHeight w:val="210"/>
        </w:trPr>
        <w:tc>
          <w:tcPr>
            <w:tcW w:w="8425" w:type="dxa"/>
            <w:gridSpan w:val="7"/>
            <w:tcBorders>
              <w:top w:val="nil"/>
              <w:left w:val="nil"/>
              <w:bottom w:val="nil"/>
              <w:right w:val="nil"/>
            </w:tcBorders>
            <w:shd w:val="clear" w:color="auto" w:fill="auto"/>
            <w:noWrap/>
            <w:vAlign w:val="center"/>
            <w:hideMark/>
          </w:tcPr>
          <w:p w:rsidR="00865C66" w:rsidRPr="00AB29A7" w:rsidRDefault="00865C66" w:rsidP="009267A2">
            <w:pPr>
              <w:jc w:val="center"/>
              <w:rPr>
                <w:rFonts w:ascii="Arial" w:hAnsi="Arial" w:cs="Arial"/>
                <w:color w:val="000000"/>
                <w:sz w:val="16"/>
                <w:szCs w:val="16"/>
              </w:rPr>
            </w:pPr>
            <w:r w:rsidRPr="00AB29A7">
              <w:rPr>
                <w:rFonts w:ascii="Arial" w:hAnsi="Arial" w:cs="Arial"/>
                <w:noProof/>
                <w:color w:val="000000"/>
                <w:sz w:val="16"/>
                <w:szCs w:val="16"/>
              </w:rPr>
              <w:t>State of New Mexico</w:t>
            </w:r>
          </w:p>
        </w:tc>
      </w:tr>
      <w:tr w:rsidR="00865C66" w:rsidRPr="00AB29A7" w:rsidTr="009267A2">
        <w:trPr>
          <w:trHeight w:val="240"/>
        </w:trPr>
        <w:tc>
          <w:tcPr>
            <w:tcW w:w="8425" w:type="dxa"/>
            <w:gridSpan w:val="7"/>
            <w:tcBorders>
              <w:top w:val="nil"/>
              <w:left w:val="nil"/>
              <w:bottom w:val="single" w:sz="8" w:space="0" w:color="009900"/>
              <w:right w:val="nil"/>
            </w:tcBorders>
            <w:shd w:val="clear" w:color="auto" w:fill="auto"/>
            <w:noWrap/>
            <w:vAlign w:val="center"/>
            <w:hideMark/>
          </w:tcPr>
          <w:p w:rsidR="00865C66" w:rsidRPr="00AB29A7" w:rsidRDefault="00865C66" w:rsidP="009267A2">
            <w:pPr>
              <w:jc w:val="center"/>
              <w:rPr>
                <w:rFonts w:ascii="Arial" w:hAnsi="Arial" w:cs="Arial"/>
                <w:color w:val="000000"/>
                <w:sz w:val="16"/>
                <w:szCs w:val="16"/>
              </w:rPr>
            </w:pPr>
            <w:r w:rsidRPr="00AB29A7">
              <w:rPr>
                <w:rFonts w:ascii="Arial" w:hAnsi="Arial" w:cs="Arial"/>
                <w:bCs/>
                <w:color w:val="000000"/>
                <w:sz w:val="16"/>
                <w:szCs w:val="16"/>
              </w:rPr>
              <w:t>2014 Housing and Community Development Survey</w:t>
            </w:r>
          </w:p>
        </w:tc>
      </w:tr>
      <w:tr w:rsidR="00865C66" w:rsidRPr="00AB29A7" w:rsidTr="009267A2">
        <w:trPr>
          <w:trHeight w:val="300"/>
        </w:trPr>
        <w:tc>
          <w:tcPr>
            <w:tcW w:w="2825" w:type="dxa"/>
            <w:vMerge w:val="restart"/>
            <w:tcBorders>
              <w:top w:val="nil"/>
              <w:left w:val="single" w:sz="8" w:space="0" w:color="009900"/>
              <w:bottom w:val="single" w:sz="8" w:space="0" w:color="009900"/>
              <w:right w:val="nil"/>
            </w:tcBorders>
            <w:shd w:val="clear" w:color="000000" w:fill="FFFFE1"/>
            <w:noWrap/>
            <w:vAlign w:val="center"/>
            <w:hideMark/>
          </w:tcPr>
          <w:p w:rsidR="00865C66" w:rsidRPr="00AB29A7" w:rsidRDefault="00865C66" w:rsidP="009267A2">
            <w:pPr>
              <w:rPr>
                <w:rFonts w:ascii="Arial" w:hAnsi="Arial" w:cs="Arial"/>
                <w:b/>
                <w:bCs/>
                <w:color w:val="000000"/>
                <w:sz w:val="16"/>
                <w:szCs w:val="16"/>
              </w:rPr>
            </w:pPr>
            <w:r w:rsidRPr="00AB29A7">
              <w:rPr>
                <w:rFonts w:ascii="Arial" w:hAnsi="Arial" w:cs="Arial"/>
                <w:b/>
                <w:bCs/>
                <w:color w:val="000000"/>
                <w:sz w:val="16"/>
                <w:szCs w:val="16"/>
              </w:rPr>
              <w:t>Question</w:t>
            </w:r>
          </w:p>
        </w:tc>
        <w:tc>
          <w:tcPr>
            <w:tcW w:w="699" w:type="dxa"/>
            <w:tcBorders>
              <w:top w:val="nil"/>
              <w:left w:val="nil"/>
              <w:bottom w:val="nil"/>
              <w:right w:val="nil"/>
            </w:tcBorders>
            <w:shd w:val="clear" w:color="000000" w:fill="FFFFE1"/>
            <w:noWrap/>
            <w:vAlign w:val="center"/>
            <w:hideMark/>
          </w:tcPr>
          <w:p w:rsidR="00865C66" w:rsidRPr="00AB29A7" w:rsidRDefault="00865C66" w:rsidP="009267A2">
            <w:pPr>
              <w:jc w:val="center"/>
              <w:rPr>
                <w:rFonts w:ascii="Arial" w:hAnsi="Arial" w:cs="Arial"/>
                <w:b/>
                <w:bCs/>
                <w:color w:val="000000"/>
                <w:sz w:val="16"/>
                <w:szCs w:val="16"/>
              </w:rPr>
            </w:pPr>
            <w:r w:rsidRPr="00AB29A7">
              <w:rPr>
                <w:rFonts w:ascii="Arial" w:hAnsi="Arial" w:cs="Arial"/>
                <w:b/>
                <w:bCs/>
                <w:color w:val="000000"/>
                <w:sz w:val="16"/>
                <w:szCs w:val="16"/>
              </w:rPr>
              <w:t xml:space="preserve">No </w:t>
            </w:r>
          </w:p>
        </w:tc>
        <w:tc>
          <w:tcPr>
            <w:tcW w:w="699" w:type="dxa"/>
            <w:tcBorders>
              <w:top w:val="nil"/>
              <w:left w:val="nil"/>
              <w:bottom w:val="nil"/>
              <w:right w:val="nil"/>
            </w:tcBorders>
            <w:shd w:val="clear" w:color="000000" w:fill="FFFFE1"/>
            <w:noWrap/>
            <w:vAlign w:val="center"/>
            <w:hideMark/>
          </w:tcPr>
          <w:p w:rsidR="00865C66" w:rsidRPr="00AB29A7" w:rsidRDefault="00865C66" w:rsidP="009267A2">
            <w:pPr>
              <w:jc w:val="center"/>
              <w:rPr>
                <w:rFonts w:ascii="Arial" w:hAnsi="Arial" w:cs="Arial"/>
                <w:b/>
                <w:bCs/>
                <w:color w:val="000000"/>
                <w:sz w:val="16"/>
                <w:szCs w:val="16"/>
              </w:rPr>
            </w:pPr>
            <w:r w:rsidRPr="00AB29A7">
              <w:rPr>
                <w:rFonts w:ascii="Arial" w:hAnsi="Arial" w:cs="Arial"/>
                <w:b/>
                <w:bCs/>
                <w:color w:val="000000"/>
                <w:sz w:val="16"/>
                <w:szCs w:val="16"/>
              </w:rPr>
              <w:t xml:space="preserve">Low </w:t>
            </w:r>
          </w:p>
        </w:tc>
        <w:tc>
          <w:tcPr>
            <w:tcW w:w="1052" w:type="dxa"/>
            <w:tcBorders>
              <w:top w:val="nil"/>
              <w:left w:val="nil"/>
              <w:bottom w:val="nil"/>
              <w:right w:val="nil"/>
            </w:tcBorders>
            <w:shd w:val="clear" w:color="000000" w:fill="FFFFE1"/>
            <w:noWrap/>
            <w:vAlign w:val="center"/>
            <w:hideMark/>
          </w:tcPr>
          <w:p w:rsidR="00865C66" w:rsidRPr="00AB29A7" w:rsidRDefault="00865C66" w:rsidP="009267A2">
            <w:pPr>
              <w:jc w:val="center"/>
              <w:rPr>
                <w:rFonts w:ascii="Arial" w:hAnsi="Arial" w:cs="Arial"/>
                <w:b/>
                <w:bCs/>
                <w:color w:val="000000"/>
                <w:sz w:val="16"/>
                <w:szCs w:val="16"/>
              </w:rPr>
            </w:pPr>
            <w:r w:rsidRPr="00AB29A7">
              <w:rPr>
                <w:rFonts w:ascii="Arial" w:hAnsi="Arial" w:cs="Arial"/>
                <w:b/>
                <w:bCs/>
                <w:color w:val="000000"/>
                <w:sz w:val="16"/>
                <w:szCs w:val="16"/>
              </w:rPr>
              <w:t xml:space="preserve">Medium </w:t>
            </w:r>
          </w:p>
        </w:tc>
        <w:tc>
          <w:tcPr>
            <w:tcW w:w="699" w:type="dxa"/>
            <w:tcBorders>
              <w:top w:val="nil"/>
              <w:left w:val="nil"/>
              <w:bottom w:val="nil"/>
              <w:right w:val="nil"/>
            </w:tcBorders>
            <w:shd w:val="clear" w:color="000000" w:fill="FFFFE1"/>
            <w:noWrap/>
            <w:vAlign w:val="center"/>
            <w:hideMark/>
          </w:tcPr>
          <w:p w:rsidR="00865C66" w:rsidRPr="00AB29A7" w:rsidRDefault="00865C66" w:rsidP="009267A2">
            <w:pPr>
              <w:jc w:val="center"/>
              <w:rPr>
                <w:rFonts w:ascii="Arial" w:hAnsi="Arial" w:cs="Arial"/>
                <w:b/>
                <w:bCs/>
                <w:color w:val="000000"/>
                <w:sz w:val="16"/>
                <w:szCs w:val="16"/>
              </w:rPr>
            </w:pPr>
            <w:r w:rsidRPr="00AB29A7">
              <w:rPr>
                <w:rFonts w:ascii="Arial" w:hAnsi="Arial" w:cs="Arial"/>
                <w:b/>
                <w:bCs/>
                <w:color w:val="000000"/>
                <w:sz w:val="16"/>
                <w:szCs w:val="16"/>
              </w:rPr>
              <w:t xml:space="preserve">High </w:t>
            </w:r>
          </w:p>
        </w:tc>
        <w:tc>
          <w:tcPr>
            <w:tcW w:w="1314" w:type="dxa"/>
            <w:vMerge w:val="restart"/>
            <w:tcBorders>
              <w:top w:val="nil"/>
              <w:left w:val="nil"/>
              <w:bottom w:val="single" w:sz="8" w:space="0" w:color="009900"/>
              <w:right w:val="nil"/>
            </w:tcBorders>
            <w:shd w:val="clear" w:color="000000" w:fill="FFFFE1"/>
            <w:vAlign w:val="center"/>
            <w:hideMark/>
          </w:tcPr>
          <w:p w:rsidR="00865C66" w:rsidRPr="00AB29A7" w:rsidRDefault="00865C66" w:rsidP="009267A2">
            <w:pPr>
              <w:jc w:val="center"/>
              <w:rPr>
                <w:rFonts w:ascii="Arial" w:hAnsi="Arial" w:cs="Arial"/>
                <w:b/>
                <w:bCs/>
                <w:color w:val="000000"/>
                <w:sz w:val="16"/>
                <w:szCs w:val="16"/>
              </w:rPr>
            </w:pPr>
            <w:r w:rsidRPr="00AB29A7">
              <w:rPr>
                <w:rFonts w:ascii="Arial" w:hAnsi="Arial" w:cs="Arial"/>
                <w:b/>
                <w:bCs/>
                <w:color w:val="000000"/>
                <w:sz w:val="16"/>
                <w:szCs w:val="16"/>
              </w:rPr>
              <w:t>Missing</w:t>
            </w:r>
          </w:p>
        </w:tc>
        <w:tc>
          <w:tcPr>
            <w:tcW w:w="1137" w:type="dxa"/>
            <w:vMerge w:val="restart"/>
            <w:tcBorders>
              <w:top w:val="nil"/>
              <w:left w:val="nil"/>
              <w:bottom w:val="single" w:sz="8" w:space="0" w:color="009900"/>
              <w:right w:val="single" w:sz="8" w:space="0" w:color="009900"/>
            </w:tcBorders>
            <w:shd w:val="clear" w:color="000000" w:fill="FFFFE1"/>
            <w:vAlign w:val="center"/>
            <w:hideMark/>
          </w:tcPr>
          <w:p w:rsidR="00865C66" w:rsidRPr="00AB29A7" w:rsidRDefault="00865C66" w:rsidP="009267A2">
            <w:pPr>
              <w:jc w:val="center"/>
              <w:rPr>
                <w:rFonts w:ascii="Arial" w:hAnsi="Arial" w:cs="Arial"/>
                <w:b/>
                <w:bCs/>
                <w:color w:val="000000"/>
                <w:sz w:val="16"/>
                <w:szCs w:val="16"/>
              </w:rPr>
            </w:pPr>
            <w:r w:rsidRPr="00AB29A7">
              <w:rPr>
                <w:rFonts w:ascii="Arial" w:hAnsi="Arial" w:cs="Arial"/>
                <w:b/>
                <w:bCs/>
                <w:color w:val="000000"/>
                <w:sz w:val="16"/>
                <w:szCs w:val="16"/>
              </w:rPr>
              <w:t>Total</w:t>
            </w:r>
          </w:p>
        </w:tc>
      </w:tr>
      <w:tr w:rsidR="00865C66" w:rsidRPr="00AB29A7" w:rsidTr="009267A2">
        <w:trPr>
          <w:trHeight w:val="315"/>
        </w:trPr>
        <w:tc>
          <w:tcPr>
            <w:tcW w:w="2825" w:type="dxa"/>
            <w:vMerge/>
            <w:tcBorders>
              <w:top w:val="nil"/>
              <w:left w:val="single" w:sz="8" w:space="0" w:color="009900"/>
              <w:bottom w:val="single" w:sz="8" w:space="0" w:color="009900"/>
              <w:right w:val="nil"/>
            </w:tcBorders>
            <w:vAlign w:val="center"/>
            <w:hideMark/>
          </w:tcPr>
          <w:p w:rsidR="00865C66" w:rsidRPr="00AB29A7" w:rsidRDefault="00865C66" w:rsidP="009267A2">
            <w:pPr>
              <w:rPr>
                <w:rFonts w:ascii="Arial" w:hAnsi="Arial" w:cs="Arial"/>
                <w:b/>
                <w:bCs/>
                <w:color w:val="000000"/>
                <w:sz w:val="16"/>
                <w:szCs w:val="16"/>
              </w:rPr>
            </w:pPr>
          </w:p>
        </w:tc>
        <w:tc>
          <w:tcPr>
            <w:tcW w:w="699" w:type="dxa"/>
            <w:tcBorders>
              <w:top w:val="nil"/>
              <w:left w:val="nil"/>
              <w:bottom w:val="single" w:sz="8" w:space="0" w:color="009900"/>
              <w:right w:val="nil"/>
            </w:tcBorders>
            <w:shd w:val="clear" w:color="000000" w:fill="FFFFE1"/>
            <w:noWrap/>
            <w:vAlign w:val="center"/>
            <w:hideMark/>
          </w:tcPr>
          <w:p w:rsidR="00865C66" w:rsidRPr="00AB29A7" w:rsidRDefault="00865C66" w:rsidP="009267A2">
            <w:pPr>
              <w:jc w:val="center"/>
              <w:rPr>
                <w:rFonts w:ascii="Arial" w:hAnsi="Arial" w:cs="Arial"/>
                <w:b/>
                <w:bCs/>
                <w:color w:val="000000"/>
                <w:sz w:val="16"/>
                <w:szCs w:val="16"/>
              </w:rPr>
            </w:pPr>
            <w:r w:rsidRPr="00AB29A7">
              <w:rPr>
                <w:rFonts w:ascii="Arial" w:hAnsi="Arial" w:cs="Arial"/>
                <w:b/>
                <w:bCs/>
                <w:color w:val="000000"/>
                <w:sz w:val="16"/>
                <w:szCs w:val="16"/>
              </w:rPr>
              <w:t>Need</w:t>
            </w:r>
          </w:p>
        </w:tc>
        <w:tc>
          <w:tcPr>
            <w:tcW w:w="699" w:type="dxa"/>
            <w:tcBorders>
              <w:top w:val="nil"/>
              <w:left w:val="nil"/>
              <w:bottom w:val="single" w:sz="8" w:space="0" w:color="009900"/>
              <w:right w:val="nil"/>
            </w:tcBorders>
            <w:shd w:val="clear" w:color="000000" w:fill="FFFFE1"/>
            <w:noWrap/>
            <w:vAlign w:val="center"/>
            <w:hideMark/>
          </w:tcPr>
          <w:p w:rsidR="00865C66" w:rsidRPr="00AB29A7" w:rsidRDefault="00865C66" w:rsidP="009267A2">
            <w:pPr>
              <w:jc w:val="center"/>
              <w:rPr>
                <w:rFonts w:ascii="Arial" w:hAnsi="Arial" w:cs="Arial"/>
                <w:b/>
                <w:bCs/>
                <w:color w:val="000000"/>
                <w:sz w:val="16"/>
                <w:szCs w:val="16"/>
              </w:rPr>
            </w:pPr>
            <w:r w:rsidRPr="00AB29A7">
              <w:rPr>
                <w:rFonts w:ascii="Arial" w:hAnsi="Arial" w:cs="Arial"/>
                <w:b/>
                <w:bCs/>
                <w:color w:val="000000"/>
                <w:sz w:val="16"/>
                <w:szCs w:val="16"/>
              </w:rPr>
              <w:t>Need</w:t>
            </w:r>
          </w:p>
        </w:tc>
        <w:tc>
          <w:tcPr>
            <w:tcW w:w="1052" w:type="dxa"/>
            <w:tcBorders>
              <w:top w:val="nil"/>
              <w:left w:val="nil"/>
              <w:bottom w:val="single" w:sz="8" w:space="0" w:color="009900"/>
              <w:right w:val="nil"/>
            </w:tcBorders>
            <w:shd w:val="clear" w:color="000000" w:fill="FFFFE1"/>
            <w:noWrap/>
            <w:vAlign w:val="center"/>
            <w:hideMark/>
          </w:tcPr>
          <w:p w:rsidR="00865C66" w:rsidRPr="00AB29A7" w:rsidRDefault="00865C66" w:rsidP="009267A2">
            <w:pPr>
              <w:jc w:val="center"/>
              <w:rPr>
                <w:rFonts w:ascii="Arial" w:hAnsi="Arial" w:cs="Arial"/>
                <w:b/>
                <w:bCs/>
                <w:color w:val="000000"/>
                <w:sz w:val="16"/>
                <w:szCs w:val="16"/>
              </w:rPr>
            </w:pPr>
            <w:r w:rsidRPr="00AB29A7">
              <w:rPr>
                <w:rFonts w:ascii="Arial" w:hAnsi="Arial" w:cs="Arial"/>
                <w:b/>
                <w:bCs/>
                <w:color w:val="000000"/>
                <w:sz w:val="16"/>
                <w:szCs w:val="16"/>
              </w:rPr>
              <w:t>Need</w:t>
            </w:r>
          </w:p>
        </w:tc>
        <w:tc>
          <w:tcPr>
            <w:tcW w:w="699" w:type="dxa"/>
            <w:tcBorders>
              <w:top w:val="nil"/>
              <w:left w:val="nil"/>
              <w:bottom w:val="single" w:sz="8" w:space="0" w:color="009900"/>
              <w:right w:val="nil"/>
            </w:tcBorders>
            <w:shd w:val="clear" w:color="000000" w:fill="FFFFE1"/>
            <w:noWrap/>
            <w:vAlign w:val="center"/>
            <w:hideMark/>
          </w:tcPr>
          <w:p w:rsidR="00865C66" w:rsidRPr="00AB29A7" w:rsidRDefault="00865C66" w:rsidP="009267A2">
            <w:pPr>
              <w:jc w:val="center"/>
              <w:rPr>
                <w:rFonts w:ascii="Arial" w:hAnsi="Arial" w:cs="Arial"/>
                <w:b/>
                <w:bCs/>
                <w:color w:val="000000"/>
                <w:sz w:val="16"/>
                <w:szCs w:val="16"/>
              </w:rPr>
            </w:pPr>
            <w:r w:rsidRPr="00AB29A7">
              <w:rPr>
                <w:rFonts w:ascii="Arial" w:hAnsi="Arial" w:cs="Arial"/>
                <w:b/>
                <w:bCs/>
                <w:color w:val="000000"/>
                <w:sz w:val="16"/>
                <w:szCs w:val="16"/>
              </w:rPr>
              <w:t>Need</w:t>
            </w:r>
          </w:p>
        </w:tc>
        <w:tc>
          <w:tcPr>
            <w:tcW w:w="1314" w:type="dxa"/>
            <w:vMerge/>
            <w:tcBorders>
              <w:top w:val="nil"/>
              <w:left w:val="nil"/>
              <w:bottom w:val="single" w:sz="8" w:space="0" w:color="009900"/>
              <w:right w:val="nil"/>
            </w:tcBorders>
            <w:vAlign w:val="center"/>
            <w:hideMark/>
          </w:tcPr>
          <w:p w:rsidR="00865C66" w:rsidRPr="00AB29A7" w:rsidRDefault="00865C66" w:rsidP="009267A2">
            <w:pPr>
              <w:rPr>
                <w:rFonts w:ascii="Arial" w:hAnsi="Arial" w:cs="Arial"/>
                <w:b/>
                <w:bCs/>
                <w:color w:val="000000"/>
                <w:sz w:val="16"/>
                <w:szCs w:val="16"/>
              </w:rPr>
            </w:pPr>
          </w:p>
        </w:tc>
        <w:tc>
          <w:tcPr>
            <w:tcW w:w="1137" w:type="dxa"/>
            <w:vMerge/>
            <w:tcBorders>
              <w:top w:val="nil"/>
              <w:left w:val="nil"/>
              <w:bottom w:val="single" w:sz="8" w:space="0" w:color="009900"/>
              <w:right w:val="single" w:sz="8" w:space="0" w:color="009900"/>
            </w:tcBorders>
            <w:vAlign w:val="center"/>
            <w:hideMark/>
          </w:tcPr>
          <w:p w:rsidR="00865C66" w:rsidRPr="00AB29A7" w:rsidRDefault="00865C66" w:rsidP="009267A2">
            <w:pPr>
              <w:rPr>
                <w:rFonts w:ascii="Arial" w:hAnsi="Arial" w:cs="Arial"/>
                <w:b/>
                <w:bCs/>
                <w:color w:val="000000"/>
                <w:sz w:val="16"/>
                <w:szCs w:val="16"/>
              </w:rPr>
            </w:pPr>
          </w:p>
        </w:tc>
      </w:tr>
      <w:tr w:rsidR="00865C66" w:rsidRPr="00AB29A7" w:rsidTr="009267A2">
        <w:trPr>
          <w:trHeight w:val="315"/>
        </w:trPr>
        <w:tc>
          <w:tcPr>
            <w:tcW w:w="2825" w:type="dxa"/>
            <w:tcBorders>
              <w:top w:val="nil"/>
              <w:left w:val="single" w:sz="8" w:space="0" w:color="009900"/>
              <w:bottom w:val="single" w:sz="8" w:space="0" w:color="009900"/>
              <w:right w:val="nil"/>
            </w:tcBorders>
            <w:shd w:val="clear" w:color="000000" w:fill="FFFFE1"/>
            <w:noWrap/>
            <w:vAlign w:val="center"/>
            <w:hideMark/>
          </w:tcPr>
          <w:p w:rsidR="00865C66" w:rsidRPr="00AB29A7" w:rsidRDefault="00865C66" w:rsidP="009267A2">
            <w:pPr>
              <w:rPr>
                <w:rFonts w:ascii="Arial" w:hAnsi="Arial" w:cs="Arial"/>
                <w:color w:val="000000"/>
                <w:sz w:val="16"/>
                <w:szCs w:val="16"/>
              </w:rPr>
            </w:pPr>
            <w:r w:rsidRPr="00AB29A7">
              <w:rPr>
                <w:rFonts w:ascii="Arial" w:hAnsi="Arial" w:cs="Arial"/>
                <w:color w:val="000000"/>
                <w:sz w:val="16"/>
                <w:szCs w:val="16"/>
              </w:rPr>
              <w:t>Victims of domestic violence</w:t>
            </w:r>
          </w:p>
        </w:tc>
        <w:tc>
          <w:tcPr>
            <w:tcW w:w="699" w:type="dxa"/>
            <w:tcBorders>
              <w:top w:val="nil"/>
              <w:left w:val="nil"/>
              <w:bottom w:val="single" w:sz="8" w:space="0" w:color="009900"/>
              <w:right w:val="nil"/>
            </w:tcBorders>
            <w:shd w:val="clear" w:color="000000" w:fill="FFFFE1"/>
            <w:noWrap/>
            <w:vAlign w:val="center"/>
            <w:hideMark/>
          </w:tcPr>
          <w:p w:rsidR="00865C66" w:rsidRPr="00AB29A7" w:rsidRDefault="00865C66" w:rsidP="009267A2">
            <w:pPr>
              <w:jc w:val="center"/>
              <w:rPr>
                <w:rFonts w:ascii="Arial" w:hAnsi="Arial" w:cs="Arial"/>
                <w:color w:val="000000"/>
                <w:sz w:val="16"/>
                <w:szCs w:val="16"/>
              </w:rPr>
            </w:pPr>
            <w:r w:rsidRPr="00AB29A7">
              <w:rPr>
                <w:rFonts w:ascii="Arial" w:hAnsi="Arial" w:cs="Arial"/>
                <w:noProof/>
                <w:color w:val="000000"/>
                <w:sz w:val="16"/>
                <w:szCs w:val="16"/>
              </w:rPr>
              <w:t>1</w:t>
            </w:r>
          </w:p>
        </w:tc>
        <w:tc>
          <w:tcPr>
            <w:tcW w:w="699" w:type="dxa"/>
            <w:tcBorders>
              <w:top w:val="nil"/>
              <w:left w:val="nil"/>
              <w:bottom w:val="single" w:sz="8" w:space="0" w:color="009900"/>
              <w:right w:val="nil"/>
            </w:tcBorders>
            <w:shd w:val="clear" w:color="000000" w:fill="FFFFE1"/>
            <w:noWrap/>
            <w:vAlign w:val="center"/>
            <w:hideMark/>
          </w:tcPr>
          <w:p w:rsidR="00865C66" w:rsidRPr="00AB29A7" w:rsidRDefault="00865C66" w:rsidP="009267A2">
            <w:pPr>
              <w:jc w:val="center"/>
              <w:rPr>
                <w:rFonts w:ascii="Arial" w:hAnsi="Arial" w:cs="Arial"/>
                <w:color w:val="000000"/>
                <w:sz w:val="16"/>
                <w:szCs w:val="16"/>
              </w:rPr>
            </w:pPr>
            <w:r w:rsidRPr="00AB29A7">
              <w:rPr>
                <w:rFonts w:ascii="Arial" w:hAnsi="Arial" w:cs="Arial"/>
                <w:noProof/>
                <w:color w:val="000000"/>
                <w:sz w:val="16"/>
                <w:szCs w:val="16"/>
              </w:rPr>
              <w:t>8</w:t>
            </w:r>
          </w:p>
        </w:tc>
        <w:tc>
          <w:tcPr>
            <w:tcW w:w="1052" w:type="dxa"/>
            <w:tcBorders>
              <w:top w:val="nil"/>
              <w:left w:val="nil"/>
              <w:bottom w:val="single" w:sz="8" w:space="0" w:color="009900"/>
              <w:right w:val="nil"/>
            </w:tcBorders>
            <w:shd w:val="clear" w:color="000000" w:fill="FFFFE1"/>
            <w:noWrap/>
            <w:vAlign w:val="center"/>
            <w:hideMark/>
          </w:tcPr>
          <w:p w:rsidR="00865C66" w:rsidRPr="00AB29A7" w:rsidRDefault="00865C66" w:rsidP="009267A2">
            <w:pPr>
              <w:jc w:val="center"/>
              <w:rPr>
                <w:rFonts w:ascii="Arial" w:hAnsi="Arial" w:cs="Arial"/>
                <w:color w:val="000000"/>
                <w:sz w:val="16"/>
                <w:szCs w:val="16"/>
              </w:rPr>
            </w:pPr>
            <w:r w:rsidRPr="00AB29A7">
              <w:rPr>
                <w:rFonts w:ascii="Arial" w:hAnsi="Arial" w:cs="Arial"/>
                <w:noProof/>
                <w:color w:val="000000"/>
                <w:sz w:val="16"/>
                <w:szCs w:val="16"/>
              </w:rPr>
              <w:t>88</w:t>
            </w:r>
          </w:p>
        </w:tc>
        <w:tc>
          <w:tcPr>
            <w:tcW w:w="699" w:type="dxa"/>
            <w:tcBorders>
              <w:top w:val="nil"/>
              <w:left w:val="nil"/>
              <w:bottom w:val="single" w:sz="8" w:space="0" w:color="009900"/>
              <w:right w:val="nil"/>
            </w:tcBorders>
            <w:shd w:val="clear" w:color="000000" w:fill="FFFFE1"/>
            <w:noWrap/>
            <w:vAlign w:val="center"/>
            <w:hideMark/>
          </w:tcPr>
          <w:p w:rsidR="00865C66" w:rsidRPr="00AB29A7" w:rsidRDefault="00865C66" w:rsidP="009267A2">
            <w:pPr>
              <w:jc w:val="center"/>
              <w:rPr>
                <w:rFonts w:ascii="Arial" w:hAnsi="Arial" w:cs="Arial"/>
                <w:color w:val="000000"/>
                <w:sz w:val="16"/>
                <w:szCs w:val="16"/>
              </w:rPr>
            </w:pPr>
            <w:r w:rsidRPr="00AB29A7">
              <w:rPr>
                <w:rFonts w:ascii="Arial" w:hAnsi="Arial" w:cs="Arial"/>
                <w:noProof/>
                <w:color w:val="000000"/>
                <w:sz w:val="16"/>
                <w:szCs w:val="16"/>
              </w:rPr>
              <w:t>130</w:t>
            </w:r>
          </w:p>
        </w:tc>
        <w:tc>
          <w:tcPr>
            <w:tcW w:w="1314" w:type="dxa"/>
            <w:tcBorders>
              <w:top w:val="nil"/>
              <w:left w:val="nil"/>
              <w:bottom w:val="single" w:sz="8" w:space="0" w:color="009900"/>
              <w:right w:val="nil"/>
            </w:tcBorders>
            <w:shd w:val="clear" w:color="000000" w:fill="FFFFE1"/>
            <w:vAlign w:val="center"/>
            <w:hideMark/>
          </w:tcPr>
          <w:p w:rsidR="00865C66" w:rsidRPr="00AB29A7" w:rsidRDefault="00865C66" w:rsidP="009267A2">
            <w:pPr>
              <w:jc w:val="center"/>
              <w:rPr>
                <w:rFonts w:ascii="Arial" w:hAnsi="Arial" w:cs="Arial"/>
                <w:color w:val="000000"/>
                <w:sz w:val="16"/>
                <w:szCs w:val="16"/>
              </w:rPr>
            </w:pPr>
            <w:r w:rsidRPr="00AB29A7">
              <w:rPr>
                <w:rFonts w:ascii="Arial" w:hAnsi="Arial" w:cs="Arial"/>
                <w:noProof/>
                <w:color w:val="000000"/>
                <w:sz w:val="16"/>
                <w:szCs w:val="16"/>
              </w:rPr>
              <w:t>116</w:t>
            </w:r>
          </w:p>
        </w:tc>
        <w:tc>
          <w:tcPr>
            <w:tcW w:w="1137" w:type="dxa"/>
            <w:tcBorders>
              <w:top w:val="nil"/>
              <w:left w:val="nil"/>
              <w:bottom w:val="single" w:sz="8" w:space="0" w:color="009900"/>
              <w:right w:val="single" w:sz="8" w:space="0" w:color="009900"/>
            </w:tcBorders>
            <w:shd w:val="clear" w:color="000000" w:fill="FFFFE1"/>
            <w:vAlign w:val="center"/>
            <w:hideMark/>
          </w:tcPr>
          <w:p w:rsidR="00865C66" w:rsidRPr="00AB29A7" w:rsidRDefault="00865C66" w:rsidP="009267A2">
            <w:pPr>
              <w:jc w:val="center"/>
              <w:rPr>
                <w:rFonts w:ascii="Arial" w:hAnsi="Arial" w:cs="Arial"/>
                <w:color w:val="000000"/>
                <w:sz w:val="16"/>
                <w:szCs w:val="16"/>
              </w:rPr>
            </w:pPr>
            <w:r w:rsidRPr="00AB29A7">
              <w:rPr>
                <w:rFonts w:ascii="Arial" w:hAnsi="Arial" w:cs="Arial"/>
                <w:noProof/>
                <w:color w:val="000000"/>
                <w:sz w:val="16"/>
                <w:szCs w:val="16"/>
              </w:rPr>
              <w:t>343</w:t>
            </w:r>
          </w:p>
        </w:tc>
      </w:tr>
    </w:tbl>
    <w:p w:rsidR="00865C66" w:rsidRPr="00E60C5C" w:rsidRDefault="00865C66" w:rsidP="00E7106E">
      <w:pPr>
        <w:jc w:val="both"/>
        <w:rPr>
          <w:rFonts w:ascii="CG Omega" w:hAnsi="CG Omega"/>
          <w:b/>
          <w:bCs/>
          <w:smallCaps/>
        </w:rPr>
      </w:pPr>
    </w:p>
    <w:p w:rsidR="00E7106E" w:rsidRPr="00E60C5C" w:rsidRDefault="00E7106E" w:rsidP="00E7106E">
      <w:pPr>
        <w:jc w:val="both"/>
        <w:rPr>
          <w:rFonts w:ascii="CG Omega" w:hAnsi="CG Omega"/>
          <w:b/>
          <w:bCs/>
          <w:smallCaps/>
        </w:rPr>
      </w:pPr>
      <w:r w:rsidRPr="00E60C5C">
        <w:rPr>
          <w:rFonts w:ascii="CG Omega" w:hAnsi="CG Omega"/>
          <w:b/>
          <w:bCs/>
          <w:smallCaps/>
        </w:rPr>
        <w:t xml:space="preserve">People with HIV/AIDS and Their Families </w:t>
      </w:r>
    </w:p>
    <w:p w:rsidR="00E7106E" w:rsidRPr="00E60C5C" w:rsidRDefault="00E7106E" w:rsidP="00E7106E">
      <w:pPr>
        <w:jc w:val="both"/>
        <w:rPr>
          <w:rFonts w:ascii="CG Omega" w:hAnsi="CG Omega"/>
          <w:highlight w:val="yellow"/>
        </w:rPr>
      </w:pPr>
    </w:p>
    <w:p w:rsidR="00E7106E" w:rsidRPr="009A3B28" w:rsidRDefault="00E7106E" w:rsidP="00E7106E">
      <w:pPr>
        <w:jc w:val="both"/>
        <w:rPr>
          <w:rFonts w:ascii="CG Omega" w:hAnsi="CG Omega" w:cs="Arial"/>
          <w:snapToGrid w:val="0"/>
        </w:rPr>
      </w:pPr>
      <w:r w:rsidRPr="009A3B28">
        <w:rPr>
          <w:rFonts w:ascii="CG Omega" w:hAnsi="CG Omega" w:cs="Arial"/>
          <w:snapToGrid w:val="0"/>
        </w:rPr>
        <w:t xml:space="preserve">National research has demonstrated that housing is the greatest unmet service need among people living with HIV/AIDS.  Part of this can be attributed to several personal and structural factors unique to this population: loss of income due to progressive inability to maintain employment, disease progression requiring accessible facilities, and policy requirements that limit residence in temporary or transitional programs. </w:t>
      </w:r>
      <w:r w:rsidR="009A3B28">
        <w:rPr>
          <w:rFonts w:ascii="CG Omega" w:hAnsi="CG Omega" w:cs="Arial"/>
          <w:snapToGrid w:val="0"/>
        </w:rPr>
        <w:t xml:space="preserve">It is estimated that as many as half of all people living with HIV/AIDS </w:t>
      </w:r>
      <w:r w:rsidR="00BD4CF4">
        <w:rPr>
          <w:rFonts w:ascii="CG Omega" w:hAnsi="CG Omega" w:cs="Arial"/>
          <w:snapToGrid w:val="0"/>
        </w:rPr>
        <w:t>w</w:t>
      </w:r>
      <w:r w:rsidR="009A3B28">
        <w:rPr>
          <w:rFonts w:ascii="CG Omega" w:hAnsi="CG Omega" w:cs="Arial"/>
          <w:snapToGrid w:val="0"/>
        </w:rPr>
        <w:t>ill need housing assistance at some point in their illness.</w:t>
      </w:r>
      <w:r w:rsidR="009A3B28">
        <w:rPr>
          <w:rStyle w:val="FootnoteReference"/>
          <w:rFonts w:ascii="CG Omega" w:hAnsi="CG Omega" w:cs="Arial"/>
          <w:snapToGrid w:val="0"/>
        </w:rPr>
        <w:footnoteReference w:id="79"/>
      </w:r>
    </w:p>
    <w:p w:rsidR="00E7106E" w:rsidRPr="00E60C5C" w:rsidRDefault="00E7106E" w:rsidP="00E7106E">
      <w:pPr>
        <w:jc w:val="both"/>
        <w:rPr>
          <w:rFonts w:ascii="CG Omega" w:hAnsi="CG Omega" w:cs="Arial"/>
          <w:snapToGrid w:val="0"/>
          <w:sz w:val="22"/>
          <w:szCs w:val="22"/>
          <w:highlight w:val="yellow"/>
        </w:rPr>
      </w:pPr>
    </w:p>
    <w:p w:rsidR="00E7106E" w:rsidRPr="009A3B28" w:rsidRDefault="00E7106E" w:rsidP="00E7106E">
      <w:pPr>
        <w:jc w:val="both"/>
        <w:rPr>
          <w:rFonts w:ascii="CG Omega" w:hAnsi="CG Omega" w:cs="Arial"/>
          <w:snapToGrid w:val="0"/>
        </w:rPr>
      </w:pPr>
      <w:r w:rsidRPr="009A3B28">
        <w:rPr>
          <w:rFonts w:ascii="CG Omega" w:hAnsi="CG Omega" w:cs="Arial"/>
          <w:snapToGrid w:val="0"/>
        </w:rPr>
        <w:t>In addition, homelessness is a barrier to outpatient care and HIV/AIDS specific therapies.  The National Coalition for the Homeless reports that between one-third and one-half of all persons with HIV/AIDS are either homeless or at risk for becoming homeless.</w:t>
      </w:r>
      <w:r w:rsidRPr="009A3B28">
        <w:rPr>
          <w:rStyle w:val="FootnoteReference"/>
          <w:rFonts w:ascii="CG Omega" w:hAnsi="CG Omega" w:cs="Arial"/>
          <w:snapToGrid w:val="0"/>
        </w:rPr>
        <w:footnoteReference w:id="80"/>
      </w:r>
      <w:r w:rsidRPr="009A3B28">
        <w:rPr>
          <w:rFonts w:ascii="CG Omega" w:hAnsi="CG Omega" w:cs="Arial"/>
          <w:snapToGrid w:val="0"/>
        </w:rPr>
        <w:t xml:space="preserve">  Research shows that among people with HIV/AIDS, there is a strong correlation between housing and improved access to, ongoing engagement in, and treatment success with health care.</w:t>
      </w:r>
      <w:r w:rsidR="009A3B28">
        <w:rPr>
          <w:rFonts w:ascii="CG Omega" w:hAnsi="CG Omega" w:cs="Arial"/>
          <w:snapToGrid w:val="0"/>
        </w:rPr>
        <w:t xml:space="preserve"> When people are housed they, can</w:t>
      </w:r>
      <w:r w:rsidRPr="009A3B28">
        <w:rPr>
          <w:rFonts w:ascii="CG Omega" w:hAnsi="CG Omega" w:cs="Arial"/>
          <w:snapToGrid w:val="0"/>
        </w:rPr>
        <w:t xml:space="preserve"> </w:t>
      </w:r>
      <w:r w:rsidR="009A3B28">
        <w:rPr>
          <w:rFonts w:ascii="CG Omega" w:hAnsi="CG Omega" w:cs="Arial"/>
          <w:snapToGrid w:val="0"/>
        </w:rPr>
        <w:t xml:space="preserve">access and adhere to drug treatments and therapies, which may require fewer hospitalizations and </w:t>
      </w:r>
      <w:r w:rsidR="007F0868">
        <w:rPr>
          <w:rFonts w:ascii="CG Omega" w:hAnsi="CG Omega" w:cs="Arial"/>
          <w:snapToGrid w:val="0"/>
        </w:rPr>
        <w:t xml:space="preserve">less </w:t>
      </w:r>
      <w:r w:rsidR="009A3B28">
        <w:rPr>
          <w:rFonts w:ascii="CG Omega" w:hAnsi="CG Omega" w:cs="Arial"/>
          <w:snapToGrid w:val="0"/>
        </w:rPr>
        <w:t>emergency care.</w:t>
      </w:r>
      <w:r w:rsidR="009A3B28">
        <w:rPr>
          <w:rStyle w:val="FootnoteReference"/>
          <w:rFonts w:ascii="CG Omega" w:hAnsi="CG Omega" w:cs="Arial"/>
          <w:snapToGrid w:val="0"/>
        </w:rPr>
        <w:footnoteReference w:id="81"/>
      </w:r>
      <w:r w:rsidRPr="009A3B28">
        <w:rPr>
          <w:rFonts w:ascii="CG Omega" w:hAnsi="CG Omega" w:cs="Arial"/>
          <w:snapToGrid w:val="0"/>
        </w:rPr>
        <w:t xml:space="preserve"> This is partially due to the fact that complex medication regimens require that medicines be refrigerated and administered </w:t>
      </w:r>
      <w:r w:rsidR="009A3B28">
        <w:rPr>
          <w:rFonts w:ascii="CG Omega" w:hAnsi="CG Omega" w:cs="Arial"/>
          <w:snapToGrid w:val="0"/>
        </w:rPr>
        <w:t>according to a strict schedule.</w:t>
      </w:r>
      <w:r w:rsidRPr="009A3B28">
        <w:rPr>
          <w:rFonts w:ascii="CG Omega" w:hAnsi="CG Omega" w:cs="Arial"/>
          <w:snapToGrid w:val="0"/>
        </w:rPr>
        <w:t xml:space="preserve"> Furthermore, homeless HIV positive individuals have a death rate that is five times greater than that of housed HIV positive people, 5.3 to </w:t>
      </w:r>
      <w:r w:rsidR="00E60C5C">
        <w:rPr>
          <w:rFonts w:ascii="CG Omega" w:hAnsi="CG Omega" w:cs="Arial"/>
          <w:snapToGrid w:val="0"/>
        </w:rPr>
        <w:t>eight</w:t>
      </w:r>
      <w:r w:rsidRPr="009A3B28">
        <w:rPr>
          <w:rFonts w:ascii="CG Omega" w:hAnsi="CG Omega" w:cs="Arial"/>
          <w:snapToGrid w:val="0"/>
        </w:rPr>
        <w:t xml:space="preserve"> deaths per 100 people compared to </w:t>
      </w:r>
      <w:r w:rsidR="00E60C5C">
        <w:rPr>
          <w:rFonts w:ascii="CG Omega" w:hAnsi="CG Omega" w:cs="Arial"/>
          <w:snapToGrid w:val="0"/>
        </w:rPr>
        <w:t>one</w:t>
      </w:r>
      <w:r w:rsidRPr="009A3B28">
        <w:rPr>
          <w:rFonts w:ascii="CG Omega" w:hAnsi="CG Omega" w:cs="Arial"/>
          <w:snapToGrid w:val="0"/>
        </w:rPr>
        <w:t xml:space="preserve"> to </w:t>
      </w:r>
      <w:r w:rsidR="00E60C5C">
        <w:rPr>
          <w:rFonts w:ascii="CG Omega" w:hAnsi="CG Omega" w:cs="Arial"/>
          <w:snapToGrid w:val="0"/>
        </w:rPr>
        <w:t>two</w:t>
      </w:r>
      <w:r w:rsidRPr="009A3B28">
        <w:rPr>
          <w:rFonts w:ascii="CG Omega" w:hAnsi="CG Omega" w:cs="Arial"/>
          <w:snapToGrid w:val="0"/>
        </w:rPr>
        <w:t xml:space="preserve"> per 100 people.</w:t>
      </w:r>
      <w:r w:rsidRPr="009A3B28">
        <w:rPr>
          <w:rStyle w:val="FootnoteReference"/>
          <w:rFonts w:ascii="CG Omega" w:hAnsi="CG Omega" w:cs="Arial"/>
          <w:snapToGrid w:val="0"/>
        </w:rPr>
        <w:footnoteReference w:id="82"/>
      </w:r>
    </w:p>
    <w:p w:rsidR="00E7106E" w:rsidRPr="00E60C5C" w:rsidRDefault="00E7106E" w:rsidP="00E7106E">
      <w:pPr>
        <w:jc w:val="both"/>
        <w:rPr>
          <w:rFonts w:ascii="CG Omega" w:hAnsi="CG Omega" w:cs="Arial"/>
          <w:b/>
          <w:snapToGrid w:val="0"/>
          <w:highlight w:val="yellow"/>
        </w:rPr>
      </w:pPr>
    </w:p>
    <w:p w:rsidR="00E7106E" w:rsidRPr="00E60C5C" w:rsidRDefault="00E7106E" w:rsidP="00E7106E">
      <w:pPr>
        <w:jc w:val="both"/>
        <w:rPr>
          <w:rFonts w:ascii="CG Omega" w:hAnsi="CG Omega" w:cs="Arial"/>
          <w:b/>
          <w:snapToGrid w:val="0"/>
        </w:rPr>
      </w:pPr>
      <w:r w:rsidRPr="00E60C5C">
        <w:rPr>
          <w:rFonts w:ascii="CG Omega" w:hAnsi="CG Omega" w:cs="Arial"/>
          <w:b/>
          <w:snapToGrid w:val="0"/>
        </w:rPr>
        <w:t>Size and Characteristics</w:t>
      </w:r>
    </w:p>
    <w:p w:rsidR="00E7106E" w:rsidRPr="00E60C5C" w:rsidRDefault="00E7106E" w:rsidP="00E7106E">
      <w:pPr>
        <w:jc w:val="both"/>
        <w:rPr>
          <w:rFonts w:ascii="CG Omega" w:hAnsi="CG Omega" w:cs="Arial"/>
          <w:b/>
          <w:snapToGrid w:val="0"/>
          <w:highlight w:val="yellow"/>
        </w:rPr>
      </w:pPr>
    </w:p>
    <w:p w:rsidR="00E249CE" w:rsidRDefault="00E249CE" w:rsidP="00E249CE">
      <w:pPr>
        <w:jc w:val="both"/>
        <w:rPr>
          <w:rFonts w:ascii="CG Omega" w:hAnsi="CG Omega" w:cs="Arial"/>
          <w:snapToGrid w:val="0"/>
        </w:rPr>
      </w:pPr>
      <w:r w:rsidRPr="00792B58">
        <w:rPr>
          <w:rFonts w:ascii="CG Omega" w:hAnsi="CG Omega" w:cs="Arial"/>
          <w:snapToGrid w:val="0"/>
        </w:rPr>
        <w:t xml:space="preserve">According to information gathered from the New Mexico Department of Health, a total of </w:t>
      </w:r>
      <w:r>
        <w:rPr>
          <w:rFonts w:ascii="CG Omega" w:hAnsi="CG Omega" w:cs="Arial"/>
          <w:snapToGrid w:val="0"/>
        </w:rPr>
        <w:t>1,789</w:t>
      </w:r>
      <w:r w:rsidRPr="00792B58">
        <w:rPr>
          <w:rFonts w:ascii="CG Omega" w:hAnsi="CG Omega" w:cs="Arial"/>
          <w:snapToGrid w:val="0"/>
        </w:rPr>
        <w:t xml:space="preserve"> persons were living with </w:t>
      </w:r>
      <w:r>
        <w:rPr>
          <w:rFonts w:ascii="CG Omega" w:hAnsi="CG Omega" w:cs="Arial"/>
          <w:snapToGrid w:val="0"/>
        </w:rPr>
        <w:t>AIDS</w:t>
      </w:r>
      <w:r w:rsidRPr="00792B58">
        <w:rPr>
          <w:rFonts w:ascii="CG Omega" w:hAnsi="CG Omega" w:cs="Arial"/>
          <w:snapToGrid w:val="0"/>
        </w:rPr>
        <w:t xml:space="preserve"> in New Mexico</w:t>
      </w:r>
      <w:r>
        <w:rPr>
          <w:rFonts w:ascii="CG Omega" w:hAnsi="CG Omega" w:cs="Arial"/>
          <w:snapToGrid w:val="0"/>
        </w:rPr>
        <w:t xml:space="preserve"> by the end of the year in 2012</w:t>
      </w:r>
      <w:r w:rsidRPr="00792B58">
        <w:rPr>
          <w:rFonts w:ascii="CG Omega" w:hAnsi="CG Omega" w:cs="Arial"/>
          <w:snapToGrid w:val="0"/>
        </w:rPr>
        <w:t>, and an additional 1,113 persons were living with HIV.  Thus a total of 2,902 persons were living with HIV or Stage 3 (AIDS) in New Mexico as of that time.</w:t>
      </w:r>
      <w:r>
        <w:rPr>
          <w:rStyle w:val="FootnoteReference"/>
          <w:rFonts w:ascii="CG Omega" w:hAnsi="CG Omega" w:cs="Arial"/>
          <w:snapToGrid w:val="0"/>
        </w:rPr>
        <w:footnoteReference w:id="83"/>
      </w:r>
      <w:r w:rsidRPr="00792B58">
        <w:rPr>
          <w:rFonts w:ascii="CG Omega" w:hAnsi="CG Omega" w:cs="Arial"/>
          <w:snapToGrid w:val="0"/>
        </w:rPr>
        <w:t xml:space="preserve">  Of all persons living with HIV/AIDS in the state, 88.0 percent were male and 12.0 percent were female. The highest racial/ethnic group of this special needs group was Hispanic </w:t>
      </w:r>
      <w:r>
        <w:rPr>
          <w:rFonts w:ascii="CG Omega" w:hAnsi="CG Omega" w:cs="Arial"/>
          <w:snapToGrid w:val="0"/>
        </w:rPr>
        <w:t>at 44 percent</w:t>
      </w:r>
      <w:r w:rsidRPr="00792B58">
        <w:rPr>
          <w:rFonts w:ascii="CG Omega" w:hAnsi="CG Omega" w:cs="Arial"/>
          <w:snapToGrid w:val="0"/>
        </w:rPr>
        <w:t xml:space="preserve">, followed by White </w:t>
      </w:r>
      <w:r>
        <w:rPr>
          <w:rFonts w:ascii="CG Omega" w:hAnsi="CG Omega" w:cs="Arial"/>
          <w:snapToGrid w:val="0"/>
        </w:rPr>
        <w:t>at 39 percent,</w:t>
      </w:r>
      <w:r w:rsidRPr="00792B58">
        <w:rPr>
          <w:rFonts w:ascii="CG Omega" w:hAnsi="CG Omega" w:cs="Arial"/>
          <w:snapToGrid w:val="0"/>
        </w:rPr>
        <w:t xml:space="preserve"> American Indian/Alaskan native </w:t>
      </w:r>
      <w:r>
        <w:rPr>
          <w:rFonts w:ascii="CG Omega" w:hAnsi="CG Omega" w:cs="Arial"/>
          <w:snapToGrid w:val="0"/>
        </w:rPr>
        <w:t>at eight percent,</w:t>
      </w:r>
      <w:r w:rsidRPr="00792B58">
        <w:rPr>
          <w:rFonts w:ascii="CG Omega" w:hAnsi="CG Omega" w:cs="Arial"/>
          <w:snapToGrid w:val="0"/>
        </w:rPr>
        <w:t xml:space="preserve"> African American</w:t>
      </w:r>
      <w:r>
        <w:rPr>
          <w:rFonts w:ascii="CG Omega" w:hAnsi="CG Omega" w:cs="Arial"/>
          <w:snapToGrid w:val="0"/>
        </w:rPr>
        <w:t xml:space="preserve"> at six percent</w:t>
      </w:r>
      <w:r w:rsidRPr="00792B58">
        <w:rPr>
          <w:rFonts w:ascii="CG Omega" w:hAnsi="CG Omega" w:cs="Arial"/>
          <w:snapToGrid w:val="0"/>
        </w:rPr>
        <w:t xml:space="preserve">, </w:t>
      </w:r>
      <w:r>
        <w:rPr>
          <w:rFonts w:ascii="CG Omega" w:hAnsi="CG Omega" w:cs="Arial"/>
          <w:snapToGrid w:val="0"/>
        </w:rPr>
        <w:t>Multi-race at two percent</w:t>
      </w:r>
      <w:r w:rsidRPr="00792B58">
        <w:rPr>
          <w:rFonts w:ascii="CG Omega" w:hAnsi="CG Omega" w:cs="Arial"/>
          <w:snapToGrid w:val="0"/>
        </w:rPr>
        <w:t>, and Asian/Pacific Islander</w:t>
      </w:r>
      <w:r>
        <w:rPr>
          <w:rFonts w:ascii="CG Omega" w:hAnsi="CG Omega" w:cs="Arial"/>
          <w:snapToGrid w:val="0"/>
        </w:rPr>
        <w:t xml:space="preserve"> at one percent</w:t>
      </w:r>
      <w:r w:rsidRPr="00792B58">
        <w:rPr>
          <w:rFonts w:ascii="CG Omega" w:hAnsi="CG Omega" w:cs="Arial"/>
          <w:snapToGrid w:val="0"/>
        </w:rPr>
        <w:t>.  Additionally, 36 percent of the persons in this sp</w:t>
      </w:r>
      <w:r>
        <w:rPr>
          <w:rFonts w:ascii="CG Omega" w:hAnsi="CG Omega" w:cs="Arial"/>
          <w:snapToGrid w:val="0"/>
        </w:rPr>
        <w:t>ecial needs population were aged</w:t>
      </w:r>
      <w:r w:rsidRPr="00792B58">
        <w:rPr>
          <w:rFonts w:ascii="CG Omega" w:hAnsi="CG Omega" w:cs="Arial"/>
          <w:snapToGrid w:val="0"/>
        </w:rPr>
        <w:t xml:space="preserve"> 45-54.  The Department of Health also provides data on the regional prominence of </w:t>
      </w:r>
      <w:r w:rsidR="006C7646">
        <w:rPr>
          <w:rFonts w:ascii="CG Omega" w:hAnsi="CG Omega" w:cs="Arial"/>
          <w:snapToGrid w:val="0"/>
        </w:rPr>
        <w:t>the disease.</w:t>
      </w:r>
      <w:r w:rsidRPr="00792B58">
        <w:rPr>
          <w:rFonts w:ascii="CG Omega" w:hAnsi="CG Omega" w:cs="Arial"/>
          <w:snapToGrid w:val="0"/>
        </w:rPr>
        <w:t xml:space="preserve"> According to this data source, 51 percent of persons were located in the </w:t>
      </w:r>
      <w:r w:rsidR="009A3B28">
        <w:rPr>
          <w:rFonts w:ascii="CG Omega" w:hAnsi="CG Omega" w:cs="Arial"/>
          <w:snapToGrid w:val="0"/>
        </w:rPr>
        <w:t xml:space="preserve">Albuquerque </w:t>
      </w:r>
      <w:r w:rsidR="009A3B28" w:rsidRPr="00792B58">
        <w:rPr>
          <w:rFonts w:ascii="CG Omega" w:hAnsi="CG Omega" w:cs="Arial"/>
          <w:snapToGrid w:val="0"/>
        </w:rPr>
        <w:t>Metro</w:t>
      </w:r>
      <w:r w:rsidR="009A3B28">
        <w:rPr>
          <w:rFonts w:ascii="CG Omega" w:hAnsi="CG Omega" w:cs="Arial"/>
          <w:snapToGrid w:val="0"/>
        </w:rPr>
        <w:t>politan</w:t>
      </w:r>
      <w:r w:rsidRPr="00792B58">
        <w:rPr>
          <w:rFonts w:ascii="CG Omega" w:hAnsi="CG Omega" w:cs="Arial"/>
          <w:snapToGrid w:val="0"/>
        </w:rPr>
        <w:t xml:space="preserve"> are</w:t>
      </w:r>
      <w:r w:rsidR="006C7646">
        <w:rPr>
          <w:rFonts w:ascii="CG Omega" w:hAnsi="CG Omega" w:cs="Arial"/>
          <w:snapToGrid w:val="0"/>
        </w:rPr>
        <w:t>a</w:t>
      </w:r>
      <w:r w:rsidRPr="00792B58">
        <w:rPr>
          <w:rFonts w:ascii="CG Omega" w:hAnsi="CG Omega" w:cs="Arial"/>
          <w:snapToGrid w:val="0"/>
        </w:rPr>
        <w:t xml:space="preserve"> of New Mexico, followed by 19 percent in the Northeast.</w:t>
      </w:r>
      <w:r>
        <w:rPr>
          <w:rStyle w:val="FootnoteReference"/>
          <w:rFonts w:ascii="CG Omega" w:hAnsi="CG Omega" w:cs="Arial"/>
          <w:snapToGrid w:val="0"/>
        </w:rPr>
        <w:footnoteReference w:id="84"/>
      </w:r>
      <w:r w:rsidR="009A3B28">
        <w:rPr>
          <w:rFonts w:ascii="CG Omega" w:hAnsi="CG Omega" w:cs="Arial"/>
          <w:snapToGrid w:val="0"/>
        </w:rPr>
        <w:t xml:space="preserve"> The Albuquerque Metropolitan area, or Metro, includes Bernalillo, Sandoval, Torrance, and Valencia counties.  </w:t>
      </w:r>
    </w:p>
    <w:p w:rsidR="00E249CE" w:rsidRPr="00E60C5C" w:rsidRDefault="00E249CE" w:rsidP="00E249CE">
      <w:pPr>
        <w:jc w:val="both"/>
        <w:rPr>
          <w:rFonts w:ascii="CG Omega" w:hAnsi="CG Omega" w:cs="Arial"/>
          <w:snapToGrid w:val="0"/>
          <w:sz w:val="20"/>
          <w:szCs w:val="20"/>
        </w:rPr>
      </w:pPr>
    </w:p>
    <w:p w:rsidR="00E249CE" w:rsidRPr="00E60C5C" w:rsidRDefault="00E249CE" w:rsidP="00E249CE">
      <w:pPr>
        <w:jc w:val="both"/>
        <w:rPr>
          <w:rFonts w:ascii="CG Omega" w:hAnsi="CG Omega" w:cs="Arial"/>
          <w:snapToGrid w:val="0"/>
          <w:highlight w:val="yellow"/>
        </w:rPr>
      </w:pPr>
      <w:r w:rsidRPr="00E60C5C">
        <w:rPr>
          <w:rFonts w:ascii="CG Omega" w:hAnsi="CG Omega" w:cs="Arial"/>
          <w:snapToGrid w:val="0"/>
        </w:rPr>
        <w:t xml:space="preserve">There were 121 new diagnoses of HIV in 2012.  Of those newly diagnosed, 91 percent were </w:t>
      </w:r>
      <w:r w:rsidR="006C7646" w:rsidRPr="00E60C5C">
        <w:rPr>
          <w:rFonts w:ascii="CG Omega" w:hAnsi="CG Omega" w:cs="Arial"/>
          <w:snapToGrid w:val="0"/>
        </w:rPr>
        <w:t>male and 9 percent were female.</w:t>
      </w:r>
      <w:r w:rsidRPr="00E60C5C">
        <w:rPr>
          <w:rFonts w:ascii="CG Omega" w:hAnsi="CG Omega" w:cs="Arial"/>
          <w:snapToGrid w:val="0"/>
        </w:rPr>
        <w:t xml:space="preserve"> Within new diagnoses, 55 percent were Hispanic, f</w:t>
      </w:r>
      <w:r w:rsidR="006C7646" w:rsidRPr="00E60C5C">
        <w:rPr>
          <w:rFonts w:ascii="CG Omega" w:hAnsi="CG Omega" w:cs="Arial"/>
          <w:snapToGrid w:val="0"/>
        </w:rPr>
        <w:t>ollowed by White at 24 percent.</w:t>
      </w:r>
      <w:r w:rsidRPr="00E60C5C">
        <w:rPr>
          <w:rFonts w:ascii="CG Omega" w:hAnsi="CG Omega" w:cs="Arial"/>
          <w:snapToGrid w:val="0"/>
        </w:rPr>
        <w:t xml:space="preserve"> The largest age group for new diagnoses was 25-34 year olds at 34 percent.  The smallest age group within new diagnoses is those persons over the age of 55, at five percent.  The most new diagnoses were located in the Metro region, with 42 percent of all</w:t>
      </w:r>
      <w:r w:rsidR="006C7646" w:rsidRPr="00E60C5C">
        <w:rPr>
          <w:rFonts w:ascii="CG Omega" w:hAnsi="CG Omega" w:cs="Arial"/>
          <w:snapToGrid w:val="0"/>
        </w:rPr>
        <w:t xml:space="preserve"> new diagnoses occurring there.</w:t>
      </w:r>
      <w:r w:rsidRPr="00E60C5C">
        <w:rPr>
          <w:rFonts w:ascii="CG Omega" w:hAnsi="CG Omega" w:cs="Arial"/>
          <w:snapToGrid w:val="0"/>
        </w:rPr>
        <w:t xml:space="preserve"> The second highest location for new diagnoses was in the Southwest region, with 21 percent.</w:t>
      </w:r>
    </w:p>
    <w:p w:rsidR="009C7784" w:rsidRPr="00E60C5C" w:rsidRDefault="009C7784" w:rsidP="00E7106E">
      <w:pPr>
        <w:jc w:val="both"/>
        <w:rPr>
          <w:rFonts w:ascii="CG Omega" w:hAnsi="CG Omega" w:cs="Arial"/>
          <w:snapToGrid w:val="0"/>
          <w:sz w:val="20"/>
          <w:szCs w:val="20"/>
        </w:rPr>
      </w:pPr>
    </w:p>
    <w:p w:rsidR="00E7106E" w:rsidRPr="00FB49C7" w:rsidRDefault="00E7106E" w:rsidP="00E7106E">
      <w:pPr>
        <w:jc w:val="both"/>
        <w:rPr>
          <w:rFonts w:ascii="CG Omega" w:hAnsi="CG Omega" w:cs="Arial"/>
          <w:b/>
          <w:snapToGrid w:val="0"/>
        </w:rPr>
      </w:pPr>
      <w:r w:rsidRPr="00FB49C7">
        <w:rPr>
          <w:rFonts w:ascii="CG Omega" w:hAnsi="CG Omega" w:cs="Arial"/>
          <w:b/>
          <w:snapToGrid w:val="0"/>
        </w:rPr>
        <w:t>Services and Housing Currently Provided</w:t>
      </w:r>
    </w:p>
    <w:p w:rsidR="002F2326" w:rsidRPr="00E60C5C" w:rsidRDefault="002F2326" w:rsidP="00E7106E">
      <w:pPr>
        <w:jc w:val="both"/>
        <w:rPr>
          <w:rFonts w:ascii="CG Omega" w:hAnsi="CG Omega" w:cs="Arial"/>
          <w:snapToGrid w:val="0"/>
          <w:sz w:val="20"/>
          <w:szCs w:val="20"/>
          <w:highlight w:val="yellow"/>
        </w:rPr>
      </w:pPr>
    </w:p>
    <w:tbl>
      <w:tblPr>
        <w:tblpPr w:leftFromText="180" w:rightFromText="180" w:vertAnchor="text" w:horzAnchor="margin" w:tblpXSpec="right" w:tblpY="73"/>
        <w:tblOverlap w:val="never"/>
        <w:tblW w:w="3992" w:type="dxa"/>
        <w:tblLook w:val="0000" w:firstRow="0" w:lastRow="0" w:firstColumn="0" w:lastColumn="0" w:noHBand="0" w:noVBand="0"/>
      </w:tblPr>
      <w:tblGrid>
        <w:gridCol w:w="2868"/>
        <w:gridCol w:w="1124"/>
      </w:tblGrid>
      <w:tr w:rsidR="00D93E3B" w:rsidRPr="00955C8C" w:rsidTr="00E60C5C">
        <w:trPr>
          <w:trHeight w:val="595"/>
        </w:trPr>
        <w:tc>
          <w:tcPr>
            <w:tcW w:w="3992" w:type="dxa"/>
            <w:gridSpan w:val="2"/>
            <w:tcBorders>
              <w:top w:val="single" w:sz="4" w:space="0" w:color="009900"/>
              <w:left w:val="single" w:sz="4" w:space="0" w:color="009900"/>
              <w:right w:val="single" w:sz="4" w:space="0" w:color="009900"/>
            </w:tcBorders>
            <w:shd w:val="clear" w:color="auto" w:fill="FFFFE1"/>
            <w:noWrap/>
            <w:vAlign w:val="bottom"/>
          </w:tcPr>
          <w:p w:rsidR="00D93E3B" w:rsidRPr="009B4972" w:rsidRDefault="00D93E3B" w:rsidP="00D93E3B">
            <w:pPr>
              <w:jc w:val="center"/>
              <w:rPr>
                <w:rFonts w:ascii="Arial" w:hAnsi="Arial" w:cs="Arial"/>
                <w:b/>
                <w:bCs/>
                <w:sz w:val="23"/>
                <w:szCs w:val="23"/>
              </w:rPr>
            </w:pPr>
            <w:r w:rsidRPr="009B4972">
              <w:rPr>
                <w:rFonts w:ascii="Arial" w:hAnsi="Arial" w:cs="Arial"/>
                <w:b/>
                <w:bCs/>
                <w:sz w:val="23"/>
                <w:szCs w:val="23"/>
              </w:rPr>
              <w:t>Table V.2</w:t>
            </w:r>
            <w:r w:rsidR="00E60BBA">
              <w:rPr>
                <w:rFonts w:ascii="Arial" w:hAnsi="Arial" w:cs="Arial"/>
                <w:b/>
                <w:bCs/>
                <w:sz w:val="23"/>
                <w:szCs w:val="23"/>
              </w:rPr>
              <w:t>8</w:t>
            </w:r>
          </w:p>
          <w:p w:rsidR="00D93E3B" w:rsidRPr="009B4972" w:rsidRDefault="00D93E3B" w:rsidP="00D93E3B">
            <w:pPr>
              <w:jc w:val="center"/>
              <w:rPr>
                <w:rFonts w:ascii="Arial" w:hAnsi="Arial" w:cs="Arial"/>
                <w:b/>
                <w:bCs/>
                <w:sz w:val="20"/>
                <w:szCs w:val="20"/>
              </w:rPr>
            </w:pPr>
            <w:r w:rsidRPr="009B4972">
              <w:rPr>
                <w:rFonts w:ascii="Arial" w:hAnsi="Arial" w:cs="Arial"/>
                <w:b/>
                <w:bCs/>
                <w:sz w:val="20"/>
                <w:szCs w:val="20"/>
              </w:rPr>
              <w:t>HIV Service Providers</w:t>
            </w:r>
          </w:p>
          <w:p w:rsidR="00D93E3B" w:rsidRPr="009B4972" w:rsidRDefault="00D93E3B" w:rsidP="00D93E3B">
            <w:pPr>
              <w:jc w:val="center"/>
              <w:rPr>
                <w:rFonts w:ascii="Arial" w:hAnsi="Arial" w:cs="Arial"/>
                <w:bCs/>
                <w:sz w:val="16"/>
                <w:szCs w:val="16"/>
              </w:rPr>
            </w:pPr>
            <w:r w:rsidRPr="009B4972">
              <w:rPr>
                <w:rFonts w:ascii="Arial" w:hAnsi="Arial" w:cs="Arial"/>
                <w:bCs/>
                <w:sz w:val="16"/>
                <w:szCs w:val="16"/>
              </w:rPr>
              <w:t>State of New Mexico</w:t>
            </w:r>
            <w:r>
              <w:rPr>
                <w:rFonts w:ascii="Arial" w:hAnsi="Arial" w:cs="Arial"/>
                <w:bCs/>
                <w:sz w:val="16"/>
                <w:szCs w:val="16"/>
              </w:rPr>
              <w:t xml:space="preserve"> 2010</w:t>
            </w:r>
          </w:p>
          <w:p w:rsidR="00D93E3B" w:rsidRPr="009B4972" w:rsidRDefault="00D93E3B" w:rsidP="00D93E3B">
            <w:pPr>
              <w:jc w:val="center"/>
              <w:rPr>
                <w:rFonts w:ascii="Arial" w:hAnsi="Arial" w:cs="Arial"/>
                <w:b/>
                <w:bCs/>
              </w:rPr>
            </w:pPr>
            <w:r w:rsidRPr="009B4972">
              <w:rPr>
                <w:rFonts w:ascii="Arial" w:hAnsi="Arial" w:cs="Arial"/>
                <w:bCs/>
                <w:sz w:val="16"/>
                <w:szCs w:val="16"/>
              </w:rPr>
              <w:t>MFA Data</w:t>
            </w:r>
          </w:p>
        </w:tc>
      </w:tr>
      <w:tr w:rsidR="00D93E3B" w:rsidRPr="00955C8C" w:rsidTr="00E60C5C">
        <w:trPr>
          <w:trHeight w:val="225"/>
        </w:trPr>
        <w:tc>
          <w:tcPr>
            <w:tcW w:w="2868" w:type="dxa"/>
            <w:tcBorders>
              <w:top w:val="single" w:sz="4" w:space="0" w:color="009900"/>
              <w:left w:val="single" w:sz="4" w:space="0" w:color="009900"/>
              <w:bottom w:val="single" w:sz="4" w:space="0" w:color="009900"/>
              <w:right w:val="nil"/>
            </w:tcBorders>
            <w:shd w:val="clear" w:color="auto" w:fill="FFFFE1"/>
            <w:noWrap/>
            <w:vAlign w:val="bottom"/>
          </w:tcPr>
          <w:p w:rsidR="00D93E3B" w:rsidRPr="009B4972" w:rsidRDefault="00D93E3B" w:rsidP="00D93E3B">
            <w:pPr>
              <w:rPr>
                <w:rFonts w:ascii="Arial" w:hAnsi="Arial" w:cs="Arial"/>
                <w:b/>
                <w:bCs/>
                <w:sz w:val="16"/>
                <w:szCs w:val="16"/>
              </w:rPr>
            </w:pPr>
            <w:r w:rsidRPr="009B4972">
              <w:rPr>
                <w:rFonts w:ascii="Arial" w:hAnsi="Arial" w:cs="Arial"/>
                <w:b/>
                <w:bCs/>
                <w:sz w:val="16"/>
                <w:szCs w:val="16"/>
              </w:rPr>
              <w:t>Service Organization</w:t>
            </w:r>
          </w:p>
        </w:tc>
        <w:tc>
          <w:tcPr>
            <w:tcW w:w="1124" w:type="dxa"/>
            <w:tcBorders>
              <w:top w:val="single" w:sz="4" w:space="0" w:color="009900"/>
              <w:left w:val="nil"/>
              <w:bottom w:val="single" w:sz="4" w:space="0" w:color="009900"/>
              <w:right w:val="single" w:sz="4" w:space="0" w:color="009900"/>
            </w:tcBorders>
            <w:shd w:val="clear" w:color="auto" w:fill="FFFFE1"/>
            <w:noWrap/>
            <w:vAlign w:val="bottom"/>
          </w:tcPr>
          <w:p w:rsidR="00D93E3B" w:rsidRPr="009B4972" w:rsidRDefault="00D93E3B" w:rsidP="00D93E3B">
            <w:pPr>
              <w:rPr>
                <w:rFonts w:ascii="Arial" w:hAnsi="Arial" w:cs="Arial"/>
                <w:b/>
                <w:bCs/>
                <w:sz w:val="16"/>
                <w:szCs w:val="16"/>
              </w:rPr>
            </w:pPr>
            <w:r w:rsidRPr="009B4972">
              <w:rPr>
                <w:rFonts w:ascii="Arial" w:hAnsi="Arial" w:cs="Arial"/>
                <w:b/>
                <w:bCs/>
                <w:sz w:val="16"/>
                <w:szCs w:val="16"/>
              </w:rPr>
              <w:t>Location</w:t>
            </w:r>
          </w:p>
        </w:tc>
      </w:tr>
      <w:tr w:rsidR="00D93E3B" w:rsidRPr="00955C8C" w:rsidTr="00E60C5C">
        <w:trPr>
          <w:trHeight w:val="225"/>
        </w:trPr>
        <w:tc>
          <w:tcPr>
            <w:tcW w:w="2868" w:type="dxa"/>
            <w:tcBorders>
              <w:top w:val="single" w:sz="4" w:space="0" w:color="009900"/>
              <w:left w:val="single" w:sz="4" w:space="0" w:color="009900"/>
              <w:bottom w:val="dotted" w:sz="4" w:space="0" w:color="auto"/>
              <w:right w:val="nil"/>
            </w:tcBorders>
            <w:shd w:val="clear" w:color="auto" w:fill="FFFFE1"/>
            <w:noWrap/>
          </w:tcPr>
          <w:p w:rsidR="00D93E3B" w:rsidRPr="009B4972" w:rsidRDefault="00D93E3B" w:rsidP="00D93E3B">
            <w:pPr>
              <w:rPr>
                <w:rFonts w:ascii="Arial" w:hAnsi="Arial" w:cs="Arial"/>
                <w:sz w:val="16"/>
                <w:szCs w:val="16"/>
              </w:rPr>
            </w:pPr>
            <w:r w:rsidRPr="009B4972">
              <w:rPr>
                <w:rFonts w:ascii="Arial" w:hAnsi="Arial" w:cs="Arial"/>
                <w:sz w:val="16"/>
                <w:szCs w:val="16"/>
              </w:rPr>
              <w:t>First Nations Community HealthSource</w:t>
            </w:r>
          </w:p>
        </w:tc>
        <w:tc>
          <w:tcPr>
            <w:tcW w:w="1124" w:type="dxa"/>
            <w:tcBorders>
              <w:top w:val="single" w:sz="4" w:space="0" w:color="009900"/>
              <w:left w:val="nil"/>
              <w:bottom w:val="dotted" w:sz="4" w:space="0" w:color="auto"/>
              <w:right w:val="single" w:sz="4" w:space="0" w:color="009900"/>
            </w:tcBorders>
            <w:shd w:val="clear" w:color="auto" w:fill="FFFFE1"/>
            <w:noWrap/>
          </w:tcPr>
          <w:p w:rsidR="00D93E3B" w:rsidRPr="009B4972" w:rsidRDefault="00D93E3B" w:rsidP="00D93E3B">
            <w:pPr>
              <w:rPr>
                <w:rFonts w:ascii="Arial" w:hAnsi="Arial" w:cs="Arial"/>
                <w:sz w:val="16"/>
                <w:szCs w:val="16"/>
              </w:rPr>
            </w:pPr>
            <w:r w:rsidRPr="009B4972">
              <w:rPr>
                <w:rFonts w:ascii="Arial" w:hAnsi="Arial" w:cs="Arial"/>
                <w:sz w:val="16"/>
                <w:szCs w:val="16"/>
              </w:rPr>
              <w:t>Albuquerque</w:t>
            </w:r>
          </w:p>
        </w:tc>
      </w:tr>
      <w:tr w:rsidR="00D93E3B" w:rsidRPr="00955C8C" w:rsidTr="00E60C5C">
        <w:trPr>
          <w:trHeight w:val="225"/>
        </w:trPr>
        <w:tc>
          <w:tcPr>
            <w:tcW w:w="2868" w:type="dxa"/>
            <w:tcBorders>
              <w:top w:val="dotted" w:sz="4" w:space="0" w:color="auto"/>
              <w:left w:val="single" w:sz="4" w:space="0" w:color="009900"/>
              <w:bottom w:val="dotted" w:sz="4" w:space="0" w:color="auto"/>
              <w:right w:val="nil"/>
            </w:tcBorders>
            <w:shd w:val="clear" w:color="auto" w:fill="FFFFE1"/>
            <w:noWrap/>
          </w:tcPr>
          <w:p w:rsidR="00D93E3B" w:rsidRPr="009B4972" w:rsidRDefault="00D93E3B" w:rsidP="00D93E3B">
            <w:pPr>
              <w:rPr>
                <w:rFonts w:ascii="Arial" w:hAnsi="Arial" w:cs="Arial"/>
                <w:sz w:val="16"/>
                <w:szCs w:val="16"/>
              </w:rPr>
            </w:pPr>
            <w:r w:rsidRPr="009B4972">
              <w:rPr>
                <w:rFonts w:ascii="Arial" w:hAnsi="Arial" w:cs="Arial"/>
                <w:sz w:val="16"/>
                <w:szCs w:val="16"/>
              </w:rPr>
              <w:t>New Mexico AIDS Services</w:t>
            </w:r>
          </w:p>
        </w:tc>
        <w:tc>
          <w:tcPr>
            <w:tcW w:w="1124" w:type="dxa"/>
            <w:tcBorders>
              <w:top w:val="dotted" w:sz="4" w:space="0" w:color="auto"/>
              <w:left w:val="nil"/>
              <w:bottom w:val="dotted" w:sz="4" w:space="0" w:color="auto"/>
              <w:right w:val="single" w:sz="4" w:space="0" w:color="009900"/>
            </w:tcBorders>
            <w:shd w:val="clear" w:color="auto" w:fill="FFFFE1"/>
            <w:noWrap/>
          </w:tcPr>
          <w:p w:rsidR="00D93E3B" w:rsidRPr="009B4972" w:rsidRDefault="00D93E3B" w:rsidP="00D93E3B">
            <w:pPr>
              <w:rPr>
                <w:rFonts w:ascii="Arial" w:hAnsi="Arial" w:cs="Arial"/>
                <w:sz w:val="16"/>
                <w:szCs w:val="16"/>
              </w:rPr>
            </w:pPr>
            <w:r w:rsidRPr="009B4972">
              <w:rPr>
                <w:rFonts w:ascii="Arial" w:hAnsi="Arial" w:cs="Arial"/>
                <w:sz w:val="16"/>
                <w:szCs w:val="16"/>
              </w:rPr>
              <w:t>Albuquerque Farmington</w:t>
            </w:r>
          </w:p>
        </w:tc>
      </w:tr>
      <w:tr w:rsidR="00D93E3B" w:rsidRPr="00955C8C" w:rsidTr="00E60C5C">
        <w:trPr>
          <w:trHeight w:val="225"/>
        </w:trPr>
        <w:tc>
          <w:tcPr>
            <w:tcW w:w="2868" w:type="dxa"/>
            <w:tcBorders>
              <w:top w:val="dotted" w:sz="4" w:space="0" w:color="auto"/>
              <w:left w:val="single" w:sz="4" w:space="0" w:color="009900"/>
              <w:bottom w:val="dotted" w:sz="4" w:space="0" w:color="auto"/>
              <w:right w:val="nil"/>
            </w:tcBorders>
            <w:shd w:val="clear" w:color="auto" w:fill="FFFFE1"/>
            <w:noWrap/>
          </w:tcPr>
          <w:p w:rsidR="00D93E3B" w:rsidRPr="009B4972" w:rsidRDefault="00D93E3B" w:rsidP="00D93E3B">
            <w:pPr>
              <w:rPr>
                <w:rFonts w:ascii="Arial" w:hAnsi="Arial" w:cs="Arial"/>
                <w:sz w:val="16"/>
                <w:szCs w:val="16"/>
              </w:rPr>
            </w:pPr>
            <w:r w:rsidRPr="009B4972">
              <w:rPr>
                <w:rFonts w:ascii="Arial" w:hAnsi="Arial" w:cs="Arial"/>
                <w:sz w:val="16"/>
                <w:szCs w:val="16"/>
              </w:rPr>
              <w:t>Department of Health Community Collaborative Care (CCC) Program</w:t>
            </w:r>
          </w:p>
        </w:tc>
        <w:tc>
          <w:tcPr>
            <w:tcW w:w="1124" w:type="dxa"/>
            <w:tcBorders>
              <w:top w:val="dotted" w:sz="4" w:space="0" w:color="auto"/>
              <w:left w:val="nil"/>
              <w:bottom w:val="dotted" w:sz="4" w:space="0" w:color="auto"/>
              <w:right w:val="single" w:sz="4" w:space="0" w:color="009900"/>
            </w:tcBorders>
            <w:shd w:val="clear" w:color="auto" w:fill="FFFFE1"/>
            <w:noWrap/>
          </w:tcPr>
          <w:p w:rsidR="00D93E3B" w:rsidRPr="009B4972" w:rsidRDefault="00D93E3B" w:rsidP="00D93E3B">
            <w:pPr>
              <w:rPr>
                <w:rFonts w:ascii="Arial" w:hAnsi="Arial" w:cs="Arial"/>
                <w:sz w:val="16"/>
                <w:szCs w:val="16"/>
              </w:rPr>
            </w:pPr>
            <w:r w:rsidRPr="009B4972">
              <w:rPr>
                <w:rFonts w:ascii="Arial" w:hAnsi="Arial" w:cs="Arial"/>
                <w:sz w:val="16"/>
                <w:szCs w:val="16"/>
              </w:rPr>
              <w:t>Las Cruces</w:t>
            </w:r>
          </w:p>
        </w:tc>
      </w:tr>
      <w:tr w:rsidR="00D93E3B" w:rsidRPr="00955C8C" w:rsidTr="00E60C5C">
        <w:trPr>
          <w:trHeight w:val="225"/>
        </w:trPr>
        <w:tc>
          <w:tcPr>
            <w:tcW w:w="2868" w:type="dxa"/>
            <w:tcBorders>
              <w:top w:val="dotted" w:sz="4" w:space="0" w:color="auto"/>
              <w:left w:val="single" w:sz="4" w:space="0" w:color="009900"/>
              <w:bottom w:val="dotted" w:sz="4" w:space="0" w:color="auto"/>
              <w:right w:val="nil"/>
            </w:tcBorders>
            <w:shd w:val="clear" w:color="auto" w:fill="FFFFE1"/>
            <w:noWrap/>
          </w:tcPr>
          <w:p w:rsidR="00D93E3B" w:rsidRPr="009B4972" w:rsidRDefault="00D93E3B" w:rsidP="00D93E3B">
            <w:pPr>
              <w:rPr>
                <w:rFonts w:ascii="Arial" w:hAnsi="Arial" w:cs="Arial"/>
                <w:sz w:val="16"/>
                <w:szCs w:val="16"/>
              </w:rPr>
            </w:pPr>
            <w:r w:rsidRPr="009B4972">
              <w:rPr>
                <w:rFonts w:ascii="Arial" w:hAnsi="Arial" w:cs="Arial"/>
                <w:sz w:val="16"/>
                <w:szCs w:val="16"/>
              </w:rPr>
              <w:t>Alianza of New Mexico</w:t>
            </w:r>
          </w:p>
        </w:tc>
        <w:tc>
          <w:tcPr>
            <w:tcW w:w="1124" w:type="dxa"/>
            <w:tcBorders>
              <w:top w:val="dotted" w:sz="4" w:space="0" w:color="auto"/>
              <w:left w:val="nil"/>
              <w:bottom w:val="dotted" w:sz="4" w:space="0" w:color="auto"/>
              <w:right w:val="single" w:sz="4" w:space="0" w:color="009900"/>
            </w:tcBorders>
            <w:shd w:val="clear" w:color="auto" w:fill="FFFFE1"/>
            <w:noWrap/>
          </w:tcPr>
          <w:p w:rsidR="00D93E3B" w:rsidRPr="009B4972" w:rsidRDefault="00D93E3B" w:rsidP="00D93E3B">
            <w:pPr>
              <w:rPr>
                <w:rFonts w:ascii="Arial" w:hAnsi="Arial" w:cs="Arial"/>
                <w:sz w:val="16"/>
                <w:szCs w:val="16"/>
              </w:rPr>
            </w:pPr>
            <w:r w:rsidRPr="009B4972">
              <w:rPr>
                <w:rFonts w:ascii="Arial" w:hAnsi="Arial" w:cs="Arial"/>
                <w:sz w:val="16"/>
                <w:szCs w:val="16"/>
              </w:rPr>
              <w:t>Roswell</w:t>
            </w:r>
          </w:p>
        </w:tc>
      </w:tr>
      <w:tr w:rsidR="00D93E3B" w:rsidRPr="00955C8C" w:rsidTr="00E60C5C">
        <w:trPr>
          <w:trHeight w:val="225"/>
        </w:trPr>
        <w:tc>
          <w:tcPr>
            <w:tcW w:w="2868" w:type="dxa"/>
            <w:tcBorders>
              <w:top w:val="dotted" w:sz="4" w:space="0" w:color="auto"/>
              <w:left w:val="single" w:sz="4" w:space="0" w:color="009900"/>
              <w:bottom w:val="single" w:sz="4" w:space="0" w:color="009900"/>
              <w:right w:val="nil"/>
            </w:tcBorders>
            <w:shd w:val="clear" w:color="auto" w:fill="FFFFE1"/>
            <w:noWrap/>
          </w:tcPr>
          <w:p w:rsidR="00D93E3B" w:rsidRPr="009B4972" w:rsidRDefault="00D93E3B" w:rsidP="00D93E3B">
            <w:pPr>
              <w:rPr>
                <w:rFonts w:ascii="Arial" w:hAnsi="Arial" w:cs="Arial"/>
                <w:sz w:val="16"/>
                <w:szCs w:val="16"/>
              </w:rPr>
            </w:pPr>
            <w:r w:rsidRPr="009B4972">
              <w:rPr>
                <w:rFonts w:ascii="Arial" w:hAnsi="Arial" w:cs="Arial"/>
                <w:sz w:val="16"/>
                <w:szCs w:val="16"/>
              </w:rPr>
              <w:t>Southwest CARE Center</w:t>
            </w:r>
          </w:p>
        </w:tc>
        <w:tc>
          <w:tcPr>
            <w:tcW w:w="1124" w:type="dxa"/>
            <w:tcBorders>
              <w:top w:val="dotted" w:sz="4" w:space="0" w:color="auto"/>
              <w:left w:val="nil"/>
              <w:bottom w:val="single" w:sz="4" w:space="0" w:color="009900"/>
              <w:right w:val="single" w:sz="4" w:space="0" w:color="009900"/>
            </w:tcBorders>
            <w:shd w:val="clear" w:color="auto" w:fill="FFFFE1"/>
            <w:noWrap/>
          </w:tcPr>
          <w:p w:rsidR="00D93E3B" w:rsidRPr="009B4972" w:rsidRDefault="00D93E3B" w:rsidP="00D93E3B">
            <w:pPr>
              <w:rPr>
                <w:rFonts w:ascii="Arial" w:hAnsi="Arial" w:cs="Arial"/>
                <w:sz w:val="16"/>
                <w:szCs w:val="16"/>
              </w:rPr>
            </w:pPr>
            <w:r w:rsidRPr="009B4972">
              <w:rPr>
                <w:rFonts w:ascii="Arial" w:hAnsi="Arial" w:cs="Arial"/>
                <w:sz w:val="16"/>
                <w:szCs w:val="16"/>
              </w:rPr>
              <w:t>Santa Fe</w:t>
            </w:r>
          </w:p>
        </w:tc>
      </w:tr>
    </w:tbl>
    <w:p w:rsidR="00E249CE" w:rsidRPr="00C0737E" w:rsidRDefault="00E249CE" w:rsidP="00E249CE">
      <w:pPr>
        <w:jc w:val="both"/>
        <w:rPr>
          <w:rFonts w:ascii="CG Omega" w:hAnsi="CG Omega" w:cs="Arial"/>
          <w:snapToGrid w:val="0"/>
        </w:rPr>
      </w:pPr>
      <w:r w:rsidRPr="00C0737E">
        <w:rPr>
          <w:rFonts w:ascii="CG Omega" w:hAnsi="CG Omega" w:cs="Arial"/>
          <w:snapToGrid w:val="0"/>
        </w:rPr>
        <w:t xml:space="preserve">A combination of private </w:t>
      </w:r>
      <w:r w:rsidR="005347C1">
        <w:rPr>
          <w:rFonts w:ascii="CG Omega" w:hAnsi="CG Omega" w:cs="Arial"/>
          <w:snapToGrid w:val="0"/>
        </w:rPr>
        <w:t>nonprofit</w:t>
      </w:r>
      <w:r w:rsidRPr="00C0737E">
        <w:rPr>
          <w:rFonts w:ascii="CG Omega" w:hAnsi="CG Omega" w:cs="Arial"/>
          <w:snapToGrid w:val="0"/>
        </w:rPr>
        <w:t xml:space="preserve"> providers and the Department of Health provide HIV/AIDS services in New Mexico. As part of the effort to combat HIV in the state, the Department of Health orchestrates the HIV/AIDS Prevention Program.  The HIV Prevention Program exists to reduce the incidence of HIV transmission in New Mexico.  This is accomplished through planning, funding, coordination and evaluation of HIV prevention activities for at-risk</w:t>
      </w:r>
      <w:r w:rsidR="006C7646">
        <w:rPr>
          <w:rFonts w:ascii="CG Omega" w:hAnsi="CG Omega" w:cs="Arial"/>
          <w:snapToGrid w:val="0"/>
        </w:rPr>
        <w:t xml:space="preserve"> populations across New Mexico.</w:t>
      </w:r>
      <w:r w:rsidRPr="00C0737E">
        <w:rPr>
          <w:rFonts w:ascii="CG Omega" w:hAnsi="CG Omega" w:cs="Arial"/>
          <w:snapToGrid w:val="0"/>
        </w:rPr>
        <w:t xml:space="preserve"> As part of this effort, the </w:t>
      </w:r>
      <w:r w:rsidR="00925169">
        <w:rPr>
          <w:rFonts w:ascii="CG Omega" w:hAnsi="CG Omega" w:cs="Arial"/>
          <w:snapToGrid w:val="0"/>
        </w:rPr>
        <w:t>p</w:t>
      </w:r>
      <w:r w:rsidRPr="00C0737E">
        <w:rPr>
          <w:rFonts w:ascii="CG Omega" w:hAnsi="CG Omega" w:cs="Arial"/>
          <w:snapToGrid w:val="0"/>
        </w:rPr>
        <w:t>rogram offers a variety of different administ</w:t>
      </w:r>
      <w:r w:rsidR="006C7646">
        <w:rPr>
          <w:rFonts w:ascii="CG Omega" w:hAnsi="CG Omega" w:cs="Arial"/>
          <w:snapToGrid w:val="0"/>
        </w:rPr>
        <w:t>rative and oversight functions.</w:t>
      </w:r>
      <w:r w:rsidRPr="00C0737E">
        <w:rPr>
          <w:rFonts w:ascii="CG Omega" w:hAnsi="CG Omega" w:cs="Arial"/>
          <w:snapToGrid w:val="0"/>
        </w:rPr>
        <w:t xml:space="preserve"> These include:</w:t>
      </w:r>
    </w:p>
    <w:p w:rsidR="00E249CE" w:rsidRPr="00584B3E" w:rsidRDefault="00E249CE" w:rsidP="00E249CE">
      <w:pPr>
        <w:jc w:val="both"/>
        <w:rPr>
          <w:rFonts w:ascii="CG Omega" w:hAnsi="CG Omega" w:cs="Arial"/>
          <w:snapToGrid w:val="0"/>
          <w:sz w:val="16"/>
          <w:szCs w:val="16"/>
        </w:rPr>
      </w:pPr>
    </w:p>
    <w:p w:rsidR="00E04AE8" w:rsidRPr="00C0737E" w:rsidRDefault="00E04AE8" w:rsidP="00D8113D">
      <w:pPr>
        <w:numPr>
          <w:ilvl w:val="0"/>
          <w:numId w:val="34"/>
        </w:numPr>
        <w:jc w:val="both"/>
        <w:rPr>
          <w:rFonts w:ascii="CG Omega" w:hAnsi="CG Omega" w:cs="Arial"/>
          <w:snapToGrid w:val="0"/>
        </w:rPr>
      </w:pPr>
      <w:r w:rsidRPr="00C0737E">
        <w:rPr>
          <w:rFonts w:ascii="CG Omega" w:hAnsi="CG Omega" w:cs="Arial"/>
          <w:snapToGrid w:val="0"/>
        </w:rPr>
        <w:t xml:space="preserve">Information activities including </w:t>
      </w:r>
      <w:r w:rsidR="00925169">
        <w:rPr>
          <w:rFonts w:ascii="CG Omega" w:hAnsi="CG Omega" w:cs="Arial"/>
          <w:snapToGrid w:val="0"/>
        </w:rPr>
        <w:t>T and TA</w:t>
      </w:r>
      <w:r w:rsidRPr="00C0737E">
        <w:rPr>
          <w:rFonts w:ascii="CG Omega" w:hAnsi="CG Omega" w:cs="Arial"/>
          <w:snapToGrid w:val="0"/>
        </w:rPr>
        <w:t>, and capability building for providers;</w:t>
      </w:r>
    </w:p>
    <w:p w:rsidR="00E04AE8" w:rsidRPr="00C0737E" w:rsidRDefault="00E04AE8" w:rsidP="00D8113D">
      <w:pPr>
        <w:numPr>
          <w:ilvl w:val="0"/>
          <w:numId w:val="34"/>
        </w:numPr>
        <w:jc w:val="both"/>
        <w:rPr>
          <w:rFonts w:ascii="CG Omega" w:hAnsi="CG Omega" w:cs="Arial"/>
          <w:snapToGrid w:val="0"/>
        </w:rPr>
      </w:pPr>
      <w:r w:rsidRPr="00C0737E">
        <w:rPr>
          <w:rFonts w:ascii="CG Omega" w:hAnsi="CG Omega" w:cs="Arial"/>
          <w:snapToGrid w:val="0"/>
        </w:rPr>
        <w:t>Monitoring of HIV prevention and testing activities including collection of data.</w:t>
      </w:r>
    </w:p>
    <w:p w:rsidR="00E04AE8" w:rsidRPr="00C0737E" w:rsidRDefault="00E04AE8" w:rsidP="00D8113D">
      <w:pPr>
        <w:numPr>
          <w:ilvl w:val="0"/>
          <w:numId w:val="34"/>
        </w:numPr>
        <w:jc w:val="both"/>
        <w:rPr>
          <w:rFonts w:ascii="CG Omega" w:hAnsi="CG Omega" w:cs="Arial"/>
          <w:snapToGrid w:val="0"/>
        </w:rPr>
      </w:pPr>
      <w:r w:rsidRPr="00C0737E">
        <w:rPr>
          <w:rFonts w:ascii="CG Omega" w:hAnsi="CG Omega" w:cs="Arial"/>
          <w:snapToGrid w:val="0"/>
        </w:rPr>
        <w:t xml:space="preserve">Coordination, support and </w:t>
      </w:r>
      <w:r w:rsidR="00925169">
        <w:rPr>
          <w:rFonts w:ascii="CG Omega" w:hAnsi="CG Omega" w:cs="Arial"/>
          <w:snapToGrid w:val="0"/>
        </w:rPr>
        <w:t>TA</w:t>
      </w:r>
      <w:r w:rsidRPr="00C0737E">
        <w:rPr>
          <w:rFonts w:ascii="CG Omega" w:hAnsi="CG Omega" w:cs="Arial"/>
          <w:snapToGrid w:val="0"/>
        </w:rPr>
        <w:t xml:space="preserve"> for a statewide HIV Prevention Community Planning and Action Group (CPAG)</w:t>
      </w:r>
      <w:r w:rsidRPr="00C0737E">
        <w:rPr>
          <w:rStyle w:val="FootnoteReference"/>
          <w:rFonts w:ascii="CG Omega" w:hAnsi="CG Omega" w:cs="Arial"/>
          <w:snapToGrid w:val="0"/>
        </w:rPr>
        <w:footnoteReference w:id="85"/>
      </w:r>
    </w:p>
    <w:p w:rsidR="00E04AE8" w:rsidRPr="007F6B6C" w:rsidRDefault="00E04AE8" w:rsidP="00E04AE8">
      <w:pPr>
        <w:rPr>
          <w:rFonts w:ascii="CG Omega" w:hAnsi="CG Omega"/>
          <w:sz w:val="16"/>
          <w:szCs w:val="16"/>
          <w:highlight w:val="yellow"/>
        </w:rPr>
      </w:pPr>
    </w:p>
    <w:p w:rsidR="00E04AE8" w:rsidRPr="00955C8C" w:rsidRDefault="00E04AE8" w:rsidP="00E04AE8">
      <w:pPr>
        <w:jc w:val="both"/>
        <w:rPr>
          <w:rFonts w:ascii="CG Omega" w:hAnsi="CG Omega" w:cs="Arial"/>
          <w:snapToGrid w:val="0"/>
          <w:highlight w:val="yellow"/>
        </w:rPr>
      </w:pPr>
      <w:r>
        <w:rPr>
          <w:rFonts w:ascii="CG Omega" w:hAnsi="CG Omega" w:cs="Arial"/>
          <w:snapToGrid w:val="0"/>
        </w:rPr>
        <w:t xml:space="preserve">HIV testing and services are provided by numerous public health clinics throughout the state.  </w:t>
      </w:r>
      <w:r w:rsidRPr="006E7346">
        <w:rPr>
          <w:rFonts w:ascii="CG Omega" w:hAnsi="CG Omega" w:cs="Arial"/>
          <w:snapToGrid w:val="0"/>
        </w:rPr>
        <w:t xml:space="preserve">Free HIV testing is also provided by many </w:t>
      </w:r>
      <w:r w:rsidR="005347C1">
        <w:rPr>
          <w:rFonts w:ascii="CG Omega" w:hAnsi="CG Omega" w:cs="Arial"/>
          <w:snapToGrid w:val="0"/>
        </w:rPr>
        <w:t>nonprofit</w:t>
      </w:r>
      <w:r w:rsidRPr="006E7346">
        <w:rPr>
          <w:rFonts w:ascii="CG Omega" w:hAnsi="CG Omega" w:cs="Arial"/>
          <w:snapToGrid w:val="0"/>
        </w:rPr>
        <w:t xml:space="preserve"> organizations along with other services, such as case management, transitional housing, housing referrals, food pantries, direct financial assistance, support groups and mental health counseling. A partial list of HIV service providers in New Mexico is provided </w:t>
      </w:r>
      <w:r w:rsidR="000155B6">
        <w:rPr>
          <w:rFonts w:ascii="CG Omega" w:hAnsi="CG Omega" w:cs="Arial"/>
          <w:snapToGrid w:val="0"/>
        </w:rPr>
        <w:t xml:space="preserve">in </w:t>
      </w:r>
      <w:r w:rsidR="000155B6" w:rsidRPr="00E60C5C">
        <w:rPr>
          <w:rFonts w:ascii="CG Omega" w:hAnsi="CG Omega" w:cs="Arial"/>
          <w:b/>
          <w:snapToGrid w:val="0"/>
        </w:rPr>
        <w:t>Table V.2</w:t>
      </w:r>
      <w:r w:rsidR="00E60BBA" w:rsidRPr="00E60C5C">
        <w:rPr>
          <w:rFonts w:ascii="CG Omega" w:hAnsi="CG Omega" w:cs="Arial"/>
          <w:b/>
          <w:snapToGrid w:val="0"/>
        </w:rPr>
        <w:t>8</w:t>
      </w:r>
      <w:r w:rsidR="00D20353">
        <w:rPr>
          <w:rFonts w:ascii="CG Omega" w:hAnsi="CG Omega" w:cs="Arial"/>
          <w:snapToGrid w:val="0"/>
        </w:rPr>
        <w:t>, above</w:t>
      </w:r>
      <w:r w:rsidR="000155B6">
        <w:rPr>
          <w:rFonts w:ascii="CG Omega" w:hAnsi="CG Omega" w:cs="Arial"/>
          <w:snapToGrid w:val="0"/>
        </w:rPr>
        <w:t>.</w:t>
      </w:r>
    </w:p>
    <w:p w:rsidR="00E60C5C" w:rsidRDefault="00E60C5C" w:rsidP="00E04AE8">
      <w:pPr>
        <w:jc w:val="both"/>
        <w:rPr>
          <w:rFonts w:ascii="CG Omega" w:hAnsi="CG Omega" w:cs="Arial"/>
          <w:b/>
          <w:snapToGrid w:val="0"/>
        </w:rPr>
      </w:pPr>
    </w:p>
    <w:p w:rsidR="00E04AE8" w:rsidRPr="00FB49C7" w:rsidRDefault="00E04AE8" w:rsidP="00E04AE8">
      <w:pPr>
        <w:jc w:val="both"/>
        <w:rPr>
          <w:rFonts w:ascii="CG Omega" w:hAnsi="CG Omega" w:cs="Arial"/>
          <w:b/>
          <w:snapToGrid w:val="0"/>
        </w:rPr>
      </w:pPr>
      <w:r w:rsidRPr="00FB49C7">
        <w:rPr>
          <w:rFonts w:ascii="CG Omega" w:hAnsi="CG Omega" w:cs="Arial"/>
          <w:b/>
          <w:snapToGrid w:val="0"/>
        </w:rPr>
        <w:t>Services and Housing Needed</w:t>
      </w:r>
    </w:p>
    <w:p w:rsidR="00E7106E" w:rsidRPr="00E60C5C" w:rsidRDefault="00E7106E" w:rsidP="00E7106E">
      <w:pPr>
        <w:jc w:val="both"/>
        <w:rPr>
          <w:rFonts w:ascii="CG Omega" w:hAnsi="CG Omega" w:cs="Arial"/>
          <w:b/>
          <w:snapToGrid w:val="0"/>
          <w:highlight w:val="yellow"/>
        </w:rPr>
      </w:pPr>
    </w:p>
    <w:p w:rsidR="00E249CE" w:rsidRDefault="00E249CE" w:rsidP="00E249CE">
      <w:pPr>
        <w:jc w:val="both"/>
        <w:rPr>
          <w:rFonts w:ascii="CG Omega" w:hAnsi="CG Omega" w:cs="Arial"/>
        </w:rPr>
      </w:pPr>
      <w:r w:rsidRPr="00A02720">
        <w:rPr>
          <w:rFonts w:ascii="CG Omega" w:hAnsi="CG Omega" w:cs="Arial"/>
        </w:rPr>
        <w:t>Persons living with HIV/AIDS have multiple needs in terms of services. In addition to receiving regular medical attention, case management, and income support, many persons need access to permanent housing solutions. According to t</w:t>
      </w:r>
      <w:r w:rsidR="00925169">
        <w:rPr>
          <w:rFonts w:ascii="CG Omega" w:hAnsi="CG Omega" w:cs="Arial"/>
        </w:rPr>
        <w:t>HUD</w:t>
      </w:r>
      <w:r w:rsidRPr="00A02720">
        <w:rPr>
          <w:rFonts w:ascii="CG Omega" w:hAnsi="CG Omega" w:cs="Arial"/>
        </w:rPr>
        <w:t xml:space="preserve">, </w:t>
      </w:r>
      <w:r w:rsidR="00925169">
        <w:rPr>
          <w:rFonts w:ascii="CG Omega" w:hAnsi="CG Omega" w:cs="Arial"/>
        </w:rPr>
        <w:t>nine</w:t>
      </w:r>
      <w:r w:rsidRPr="00A02720">
        <w:rPr>
          <w:rFonts w:ascii="CG Omega" w:hAnsi="CG Omega" w:cs="Arial"/>
        </w:rPr>
        <w:t xml:space="preserve"> out of 10 persons utilizing HOPWA benefits are extremely low to low income.</w:t>
      </w:r>
      <w:r w:rsidRPr="00A02720">
        <w:rPr>
          <w:rStyle w:val="FootnoteReference"/>
          <w:rFonts w:ascii="CG Omega" w:hAnsi="CG Omega"/>
        </w:rPr>
        <w:footnoteReference w:id="86"/>
      </w:r>
      <w:r w:rsidR="00925169">
        <w:rPr>
          <w:rFonts w:ascii="CG Omega" w:hAnsi="CG Omega"/>
        </w:rPr>
        <w:t xml:space="preserve"> </w:t>
      </w:r>
      <w:r w:rsidRPr="00A02720">
        <w:rPr>
          <w:rFonts w:ascii="CG Omega" w:hAnsi="CG Omega" w:cs="Arial"/>
        </w:rPr>
        <w:t xml:space="preserve"> Increased funding for housing for persons living with HIV/AIDS is one of the greatest needs of the HIV/AIDS support programs.  For example, there is generally a high need for increased scattered</w:t>
      </w:r>
      <w:r w:rsidR="00925169">
        <w:rPr>
          <w:rFonts w:ascii="CG Omega" w:hAnsi="CG Omega" w:cs="Arial"/>
        </w:rPr>
        <w:t>-</w:t>
      </w:r>
      <w:r w:rsidRPr="00A02720">
        <w:rPr>
          <w:rFonts w:ascii="CG Omega" w:hAnsi="CG Omega" w:cs="Arial"/>
        </w:rPr>
        <w:t>site housing availability, because traditional assisted housing options that involve grouping funding recipients in one site or complex are ineffective in that they can endanger the confidentiality of residents. Additionally, program recipients have a need for longer-term housing options.  As the treatment of AIDS has advanced, people are living longer with the disease.  Thus longer-term housing options are needed.  However, the funding of these long-term housing options can be expensive.</w:t>
      </w:r>
    </w:p>
    <w:p w:rsidR="00E249CE" w:rsidRPr="00E60C5C" w:rsidRDefault="00E249CE" w:rsidP="00E249CE">
      <w:pPr>
        <w:jc w:val="both"/>
        <w:rPr>
          <w:rFonts w:ascii="CG Omega" w:hAnsi="CG Omega" w:cs="Arial"/>
        </w:rPr>
      </w:pPr>
    </w:p>
    <w:p w:rsidR="00E249CE" w:rsidRPr="00955C8C" w:rsidRDefault="00E249CE" w:rsidP="00E249CE">
      <w:pPr>
        <w:jc w:val="both"/>
        <w:rPr>
          <w:rFonts w:ascii="CG Omega" w:hAnsi="CG Omega" w:cs="Arial"/>
          <w:highlight w:val="yellow"/>
        </w:rPr>
      </w:pPr>
      <w:r>
        <w:rPr>
          <w:rFonts w:ascii="CG Omega" w:hAnsi="CG Omega" w:cs="Arial"/>
        </w:rPr>
        <w:t>The Ryan White program serves to fill any gap in medical care for persons that are not receiving sufficient medical care.  This program encompasses a variety of spheres of care that include comprehensive health care, essential services, dental programs, AIDS education and training centers, and prevention programs.</w:t>
      </w:r>
      <w:r w:rsidR="00A75B3D">
        <w:rPr>
          <w:rStyle w:val="FootnoteReference"/>
          <w:rFonts w:ascii="CG Omega" w:hAnsi="CG Omega" w:cs="Arial"/>
        </w:rPr>
        <w:footnoteReference w:id="87"/>
      </w:r>
      <w:r w:rsidR="00A75B3D">
        <w:rPr>
          <w:rFonts w:ascii="CG Omega" w:hAnsi="CG Omega" w:cs="Arial"/>
        </w:rPr>
        <w:t xml:space="preserve">  </w:t>
      </w:r>
      <w:r>
        <w:rPr>
          <w:rFonts w:ascii="CG Omega" w:hAnsi="CG Omega" w:cs="Arial"/>
        </w:rPr>
        <w:t xml:space="preserve">  </w:t>
      </w:r>
    </w:p>
    <w:p w:rsidR="00E7106E" w:rsidRPr="00E60C5C" w:rsidRDefault="00E7106E" w:rsidP="00E7106E">
      <w:pPr>
        <w:jc w:val="both"/>
        <w:rPr>
          <w:rFonts w:ascii="CG Omega" w:hAnsi="CG Omega" w:cs="Arial"/>
          <w:highlight w:val="yellow"/>
        </w:rPr>
      </w:pPr>
    </w:p>
    <w:p w:rsidR="00E15738" w:rsidRPr="00746F7E" w:rsidRDefault="00F66919" w:rsidP="00746F7E">
      <w:pPr>
        <w:jc w:val="both"/>
        <w:rPr>
          <w:rFonts w:ascii="CG Omega" w:hAnsi="CG Omega" w:cs="Arial"/>
        </w:rPr>
      </w:pPr>
      <w:r w:rsidRPr="00C804A1">
        <w:rPr>
          <w:rFonts w:ascii="CG Omega" w:hAnsi="CG Omega" w:cs="Arial"/>
        </w:rPr>
        <w:t xml:space="preserve">As seen on </w:t>
      </w:r>
      <w:r w:rsidR="000D21C9" w:rsidRPr="00E60C5C">
        <w:rPr>
          <w:rFonts w:ascii="CG Omega" w:hAnsi="CG Omega" w:cs="Arial"/>
          <w:b/>
        </w:rPr>
        <w:t>Table V.2</w:t>
      </w:r>
      <w:r w:rsidR="00E60BBA" w:rsidRPr="00E60C5C">
        <w:rPr>
          <w:rFonts w:ascii="CG Omega" w:hAnsi="CG Omega" w:cs="Arial"/>
          <w:b/>
        </w:rPr>
        <w:t>9</w:t>
      </w:r>
      <w:r w:rsidRPr="00832AB3">
        <w:rPr>
          <w:rFonts w:ascii="CG Omega" w:hAnsi="CG Omega" w:cs="Arial"/>
        </w:rPr>
        <w:t xml:space="preserve">, </w:t>
      </w:r>
      <w:r>
        <w:rPr>
          <w:rFonts w:ascii="CG Omega" w:hAnsi="CG Omega" w:cs="Arial"/>
        </w:rPr>
        <w:t>m</w:t>
      </w:r>
      <w:r w:rsidRPr="005060E6">
        <w:rPr>
          <w:rFonts w:ascii="CG Omega" w:hAnsi="CG Omega" w:cs="Arial"/>
        </w:rPr>
        <w:t xml:space="preserve">ore than half of the respondents indicated a medium </w:t>
      </w:r>
      <w:r w:rsidR="001446DC">
        <w:rPr>
          <w:rFonts w:ascii="CG Omega" w:hAnsi="CG Omega" w:cs="Arial"/>
        </w:rPr>
        <w:t>or</w:t>
      </w:r>
      <w:r w:rsidRPr="005060E6">
        <w:rPr>
          <w:rFonts w:ascii="CG Omega" w:hAnsi="CG Omega" w:cs="Arial"/>
        </w:rPr>
        <w:t xml:space="preserve"> high </w:t>
      </w:r>
      <w:r w:rsidR="00925169">
        <w:rPr>
          <w:rFonts w:ascii="CG Omega" w:hAnsi="CG Omega" w:cs="Arial"/>
        </w:rPr>
        <w:t xml:space="preserve">level of </w:t>
      </w:r>
      <w:r w:rsidRPr="005060E6">
        <w:rPr>
          <w:rFonts w:ascii="CG Omega" w:hAnsi="CG Omega" w:cs="Arial"/>
        </w:rPr>
        <w:t>need for services and facilities for persons with HIV/AIDS</w:t>
      </w:r>
      <w:r w:rsidR="001446DC">
        <w:rPr>
          <w:rFonts w:ascii="CG Omega" w:hAnsi="CG Omega" w:cs="Arial"/>
        </w:rPr>
        <w:t xml:space="preserve"> with the greatest number of respondents indicating a medium need</w:t>
      </w:r>
      <w:r w:rsidRPr="005060E6">
        <w:rPr>
          <w:rFonts w:ascii="CG Omega" w:hAnsi="CG Omega" w:cs="Arial"/>
        </w:rPr>
        <w:t xml:space="preserve">. </w:t>
      </w:r>
    </w:p>
    <w:p w:rsidR="00F66919" w:rsidRPr="00E60C5C" w:rsidRDefault="00F66919" w:rsidP="00F66919">
      <w:pPr>
        <w:jc w:val="both"/>
        <w:rPr>
          <w:rFonts w:ascii="CG Omega" w:hAnsi="CG Omega" w:cs="Arial"/>
          <w:highlight w:val="yellow"/>
        </w:rPr>
      </w:pPr>
    </w:p>
    <w:tbl>
      <w:tblPr>
        <w:tblW w:w="9220" w:type="dxa"/>
        <w:jc w:val="center"/>
        <w:tblLook w:val="04A0" w:firstRow="1" w:lastRow="0" w:firstColumn="1" w:lastColumn="0" w:noHBand="0" w:noVBand="1"/>
      </w:tblPr>
      <w:tblGrid>
        <w:gridCol w:w="3214"/>
        <w:gridCol w:w="750"/>
        <w:gridCol w:w="750"/>
        <w:gridCol w:w="1128"/>
        <w:gridCol w:w="750"/>
        <w:gridCol w:w="1409"/>
        <w:gridCol w:w="1219"/>
      </w:tblGrid>
      <w:tr w:rsidR="00F66919" w:rsidRPr="00C804A1" w:rsidTr="00E60BBA">
        <w:trPr>
          <w:trHeight w:val="300"/>
          <w:jc w:val="center"/>
        </w:trPr>
        <w:tc>
          <w:tcPr>
            <w:tcW w:w="9220" w:type="dxa"/>
            <w:gridSpan w:val="7"/>
            <w:tcBorders>
              <w:top w:val="nil"/>
              <w:left w:val="nil"/>
              <w:bottom w:val="nil"/>
              <w:right w:val="nil"/>
            </w:tcBorders>
            <w:shd w:val="clear" w:color="auto" w:fill="auto"/>
            <w:noWrap/>
            <w:vAlign w:val="center"/>
            <w:hideMark/>
          </w:tcPr>
          <w:p w:rsidR="00F66919" w:rsidRPr="00C804A1" w:rsidRDefault="00F66919" w:rsidP="00E60BBA">
            <w:pPr>
              <w:jc w:val="center"/>
              <w:rPr>
                <w:rFonts w:ascii="Arial" w:hAnsi="Arial" w:cs="Arial"/>
                <w:b/>
                <w:bCs/>
                <w:color w:val="000000"/>
                <w:sz w:val="22"/>
                <w:szCs w:val="22"/>
              </w:rPr>
            </w:pPr>
            <w:r w:rsidRPr="00C804A1">
              <w:rPr>
                <w:rFonts w:ascii="Arial" w:hAnsi="Arial" w:cs="Arial"/>
                <w:b/>
                <w:bCs/>
                <w:color w:val="000000"/>
                <w:sz w:val="22"/>
                <w:szCs w:val="22"/>
              </w:rPr>
              <w:t xml:space="preserve">Table </w:t>
            </w:r>
            <w:r w:rsidR="00832AB3">
              <w:rPr>
                <w:rFonts w:ascii="Arial" w:hAnsi="Arial" w:cs="Arial"/>
                <w:b/>
                <w:bCs/>
                <w:color w:val="000000"/>
                <w:sz w:val="22"/>
                <w:szCs w:val="22"/>
              </w:rPr>
              <w:t>V.2</w:t>
            </w:r>
            <w:r w:rsidR="00E60BBA">
              <w:rPr>
                <w:rFonts w:ascii="Arial" w:hAnsi="Arial" w:cs="Arial"/>
                <w:b/>
                <w:bCs/>
                <w:color w:val="000000"/>
                <w:sz w:val="22"/>
                <w:szCs w:val="22"/>
              </w:rPr>
              <w:t>9</w:t>
            </w:r>
          </w:p>
        </w:tc>
      </w:tr>
      <w:tr w:rsidR="00F66919" w:rsidRPr="00C804A1" w:rsidTr="00E60BBA">
        <w:trPr>
          <w:trHeight w:val="210"/>
          <w:jc w:val="center"/>
        </w:trPr>
        <w:tc>
          <w:tcPr>
            <w:tcW w:w="9220" w:type="dxa"/>
            <w:gridSpan w:val="7"/>
            <w:tcBorders>
              <w:top w:val="nil"/>
              <w:left w:val="nil"/>
              <w:bottom w:val="nil"/>
              <w:right w:val="nil"/>
            </w:tcBorders>
            <w:shd w:val="clear" w:color="auto" w:fill="auto"/>
            <w:noWrap/>
            <w:vAlign w:val="center"/>
            <w:hideMark/>
          </w:tcPr>
          <w:p w:rsidR="00F66919" w:rsidRPr="00C804A1" w:rsidRDefault="00F66919" w:rsidP="00570829">
            <w:pPr>
              <w:jc w:val="center"/>
              <w:rPr>
                <w:rFonts w:ascii="Arial" w:hAnsi="Arial" w:cs="Arial"/>
                <w:b/>
                <w:bCs/>
                <w:color w:val="000000"/>
                <w:sz w:val="20"/>
                <w:szCs w:val="20"/>
              </w:rPr>
            </w:pPr>
            <w:r w:rsidRPr="00C804A1">
              <w:rPr>
                <w:rFonts w:ascii="Arial" w:hAnsi="Arial" w:cs="Arial"/>
                <w:b/>
                <w:bCs/>
                <w:color w:val="000000"/>
                <w:sz w:val="20"/>
                <w:szCs w:val="20"/>
              </w:rPr>
              <w:t>Please rate the need for services and facilities for each of the following special needs groups.</w:t>
            </w:r>
          </w:p>
        </w:tc>
      </w:tr>
      <w:tr w:rsidR="00F66919" w:rsidRPr="00C804A1" w:rsidTr="00E60BBA">
        <w:trPr>
          <w:trHeight w:val="90"/>
          <w:jc w:val="center"/>
        </w:trPr>
        <w:tc>
          <w:tcPr>
            <w:tcW w:w="9220" w:type="dxa"/>
            <w:gridSpan w:val="7"/>
            <w:tcBorders>
              <w:top w:val="nil"/>
              <w:left w:val="nil"/>
              <w:bottom w:val="nil"/>
              <w:right w:val="nil"/>
            </w:tcBorders>
            <w:shd w:val="clear" w:color="auto" w:fill="auto"/>
            <w:noWrap/>
            <w:vAlign w:val="center"/>
            <w:hideMark/>
          </w:tcPr>
          <w:p w:rsidR="00F66919" w:rsidRPr="00C804A1" w:rsidRDefault="00F66919" w:rsidP="00570829">
            <w:pPr>
              <w:jc w:val="center"/>
              <w:rPr>
                <w:rFonts w:ascii="Arial" w:hAnsi="Arial" w:cs="Arial"/>
                <w:color w:val="000000"/>
                <w:sz w:val="16"/>
                <w:szCs w:val="16"/>
              </w:rPr>
            </w:pPr>
            <w:r w:rsidRPr="00C804A1">
              <w:rPr>
                <w:rFonts w:ascii="Arial" w:hAnsi="Arial" w:cs="Arial"/>
                <w:noProof/>
                <w:color w:val="000000"/>
                <w:sz w:val="16"/>
                <w:szCs w:val="16"/>
              </w:rPr>
              <w:t>State of New Mexico</w:t>
            </w:r>
          </w:p>
        </w:tc>
      </w:tr>
      <w:tr w:rsidR="00F66919" w:rsidRPr="00C804A1" w:rsidTr="00E60BBA">
        <w:trPr>
          <w:trHeight w:val="240"/>
          <w:jc w:val="center"/>
        </w:trPr>
        <w:tc>
          <w:tcPr>
            <w:tcW w:w="9220" w:type="dxa"/>
            <w:gridSpan w:val="7"/>
            <w:tcBorders>
              <w:top w:val="nil"/>
              <w:left w:val="nil"/>
              <w:bottom w:val="single" w:sz="8" w:space="0" w:color="009900"/>
              <w:right w:val="nil"/>
            </w:tcBorders>
            <w:shd w:val="clear" w:color="auto" w:fill="auto"/>
            <w:noWrap/>
            <w:vAlign w:val="center"/>
            <w:hideMark/>
          </w:tcPr>
          <w:p w:rsidR="00F66919" w:rsidRPr="00C804A1" w:rsidRDefault="00F66919" w:rsidP="00570829">
            <w:pPr>
              <w:jc w:val="center"/>
              <w:rPr>
                <w:rFonts w:ascii="Arial" w:hAnsi="Arial" w:cs="Arial"/>
                <w:color w:val="000000"/>
                <w:sz w:val="16"/>
                <w:szCs w:val="16"/>
              </w:rPr>
            </w:pPr>
            <w:r w:rsidRPr="00C804A1">
              <w:rPr>
                <w:rFonts w:ascii="Arial" w:hAnsi="Arial" w:cs="Arial"/>
                <w:bCs/>
                <w:color w:val="000000"/>
                <w:sz w:val="16"/>
                <w:szCs w:val="16"/>
              </w:rPr>
              <w:t>2014 Housing and Community Development Survey</w:t>
            </w:r>
          </w:p>
        </w:tc>
      </w:tr>
      <w:tr w:rsidR="00F66919" w:rsidRPr="00C804A1" w:rsidTr="00E60BBA">
        <w:trPr>
          <w:trHeight w:val="300"/>
          <w:jc w:val="center"/>
        </w:trPr>
        <w:tc>
          <w:tcPr>
            <w:tcW w:w="3214" w:type="dxa"/>
            <w:vMerge w:val="restart"/>
            <w:tcBorders>
              <w:top w:val="nil"/>
              <w:left w:val="single" w:sz="8" w:space="0" w:color="009900"/>
              <w:bottom w:val="single" w:sz="8" w:space="0" w:color="009900"/>
              <w:right w:val="nil"/>
            </w:tcBorders>
            <w:shd w:val="clear" w:color="000000" w:fill="FFFFE1"/>
            <w:noWrap/>
            <w:vAlign w:val="center"/>
            <w:hideMark/>
          </w:tcPr>
          <w:p w:rsidR="00F66919" w:rsidRPr="00C804A1" w:rsidRDefault="00F66919" w:rsidP="00570829">
            <w:pPr>
              <w:rPr>
                <w:rFonts w:ascii="Arial" w:hAnsi="Arial" w:cs="Arial"/>
                <w:b/>
                <w:bCs/>
                <w:color w:val="000000"/>
                <w:sz w:val="16"/>
                <w:szCs w:val="16"/>
              </w:rPr>
            </w:pPr>
            <w:r w:rsidRPr="00C804A1">
              <w:rPr>
                <w:rFonts w:ascii="Arial" w:hAnsi="Arial" w:cs="Arial"/>
                <w:b/>
                <w:bCs/>
                <w:color w:val="000000"/>
                <w:sz w:val="16"/>
                <w:szCs w:val="16"/>
              </w:rPr>
              <w:t>Question</w:t>
            </w:r>
          </w:p>
        </w:tc>
        <w:tc>
          <w:tcPr>
            <w:tcW w:w="750" w:type="dxa"/>
            <w:tcBorders>
              <w:top w:val="nil"/>
              <w:left w:val="nil"/>
              <w:bottom w:val="nil"/>
              <w:right w:val="nil"/>
            </w:tcBorders>
            <w:shd w:val="clear" w:color="000000" w:fill="FFFFE1"/>
            <w:noWrap/>
            <w:vAlign w:val="center"/>
            <w:hideMark/>
          </w:tcPr>
          <w:p w:rsidR="00F66919" w:rsidRPr="00C804A1" w:rsidRDefault="00F66919" w:rsidP="00570829">
            <w:pPr>
              <w:jc w:val="center"/>
              <w:rPr>
                <w:rFonts w:ascii="Arial" w:hAnsi="Arial" w:cs="Arial"/>
                <w:b/>
                <w:bCs/>
                <w:color w:val="000000"/>
                <w:sz w:val="16"/>
                <w:szCs w:val="16"/>
              </w:rPr>
            </w:pPr>
            <w:r w:rsidRPr="00C804A1">
              <w:rPr>
                <w:rFonts w:ascii="Arial" w:hAnsi="Arial" w:cs="Arial"/>
                <w:b/>
                <w:bCs/>
                <w:color w:val="000000"/>
                <w:sz w:val="16"/>
                <w:szCs w:val="16"/>
              </w:rPr>
              <w:t xml:space="preserve">No </w:t>
            </w:r>
          </w:p>
        </w:tc>
        <w:tc>
          <w:tcPr>
            <w:tcW w:w="750" w:type="dxa"/>
            <w:tcBorders>
              <w:top w:val="nil"/>
              <w:left w:val="nil"/>
              <w:bottom w:val="nil"/>
              <w:right w:val="nil"/>
            </w:tcBorders>
            <w:shd w:val="clear" w:color="000000" w:fill="FFFFE1"/>
            <w:noWrap/>
            <w:vAlign w:val="center"/>
            <w:hideMark/>
          </w:tcPr>
          <w:p w:rsidR="00F66919" w:rsidRPr="00C804A1" w:rsidRDefault="00F66919" w:rsidP="00570829">
            <w:pPr>
              <w:jc w:val="center"/>
              <w:rPr>
                <w:rFonts w:ascii="Arial" w:hAnsi="Arial" w:cs="Arial"/>
                <w:b/>
                <w:bCs/>
                <w:color w:val="000000"/>
                <w:sz w:val="16"/>
                <w:szCs w:val="16"/>
              </w:rPr>
            </w:pPr>
            <w:r w:rsidRPr="00C804A1">
              <w:rPr>
                <w:rFonts w:ascii="Arial" w:hAnsi="Arial" w:cs="Arial"/>
                <w:b/>
                <w:bCs/>
                <w:color w:val="000000"/>
                <w:sz w:val="16"/>
                <w:szCs w:val="16"/>
              </w:rPr>
              <w:t xml:space="preserve">Low </w:t>
            </w:r>
          </w:p>
        </w:tc>
        <w:tc>
          <w:tcPr>
            <w:tcW w:w="1128" w:type="dxa"/>
            <w:tcBorders>
              <w:top w:val="nil"/>
              <w:left w:val="nil"/>
              <w:bottom w:val="nil"/>
              <w:right w:val="nil"/>
            </w:tcBorders>
            <w:shd w:val="clear" w:color="000000" w:fill="FFFFE1"/>
            <w:noWrap/>
            <w:vAlign w:val="center"/>
            <w:hideMark/>
          </w:tcPr>
          <w:p w:rsidR="00F66919" w:rsidRPr="00C804A1" w:rsidRDefault="00F66919" w:rsidP="00570829">
            <w:pPr>
              <w:jc w:val="center"/>
              <w:rPr>
                <w:rFonts w:ascii="Arial" w:hAnsi="Arial" w:cs="Arial"/>
                <w:b/>
                <w:bCs/>
                <w:color w:val="000000"/>
                <w:sz w:val="16"/>
                <w:szCs w:val="16"/>
              </w:rPr>
            </w:pPr>
            <w:r w:rsidRPr="00C804A1">
              <w:rPr>
                <w:rFonts w:ascii="Arial" w:hAnsi="Arial" w:cs="Arial"/>
                <w:b/>
                <w:bCs/>
                <w:color w:val="000000"/>
                <w:sz w:val="16"/>
                <w:szCs w:val="16"/>
              </w:rPr>
              <w:t xml:space="preserve">Medium </w:t>
            </w:r>
          </w:p>
        </w:tc>
        <w:tc>
          <w:tcPr>
            <w:tcW w:w="750" w:type="dxa"/>
            <w:tcBorders>
              <w:top w:val="nil"/>
              <w:left w:val="nil"/>
              <w:bottom w:val="nil"/>
              <w:right w:val="nil"/>
            </w:tcBorders>
            <w:shd w:val="clear" w:color="000000" w:fill="FFFFE1"/>
            <w:noWrap/>
            <w:vAlign w:val="center"/>
            <w:hideMark/>
          </w:tcPr>
          <w:p w:rsidR="00F66919" w:rsidRPr="00C804A1" w:rsidRDefault="00F66919" w:rsidP="00570829">
            <w:pPr>
              <w:jc w:val="center"/>
              <w:rPr>
                <w:rFonts w:ascii="Arial" w:hAnsi="Arial" w:cs="Arial"/>
                <w:b/>
                <w:bCs/>
                <w:color w:val="000000"/>
                <w:sz w:val="16"/>
                <w:szCs w:val="16"/>
              </w:rPr>
            </w:pPr>
            <w:r w:rsidRPr="00C804A1">
              <w:rPr>
                <w:rFonts w:ascii="Arial" w:hAnsi="Arial" w:cs="Arial"/>
                <w:b/>
                <w:bCs/>
                <w:color w:val="000000"/>
                <w:sz w:val="16"/>
                <w:szCs w:val="16"/>
              </w:rPr>
              <w:t xml:space="preserve">High </w:t>
            </w:r>
          </w:p>
        </w:tc>
        <w:tc>
          <w:tcPr>
            <w:tcW w:w="1409" w:type="dxa"/>
            <w:vMerge w:val="restart"/>
            <w:tcBorders>
              <w:top w:val="nil"/>
              <w:left w:val="nil"/>
              <w:bottom w:val="single" w:sz="8" w:space="0" w:color="009900"/>
              <w:right w:val="nil"/>
            </w:tcBorders>
            <w:shd w:val="clear" w:color="000000" w:fill="FFFFE1"/>
            <w:vAlign w:val="center"/>
            <w:hideMark/>
          </w:tcPr>
          <w:p w:rsidR="00F66919" w:rsidRPr="00C804A1" w:rsidRDefault="00F66919" w:rsidP="00570829">
            <w:pPr>
              <w:jc w:val="center"/>
              <w:rPr>
                <w:rFonts w:ascii="Arial" w:hAnsi="Arial" w:cs="Arial"/>
                <w:b/>
                <w:bCs/>
                <w:color w:val="000000"/>
                <w:sz w:val="16"/>
                <w:szCs w:val="16"/>
              </w:rPr>
            </w:pPr>
            <w:r w:rsidRPr="00C804A1">
              <w:rPr>
                <w:rFonts w:ascii="Arial" w:hAnsi="Arial" w:cs="Arial"/>
                <w:b/>
                <w:bCs/>
                <w:color w:val="000000"/>
                <w:sz w:val="16"/>
                <w:szCs w:val="16"/>
              </w:rPr>
              <w:t>Missing</w:t>
            </w:r>
          </w:p>
        </w:tc>
        <w:tc>
          <w:tcPr>
            <w:tcW w:w="1219" w:type="dxa"/>
            <w:vMerge w:val="restart"/>
            <w:tcBorders>
              <w:top w:val="nil"/>
              <w:left w:val="nil"/>
              <w:bottom w:val="single" w:sz="8" w:space="0" w:color="009900"/>
              <w:right w:val="single" w:sz="8" w:space="0" w:color="009900"/>
            </w:tcBorders>
            <w:shd w:val="clear" w:color="000000" w:fill="FFFFE1"/>
            <w:vAlign w:val="center"/>
            <w:hideMark/>
          </w:tcPr>
          <w:p w:rsidR="00F66919" w:rsidRPr="00C804A1" w:rsidRDefault="00F66919" w:rsidP="00570829">
            <w:pPr>
              <w:jc w:val="center"/>
              <w:rPr>
                <w:rFonts w:ascii="Arial" w:hAnsi="Arial" w:cs="Arial"/>
                <w:b/>
                <w:bCs/>
                <w:color w:val="000000"/>
                <w:sz w:val="16"/>
                <w:szCs w:val="16"/>
              </w:rPr>
            </w:pPr>
            <w:r w:rsidRPr="00C804A1">
              <w:rPr>
                <w:rFonts w:ascii="Arial" w:hAnsi="Arial" w:cs="Arial"/>
                <w:b/>
                <w:bCs/>
                <w:color w:val="000000"/>
                <w:sz w:val="16"/>
                <w:szCs w:val="16"/>
              </w:rPr>
              <w:t>Total</w:t>
            </w:r>
          </w:p>
        </w:tc>
      </w:tr>
      <w:tr w:rsidR="00F66919" w:rsidRPr="00C804A1" w:rsidTr="00E60BBA">
        <w:trPr>
          <w:trHeight w:val="315"/>
          <w:jc w:val="center"/>
        </w:trPr>
        <w:tc>
          <w:tcPr>
            <w:tcW w:w="3214" w:type="dxa"/>
            <w:vMerge/>
            <w:tcBorders>
              <w:top w:val="nil"/>
              <w:left w:val="single" w:sz="8" w:space="0" w:color="009900"/>
              <w:bottom w:val="single" w:sz="8" w:space="0" w:color="009900"/>
              <w:right w:val="nil"/>
            </w:tcBorders>
            <w:vAlign w:val="center"/>
            <w:hideMark/>
          </w:tcPr>
          <w:p w:rsidR="00F66919" w:rsidRPr="00C804A1" w:rsidRDefault="00F66919" w:rsidP="00570829">
            <w:pPr>
              <w:rPr>
                <w:rFonts w:ascii="Arial" w:hAnsi="Arial" w:cs="Arial"/>
                <w:b/>
                <w:bCs/>
                <w:color w:val="000000"/>
                <w:sz w:val="16"/>
                <w:szCs w:val="16"/>
              </w:rPr>
            </w:pPr>
          </w:p>
        </w:tc>
        <w:tc>
          <w:tcPr>
            <w:tcW w:w="750" w:type="dxa"/>
            <w:tcBorders>
              <w:top w:val="nil"/>
              <w:left w:val="nil"/>
              <w:bottom w:val="single" w:sz="8" w:space="0" w:color="009900"/>
              <w:right w:val="nil"/>
            </w:tcBorders>
            <w:shd w:val="clear" w:color="000000" w:fill="FFFFE1"/>
            <w:noWrap/>
            <w:vAlign w:val="center"/>
            <w:hideMark/>
          </w:tcPr>
          <w:p w:rsidR="00F66919" w:rsidRPr="00C804A1" w:rsidRDefault="00F66919" w:rsidP="00570829">
            <w:pPr>
              <w:jc w:val="center"/>
              <w:rPr>
                <w:rFonts w:ascii="Arial" w:hAnsi="Arial" w:cs="Arial"/>
                <w:b/>
                <w:bCs/>
                <w:color w:val="000000"/>
                <w:sz w:val="16"/>
                <w:szCs w:val="16"/>
              </w:rPr>
            </w:pPr>
            <w:r w:rsidRPr="00C804A1">
              <w:rPr>
                <w:rFonts w:ascii="Arial" w:hAnsi="Arial" w:cs="Arial"/>
                <w:b/>
                <w:bCs/>
                <w:color w:val="000000"/>
                <w:sz w:val="16"/>
                <w:szCs w:val="16"/>
              </w:rPr>
              <w:t>Need</w:t>
            </w:r>
          </w:p>
        </w:tc>
        <w:tc>
          <w:tcPr>
            <w:tcW w:w="750" w:type="dxa"/>
            <w:tcBorders>
              <w:top w:val="nil"/>
              <w:left w:val="nil"/>
              <w:bottom w:val="single" w:sz="8" w:space="0" w:color="009900"/>
              <w:right w:val="nil"/>
            </w:tcBorders>
            <w:shd w:val="clear" w:color="000000" w:fill="FFFFE1"/>
            <w:noWrap/>
            <w:vAlign w:val="center"/>
            <w:hideMark/>
          </w:tcPr>
          <w:p w:rsidR="00F66919" w:rsidRPr="00C804A1" w:rsidRDefault="00F66919" w:rsidP="00570829">
            <w:pPr>
              <w:jc w:val="center"/>
              <w:rPr>
                <w:rFonts w:ascii="Arial" w:hAnsi="Arial" w:cs="Arial"/>
                <w:b/>
                <w:bCs/>
                <w:color w:val="000000"/>
                <w:sz w:val="16"/>
                <w:szCs w:val="16"/>
              </w:rPr>
            </w:pPr>
            <w:r w:rsidRPr="00C804A1">
              <w:rPr>
                <w:rFonts w:ascii="Arial" w:hAnsi="Arial" w:cs="Arial"/>
                <w:b/>
                <w:bCs/>
                <w:color w:val="000000"/>
                <w:sz w:val="16"/>
                <w:szCs w:val="16"/>
              </w:rPr>
              <w:t>Need</w:t>
            </w:r>
          </w:p>
        </w:tc>
        <w:tc>
          <w:tcPr>
            <w:tcW w:w="1128" w:type="dxa"/>
            <w:tcBorders>
              <w:top w:val="nil"/>
              <w:left w:val="nil"/>
              <w:bottom w:val="single" w:sz="8" w:space="0" w:color="009900"/>
              <w:right w:val="nil"/>
            </w:tcBorders>
            <w:shd w:val="clear" w:color="000000" w:fill="FFFFE1"/>
            <w:noWrap/>
            <w:vAlign w:val="center"/>
            <w:hideMark/>
          </w:tcPr>
          <w:p w:rsidR="00F66919" w:rsidRPr="00C804A1" w:rsidRDefault="00F66919" w:rsidP="00570829">
            <w:pPr>
              <w:jc w:val="center"/>
              <w:rPr>
                <w:rFonts w:ascii="Arial" w:hAnsi="Arial" w:cs="Arial"/>
                <w:b/>
                <w:bCs/>
                <w:color w:val="000000"/>
                <w:sz w:val="16"/>
                <w:szCs w:val="16"/>
              </w:rPr>
            </w:pPr>
            <w:r w:rsidRPr="00C804A1">
              <w:rPr>
                <w:rFonts w:ascii="Arial" w:hAnsi="Arial" w:cs="Arial"/>
                <w:b/>
                <w:bCs/>
                <w:color w:val="000000"/>
                <w:sz w:val="16"/>
                <w:szCs w:val="16"/>
              </w:rPr>
              <w:t>Need</w:t>
            </w:r>
          </w:p>
        </w:tc>
        <w:tc>
          <w:tcPr>
            <w:tcW w:w="750" w:type="dxa"/>
            <w:tcBorders>
              <w:top w:val="nil"/>
              <w:left w:val="nil"/>
              <w:bottom w:val="single" w:sz="8" w:space="0" w:color="009900"/>
              <w:right w:val="nil"/>
            </w:tcBorders>
            <w:shd w:val="clear" w:color="000000" w:fill="FFFFE1"/>
            <w:noWrap/>
            <w:vAlign w:val="center"/>
            <w:hideMark/>
          </w:tcPr>
          <w:p w:rsidR="00F66919" w:rsidRPr="00C804A1" w:rsidRDefault="00F66919" w:rsidP="00570829">
            <w:pPr>
              <w:jc w:val="center"/>
              <w:rPr>
                <w:rFonts w:ascii="Arial" w:hAnsi="Arial" w:cs="Arial"/>
                <w:b/>
                <w:bCs/>
                <w:color w:val="000000"/>
                <w:sz w:val="16"/>
                <w:szCs w:val="16"/>
              </w:rPr>
            </w:pPr>
            <w:r w:rsidRPr="00C804A1">
              <w:rPr>
                <w:rFonts w:ascii="Arial" w:hAnsi="Arial" w:cs="Arial"/>
                <w:b/>
                <w:bCs/>
                <w:color w:val="000000"/>
                <w:sz w:val="16"/>
                <w:szCs w:val="16"/>
              </w:rPr>
              <w:t>Need</w:t>
            </w:r>
          </w:p>
        </w:tc>
        <w:tc>
          <w:tcPr>
            <w:tcW w:w="1409" w:type="dxa"/>
            <w:vMerge/>
            <w:tcBorders>
              <w:top w:val="nil"/>
              <w:left w:val="nil"/>
              <w:bottom w:val="single" w:sz="8" w:space="0" w:color="009900"/>
              <w:right w:val="nil"/>
            </w:tcBorders>
            <w:vAlign w:val="center"/>
            <w:hideMark/>
          </w:tcPr>
          <w:p w:rsidR="00F66919" w:rsidRPr="00C804A1" w:rsidRDefault="00F66919" w:rsidP="00570829">
            <w:pPr>
              <w:rPr>
                <w:rFonts w:ascii="Arial" w:hAnsi="Arial" w:cs="Arial"/>
                <w:b/>
                <w:bCs/>
                <w:color w:val="000000"/>
                <w:sz w:val="16"/>
                <w:szCs w:val="16"/>
              </w:rPr>
            </w:pPr>
          </w:p>
        </w:tc>
        <w:tc>
          <w:tcPr>
            <w:tcW w:w="1219" w:type="dxa"/>
            <w:vMerge/>
            <w:tcBorders>
              <w:top w:val="nil"/>
              <w:left w:val="nil"/>
              <w:bottom w:val="single" w:sz="8" w:space="0" w:color="009900"/>
              <w:right w:val="single" w:sz="8" w:space="0" w:color="009900"/>
            </w:tcBorders>
            <w:vAlign w:val="center"/>
            <w:hideMark/>
          </w:tcPr>
          <w:p w:rsidR="00F66919" w:rsidRPr="00C804A1" w:rsidRDefault="00F66919" w:rsidP="00570829">
            <w:pPr>
              <w:rPr>
                <w:rFonts w:ascii="Arial" w:hAnsi="Arial" w:cs="Arial"/>
                <w:b/>
                <w:bCs/>
                <w:color w:val="000000"/>
                <w:sz w:val="16"/>
                <w:szCs w:val="16"/>
              </w:rPr>
            </w:pPr>
          </w:p>
        </w:tc>
      </w:tr>
      <w:tr w:rsidR="00F66919" w:rsidRPr="00C804A1" w:rsidTr="00E60BBA">
        <w:trPr>
          <w:trHeight w:val="315"/>
          <w:jc w:val="center"/>
        </w:trPr>
        <w:tc>
          <w:tcPr>
            <w:tcW w:w="3214" w:type="dxa"/>
            <w:tcBorders>
              <w:top w:val="nil"/>
              <w:left w:val="single" w:sz="8" w:space="0" w:color="009900"/>
              <w:bottom w:val="single" w:sz="8" w:space="0" w:color="009900"/>
              <w:right w:val="nil"/>
            </w:tcBorders>
            <w:shd w:val="clear" w:color="000000" w:fill="FFFFE1"/>
            <w:noWrap/>
            <w:vAlign w:val="center"/>
            <w:hideMark/>
          </w:tcPr>
          <w:p w:rsidR="00F66919" w:rsidRPr="00C804A1" w:rsidRDefault="00F66919" w:rsidP="00570829">
            <w:pPr>
              <w:rPr>
                <w:rFonts w:ascii="Arial" w:hAnsi="Arial" w:cs="Arial"/>
                <w:color w:val="000000"/>
                <w:sz w:val="16"/>
                <w:szCs w:val="16"/>
              </w:rPr>
            </w:pPr>
            <w:r w:rsidRPr="00C804A1">
              <w:rPr>
                <w:rFonts w:ascii="Arial" w:hAnsi="Arial" w:cs="Arial"/>
                <w:color w:val="000000"/>
                <w:sz w:val="16"/>
                <w:szCs w:val="16"/>
              </w:rPr>
              <w:t>Persons with HIV/AIDS</w:t>
            </w:r>
          </w:p>
        </w:tc>
        <w:tc>
          <w:tcPr>
            <w:tcW w:w="750" w:type="dxa"/>
            <w:tcBorders>
              <w:top w:val="nil"/>
              <w:left w:val="nil"/>
              <w:bottom w:val="single" w:sz="8" w:space="0" w:color="009900"/>
              <w:right w:val="nil"/>
            </w:tcBorders>
            <w:shd w:val="clear" w:color="000000" w:fill="FFFFE1"/>
            <w:noWrap/>
            <w:vAlign w:val="center"/>
            <w:hideMark/>
          </w:tcPr>
          <w:p w:rsidR="00F66919" w:rsidRPr="00C804A1" w:rsidRDefault="00F66919" w:rsidP="00570829">
            <w:pPr>
              <w:jc w:val="center"/>
              <w:rPr>
                <w:rFonts w:ascii="Arial" w:hAnsi="Arial" w:cs="Arial"/>
                <w:color w:val="000000"/>
                <w:sz w:val="16"/>
                <w:szCs w:val="16"/>
              </w:rPr>
            </w:pPr>
            <w:r w:rsidRPr="00C804A1">
              <w:rPr>
                <w:rFonts w:ascii="Arial" w:hAnsi="Arial" w:cs="Arial"/>
                <w:noProof/>
                <w:color w:val="000000"/>
                <w:sz w:val="16"/>
                <w:szCs w:val="16"/>
              </w:rPr>
              <w:t>5</w:t>
            </w:r>
          </w:p>
        </w:tc>
        <w:tc>
          <w:tcPr>
            <w:tcW w:w="750" w:type="dxa"/>
            <w:tcBorders>
              <w:top w:val="nil"/>
              <w:left w:val="nil"/>
              <w:bottom w:val="single" w:sz="8" w:space="0" w:color="009900"/>
              <w:right w:val="nil"/>
            </w:tcBorders>
            <w:shd w:val="clear" w:color="000000" w:fill="FFFFE1"/>
            <w:noWrap/>
            <w:vAlign w:val="center"/>
            <w:hideMark/>
          </w:tcPr>
          <w:p w:rsidR="00F66919" w:rsidRPr="00C804A1" w:rsidRDefault="00F66919" w:rsidP="00570829">
            <w:pPr>
              <w:jc w:val="center"/>
              <w:rPr>
                <w:rFonts w:ascii="Arial" w:hAnsi="Arial" w:cs="Arial"/>
                <w:color w:val="000000"/>
                <w:sz w:val="16"/>
                <w:szCs w:val="16"/>
              </w:rPr>
            </w:pPr>
            <w:r w:rsidRPr="00C804A1">
              <w:rPr>
                <w:rFonts w:ascii="Arial" w:hAnsi="Arial" w:cs="Arial"/>
                <w:noProof/>
                <w:color w:val="000000"/>
                <w:sz w:val="16"/>
                <w:szCs w:val="16"/>
              </w:rPr>
              <w:t>45</w:t>
            </w:r>
          </w:p>
        </w:tc>
        <w:tc>
          <w:tcPr>
            <w:tcW w:w="1128" w:type="dxa"/>
            <w:tcBorders>
              <w:top w:val="nil"/>
              <w:left w:val="nil"/>
              <w:bottom w:val="single" w:sz="8" w:space="0" w:color="009900"/>
              <w:right w:val="nil"/>
            </w:tcBorders>
            <w:shd w:val="clear" w:color="000000" w:fill="FFFFE1"/>
            <w:noWrap/>
            <w:vAlign w:val="center"/>
            <w:hideMark/>
          </w:tcPr>
          <w:p w:rsidR="00F66919" w:rsidRPr="00C804A1" w:rsidRDefault="00F66919" w:rsidP="00570829">
            <w:pPr>
              <w:jc w:val="center"/>
              <w:rPr>
                <w:rFonts w:ascii="Arial" w:hAnsi="Arial" w:cs="Arial"/>
                <w:color w:val="000000"/>
                <w:sz w:val="16"/>
                <w:szCs w:val="16"/>
              </w:rPr>
            </w:pPr>
            <w:r w:rsidRPr="00C804A1">
              <w:rPr>
                <w:rFonts w:ascii="Arial" w:hAnsi="Arial" w:cs="Arial"/>
                <w:noProof/>
                <w:color w:val="000000"/>
                <w:sz w:val="16"/>
                <w:szCs w:val="16"/>
              </w:rPr>
              <w:t>110</w:t>
            </w:r>
          </w:p>
        </w:tc>
        <w:tc>
          <w:tcPr>
            <w:tcW w:w="750" w:type="dxa"/>
            <w:tcBorders>
              <w:top w:val="nil"/>
              <w:left w:val="nil"/>
              <w:bottom w:val="single" w:sz="8" w:space="0" w:color="009900"/>
              <w:right w:val="nil"/>
            </w:tcBorders>
            <w:shd w:val="clear" w:color="000000" w:fill="FFFFE1"/>
            <w:noWrap/>
            <w:vAlign w:val="center"/>
            <w:hideMark/>
          </w:tcPr>
          <w:p w:rsidR="00F66919" w:rsidRPr="00C804A1" w:rsidRDefault="00F66919" w:rsidP="00570829">
            <w:pPr>
              <w:jc w:val="center"/>
              <w:rPr>
                <w:rFonts w:ascii="Arial" w:hAnsi="Arial" w:cs="Arial"/>
                <w:color w:val="000000"/>
                <w:sz w:val="16"/>
                <w:szCs w:val="16"/>
              </w:rPr>
            </w:pPr>
            <w:r w:rsidRPr="00C804A1">
              <w:rPr>
                <w:rFonts w:ascii="Arial" w:hAnsi="Arial" w:cs="Arial"/>
                <w:noProof/>
                <w:color w:val="000000"/>
                <w:sz w:val="16"/>
                <w:szCs w:val="16"/>
              </w:rPr>
              <w:t>66</w:t>
            </w:r>
          </w:p>
        </w:tc>
        <w:tc>
          <w:tcPr>
            <w:tcW w:w="1409" w:type="dxa"/>
            <w:tcBorders>
              <w:top w:val="nil"/>
              <w:left w:val="nil"/>
              <w:bottom w:val="single" w:sz="8" w:space="0" w:color="009900"/>
              <w:right w:val="nil"/>
            </w:tcBorders>
            <w:shd w:val="clear" w:color="000000" w:fill="FFFFE1"/>
            <w:vAlign w:val="center"/>
            <w:hideMark/>
          </w:tcPr>
          <w:p w:rsidR="00F66919" w:rsidRPr="00C804A1" w:rsidRDefault="00F66919" w:rsidP="00570829">
            <w:pPr>
              <w:jc w:val="center"/>
              <w:rPr>
                <w:rFonts w:ascii="Arial" w:hAnsi="Arial" w:cs="Arial"/>
                <w:color w:val="000000"/>
                <w:sz w:val="16"/>
                <w:szCs w:val="16"/>
              </w:rPr>
            </w:pPr>
            <w:r w:rsidRPr="00C804A1">
              <w:rPr>
                <w:rFonts w:ascii="Arial" w:hAnsi="Arial" w:cs="Arial"/>
                <w:noProof/>
                <w:color w:val="000000"/>
                <w:sz w:val="16"/>
                <w:szCs w:val="16"/>
              </w:rPr>
              <w:t>117</w:t>
            </w:r>
          </w:p>
        </w:tc>
        <w:tc>
          <w:tcPr>
            <w:tcW w:w="1219" w:type="dxa"/>
            <w:tcBorders>
              <w:top w:val="nil"/>
              <w:left w:val="nil"/>
              <w:bottom w:val="single" w:sz="8" w:space="0" w:color="009900"/>
              <w:right w:val="single" w:sz="8" w:space="0" w:color="009900"/>
            </w:tcBorders>
            <w:shd w:val="clear" w:color="000000" w:fill="FFFFE1"/>
            <w:vAlign w:val="center"/>
            <w:hideMark/>
          </w:tcPr>
          <w:p w:rsidR="00F66919" w:rsidRPr="00C804A1" w:rsidRDefault="00F66919" w:rsidP="00570829">
            <w:pPr>
              <w:jc w:val="center"/>
              <w:rPr>
                <w:rFonts w:ascii="Arial" w:hAnsi="Arial" w:cs="Arial"/>
                <w:color w:val="000000"/>
                <w:sz w:val="16"/>
                <w:szCs w:val="16"/>
              </w:rPr>
            </w:pPr>
            <w:r w:rsidRPr="00C804A1">
              <w:rPr>
                <w:rFonts w:ascii="Arial" w:hAnsi="Arial" w:cs="Arial"/>
                <w:noProof/>
                <w:color w:val="000000"/>
                <w:sz w:val="16"/>
                <w:szCs w:val="16"/>
              </w:rPr>
              <w:t>343</w:t>
            </w:r>
          </w:p>
        </w:tc>
      </w:tr>
    </w:tbl>
    <w:p w:rsidR="00670296" w:rsidRPr="00670296" w:rsidRDefault="00670296" w:rsidP="00BB666B">
      <w:pPr>
        <w:pStyle w:val="FirstHead"/>
        <w:rPr>
          <w:highlight w:val="yellow"/>
        </w:rPr>
      </w:pPr>
    </w:p>
    <w:p w:rsidR="000869BD" w:rsidRPr="00503BA4" w:rsidRDefault="006360A3" w:rsidP="00BB666B">
      <w:pPr>
        <w:pStyle w:val="FirstHead"/>
      </w:pPr>
      <w:bookmarkStart w:id="116" w:name="_Toc399834584"/>
      <w:r w:rsidRPr="00503BA4">
        <w:t>F</w:t>
      </w:r>
      <w:r w:rsidR="000869BD" w:rsidRPr="00503BA4">
        <w:t>. Summary</w:t>
      </w:r>
      <w:bookmarkEnd w:id="116"/>
    </w:p>
    <w:p w:rsidR="000869BD" w:rsidRPr="00925169" w:rsidRDefault="000869BD" w:rsidP="000869BD">
      <w:pPr>
        <w:pStyle w:val="BodyText"/>
        <w:tabs>
          <w:tab w:val="num" w:pos="360"/>
        </w:tabs>
        <w:rPr>
          <w:rFonts w:ascii="CG Omega" w:hAnsi="CG Omega"/>
          <w:szCs w:val="24"/>
          <w:highlight w:val="yellow"/>
        </w:rPr>
      </w:pPr>
    </w:p>
    <w:p w:rsidR="00E7106E" w:rsidRPr="00955C8C" w:rsidRDefault="00B5263F" w:rsidP="00E7106E">
      <w:pPr>
        <w:jc w:val="both"/>
        <w:rPr>
          <w:rFonts w:ascii="CG Omega" w:hAnsi="CG Omega"/>
          <w:bCs/>
          <w:highlight w:val="yellow"/>
        </w:rPr>
      </w:pPr>
      <w:r w:rsidRPr="00440AB4">
        <w:rPr>
          <w:rFonts w:ascii="CG Omega" w:hAnsi="CG Omega"/>
          <w:bCs/>
        </w:rPr>
        <w:t xml:space="preserve">Results from the </w:t>
      </w:r>
      <w:r w:rsidRPr="00925169">
        <w:rPr>
          <w:rFonts w:ascii="CG Omega" w:hAnsi="CG Omega"/>
          <w:bCs/>
          <w:i/>
        </w:rPr>
        <w:t>2014</w:t>
      </w:r>
      <w:r w:rsidR="00E7106E" w:rsidRPr="00925169">
        <w:rPr>
          <w:rFonts w:ascii="CG Omega" w:hAnsi="CG Omega"/>
          <w:bCs/>
          <w:i/>
        </w:rPr>
        <w:t xml:space="preserve"> Housing and Community Development Needs Surv</w:t>
      </w:r>
      <w:r w:rsidR="00E7106E" w:rsidRPr="00440AB4">
        <w:rPr>
          <w:rFonts w:ascii="CG Omega" w:hAnsi="CG Omega"/>
          <w:bCs/>
        </w:rPr>
        <w:t>ey showed that</w:t>
      </w:r>
      <w:r w:rsidR="00073239" w:rsidRPr="00440AB4">
        <w:rPr>
          <w:rFonts w:ascii="CG Omega" w:hAnsi="CG Omega"/>
          <w:bCs/>
        </w:rPr>
        <w:t xml:space="preserve"> </w:t>
      </w:r>
      <w:r w:rsidR="00925169">
        <w:rPr>
          <w:rFonts w:ascii="CG Omega" w:hAnsi="CG Omega"/>
          <w:bCs/>
        </w:rPr>
        <w:t xml:space="preserve">both </w:t>
      </w:r>
      <w:r w:rsidR="00440AB4" w:rsidRPr="00440AB4">
        <w:rPr>
          <w:rFonts w:ascii="CG Omega" w:hAnsi="CG Omega"/>
          <w:bCs/>
        </w:rPr>
        <w:t>new rental construction and rental</w:t>
      </w:r>
      <w:r w:rsidR="00925169">
        <w:rPr>
          <w:rFonts w:ascii="CG Omega" w:hAnsi="CG Omega"/>
          <w:bCs/>
        </w:rPr>
        <w:t xml:space="preserve"> rehabilitation</w:t>
      </w:r>
      <w:r w:rsidR="00073239" w:rsidRPr="00440AB4">
        <w:rPr>
          <w:rFonts w:ascii="CG Omega" w:hAnsi="CG Omega"/>
          <w:bCs/>
        </w:rPr>
        <w:t xml:space="preserve"> were both considered to have a high need for funding, along with </w:t>
      </w:r>
      <w:r w:rsidR="00440AB4" w:rsidRPr="00440AB4">
        <w:rPr>
          <w:rFonts w:ascii="CG Omega" w:hAnsi="CG Omega"/>
          <w:bCs/>
        </w:rPr>
        <w:t xml:space="preserve">first-time </w:t>
      </w:r>
      <w:r w:rsidR="00CC3344">
        <w:rPr>
          <w:rFonts w:ascii="CG Omega" w:hAnsi="CG Omega"/>
          <w:bCs/>
        </w:rPr>
        <w:t>homebuyer</w:t>
      </w:r>
      <w:r w:rsidR="00440AB4" w:rsidRPr="00440AB4">
        <w:rPr>
          <w:rFonts w:ascii="CG Omega" w:hAnsi="CG Omega"/>
          <w:bCs/>
        </w:rPr>
        <w:t xml:space="preserve"> assistance and</w:t>
      </w:r>
      <w:r w:rsidR="00073239" w:rsidRPr="00440AB4">
        <w:rPr>
          <w:rFonts w:ascii="CG Omega" w:hAnsi="CG Omega"/>
          <w:bCs/>
        </w:rPr>
        <w:t xml:space="preserve"> </w:t>
      </w:r>
      <w:r w:rsidR="00BB2854">
        <w:rPr>
          <w:rFonts w:ascii="CG Omega" w:hAnsi="CG Omega"/>
          <w:bCs/>
        </w:rPr>
        <w:t>owner occupied</w:t>
      </w:r>
      <w:r w:rsidR="00440AB4" w:rsidRPr="00440AB4">
        <w:rPr>
          <w:rFonts w:ascii="CG Omega" w:hAnsi="CG Omega"/>
          <w:bCs/>
        </w:rPr>
        <w:t xml:space="preserve"> </w:t>
      </w:r>
      <w:r w:rsidR="000F42FA">
        <w:rPr>
          <w:rFonts w:ascii="CG Omega" w:hAnsi="CG Omega"/>
          <w:bCs/>
        </w:rPr>
        <w:t>rehabilitation</w:t>
      </w:r>
      <w:r w:rsidR="00073239" w:rsidRPr="00440AB4">
        <w:rPr>
          <w:rFonts w:ascii="CG Omega" w:hAnsi="CG Omega"/>
          <w:bCs/>
        </w:rPr>
        <w:t>.</w:t>
      </w:r>
      <w:r w:rsidR="00E7106E" w:rsidRPr="00440AB4">
        <w:rPr>
          <w:rFonts w:ascii="CG Omega" w:hAnsi="CG Omega"/>
          <w:bCs/>
        </w:rPr>
        <w:t xml:space="preserve"> </w:t>
      </w:r>
      <w:r w:rsidR="00E7106E" w:rsidRPr="009336CB">
        <w:rPr>
          <w:rFonts w:ascii="CG Omega" w:hAnsi="CG Omega"/>
          <w:bCs/>
        </w:rPr>
        <w:t xml:space="preserve">Comments received from </w:t>
      </w:r>
      <w:r w:rsidR="00073239" w:rsidRPr="009336CB">
        <w:rPr>
          <w:rFonts w:ascii="CG Omega" w:hAnsi="CG Omega"/>
          <w:bCs/>
        </w:rPr>
        <w:t>focus group meetings in the state showed that there is a</w:t>
      </w:r>
      <w:r w:rsidR="00440AB4" w:rsidRPr="009336CB">
        <w:rPr>
          <w:rFonts w:ascii="CG Omega" w:hAnsi="CG Omega"/>
          <w:bCs/>
        </w:rPr>
        <w:t>n increased need for</w:t>
      </w:r>
      <w:r w:rsidR="00073239" w:rsidRPr="009336CB">
        <w:rPr>
          <w:rFonts w:ascii="CG Omega" w:hAnsi="CG Omega"/>
          <w:bCs/>
        </w:rPr>
        <w:t xml:space="preserve"> new rental properties </w:t>
      </w:r>
      <w:r w:rsidR="00440AB4" w:rsidRPr="009336CB">
        <w:rPr>
          <w:rFonts w:ascii="CG Omega" w:hAnsi="CG Omega"/>
          <w:bCs/>
        </w:rPr>
        <w:t xml:space="preserve">and </w:t>
      </w:r>
      <w:r w:rsidR="00B70E22" w:rsidRPr="009336CB">
        <w:rPr>
          <w:rFonts w:ascii="CG Omega" w:hAnsi="CG Omega"/>
          <w:bCs/>
        </w:rPr>
        <w:t>the need for improved water infrastructure to accommodate growth.</w:t>
      </w:r>
    </w:p>
    <w:p w:rsidR="00E7106E" w:rsidRPr="007F6B6C" w:rsidRDefault="00E7106E" w:rsidP="00E7106E">
      <w:pPr>
        <w:jc w:val="both"/>
        <w:rPr>
          <w:rFonts w:ascii="CG Omega" w:hAnsi="CG Omega"/>
          <w:bCs/>
          <w:sz w:val="16"/>
          <w:szCs w:val="16"/>
          <w:highlight w:val="yellow"/>
        </w:rPr>
      </w:pPr>
    </w:p>
    <w:p w:rsidR="00E7106E" w:rsidRPr="00955C8C" w:rsidRDefault="00E7106E" w:rsidP="00E7106E">
      <w:pPr>
        <w:jc w:val="both"/>
        <w:rPr>
          <w:rFonts w:ascii="CG Omega" w:hAnsi="CG Omega"/>
          <w:bCs/>
          <w:highlight w:val="yellow"/>
        </w:rPr>
      </w:pPr>
      <w:r w:rsidRPr="00B5263F">
        <w:rPr>
          <w:rFonts w:ascii="CG Omega" w:hAnsi="CG Omega"/>
          <w:bCs/>
        </w:rPr>
        <w:t>Homeless needs throughout the state are hand</w:t>
      </w:r>
      <w:r w:rsidR="0027360F" w:rsidRPr="00B5263F">
        <w:rPr>
          <w:rFonts w:ascii="CG Omega" w:hAnsi="CG Omega"/>
          <w:bCs/>
        </w:rPr>
        <w:t>led by two</w:t>
      </w:r>
      <w:r w:rsidRPr="00B5263F">
        <w:rPr>
          <w:rFonts w:ascii="CG Omega" w:hAnsi="CG Omega"/>
          <w:bCs/>
        </w:rPr>
        <w:t xml:space="preserve"> different </w:t>
      </w:r>
      <w:r w:rsidR="00925169">
        <w:rPr>
          <w:rFonts w:ascii="CG Omega" w:hAnsi="CG Omega"/>
          <w:bCs/>
        </w:rPr>
        <w:t>CoC</w:t>
      </w:r>
      <w:r w:rsidR="008A38CC">
        <w:rPr>
          <w:rFonts w:ascii="CG Omega" w:hAnsi="CG Omega"/>
          <w:bCs/>
        </w:rPr>
        <w:t xml:space="preserve"> organizations. </w:t>
      </w:r>
      <w:r w:rsidRPr="00B5263F">
        <w:rPr>
          <w:rFonts w:ascii="CG Omega" w:hAnsi="CG Omega"/>
          <w:bCs/>
        </w:rPr>
        <w:t>A count of the homeless population in the state showe</w:t>
      </w:r>
      <w:r w:rsidR="0097720A" w:rsidRPr="00B5263F">
        <w:rPr>
          <w:rFonts w:ascii="CG Omega" w:hAnsi="CG Omega"/>
          <w:bCs/>
        </w:rPr>
        <w:t xml:space="preserve">d that more than </w:t>
      </w:r>
      <w:r w:rsidR="00B5263F" w:rsidRPr="00B5263F">
        <w:rPr>
          <w:rFonts w:ascii="CG Omega" w:hAnsi="CG Omega"/>
          <w:bCs/>
        </w:rPr>
        <w:t>2,819</w:t>
      </w:r>
      <w:r w:rsidR="0097720A" w:rsidRPr="00B5263F">
        <w:rPr>
          <w:rFonts w:ascii="CG Omega" w:hAnsi="CG Omega"/>
          <w:bCs/>
        </w:rPr>
        <w:t xml:space="preserve"> persons we</w:t>
      </w:r>
      <w:r w:rsidR="00073239" w:rsidRPr="00B5263F">
        <w:rPr>
          <w:rFonts w:ascii="CG Omega" w:hAnsi="CG Omega"/>
          <w:bCs/>
        </w:rPr>
        <w:t>re homeless in New Mexico in 20</w:t>
      </w:r>
      <w:r w:rsidR="00B5263F" w:rsidRPr="00B5263F">
        <w:rPr>
          <w:rFonts w:ascii="CG Omega" w:hAnsi="CG Omega"/>
          <w:bCs/>
        </w:rPr>
        <w:t>13</w:t>
      </w:r>
      <w:r w:rsidR="00073239" w:rsidRPr="00B5263F">
        <w:rPr>
          <w:rFonts w:ascii="CG Omega" w:hAnsi="CG Omega"/>
          <w:bCs/>
        </w:rPr>
        <w:t>, including 3</w:t>
      </w:r>
      <w:r w:rsidR="00B5263F" w:rsidRPr="00B5263F">
        <w:rPr>
          <w:rFonts w:ascii="CG Omega" w:hAnsi="CG Omega"/>
          <w:bCs/>
        </w:rPr>
        <w:t>23</w:t>
      </w:r>
      <w:r w:rsidRPr="00B5263F">
        <w:rPr>
          <w:rFonts w:ascii="CG Omega" w:hAnsi="CG Omega"/>
          <w:bCs/>
        </w:rPr>
        <w:t xml:space="preserve"> homeles</w:t>
      </w:r>
      <w:r w:rsidR="00B5263F" w:rsidRPr="00B5263F">
        <w:rPr>
          <w:rFonts w:ascii="CG Omega" w:hAnsi="CG Omega"/>
          <w:bCs/>
        </w:rPr>
        <w:t>s families with children, 525</w:t>
      </w:r>
      <w:r w:rsidRPr="00B5263F">
        <w:rPr>
          <w:rFonts w:ascii="CG Omega" w:hAnsi="CG Omega"/>
          <w:bCs/>
        </w:rPr>
        <w:t xml:space="preserve"> chronically homeless persons</w:t>
      </w:r>
      <w:r w:rsidR="00B5263F" w:rsidRPr="00B5263F">
        <w:rPr>
          <w:rFonts w:ascii="CG Omega" w:hAnsi="CG Omega"/>
          <w:bCs/>
        </w:rPr>
        <w:t>, and 81 persons in households with only children</w:t>
      </w:r>
      <w:r w:rsidRPr="00B5263F">
        <w:rPr>
          <w:rFonts w:ascii="CG Omega" w:hAnsi="CG Omega"/>
          <w:bCs/>
        </w:rPr>
        <w:t>.</w:t>
      </w:r>
    </w:p>
    <w:p w:rsidR="00E7106E" w:rsidRPr="007F6B6C" w:rsidRDefault="00E7106E" w:rsidP="00E7106E">
      <w:pPr>
        <w:jc w:val="both"/>
        <w:rPr>
          <w:rFonts w:ascii="CG Omega" w:hAnsi="CG Omega"/>
          <w:bCs/>
          <w:sz w:val="16"/>
          <w:szCs w:val="16"/>
          <w:highlight w:val="yellow"/>
        </w:rPr>
      </w:pPr>
    </w:p>
    <w:p w:rsidR="00E7106E" w:rsidRPr="00955C8C" w:rsidRDefault="00E7106E" w:rsidP="00E7106E">
      <w:pPr>
        <w:jc w:val="both"/>
        <w:rPr>
          <w:rFonts w:ascii="CG Omega" w:hAnsi="CG Omega"/>
          <w:bCs/>
          <w:highlight w:val="yellow"/>
        </w:rPr>
      </w:pPr>
      <w:r w:rsidRPr="00B5263F">
        <w:rPr>
          <w:rFonts w:ascii="CG Omega" w:hAnsi="CG Omega"/>
          <w:bCs/>
        </w:rPr>
        <w:t>Non-homeless special needs populations in the state include the elderly and frail elderly, persons living with disabilities, persons with alcohol or other drug addiction, victims of domestic violence, and persons living with HIV and their families.  These populations are not homeless, but are at the risk of becoming homeless and</w:t>
      </w:r>
      <w:r w:rsidR="00925169">
        <w:rPr>
          <w:rFonts w:ascii="CG Omega" w:hAnsi="CG Omega"/>
          <w:bCs/>
        </w:rPr>
        <w:t>,</w:t>
      </w:r>
      <w:r w:rsidRPr="00B5263F">
        <w:rPr>
          <w:rFonts w:ascii="CG Omega" w:hAnsi="CG Omega"/>
          <w:bCs/>
        </w:rPr>
        <w:t xml:space="preserve"> therefore</w:t>
      </w:r>
      <w:r w:rsidR="00925169">
        <w:rPr>
          <w:rFonts w:ascii="CG Omega" w:hAnsi="CG Omega"/>
          <w:bCs/>
        </w:rPr>
        <w:t>,</w:t>
      </w:r>
      <w:r w:rsidRPr="00B5263F">
        <w:rPr>
          <w:rFonts w:ascii="CG Omega" w:hAnsi="CG Omega"/>
          <w:bCs/>
        </w:rPr>
        <w:t xml:space="preserve"> often require housing and service programs.  The needs of the special needs groups are relative to the programs currently provided.  For example, the elderly population is expected to swell in the near future and will require increased access to home services as well as assisted living and nursing home facilities.</w:t>
      </w:r>
    </w:p>
    <w:p w:rsidR="00E7106E" w:rsidRPr="00955C8C" w:rsidRDefault="00E7106E" w:rsidP="000869BD">
      <w:pPr>
        <w:pStyle w:val="BodyText"/>
        <w:tabs>
          <w:tab w:val="num" w:pos="360"/>
        </w:tabs>
        <w:rPr>
          <w:rFonts w:ascii="CG Omega" w:hAnsi="CG Omega"/>
          <w:szCs w:val="24"/>
          <w:highlight w:val="yellow"/>
        </w:rPr>
      </w:pPr>
    </w:p>
    <w:p w:rsidR="00E7106E" w:rsidRPr="00955C8C" w:rsidRDefault="00E7106E" w:rsidP="000869BD">
      <w:pPr>
        <w:pStyle w:val="BodyText"/>
        <w:tabs>
          <w:tab w:val="num" w:pos="360"/>
        </w:tabs>
        <w:rPr>
          <w:rFonts w:ascii="CG Omega" w:hAnsi="CG Omega"/>
          <w:szCs w:val="24"/>
          <w:highlight w:val="yellow"/>
        </w:rPr>
      </w:pPr>
    </w:p>
    <w:p w:rsidR="009277DF" w:rsidRPr="00955C8C" w:rsidRDefault="009277DF" w:rsidP="009277DF">
      <w:pPr>
        <w:pStyle w:val="BodyText"/>
        <w:tabs>
          <w:tab w:val="num" w:pos="360"/>
        </w:tabs>
        <w:rPr>
          <w:rFonts w:ascii="CG Omega" w:hAnsi="CG Omega"/>
          <w:szCs w:val="24"/>
          <w:highlight w:val="yellow"/>
        </w:rPr>
        <w:sectPr w:rsidR="009277DF" w:rsidRPr="00955C8C" w:rsidSect="00A04931">
          <w:headerReference w:type="default" r:id="rId55"/>
          <w:footerReference w:type="default" r:id="rId56"/>
          <w:headerReference w:type="first" r:id="rId57"/>
          <w:pgSz w:w="12240" w:h="15840"/>
          <w:pgMar w:top="1440" w:right="1440" w:bottom="1440" w:left="1440" w:header="1080" w:footer="720" w:gutter="0"/>
          <w:cols w:space="720"/>
          <w:docGrid w:linePitch="360"/>
        </w:sectPr>
      </w:pPr>
    </w:p>
    <w:p w:rsidR="00623759" w:rsidRPr="00955C8C" w:rsidRDefault="00623759" w:rsidP="005249F1">
      <w:pPr>
        <w:pStyle w:val="Subhead1"/>
        <w:rPr>
          <w:highlight w:val="yellow"/>
        </w:rPr>
      </w:pPr>
      <w:r w:rsidRPr="00955C8C">
        <w:rPr>
          <w:highlight w:val="yellow"/>
        </w:rPr>
        <w:fldChar w:fldCharType="begin"/>
      </w:r>
      <w:r w:rsidRPr="00955C8C">
        <w:rPr>
          <w:highlight w:val="yellow"/>
        </w:rPr>
        <w:instrText xml:space="preserve"> TC  </w:instrText>
      </w:r>
      <w:r w:rsidR="00344B28" w:rsidRPr="00955C8C">
        <w:rPr>
          <w:highlight w:val="yellow"/>
        </w:rPr>
        <w:instrText>“</w:instrText>
      </w:r>
      <w:bookmarkStart w:id="117" w:name="_Toc233426589"/>
      <w:bookmarkStart w:id="118" w:name="_Toc233426774"/>
      <w:bookmarkStart w:id="119" w:name="_Toc399834585"/>
      <w:r w:rsidRPr="00955C8C">
        <w:rPr>
          <w:highlight w:val="yellow"/>
        </w:rPr>
        <w:instrText>VI.</w:instrText>
      </w:r>
      <w:r w:rsidR="008C10E0" w:rsidRPr="00955C8C">
        <w:rPr>
          <w:highlight w:val="yellow"/>
        </w:rPr>
        <w:instrText xml:space="preserve"> </w:instrText>
      </w:r>
      <w:r w:rsidRPr="00955C8C">
        <w:rPr>
          <w:highlight w:val="yellow"/>
        </w:rPr>
        <w:instrText xml:space="preserve"> Community Development Needs Assessment</w:instrText>
      </w:r>
      <w:bookmarkEnd w:id="117"/>
      <w:bookmarkEnd w:id="118"/>
      <w:bookmarkEnd w:id="119"/>
      <w:r w:rsidR="00344B28" w:rsidRPr="00955C8C">
        <w:rPr>
          <w:highlight w:val="yellow"/>
        </w:rPr>
        <w:instrText>”</w:instrText>
      </w:r>
      <w:r w:rsidRPr="00955C8C">
        <w:rPr>
          <w:highlight w:val="yellow"/>
        </w:rPr>
        <w:instrText xml:space="preserve"> </w:instrText>
      </w:r>
      <w:r w:rsidRPr="00955C8C">
        <w:rPr>
          <w:highlight w:val="yellow"/>
        </w:rPr>
        <w:fldChar w:fldCharType="end"/>
      </w:r>
    </w:p>
    <w:p w:rsidR="000869BD" w:rsidRPr="00FB49C7" w:rsidRDefault="000869BD" w:rsidP="00BB666B">
      <w:pPr>
        <w:pStyle w:val="FirstHead"/>
      </w:pPr>
      <w:bookmarkStart w:id="120" w:name="_Toc399834586"/>
      <w:bookmarkStart w:id="121" w:name="_Toc233426590"/>
      <w:bookmarkStart w:id="122" w:name="_Toc233426775"/>
      <w:r w:rsidRPr="00FB49C7">
        <w:t>A. Introduction</w:t>
      </w:r>
      <w:bookmarkEnd w:id="120"/>
    </w:p>
    <w:p w:rsidR="000869BD" w:rsidRPr="007F6B6C" w:rsidRDefault="000869BD" w:rsidP="000869BD">
      <w:pPr>
        <w:pStyle w:val="BodyText"/>
        <w:tabs>
          <w:tab w:val="num" w:pos="360"/>
        </w:tabs>
        <w:rPr>
          <w:rFonts w:ascii="CG Omega" w:hAnsi="CG Omega"/>
          <w:sz w:val="16"/>
          <w:szCs w:val="16"/>
        </w:rPr>
      </w:pPr>
    </w:p>
    <w:p w:rsidR="005A6A51" w:rsidRPr="00FB49C7" w:rsidRDefault="0050298A" w:rsidP="005A6A51">
      <w:pPr>
        <w:pStyle w:val="BodyTextIndent"/>
        <w:ind w:left="0"/>
        <w:rPr>
          <w:rFonts w:ascii="CG Omega" w:hAnsi="CG Omega"/>
        </w:rPr>
      </w:pPr>
      <w:r w:rsidRPr="00FB49C7">
        <w:rPr>
          <w:rFonts w:ascii="CG Omega" w:hAnsi="CG Omega"/>
        </w:rPr>
        <w:t xml:space="preserve">The </w:t>
      </w:r>
      <w:r w:rsidR="00873C5E" w:rsidRPr="00FB49C7">
        <w:rPr>
          <w:rFonts w:ascii="CG Omega" w:hAnsi="CG Omega"/>
        </w:rPr>
        <w:t>community</w:t>
      </w:r>
      <w:r w:rsidRPr="00FB49C7">
        <w:rPr>
          <w:rFonts w:ascii="CG Omega" w:hAnsi="CG Omega"/>
        </w:rPr>
        <w:t xml:space="preserve"> developmen</w:t>
      </w:r>
      <w:r w:rsidR="00F73265" w:rsidRPr="00FB49C7">
        <w:rPr>
          <w:rFonts w:ascii="CG Omega" w:hAnsi="CG Omega"/>
        </w:rPr>
        <w:t>t ne</w:t>
      </w:r>
      <w:r w:rsidR="00B01806" w:rsidRPr="00FB49C7">
        <w:rPr>
          <w:rFonts w:ascii="CG Omega" w:hAnsi="CG Omega"/>
        </w:rPr>
        <w:t xml:space="preserve">eds for the </w:t>
      </w:r>
      <w:r w:rsidR="00B05793" w:rsidRPr="00FB49C7">
        <w:rPr>
          <w:rFonts w:ascii="CG Omega" w:hAnsi="CG Omega"/>
        </w:rPr>
        <w:t>s</w:t>
      </w:r>
      <w:r w:rsidR="00B01806" w:rsidRPr="00FB49C7">
        <w:rPr>
          <w:rFonts w:ascii="CG Omega" w:hAnsi="CG Omega"/>
        </w:rPr>
        <w:t>tate of New Mexico</w:t>
      </w:r>
      <w:r w:rsidRPr="00FB49C7">
        <w:rPr>
          <w:rFonts w:ascii="CG Omega" w:hAnsi="CG Omega"/>
        </w:rPr>
        <w:t xml:space="preserve"> were determined based on</w:t>
      </w:r>
      <w:r w:rsidR="00570829" w:rsidRPr="00FB49C7">
        <w:rPr>
          <w:rFonts w:ascii="CG Omega" w:hAnsi="CG Omega"/>
        </w:rPr>
        <w:t xml:space="preserve"> research gathered from the </w:t>
      </w:r>
      <w:r w:rsidR="00570829" w:rsidRPr="00925169">
        <w:rPr>
          <w:rFonts w:ascii="CG Omega" w:hAnsi="CG Omega"/>
          <w:i/>
        </w:rPr>
        <w:t>2014</w:t>
      </w:r>
      <w:r w:rsidR="003D0C66" w:rsidRPr="00925169">
        <w:rPr>
          <w:rFonts w:ascii="CG Omega" w:hAnsi="CG Omega"/>
          <w:i/>
        </w:rPr>
        <w:t xml:space="preserve"> Housing and Community Development Needs </w:t>
      </w:r>
      <w:r w:rsidR="00925169">
        <w:rPr>
          <w:rFonts w:ascii="CG Omega" w:hAnsi="CG Omega"/>
          <w:i/>
        </w:rPr>
        <w:t>S</w:t>
      </w:r>
      <w:r w:rsidR="003D0C66" w:rsidRPr="00925169">
        <w:rPr>
          <w:rFonts w:ascii="CG Omega" w:hAnsi="CG Omega"/>
          <w:i/>
        </w:rPr>
        <w:t>urvey</w:t>
      </w:r>
      <w:r w:rsidR="00AF28F0" w:rsidRPr="00FB49C7">
        <w:rPr>
          <w:rFonts w:ascii="CG Omega" w:hAnsi="CG Omega"/>
        </w:rPr>
        <w:t>.</w:t>
      </w:r>
    </w:p>
    <w:p w:rsidR="000869BD" w:rsidRPr="007F6B6C" w:rsidRDefault="000869BD" w:rsidP="00BB666B">
      <w:pPr>
        <w:pStyle w:val="FirstHead"/>
      </w:pPr>
    </w:p>
    <w:p w:rsidR="009277DF" w:rsidRPr="00FB49C7" w:rsidRDefault="000869BD" w:rsidP="00BB666B">
      <w:pPr>
        <w:pStyle w:val="FirstHead"/>
      </w:pPr>
      <w:bookmarkStart w:id="123" w:name="_Toc399834587"/>
      <w:r w:rsidRPr="00FB49C7">
        <w:t>B</w:t>
      </w:r>
      <w:r w:rsidR="004A5272" w:rsidRPr="00FB49C7">
        <w:t xml:space="preserve">. </w:t>
      </w:r>
      <w:r w:rsidR="009277DF" w:rsidRPr="00FB49C7">
        <w:t>Community Development Needs</w:t>
      </w:r>
      <w:bookmarkEnd w:id="121"/>
      <w:bookmarkEnd w:id="122"/>
      <w:r w:rsidR="00106D13" w:rsidRPr="00FB49C7">
        <w:t xml:space="preserve"> Assessment</w:t>
      </w:r>
      <w:bookmarkEnd w:id="123"/>
    </w:p>
    <w:p w:rsidR="009277DF" w:rsidRPr="007F6B6C" w:rsidRDefault="009277DF" w:rsidP="009277DF">
      <w:pPr>
        <w:jc w:val="both"/>
        <w:rPr>
          <w:rFonts w:ascii="CG Omega" w:hAnsi="CG Omega"/>
          <w:b/>
          <w:bCs/>
          <w:sz w:val="16"/>
          <w:szCs w:val="16"/>
          <w:highlight w:val="yellow"/>
        </w:rPr>
      </w:pPr>
    </w:p>
    <w:p w:rsidR="00BD2ECE" w:rsidRPr="00925169" w:rsidRDefault="00BD2ECE" w:rsidP="00BD2ECE">
      <w:pPr>
        <w:pStyle w:val="BodyTextIndent"/>
        <w:ind w:left="0"/>
        <w:rPr>
          <w:rFonts w:ascii="CG Omega" w:hAnsi="CG Omega"/>
          <w:i/>
        </w:rPr>
      </w:pPr>
      <w:r w:rsidRPr="00925169">
        <w:rPr>
          <w:rFonts w:ascii="CG Omega" w:hAnsi="CG Omega"/>
          <w:b/>
          <w:bCs/>
          <w:i/>
          <w:smallCaps/>
        </w:rPr>
        <w:t>2014 Housing and Community Development Survey</w:t>
      </w:r>
    </w:p>
    <w:p w:rsidR="00BD2ECE" w:rsidRPr="007F6B6C" w:rsidRDefault="00BD2ECE" w:rsidP="00BD2ECE">
      <w:pPr>
        <w:rPr>
          <w:rFonts w:ascii="CG Omega" w:hAnsi="CG Omega"/>
          <w:b/>
          <w:bCs/>
          <w:smallCaps/>
          <w:sz w:val="16"/>
          <w:szCs w:val="16"/>
          <w:highlight w:val="yellow"/>
        </w:rPr>
      </w:pPr>
    </w:p>
    <w:p w:rsidR="00BD2ECE" w:rsidRPr="00955C8C" w:rsidRDefault="00BD2ECE" w:rsidP="00BD2ECE">
      <w:pPr>
        <w:pStyle w:val="BodyTextIndent"/>
        <w:ind w:left="0"/>
        <w:rPr>
          <w:rFonts w:ascii="CG Omega" w:hAnsi="CG Omega"/>
          <w:highlight w:val="yellow"/>
        </w:rPr>
      </w:pPr>
      <w:r w:rsidRPr="008021D8">
        <w:rPr>
          <w:rFonts w:ascii="CG Omega" w:hAnsi="CG Omega"/>
        </w:rPr>
        <w:t xml:space="preserve">As part of the process of evaluating community development needs in New Mexico, the </w:t>
      </w:r>
      <w:r w:rsidRPr="00925169">
        <w:rPr>
          <w:rFonts w:ascii="CG Omega" w:hAnsi="CG Omega"/>
          <w:i/>
        </w:rPr>
        <w:t xml:space="preserve">2014 Housing and Community Development Needs </w:t>
      </w:r>
      <w:r w:rsidR="00925169">
        <w:rPr>
          <w:rFonts w:ascii="CG Omega" w:hAnsi="CG Omega"/>
          <w:i/>
        </w:rPr>
        <w:t>S</w:t>
      </w:r>
      <w:r w:rsidRPr="00925169">
        <w:rPr>
          <w:rFonts w:ascii="CG Omega" w:hAnsi="CG Omega"/>
          <w:i/>
        </w:rPr>
        <w:t>urvey</w:t>
      </w:r>
      <w:r w:rsidRPr="008021D8">
        <w:rPr>
          <w:rFonts w:ascii="CG Omega" w:hAnsi="CG Omega"/>
        </w:rPr>
        <w:t xml:space="preserve"> was distributed to stakeholders throughout the state. </w:t>
      </w:r>
      <w:r w:rsidRPr="00F215BB">
        <w:rPr>
          <w:rFonts w:ascii="CG Omega" w:hAnsi="CG Omega"/>
        </w:rPr>
        <w:t xml:space="preserve">A total of 343 </w:t>
      </w:r>
      <w:r w:rsidRPr="00503BA4">
        <w:rPr>
          <w:rFonts w:ascii="CG Omega" w:hAnsi="CG Omega"/>
        </w:rPr>
        <w:t xml:space="preserve">survey responses were received. </w:t>
      </w:r>
    </w:p>
    <w:p w:rsidR="00BD2ECE" w:rsidRPr="007F6B6C" w:rsidRDefault="00BD2ECE" w:rsidP="00BD2ECE">
      <w:pPr>
        <w:pStyle w:val="BodyText"/>
        <w:tabs>
          <w:tab w:val="num" w:pos="360"/>
        </w:tabs>
        <w:rPr>
          <w:rFonts w:ascii="CG Omega" w:hAnsi="CG Omega"/>
          <w:sz w:val="16"/>
          <w:szCs w:val="16"/>
          <w:highlight w:val="yellow"/>
        </w:rPr>
      </w:pPr>
    </w:p>
    <w:p w:rsidR="00BD2ECE" w:rsidRPr="00955C8C" w:rsidRDefault="00BD2ECE" w:rsidP="00BD2ECE">
      <w:pPr>
        <w:pStyle w:val="BodyText"/>
        <w:tabs>
          <w:tab w:val="num" w:pos="360"/>
        </w:tabs>
        <w:rPr>
          <w:rFonts w:ascii="CG Omega" w:hAnsi="CG Omega"/>
          <w:szCs w:val="24"/>
          <w:highlight w:val="yellow"/>
        </w:rPr>
      </w:pPr>
      <w:r w:rsidRPr="008021D8">
        <w:rPr>
          <w:rFonts w:ascii="CG Omega" w:hAnsi="CG Omega"/>
          <w:szCs w:val="24"/>
        </w:rPr>
        <w:t xml:space="preserve">Survey participants were asked to identify which funding areas they would allocate their resources to. These results are presented </w:t>
      </w:r>
      <w:r w:rsidRPr="00B5263F">
        <w:rPr>
          <w:rFonts w:ascii="CG Omega" w:hAnsi="CG Omega"/>
          <w:szCs w:val="24"/>
        </w:rPr>
        <w:t xml:space="preserve">in </w:t>
      </w:r>
      <w:r w:rsidRPr="00925169">
        <w:rPr>
          <w:rFonts w:ascii="CG Omega" w:hAnsi="CG Omega"/>
          <w:b/>
          <w:szCs w:val="24"/>
        </w:rPr>
        <w:t>Table VI.1</w:t>
      </w:r>
      <w:r w:rsidRPr="00B5263F">
        <w:rPr>
          <w:rFonts w:ascii="CG Omega" w:hAnsi="CG Omega"/>
          <w:szCs w:val="24"/>
        </w:rPr>
        <w:t xml:space="preserve">, below, </w:t>
      </w:r>
      <w:r w:rsidRPr="008021D8">
        <w:rPr>
          <w:rFonts w:ascii="CG Omega" w:hAnsi="CG Omega"/>
          <w:szCs w:val="24"/>
        </w:rPr>
        <w:t xml:space="preserve">and show that most respondents would prioritize resources to housing and economic development activities. </w:t>
      </w:r>
      <w:r>
        <w:rPr>
          <w:rFonts w:ascii="CG Omega" w:hAnsi="CG Omega"/>
          <w:szCs w:val="24"/>
        </w:rPr>
        <w:t>These are followed by water systems, infrastructure, public facilities, human services, and all other</w:t>
      </w:r>
      <w:r w:rsidR="00925169">
        <w:rPr>
          <w:rFonts w:ascii="CG Omega" w:hAnsi="CG Omega"/>
          <w:szCs w:val="24"/>
        </w:rPr>
        <w:t>s</w:t>
      </w:r>
      <w:r>
        <w:rPr>
          <w:rFonts w:ascii="CG Omega" w:hAnsi="CG Omega"/>
          <w:szCs w:val="24"/>
        </w:rPr>
        <w:t xml:space="preserve">.  </w:t>
      </w:r>
    </w:p>
    <w:p w:rsidR="00BD2ECE" w:rsidRPr="007F6B6C" w:rsidRDefault="00BD2ECE" w:rsidP="00BD2ECE">
      <w:pPr>
        <w:pStyle w:val="BodyText"/>
        <w:tabs>
          <w:tab w:val="num" w:pos="360"/>
        </w:tabs>
        <w:rPr>
          <w:rFonts w:ascii="CG Omega" w:hAnsi="CG Omega"/>
          <w:sz w:val="16"/>
          <w:szCs w:val="16"/>
          <w:highlight w:val="yellow"/>
        </w:rPr>
      </w:pPr>
    </w:p>
    <w:tbl>
      <w:tblPr>
        <w:tblW w:w="4032" w:type="dxa"/>
        <w:jc w:val="center"/>
        <w:tblLook w:val="0000" w:firstRow="0" w:lastRow="0" w:firstColumn="0" w:lastColumn="0" w:noHBand="0" w:noVBand="0"/>
      </w:tblPr>
      <w:tblGrid>
        <w:gridCol w:w="1995"/>
        <w:gridCol w:w="2037"/>
      </w:tblGrid>
      <w:tr w:rsidR="00BD2ECE" w:rsidRPr="008D0BF5" w:rsidTr="00570829">
        <w:trPr>
          <w:trHeight w:val="1170"/>
          <w:jc w:val="center"/>
        </w:trPr>
        <w:tc>
          <w:tcPr>
            <w:tcW w:w="4032" w:type="dxa"/>
            <w:gridSpan w:val="2"/>
            <w:shd w:val="clear" w:color="auto" w:fill="auto"/>
            <w:noWrap/>
            <w:vAlign w:val="center"/>
          </w:tcPr>
          <w:p w:rsidR="00BD2ECE" w:rsidRPr="008D0BF5" w:rsidRDefault="00BD2ECE" w:rsidP="00570829">
            <w:pPr>
              <w:jc w:val="center"/>
              <w:rPr>
                <w:rFonts w:ascii="Arial" w:hAnsi="Arial" w:cs="Arial"/>
                <w:b/>
                <w:bCs/>
              </w:rPr>
            </w:pPr>
            <w:bookmarkStart w:id="124" w:name="_MON_1341738959"/>
            <w:bookmarkEnd w:id="124"/>
            <w:r w:rsidRPr="008D0BF5">
              <w:rPr>
                <w:rFonts w:ascii="Arial" w:hAnsi="Arial" w:cs="Arial"/>
                <w:b/>
                <w:bCs/>
              </w:rPr>
              <w:t>Table</w:t>
            </w:r>
            <w:r w:rsidR="00832AB3">
              <w:rPr>
                <w:rFonts w:ascii="Arial" w:hAnsi="Arial" w:cs="Arial"/>
                <w:b/>
                <w:bCs/>
              </w:rPr>
              <w:t xml:space="preserve"> V</w:t>
            </w:r>
            <w:r w:rsidR="007B297A">
              <w:rPr>
                <w:rFonts w:ascii="Arial" w:hAnsi="Arial" w:cs="Arial"/>
                <w:b/>
                <w:bCs/>
                <w:noProof/>
              </w:rPr>
              <w:t>I</w:t>
            </w:r>
            <w:r w:rsidRPr="00717166">
              <w:rPr>
                <w:rFonts w:ascii="Arial" w:hAnsi="Arial" w:cs="Arial"/>
                <w:b/>
                <w:bCs/>
              </w:rPr>
              <w:t>.</w:t>
            </w:r>
            <w:r w:rsidRPr="008D0BF5">
              <w:rPr>
                <w:rFonts w:ascii="Arial" w:hAnsi="Arial" w:cs="Arial"/>
                <w:b/>
                <w:bCs/>
              </w:rPr>
              <w:t>1</w:t>
            </w:r>
          </w:p>
          <w:p w:rsidR="00BD2ECE" w:rsidRDefault="00BD2ECE" w:rsidP="00570829">
            <w:pPr>
              <w:jc w:val="center"/>
              <w:rPr>
                <w:rFonts w:ascii="Arial" w:hAnsi="Arial" w:cs="Arial"/>
                <w:b/>
                <w:bCs/>
                <w:sz w:val="20"/>
                <w:szCs w:val="20"/>
              </w:rPr>
            </w:pPr>
            <w:r w:rsidRPr="008D0BF5">
              <w:rPr>
                <w:rFonts w:ascii="Arial" w:hAnsi="Arial" w:cs="Arial"/>
                <w:b/>
                <w:bCs/>
                <w:sz w:val="20"/>
                <w:szCs w:val="20"/>
              </w:rPr>
              <w:t xml:space="preserve">How would allocate your </w:t>
            </w:r>
          </w:p>
          <w:p w:rsidR="00BD2ECE" w:rsidRDefault="00BD2ECE" w:rsidP="00570829">
            <w:pPr>
              <w:jc w:val="center"/>
              <w:rPr>
                <w:rFonts w:ascii="Arial" w:hAnsi="Arial" w:cs="Arial"/>
                <w:b/>
                <w:bCs/>
                <w:sz w:val="20"/>
                <w:szCs w:val="20"/>
              </w:rPr>
            </w:pPr>
            <w:r w:rsidRPr="008D0BF5">
              <w:rPr>
                <w:rFonts w:ascii="Arial" w:hAnsi="Arial" w:cs="Arial"/>
                <w:b/>
                <w:bCs/>
                <w:sz w:val="20"/>
                <w:szCs w:val="20"/>
              </w:rPr>
              <w:t>resources among these areas?</w:t>
            </w:r>
          </w:p>
          <w:p w:rsidR="00BD2ECE" w:rsidRPr="00717166" w:rsidRDefault="00BD2ECE" w:rsidP="00570829">
            <w:pPr>
              <w:jc w:val="center"/>
              <w:rPr>
                <w:rFonts w:ascii="Arial" w:hAnsi="Arial" w:cs="Arial"/>
                <w:bCs/>
                <w:sz w:val="16"/>
                <w:szCs w:val="16"/>
              </w:rPr>
            </w:pPr>
            <w:r w:rsidRPr="004356A3">
              <w:rPr>
                <w:rFonts w:ascii="Arial" w:hAnsi="Arial" w:cs="Arial"/>
                <w:bCs/>
                <w:noProof/>
                <w:sz w:val="16"/>
                <w:szCs w:val="16"/>
              </w:rPr>
              <w:t>State of New Mexico</w:t>
            </w:r>
          </w:p>
          <w:p w:rsidR="00BD2ECE" w:rsidRPr="008D0BF5" w:rsidRDefault="00BD2ECE" w:rsidP="00570829">
            <w:pPr>
              <w:jc w:val="center"/>
              <w:rPr>
                <w:rFonts w:ascii="Arial" w:hAnsi="Arial" w:cs="Arial"/>
                <w:b/>
                <w:bCs/>
              </w:rPr>
            </w:pPr>
            <w:r>
              <w:rPr>
                <w:rFonts w:ascii="Arial" w:hAnsi="Arial" w:cs="Arial"/>
                <w:sz w:val="16"/>
                <w:szCs w:val="16"/>
              </w:rPr>
              <w:t>2014</w:t>
            </w:r>
            <w:r w:rsidRPr="008D0BF5">
              <w:rPr>
                <w:rFonts w:ascii="Arial" w:hAnsi="Arial" w:cs="Arial"/>
                <w:sz w:val="16"/>
                <w:szCs w:val="16"/>
              </w:rPr>
              <w:t xml:space="preserve"> Housing and Community Development Survey</w:t>
            </w:r>
          </w:p>
        </w:tc>
      </w:tr>
      <w:tr w:rsidR="00BD2ECE" w:rsidRPr="008D0BF5" w:rsidTr="00570829">
        <w:trPr>
          <w:trHeight w:val="255"/>
          <w:jc w:val="center"/>
        </w:trPr>
        <w:tc>
          <w:tcPr>
            <w:tcW w:w="1995" w:type="dxa"/>
            <w:tcBorders>
              <w:top w:val="single" w:sz="4" w:space="0" w:color="009900"/>
              <w:left w:val="single" w:sz="4" w:space="0" w:color="009900"/>
              <w:bottom w:val="single" w:sz="4" w:space="0" w:color="009900"/>
              <w:right w:val="nil"/>
            </w:tcBorders>
            <w:shd w:val="clear" w:color="auto" w:fill="FFFFE1"/>
            <w:noWrap/>
            <w:vAlign w:val="center"/>
          </w:tcPr>
          <w:p w:rsidR="00BD2ECE" w:rsidRPr="008D0BF5" w:rsidRDefault="00BD2ECE" w:rsidP="00570829">
            <w:pPr>
              <w:rPr>
                <w:rFonts w:ascii="Arial" w:hAnsi="Arial" w:cs="Arial"/>
                <w:b/>
                <w:bCs/>
                <w:sz w:val="16"/>
                <w:szCs w:val="16"/>
              </w:rPr>
            </w:pPr>
            <w:r w:rsidRPr="008D0BF5">
              <w:rPr>
                <w:rFonts w:ascii="Arial" w:hAnsi="Arial" w:cs="Arial"/>
                <w:b/>
                <w:bCs/>
                <w:sz w:val="16"/>
                <w:szCs w:val="16"/>
              </w:rPr>
              <w:t>Area</w:t>
            </w:r>
          </w:p>
        </w:tc>
        <w:tc>
          <w:tcPr>
            <w:tcW w:w="2037" w:type="dxa"/>
            <w:tcBorders>
              <w:top w:val="single" w:sz="4" w:space="0" w:color="009900"/>
              <w:left w:val="nil"/>
              <w:bottom w:val="single" w:sz="4" w:space="0" w:color="009900"/>
              <w:right w:val="single" w:sz="4" w:space="0" w:color="009900"/>
            </w:tcBorders>
            <w:shd w:val="clear" w:color="auto" w:fill="FFFFE1"/>
            <w:noWrap/>
            <w:vAlign w:val="center"/>
          </w:tcPr>
          <w:p w:rsidR="00BD2ECE" w:rsidRPr="008D0BF5" w:rsidRDefault="00BD2ECE" w:rsidP="00570829">
            <w:pPr>
              <w:jc w:val="center"/>
              <w:rPr>
                <w:rFonts w:ascii="Arial" w:hAnsi="Arial" w:cs="Arial"/>
                <w:b/>
                <w:bCs/>
                <w:sz w:val="16"/>
                <w:szCs w:val="16"/>
              </w:rPr>
            </w:pPr>
            <w:r w:rsidRPr="008D0BF5">
              <w:rPr>
                <w:rFonts w:ascii="Arial" w:hAnsi="Arial" w:cs="Arial"/>
                <w:b/>
                <w:bCs/>
                <w:sz w:val="16"/>
                <w:szCs w:val="16"/>
              </w:rPr>
              <w:t>Percentage Allocated</w:t>
            </w:r>
          </w:p>
        </w:tc>
      </w:tr>
      <w:tr w:rsidR="00BD2ECE" w:rsidRPr="008D0BF5" w:rsidTr="00570829">
        <w:trPr>
          <w:trHeight w:val="255"/>
          <w:jc w:val="center"/>
        </w:trPr>
        <w:tc>
          <w:tcPr>
            <w:tcW w:w="1995" w:type="dxa"/>
            <w:tcBorders>
              <w:top w:val="nil"/>
              <w:left w:val="single" w:sz="4" w:space="0" w:color="009900"/>
              <w:bottom w:val="nil"/>
              <w:right w:val="nil"/>
            </w:tcBorders>
            <w:shd w:val="clear" w:color="auto" w:fill="FFFFE1"/>
            <w:noWrap/>
            <w:vAlign w:val="center"/>
          </w:tcPr>
          <w:p w:rsidR="00BD2ECE" w:rsidRPr="008D0BF5" w:rsidRDefault="00BD2ECE" w:rsidP="00570829">
            <w:pPr>
              <w:rPr>
                <w:rFonts w:ascii="Arial" w:hAnsi="Arial" w:cs="Arial"/>
                <w:sz w:val="16"/>
                <w:szCs w:val="16"/>
              </w:rPr>
            </w:pPr>
            <w:r w:rsidRPr="008D0BF5">
              <w:rPr>
                <w:rFonts w:ascii="Arial" w:hAnsi="Arial" w:cs="Arial"/>
                <w:sz w:val="16"/>
                <w:szCs w:val="16"/>
              </w:rPr>
              <w:t>Housing</w:t>
            </w:r>
          </w:p>
        </w:tc>
        <w:tc>
          <w:tcPr>
            <w:tcW w:w="2037" w:type="dxa"/>
            <w:tcBorders>
              <w:top w:val="nil"/>
              <w:left w:val="nil"/>
              <w:bottom w:val="nil"/>
              <w:right w:val="single" w:sz="4" w:space="0" w:color="009900"/>
            </w:tcBorders>
            <w:shd w:val="clear" w:color="auto" w:fill="FFFFE1"/>
            <w:noWrap/>
            <w:vAlign w:val="center"/>
          </w:tcPr>
          <w:p w:rsidR="00BD2ECE" w:rsidRPr="00E90DE2" w:rsidRDefault="00BD2ECE" w:rsidP="00570829">
            <w:pPr>
              <w:jc w:val="center"/>
              <w:rPr>
                <w:rFonts w:ascii="Arial" w:hAnsi="Arial" w:cs="Arial"/>
                <w:sz w:val="16"/>
                <w:szCs w:val="16"/>
              </w:rPr>
            </w:pPr>
            <w:r w:rsidRPr="004356A3">
              <w:rPr>
                <w:rFonts w:ascii="Arial" w:hAnsi="Arial" w:cs="Arial"/>
                <w:noProof/>
                <w:sz w:val="16"/>
                <w:szCs w:val="16"/>
              </w:rPr>
              <w:t>27.0</w:t>
            </w:r>
            <w:r>
              <w:rPr>
                <w:rFonts w:ascii="Arial" w:hAnsi="Arial" w:cs="Arial"/>
                <w:sz w:val="16"/>
                <w:szCs w:val="16"/>
              </w:rPr>
              <w:t>%</w:t>
            </w:r>
          </w:p>
        </w:tc>
      </w:tr>
      <w:tr w:rsidR="00BD2ECE" w:rsidRPr="008D0BF5" w:rsidTr="00570829">
        <w:trPr>
          <w:trHeight w:val="255"/>
          <w:jc w:val="center"/>
        </w:trPr>
        <w:tc>
          <w:tcPr>
            <w:tcW w:w="1995" w:type="dxa"/>
            <w:tcBorders>
              <w:top w:val="nil"/>
              <w:left w:val="single" w:sz="4" w:space="0" w:color="009900"/>
              <w:bottom w:val="nil"/>
              <w:right w:val="nil"/>
            </w:tcBorders>
            <w:shd w:val="clear" w:color="auto" w:fill="FFFFE1"/>
            <w:noWrap/>
            <w:vAlign w:val="center"/>
          </w:tcPr>
          <w:p w:rsidR="00BD2ECE" w:rsidRPr="008D0BF5" w:rsidRDefault="00BD2ECE" w:rsidP="00570829">
            <w:pPr>
              <w:rPr>
                <w:rFonts w:ascii="Arial" w:hAnsi="Arial" w:cs="Arial"/>
                <w:sz w:val="16"/>
                <w:szCs w:val="16"/>
              </w:rPr>
            </w:pPr>
            <w:r w:rsidRPr="008D0BF5">
              <w:rPr>
                <w:rFonts w:ascii="Arial" w:hAnsi="Arial" w:cs="Arial"/>
                <w:sz w:val="16"/>
                <w:szCs w:val="16"/>
              </w:rPr>
              <w:t>Economic Development</w:t>
            </w:r>
          </w:p>
        </w:tc>
        <w:tc>
          <w:tcPr>
            <w:tcW w:w="2037" w:type="dxa"/>
            <w:tcBorders>
              <w:top w:val="nil"/>
              <w:left w:val="nil"/>
              <w:bottom w:val="nil"/>
              <w:right w:val="single" w:sz="4" w:space="0" w:color="009900"/>
            </w:tcBorders>
            <w:shd w:val="clear" w:color="auto" w:fill="FFFFE1"/>
            <w:noWrap/>
            <w:vAlign w:val="center"/>
          </w:tcPr>
          <w:p w:rsidR="00BD2ECE" w:rsidRPr="008D0BF5" w:rsidRDefault="00BD2ECE" w:rsidP="00570829">
            <w:pPr>
              <w:jc w:val="center"/>
              <w:rPr>
                <w:rFonts w:ascii="Arial" w:hAnsi="Arial" w:cs="Arial"/>
                <w:sz w:val="16"/>
                <w:szCs w:val="16"/>
              </w:rPr>
            </w:pPr>
            <w:r w:rsidRPr="004356A3">
              <w:rPr>
                <w:rFonts w:ascii="Arial" w:hAnsi="Arial" w:cs="Arial"/>
                <w:noProof/>
                <w:sz w:val="16"/>
                <w:szCs w:val="16"/>
              </w:rPr>
              <w:t>21.5</w:t>
            </w:r>
            <w:r>
              <w:rPr>
                <w:rFonts w:ascii="Arial" w:hAnsi="Arial" w:cs="Arial"/>
                <w:sz w:val="16"/>
                <w:szCs w:val="16"/>
              </w:rPr>
              <w:t>%</w:t>
            </w:r>
          </w:p>
        </w:tc>
      </w:tr>
      <w:tr w:rsidR="00BD2ECE" w:rsidRPr="008D0BF5" w:rsidTr="00570829">
        <w:trPr>
          <w:trHeight w:val="255"/>
          <w:jc w:val="center"/>
        </w:trPr>
        <w:tc>
          <w:tcPr>
            <w:tcW w:w="1995" w:type="dxa"/>
            <w:tcBorders>
              <w:top w:val="nil"/>
              <w:left w:val="single" w:sz="4" w:space="0" w:color="009900"/>
              <w:bottom w:val="nil"/>
              <w:right w:val="nil"/>
            </w:tcBorders>
            <w:shd w:val="clear" w:color="auto" w:fill="FFFFE1"/>
            <w:noWrap/>
            <w:vAlign w:val="center"/>
          </w:tcPr>
          <w:p w:rsidR="00BD2ECE" w:rsidRPr="008D0BF5" w:rsidRDefault="00BD2ECE" w:rsidP="00570829">
            <w:pPr>
              <w:rPr>
                <w:rFonts w:ascii="Arial" w:hAnsi="Arial" w:cs="Arial"/>
                <w:sz w:val="16"/>
                <w:szCs w:val="16"/>
              </w:rPr>
            </w:pPr>
            <w:r>
              <w:rPr>
                <w:rFonts w:ascii="Arial" w:hAnsi="Arial" w:cs="Arial"/>
                <w:sz w:val="16"/>
                <w:szCs w:val="16"/>
              </w:rPr>
              <w:t>Water Systems</w:t>
            </w:r>
          </w:p>
        </w:tc>
        <w:tc>
          <w:tcPr>
            <w:tcW w:w="2037" w:type="dxa"/>
            <w:tcBorders>
              <w:top w:val="nil"/>
              <w:left w:val="nil"/>
              <w:bottom w:val="nil"/>
              <w:right w:val="single" w:sz="4" w:space="0" w:color="009900"/>
            </w:tcBorders>
            <w:shd w:val="clear" w:color="auto" w:fill="FFFFE1"/>
            <w:noWrap/>
            <w:vAlign w:val="center"/>
          </w:tcPr>
          <w:p w:rsidR="00BD2ECE" w:rsidRDefault="00BD2ECE" w:rsidP="00570829">
            <w:pPr>
              <w:jc w:val="center"/>
              <w:rPr>
                <w:rFonts w:ascii="Arial" w:hAnsi="Arial" w:cs="Arial"/>
                <w:sz w:val="16"/>
                <w:szCs w:val="16"/>
              </w:rPr>
            </w:pPr>
            <w:r w:rsidRPr="004356A3">
              <w:rPr>
                <w:rFonts w:ascii="Arial" w:hAnsi="Arial" w:cs="Arial"/>
                <w:noProof/>
                <w:sz w:val="16"/>
                <w:szCs w:val="16"/>
              </w:rPr>
              <w:t>15.1</w:t>
            </w:r>
            <w:r>
              <w:rPr>
                <w:rFonts w:ascii="Arial" w:hAnsi="Arial" w:cs="Arial"/>
                <w:sz w:val="16"/>
                <w:szCs w:val="16"/>
              </w:rPr>
              <w:t>%</w:t>
            </w:r>
          </w:p>
        </w:tc>
      </w:tr>
      <w:tr w:rsidR="00BD2ECE" w:rsidRPr="008D0BF5" w:rsidTr="00570829">
        <w:trPr>
          <w:trHeight w:val="255"/>
          <w:jc w:val="center"/>
        </w:trPr>
        <w:tc>
          <w:tcPr>
            <w:tcW w:w="1995" w:type="dxa"/>
            <w:tcBorders>
              <w:top w:val="nil"/>
              <w:left w:val="single" w:sz="4" w:space="0" w:color="009900"/>
              <w:bottom w:val="nil"/>
              <w:right w:val="nil"/>
            </w:tcBorders>
            <w:shd w:val="clear" w:color="auto" w:fill="FFFFE1"/>
            <w:noWrap/>
            <w:vAlign w:val="center"/>
          </w:tcPr>
          <w:p w:rsidR="00BD2ECE" w:rsidRPr="008D0BF5" w:rsidRDefault="00BD2ECE" w:rsidP="00570829">
            <w:pPr>
              <w:rPr>
                <w:rFonts w:ascii="Arial" w:hAnsi="Arial" w:cs="Arial"/>
                <w:sz w:val="16"/>
                <w:szCs w:val="16"/>
              </w:rPr>
            </w:pPr>
            <w:r w:rsidRPr="008D0BF5">
              <w:rPr>
                <w:rFonts w:ascii="Arial" w:hAnsi="Arial" w:cs="Arial"/>
                <w:sz w:val="16"/>
                <w:szCs w:val="16"/>
              </w:rPr>
              <w:t>Infrastructure</w:t>
            </w:r>
          </w:p>
        </w:tc>
        <w:tc>
          <w:tcPr>
            <w:tcW w:w="2037" w:type="dxa"/>
            <w:tcBorders>
              <w:top w:val="nil"/>
              <w:left w:val="nil"/>
              <w:bottom w:val="nil"/>
              <w:right w:val="single" w:sz="4" w:space="0" w:color="009900"/>
            </w:tcBorders>
            <w:shd w:val="clear" w:color="auto" w:fill="FFFFE1"/>
            <w:noWrap/>
            <w:vAlign w:val="center"/>
          </w:tcPr>
          <w:p w:rsidR="00BD2ECE" w:rsidRPr="008D0BF5" w:rsidRDefault="00BD2ECE" w:rsidP="00570829">
            <w:pPr>
              <w:jc w:val="center"/>
              <w:rPr>
                <w:rFonts w:ascii="Arial" w:hAnsi="Arial" w:cs="Arial"/>
                <w:sz w:val="16"/>
                <w:szCs w:val="16"/>
              </w:rPr>
            </w:pPr>
            <w:r w:rsidRPr="004356A3">
              <w:rPr>
                <w:rFonts w:ascii="Arial" w:hAnsi="Arial" w:cs="Arial"/>
                <w:noProof/>
                <w:sz w:val="16"/>
                <w:szCs w:val="16"/>
              </w:rPr>
              <w:t>10.8</w:t>
            </w:r>
            <w:r>
              <w:rPr>
                <w:rFonts w:ascii="Arial" w:hAnsi="Arial" w:cs="Arial"/>
                <w:sz w:val="16"/>
                <w:szCs w:val="16"/>
              </w:rPr>
              <w:t>%</w:t>
            </w:r>
          </w:p>
        </w:tc>
      </w:tr>
      <w:tr w:rsidR="00BD2ECE" w:rsidRPr="008D0BF5" w:rsidTr="00570829">
        <w:trPr>
          <w:trHeight w:val="255"/>
          <w:jc w:val="center"/>
        </w:trPr>
        <w:tc>
          <w:tcPr>
            <w:tcW w:w="1995" w:type="dxa"/>
            <w:tcBorders>
              <w:top w:val="nil"/>
              <w:left w:val="single" w:sz="4" w:space="0" w:color="009900"/>
              <w:bottom w:val="nil"/>
              <w:right w:val="nil"/>
            </w:tcBorders>
            <w:shd w:val="clear" w:color="auto" w:fill="FFFFE1"/>
            <w:noWrap/>
            <w:vAlign w:val="center"/>
          </w:tcPr>
          <w:p w:rsidR="00BD2ECE" w:rsidRPr="008D0BF5" w:rsidRDefault="00BD2ECE" w:rsidP="00570829">
            <w:pPr>
              <w:rPr>
                <w:rFonts w:ascii="Arial" w:hAnsi="Arial" w:cs="Arial"/>
                <w:sz w:val="16"/>
                <w:szCs w:val="16"/>
              </w:rPr>
            </w:pPr>
            <w:r w:rsidRPr="008D0BF5">
              <w:rPr>
                <w:rFonts w:ascii="Arial" w:hAnsi="Arial" w:cs="Arial"/>
                <w:sz w:val="16"/>
                <w:szCs w:val="16"/>
              </w:rPr>
              <w:t>Public Facilities</w:t>
            </w:r>
          </w:p>
        </w:tc>
        <w:tc>
          <w:tcPr>
            <w:tcW w:w="2037" w:type="dxa"/>
            <w:tcBorders>
              <w:top w:val="nil"/>
              <w:left w:val="nil"/>
              <w:bottom w:val="nil"/>
              <w:right w:val="single" w:sz="4" w:space="0" w:color="009900"/>
            </w:tcBorders>
            <w:shd w:val="clear" w:color="auto" w:fill="FFFFE1"/>
            <w:noWrap/>
            <w:vAlign w:val="center"/>
          </w:tcPr>
          <w:p w:rsidR="00BD2ECE" w:rsidRPr="008D0BF5" w:rsidRDefault="00BD2ECE" w:rsidP="00570829">
            <w:pPr>
              <w:jc w:val="center"/>
              <w:rPr>
                <w:rFonts w:ascii="Arial" w:hAnsi="Arial" w:cs="Arial"/>
                <w:sz w:val="16"/>
                <w:szCs w:val="16"/>
              </w:rPr>
            </w:pPr>
            <w:r w:rsidRPr="004356A3">
              <w:rPr>
                <w:rFonts w:ascii="Arial" w:hAnsi="Arial" w:cs="Arial"/>
                <w:noProof/>
                <w:sz w:val="16"/>
                <w:szCs w:val="16"/>
              </w:rPr>
              <w:t>8.6</w:t>
            </w:r>
            <w:r>
              <w:rPr>
                <w:rFonts w:ascii="Arial" w:hAnsi="Arial" w:cs="Arial"/>
                <w:sz w:val="16"/>
                <w:szCs w:val="16"/>
              </w:rPr>
              <w:t>%</w:t>
            </w:r>
          </w:p>
        </w:tc>
      </w:tr>
      <w:tr w:rsidR="00BD2ECE" w:rsidRPr="008D0BF5" w:rsidTr="00570829">
        <w:trPr>
          <w:trHeight w:val="255"/>
          <w:jc w:val="center"/>
        </w:trPr>
        <w:tc>
          <w:tcPr>
            <w:tcW w:w="1995" w:type="dxa"/>
            <w:tcBorders>
              <w:top w:val="nil"/>
              <w:left w:val="single" w:sz="4" w:space="0" w:color="009900"/>
              <w:bottom w:val="nil"/>
              <w:right w:val="nil"/>
            </w:tcBorders>
            <w:shd w:val="clear" w:color="auto" w:fill="FFFFE1"/>
            <w:noWrap/>
            <w:vAlign w:val="center"/>
          </w:tcPr>
          <w:p w:rsidR="00BD2ECE" w:rsidRPr="008D0BF5" w:rsidRDefault="00BD2ECE" w:rsidP="00570829">
            <w:pPr>
              <w:rPr>
                <w:rFonts w:ascii="Arial" w:hAnsi="Arial" w:cs="Arial"/>
                <w:sz w:val="16"/>
                <w:szCs w:val="16"/>
              </w:rPr>
            </w:pPr>
            <w:r w:rsidRPr="008D0BF5">
              <w:rPr>
                <w:rFonts w:ascii="Arial" w:hAnsi="Arial" w:cs="Arial"/>
                <w:sz w:val="16"/>
                <w:szCs w:val="16"/>
              </w:rPr>
              <w:t>Human Services</w:t>
            </w:r>
          </w:p>
        </w:tc>
        <w:tc>
          <w:tcPr>
            <w:tcW w:w="2037" w:type="dxa"/>
            <w:tcBorders>
              <w:top w:val="nil"/>
              <w:left w:val="nil"/>
              <w:bottom w:val="nil"/>
              <w:right w:val="single" w:sz="4" w:space="0" w:color="009900"/>
            </w:tcBorders>
            <w:shd w:val="clear" w:color="auto" w:fill="FFFFE1"/>
            <w:noWrap/>
            <w:vAlign w:val="center"/>
          </w:tcPr>
          <w:p w:rsidR="00BD2ECE" w:rsidRPr="008D0BF5" w:rsidRDefault="00BD2ECE" w:rsidP="00570829">
            <w:pPr>
              <w:jc w:val="center"/>
              <w:rPr>
                <w:rFonts w:ascii="Arial" w:hAnsi="Arial" w:cs="Arial"/>
                <w:sz w:val="16"/>
                <w:szCs w:val="16"/>
              </w:rPr>
            </w:pPr>
            <w:r w:rsidRPr="004356A3">
              <w:rPr>
                <w:rFonts w:ascii="Arial" w:hAnsi="Arial" w:cs="Arial"/>
                <w:noProof/>
                <w:sz w:val="16"/>
                <w:szCs w:val="16"/>
              </w:rPr>
              <w:t>15.0</w:t>
            </w:r>
            <w:r>
              <w:rPr>
                <w:rFonts w:ascii="Arial" w:hAnsi="Arial" w:cs="Arial"/>
                <w:sz w:val="16"/>
                <w:szCs w:val="16"/>
              </w:rPr>
              <w:t>%</w:t>
            </w:r>
          </w:p>
        </w:tc>
      </w:tr>
      <w:tr w:rsidR="00BD2ECE" w:rsidRPr="008D0BF5" w:rsidTr="00570829">
        <w:trPr>
          <w:trHeight w:val="270"/>
          <w:jc w:val="center"/>
        </w:trPr>
        <w:tc>
          <w:tcPr>
            <w:tcW w:w="1995" w:type="dxa"/>
            <w:tcBorders>
              <w:top w:val="nil"/>
              <w:left w:val="single" w:sz="4" w:space="0" w:color="009900"/>
              <w:bottom w:val="nil"/>
              <w:right w:val="nil"/>
            </w:tcBorders>
            <w:shd w:val="clear" w:color="auto" w:fill="FFFFE1"/>
            <w:noWrap/>
            <w:vAlign w:val="center"/>
          </w:tcPr>
          <w:p w:rsidR="00BD2ECE" w:rsidRPr="008D0BF5" w:rsidRDefault="00BD2ECE" w:rsidP="00570829">
            <w:pPr>
              <w:rPr>
                <w:rFonts w:ascii="Arial" w:hAnsi="Arial" w:cs="Arial"/>
                <w:sz w:val="16"/>
                <w:szCs w:val="16"/>
              </w:rPr>
            </w:pPr>
            <w:r w:rsidRPr="008D0BF5">
              <w:rPr>
                <w:rFonts w:ascii="Arial" w:hAnsi="Arial" w:cs="Arial"/>
                <w:sz w:val="16"/>
                <w:szCs w:val="16"/>
              </w:rPr>
              <w:t>All Other</w:t>
            </w:r>
          </w:p>
        </w:tc>
        <w:tc>
          <w:tcPr>
            <w:tcW w:w="2037" w:type="dxa"/>
            <w:tcBorders>
              <w:top w:val="nil"/>
              <w:left w:val="nil"/>
              <w:bottom w:val="nil"/>
              <w:right w:val="single" w:sz="4" w:space="0" w:color="009900"/>
            </w:tcBorders>
            <w:shd w:val="clear" w:color="auto" w:fill="FFFFE1"/>
            <w:noWrap/>
            <w:vAlign w:val="center"/>
          </w:tcPr>
          <w:p w:rsidR="00BD2ECE" w:rsidRPr="008D0BF5" w:rsidRDefault="00BD2ECE" w:rsidP="00570829">
            <w:pPr>
              <w:jc w:val="center"/>
              <w:rPr>
                <w:rFonts w:ascii="Arial" w:hAnsi="Arial" w:cs="Arial"/>
                <w:sz w:val="16"/>
                <w:szCs w:val="16"/>
              </w:rPr>
            </w:pPr>
            <w:r w:rsidRPr="004356A3">
              <w:rPr>
                <w:rFonts w:ascii="Arial" w:hAnsi="Arial" w:cs="Arial"/>
                <w:noProof/>
                <w:sz w:val="16"/>
                <w:szCs w:val="16"/>
              </w:rPr>
              <w:t>2.0</w:t>
            </w:r>
            <w:r>
              <w:rPr>
                <w:rFonts w:ascii="Arial" w:hAnsi="Arial" w:cs="Arial"/>
                <w:sz w:val="16"/>
                <w:szCs w:val="16"/>
              </w:rPr>
              <w:t>%</w:t>
            </w:r>
          </w:p>
        </w:tc>
      </w:tr>
      <w:tr w:rsidR="00BD2ECE" w:rsidRPr="008D0BF5" w:rsidTr="00570829">
        <w:trPr>
          <w:trHeight w:val="270"/>
          <w:jc w:val="center"/>
        </w:trPr>
        <w:tc>
          <w:tcPr>
            <w:tcW w:w="1995" w:type="dxa"/>
            <w:tcBorders>
              <w:top w:val="double" w:sz="6" w:space="0" w:color="009900"/>
              <w:left w:val="single" w:sz="4" w:space="0" w:color="009900"/>
              <w:bottom w:val="single" w:sz="4" w:space="0" w:color="009900"/>
              <w:right w:val="nil"/>
            </w:tcBorders>
            <w:shd w:val="clear" w:color="auto" w:fill="FFFFE1"/>
            <w:noWrap/>
            <w:vAlign w:val="center"/>
          </w:tcPr>
          <w:p w:rsidR="00BD2ECE" w:rsidRPr="008D0BF5" w:rsidRDefault="00BD2ECE" w:rsidP="00570829">
            <w:pPr>
              <w:rPr>
                <w:rFonts w:ascii="Arial" w:hAnsi="Arial" w:cs="Arial"/>
                <w:b/>
                <w:bCs/>
                <w:sz w:val="16"/>
                <w:szCs w:val="16"/>
              </w:rPr>
            </w:pPr>
            <w:r w:rsidRPr="008D0BF5">
              <w:rPr>
                <w:rFonts w:ascii="Arial" w:hAnsi="Arial" w:cs="Arial"/>
                <w:b/>
                <w:bCs/>
                <w:sz w:val="16"/>
                <w:szCs w:val="16"/>
              </w:rPr>
              <w:t>Total</w:t>
            </w:r>
          </w:p>
        </w:tc>
        <w:tc>
          <w:tcPr>
            <w:tcW w:w="2037" w:type="dxa"/>
            <w:tcBorders>
              <w:top w:val="double" w:sz="6" w:space="0" w:color="009900"/>
              <w:left w:val="nil"/>
              <w:bottom w:val="single" w:sz="4" w:space="0" w:color="009900"/>
              <w:right w:val="single" w:sz="4" w:space="0" w:color="009900"/>
            </w:tcBorders>
            <w:shd w:val="clear" w:color="auto" w:fill="FFFFE1"/>
            <w:noWrap/>
            <w:vAlign w:val="center"/>
          </w:tcPr>
          <w:p w:rsidR="00BD2ECE" w:rsidRPr="0074463E" w:rsidRDefault="00BD2ECE" w:rsidP="00570829">
            <w:pPr>
              <w:jc w:val="center"/>
              <w:rPr>
                <w:rFonts w:ascii="Arial" w:hAnsi="Arial" w:cs="Arial"/>
                <w:b/>
                <w:bCs/>
                <w:sz w:val="16"/>
                <w:szCs w:val="16"/>
              </w:rPr>
            </w:pPr>
            <w:r w:rsidRPr="0074463E">
              <w:rPr>
                <w:rFonts w:ascii="Arial" w:hAnsi="Arial" w:cs="Arial"/>
                <w:b/>
                <w:sz w:val="16"/>
                <w:szCs w:val="16"/>
              </w:rPr>
              <w:t>100.0%</w:t>
            </w:r>
          </w:p>
        </w:tc>
      </w:tr>
    </w:tbl>
    <w:p w:rsidR="00BD2ECE" w:rsidRPr="00925169" w:rsidRDefault="00BD2ECE" w:rsidP="00BD2ECE">
      <w:pPr>
        <w:pStyle w:val="BodyText"/>
        <w:tabs>
          <w:tab w:val="num" w:pos="360"/>
        </w:tabs>
        <w:rPr>
          <w:rFonts w:ascii="CG Omega" w:hAnsi="CG Omega"/>
          <w:szCs w:val="24"/>
          <w:highlight w:val="yellow"/>
        </w:rPr>
      </w:pPr>
    </w:p>
    <w:p w:rsidR="00CD6B0F" w:rsidRDefault="00BD2ECE" w:rsidP="00BD2ECE">
      <w:pPr>
        <w:jc w:val="both"/>
        <w:rPr>
          <w:rFonts w:ascii="CG Omega" w:hAnsi="CG Omega"/>
        </w:rPr>
      </w:pPr>
      <w:r w:rsidRPr="008021D8">
        <w:rPr>
          <w:rFonts w:ascii="CG Omega" w:hAnsi="CG Omega"/>
        </w:rPr>
        <w:t xml:space="preserve">In terms of Business and </w:t>
      </w:r>
      <w:r w:rsidR="00925169">
        <w:rPr>
          <w:rFonts w:ascii="CG Omega" w:hAnsi="CG Omega"/>
        </w:rPr>
        <w:t>e</w:t>
      </w:r>
      <w:r w:rsidRPr="008021D8">
        <w:rPr>
          <w:rFonts w:ascii="CG Omega" w:hAnsi="CG Omega"/>
        </w:rPr>
        <w:t xml:space="preserve">conomic </w:t>
      </w:r>
      <w:r w:rsidR="00925169">
        <w:rPr>
          <w:rFonts w:ascii="CG Omega" w:hAnsi="CG Omega"/>
        </w:rPr>
        <w:t>d</w:t>
      </w:r>
      <w:r w:rsidRPr="008021D8">
        <w:rPr>
          <w:rFonts w:ascii="CG Omega" w:hAnsi="CG Omega"/>
        </w:rPr>
        <w:t xml:space="preserve">evelopment activities, the highest </w:t>
      </w:r>
      <w:r>
        <w:rPr>
          <w:rFonts w:ascii="CG Omega" w:hAnsi="CG Omega"/>
        </w:rPr>
        <w:t>n</w:t>
      </w:r>
      <w:r w:rsidRPr="008021D8">
        <w:rPr>
          <w:rFonts w:ascii="CG Omega" w:hAnsi="CG Omega"/>
        </w:rPr>
        <w:t>eed was placed on the attraction of new businesses.</w:t>
      </w:r>
      <w:r>
        <w:rPr>
          <w:rFonts w:ascii="CG Omega" w:hAnsi="CG Omega"/>
        </w:rPr>
        <w:t xml:space="preserve"> These breakdowns are shown </w:t>
      </w:r>
      <w:r w:rsidRPr="00215575">
        <w:rPr>
          <w:rFonts w:ascii="CG Omega" w:hAnsi="CG Omega"/>
        </w:rPr>
        <w:t xml:space="preserve">in </w:t>
      </w:r>
      <w:r w:rsidRPr="00925169">
        <w:rPr>
          <w:rFonts w:ascii="CG Omega" w:hAnsi="CG Omega"/>
          <w:b/>
        </w:rPr>
        <w:t xml:space="preserve">Table </w:t>
      </w:r>
      <w:r w:rsidR="00215575" w:rsidRPr="00925169">
        <w:rPr>
          <w:rFonts w:ascii="CG Omega" w:hAnsi="CG Omega"/>
          <w:b/>
        </w:rPr>
        <w:t>VI.2</w:t>
      </w:r>
      <w:r w:rsidR="00A63016">
        <w:rPr>
          <w:rFonts w:ascii="CG Omega" w:hAnsi="CG Omega"/>
        </w:rPr>
        <w:t>, on the following page</w:t>
      </w:r>
      <w:r w:rsidRPr="00215575">
        <w:rPr>
          <w:rFonts w:ascii="CG Omega" w:hAnsi="CG Omega"/>
        </w:rPr>
        <w:t>.</w:t>
      </w:r>
      <w:r w:rsidRPr="008021D8">
        <w:rPr>
          <w:rFonts w:ascii="CG Omega" w:hAnsi="CG Omega"/>
        </w:rPr>
        <w:t xml:space="preserve"> </w:t>
      </w:r>
      <w:r>
        <w:rPr>
          <w:rFonts w:ascii="CG Omega" w:hAnsi="CG Omega"/>
        </w:rPr>
        <w:t xml:space="preserve">This was followed by the retention of </w:t>
      </w:r>
      <w:r w:rsidR="004D62E5">
        <w:rPr>
          <w:rFonts w:ascii="CG Omega" w:hAnsi="CG Omega"/>
        </w:rPr>
        <w:t>existing</w:t>
      </w:r>
      <w:r>
        <w:rPr>
          <w:rFonts w:ascii="CG Omega" w:hAnsi="CG Omega"/>
        </w:rPr>
        <w:t xml:space="preserve"> businesses, expansion of existing businesses,</w:t>
      </w:r>
      <w:r w:rsidR="00503BA4">
        <w:rPr>
          <w:rFonts w:ascii="CG Omega" w:hAnsi="CG Omega"/>
        </w:rPr>
        <w:t xml:space="preserve"> and provision of job training.</w:t>
      </w:r>
      <w:r>
        <w:rPr>
          <w:rFonts w:ascii="CG Omega" w:hAnsi="CG Omega"/>
        </w:rPr>
        <w:t xml:space="preserve"> Fostering businesses with higher paying jobs was another priority, followed by provision of job re-training.  </w:t>
      </w:r>
      <w:r w:rsidR="00503BA4">
        <w:rPr>
          <w:rFonts w:ascii="CG Omega" w:hAnsi="CG Omega"/>
        </w:rPr>
        <w:t>The Economic Development Focus Group noted the challenge of recruiting individuals with skills and the lack of needed infrastructure and housing to attract or accommodate growth.</w:t>
      </w:r>
      <w:r w:rsidRPr="008021D8">
        <w:rPr>
          <w:rFonts w:ascii="CG Omega" w:hAnsi="CG Omega"/>
        </w:rPr>
        <w:t xml:space="preserve"> </w:t>
      </w:r>
      <w:r w:rsidR="00CD6B0F">
        <w:rPr>
          <w:rFonts w:ascii="CG Omega" w:hAnsi="CG Omega"/>
        </w:rPr>
        <w:t>Additionally, the focus group noted the challenges faced by smaller communities of retaining businesses and competing for funding with larger communities.</w:t>
      </w:r>
    </w:p>
    <w:p w:rsidR="007F6B6C" w:rsidRPr="007F6B6C" w:rsidRDefault="007F6B6C" w:rsidP="00BD2ECE">
      <w:pPr>
        <w:jc w:val="both"/>
        <w:rPr>
          <w:rFonts w:ascii="CG Omega" w:hAnsi="CG Omega"/>
        </w:rPr>
      </w:pPr>
    </w:p>
    <w:tbl>
      <w:tblPr>
        <w:tblW w:w="8661" w:type="dxa"/>
        <w:jc w:val="center"/>
        <w:tblLook w:val="04A0" w:firstRow="1" w:lastRow="0" w:firstColumn="1" w:lastColumn="0" w:noHBand="0" w:noVBand="1"/>
      </w:tblPr>
      <w:tblGrid>
        <w:gridCol w:w="5045"/>
        <w:gridCol w:w="608"/>
        <w:gridCol w:w="608"/>
        <w:gridCol w:w="821"/>
        <w:gridCol w:w="608"/>
        <w:gridCol w:w="812"/>
        <w:gridCol w:w="599"/>
      </w:tblGrid>
      <w:tr w:rsidR="009336CB" w:rsidTr="008A38CC">
        <w:trPr>
          <w:trHeight w:val="225"/>
          <w:jc w:val="center"/>
        </w:trPr>
        <w:tc>
          <w:tcPr>
            <w:tcW w:w="8661" w:type="dxa"/>
            <w:gridSpan w:val="7"/>
            <w:tcBorders>
              <w:top w:val="nil"/>
              <w:left w:val="nil"/>
              <w:bottom w:val="nil"/>
              <w:right w:val="nil"/>
            </w:tcBorders>
            <w:shd w:val="clear" w:color="auto" w:fill="auto"/>
            <w:noWrap/>
            <w:vAlign w:val="center"/>
            <w:hideMark/>
          </w:tcPr>
          <w:p w:rsidR="009336CB" w:rsidRDefault="009336CB">
            <w:pPr>
              <w:jc w:val="center"/>
              <w:rPr>
                <w:rFonts w:ascii="Arial" w:hAnsi="Arial" w:cs="Arial"/>
                <w:b/>
                <w:bCs/>
                <w:color w:val="000000"/>
                <w:sz w:val="22"/>
                <w:szCs w:val="22"/>
              </w:rPr>
            </w:pPr>
          </w:p>
          <w:p w:rsidR="009336CB" w:rsidRDefault="009336CB">
            <w:pPr>
              <w:jc w:val="center"/>
              <w:rPr>
                <w:rFonts w:ascii="Arial" w:hAnsi="Arial" w:cs="Arial"/>
                <w:b/>
                <w:bCs/>
                <w:color w:val="000000"/>
                <w:sz w:val="22"/>
                <w:szCs w:val="22"/>
              </w:rPr>
            </w:pPr>
            <w:r>
              <w:rPr>
                <w:rFonts w:ascii="Arial" w:hAnsi="Arial" w:cs="Arial"/>
                <w:b/>
                <w:bCs/>
                <w:color w:val="000000"/>
                <w:sz w:val="22"/>
                <w:szCs w:val="22"/>
              </w:rPr>
              <w:t>Table VI.2</w:t>
            </w:r>
          </w:p>
        </w:tc>
      </w:tr>
      <w:tr w:rsidR="009336CB" w:rsidTr="008A38CC">
        <w:trPr>
          <w:trHeight w:val="195"/>
          <w:jc w:val="center"/>
        </w:trPr>
        <w:tc>
          <w:tcPr>
            <w:tcW w:w="8661" w:type="dxa"/>
            <w:gridSpan w:val="7"/>
            <w:tcBorders>
              <w:top w:val="nil"/>
              <w:left w:val="nil"/>
              <w:bottom w:val="nil"/>
              <w:right w:val="nil"/>
            </w:tcBorders>
            <w:shd w:val="clear" w:color="auto" w:fill="auto"/>
            <w:noWrap/>
            <w:vAlign w:val="center"/>
            <w:hideMark/>
          </w:tcPr>
          <w:p w:rsidR="009336CB" w:rsidRDefault="009336CB">
            <w:pPr>
              <w:jc w:val="center"/>
              <w:rPr>
                <w:rFonts w:ascii="Arial" w:hAnsi="Arial" w:cs="Arial"/>
                <w:b/>
                <w:bCs/>
                <w:color w:val="000000"/>
                <w:sz w:val="20"/>
                <w:szCs w:val="20"/>
              </w:rPr>
            </w:pPr>
            <w:r>
              <w:rPr>
                <w:rFonts w:ascii="Arial" w:hAnsi="Arial" w:cs="Arial"/>
                <w:b/>
                <w:bCs/>
                <w:color w:val="000000"/>
                <w:sz w:val="20"/>
                <w:szCs w:val="20"/>
              </w:rPr>
              <w:t>Please rate the need for the following Business and Economic Development activities.</w:t>
            </w:r>
          </w:p>
        </w:tc>
      </w:tr>
      <w:tr w:rsidR="009336CB" w:rsidTr="008A38CC">
        <w:trPr>
          <w:trHeight w:val="240"/>
          <w:jc w:val="center"/>
        </w:trPr>
        <w:tc>
          <w:tcPr>
            <w:tcW w:w="8661" w:type="dxa"/>
            <w:gridSpan w:val="7"/>
            <w:tcBorders>
              <w:top w:val="nil"/>
              <w:left w:val="nil"/>
              <w:bottom w:val="nil"/>
              <w:right w:val="nil"/>
            </w:tcBorders>
            <w:shd w:val="clear" w:color="auto" w:fill="auto"/>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State of New Mexico</w:t>
            </w:r>
          </w:p>
        </w:tc>
      </w:tr>
      <w:tr w:rsidR="009336CB" w:rsidTr="008A38CC">
        <w:trPr>
          <w:trHeight w:val="240"/>
          <w:jc w:val="center"/>
        </w:trPr>
        <w:tc>
          <w:tcPr>
            <w:tcW w:w="8661" w:type="dxa"/>
            <w:gridSpan w:val="7"/>
            <w:tcBorders>
              <w:top w:val="nil"/>
              <w:left w:val="nil"/>
              <w:bottom w:val="single" w:sz="8" w:space="0" w:color="009900"/>
              <w:right w:val="nil"/>
            </w:tcBorders>
            <w:shd w:val="clear" w:color="auto" w:fill="auto"/>
            <w:noWrap/>
            <w:vAlign w:val="center"/>
            <w:hideMark/>
          </w:tcPr>
          <w:p w:rsidR="009336CB" w:rsidRDefault="009336CB">
            <w:pPr>
              <w:jc w:val="center"/>
              <w:rPr>
                <w:rFonts w:ascii="Arial" w:hAnsi="Arial" w:cs="Arial"/>
                <w:color w:val="000000"/>
                <w:sz w:val="16"/>
                <w:szCs w:val="16"/>
              </w:rPr>
            </w:pPr>
            <w:r>
              <w:rPr>
                <w:rFonts w:ascii="Arial" w:hAnsi="Arial" w:cs="Arial"/>
                <w:bCs/>
                <w:color w:val="000000"/>
                <w:sz w:val="16"/>
                <w:szCs w:val="16"/>
              </w:rPr>
              <w:t>2014 Housing and Community Development Survey</w:t>
            </w:r>
          </w:p>
        </w:tc>
      </w:tr>
      <w:tr w:rsidR="009336CB" w:rsidTr="008A38CC">
        <w:trPr>
          <w:trHeight w:val="240"/>
          <w:jc w:val="center"/>
        </w:trPr>
        <w:tc>
          <w:tcPr>
            <w:tcW w:w="5045" w:type="dxa"/>
            <w:vMerge w:val="restart"/>
            <w:tcBorders>
              <w:top w:val="nil"/>
              <w:left w:val="single" w:sz="8" w:space="0" w:color="009900"/>
              <w:bottom w:val="single" w:sz="8" w:space="0" w:color="009900"/>
              <w:right w:val="nil"/>
            </w:tcBorders>
            <w:shd w:val="clear" w:color="000000" w:fill="FFFFE1"/>
            <w:noWrap/>
            <w:vAlign w:val="center"/>
            <w:hideMark/>
          </w:tcPr>
          <w:p w:rsidR="009336CB" w:rsidRDefault="009336CB">
            <w:pPr>
              <w:rPr>
                <w:rFonts w:ascii="Arial" w:hAnsi="Arial" w:cs="Arial"/>
                <w:b/>
                <w:bCs/>
                <w:color w:val="000000"/>
                <w:sz w:val="16"/>
                <w:szCs w:val="16"/>
              </w:rPr>
            </w:pPr>
            <w:r>
              <w:rPr>
                <w:rFonts w:ascii="Arial" w:hAnsi="Arial" w:cs="Arial"/>
                <w:b/>
                <w:bCs/>
                <w:color w:val="000000"/>
                <w:sz w:val="16"/>
                <w:szCs w:val="16"/>
              </w:rPr>
              <w:t>Question</w:t>
            </w:r>
          </w:p>
        </w:tc>
        <w:tc>
          <w:tcPr>
            <w:tcW w:w="471"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b/>
                <w:bCs/>
                <w:color w:val="000000"/>
                <w:sz w:val="16"/>
                <w:szCs w:val="16"/>
              </w:rPr>
            </w:pPr>
            <w:r>
              <w:rPr>
                <w:rFonts w:ascii="Arial" w:hAnsi="Arial" w:cs="Arial"/>
                <w:b/>
                <w:bCs/>
                <w:color w:val="000000"/>
                <w:sz w:val="16"/>
                <w:szCs w:val="16"/>
              </w:rPr>
              <w:t xml:space="preserve">No </w:t>
            </w:r>
          </w:p>
        </w:tc>
        <w:tc>
          <w:tcPr>
            <w:tcW w:w="471"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b/>
                <w:bCs/>
                <w:color w:val="000000"/>
                <w:sz w:val="16"/>
                <w:szCs w:val="16"/>
              </w:rPr>
            </w:pPr>
            <w:r>
              <w:rPr>
                <w:rFonts w:ascii="Arial" w:hAnsi="Arial" w:cs="Arial"/>
                <w:b/>
                <w:bCs/>
                <w:color w:val="000000"/>
                <w:sz w:val="16"/>
                <w:szCs w:val="16"/>
              </w:rPr>
              <w:t xml:space="preserve">Low </w:t>
            </w:r>
          </w:p>
        </w:tc>
        <w:tc>
          <w:tcPr>
            <w:tcW w:w="7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b/>
                <w:bCs/>
                <w:color w:val="000000"/>
                <w:sz w:val="16"/>
                <w:szCs w:val="16"/>
              </w:rPr>
            </w:pPr>
            <w:r>
              <w:rPr>
                <w:rFonts w:ascii="Arial" w:hAnsi="Arial" w:cs="Arial"/>
                <w:b/>
                <w:bCs/>
                <w:color w:val="000000"/>
                <w:sz w:val="16"/>
                <w:szCs w:val="16"/>
              </w:rPr>
              <w:t xml:space="preserve">Medium </w:t>
            </w:r>
          </w:p>
        </w:tc>
        <w:tc>
          <w:tcPr>
            <w:tcW w:w="471"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b/>
                <w:bCs/>
                <w:color w:val="000000"/>
                <w:sz w:val="16"/>
                <w:szCs w:val="16"/>
              </w:rPr>
            </w:pPr>
            <w:r>
              <w:rPr>
                <w:rFonts w:ascii="Arial" w:hAnsi="Arial" w:cs="Arial"/>
                <w:b/>
                <w:bCs/>
                <w:color w:val="000000"/>
                <w:sz w:val="16"/>
                <w:szCs w:val="16"/>
              </w:rPr>
              <w:t xml:space="preserve">High </w:t>
            </w:r>
          </w:p>
        </w:tc>
        <w:tc>
          <w:tcPr>
            <w:tcW w:w="807" w:type="dxa"/>
            <w:vMerge w:val="restart"/>
            <w:tcBorders>
              <w:top w:val="nil"/>
              <w:left w:val="nil"/>
              <w:bottom w:val="single" w:sz="8" w:space="0" w:color="009900"/>
              <w:right w:val="nil"/>
            </w:tcBorders>
            <w:shd w:val="clear" w:color="000000" w:fill="FFFFE1"/>
            <w:vAlign w:val="center"/>
            <w:hideMark/>
          </w:tcPr>
          <w:p w:rsidR="009336CB" w:rsidRDefault="009336CB">
            <w:pPr>
              <w:jc w:val="center"/>
              <w:rPr>
                <w:rFonts w:ascii="Arial" w:hAnsi="Arial" w:cs="Arial"/>
                <w:b/>
                <w:bCs/>
                <w:color w:val="000000"/>
                <w:sz w:val="16"/>
                <w:szCs w:val="16"/>
              </w:rPr>
            </w:pPr>
            <w:r>
              <w:rPr>
                <w:rFonts w:ascii="Arial" w:hAnsi="Arial" w:cs="Arial"/>
                <w:b/>
                <w:bCs/>
                <w:color w:val="000000"/>
                <w:sz w:val="16"/>
                <w:szCs w:val="16"/>
              </w:rPr>
              <w:t>Missing</w:t>
            </w:r>
          </w:p>
        </w:tc>
        <w:tc>
          <w:tcPr>
            <w:tcW w:w="688" w:type="dxa"/>
            <w:vMerge w:val="restart"/>
            <w:tcBorders>
              <w:top w:val="nil"/>
              <w:left w:val="nil"/>
              <w:bottom w:val="single" w:sz="8" w:space="0" w:color="009900"/>
              <w:right w:val="single" w:sz="8" w:space="0" w:color="009900"/>
            </w:tcBorders>
            <w:shd w:val="clear" w:color="000000" w:fill="FFFFE1"/>
            <w:vAlign w:val="center"/>
            <w:hideMark/>
          </w:tcPr>
          <w:p w:rsidR="009336CB" w:rsidRDefault="009336CB">
            <w:pPr>
              <w:jc w:val="center"/>
              <w:rPr>
                <w:rFonts w:ascii="Arial" w:hAnsi="Arial" w:cs="Arial"/>
                <w:b/>
                <w:bCs/>
                <w:color w:val="000000"/>
                <w:sz w:val="16"/>
                <w:szCs w:val="16"/>
              </w:rPr>
            </w:pPr>
            <w:r>
              <w:rPr>
                <w:rFonts w:ascii="Arial" w:hAnsi="Arial" w:cs="Arial"/>
                <w:b/>
                <w:bCs/>
                <w:color w:val="000000"/>
                <w:sz w:val="16"/>
                <w:szCs w:val="16"/>
              </w:rPr>
              <w:t>Total</w:t>
            </w:r>
          </w:p>
        </w:tc>
      </w:tr>
      <w:tr w:rsidR="009336CB" w:rsidTr="008A38CC">
        <w:trPr>
          <w:trHeight w:val="240"/>
          <w:jc w:val="center"/>
        </w:trPr>
        <w:tc>
          <w:tcPr>
            <w:tcW w:w="5045" w:type="dxa"/>
            <w:vMerge/>
            <w:tcBorders>
              <w:top w:val="nil"/>
              <w:left w:val="single" w:sz="8" w:space="0" w:color="009900"/>
              <w:bottom w:val="single" w:sz="8" w:space="0" w:color="009900"/>
              <w:right w:val="nil"/>
            </w:tcBorders>
            <w:vAlign w:val="center"/>
            <w:hideMark/>
          </w:tcPr>
          <w:p w:rsidR="009336CB" w:rsidRDefault="009336CB">
            <w:pPr>
              <w:rPr>
                <w:rFonts w:ascii="Arial" w:hAnsi="Arial" w:cs="Arial"/>
                <w:b/>
                <w:bCs/>
                <w:color w:val="000000"/>
                <w:sz w:val="16"/>
                <w:szCs w:val="16"/>
              </w:rPr>
            </w:pPr>
          </w:p>
        </w:tc>
        <w:tc>
          <w:tcPr>
            <w:tcW w:w="471" w:type="dxa"/>
            <w:tcBorders>
              <w:top w:val="nil"/>
              <w:left w:val="nil"/>
              <w:bottom w:val="single" w:sz="8" w:space="0" w:color="009900"/>
              <w:right w:val="nil"/>
            </w:tcBorders>
            <w:shd w:val="clear" w:color="000000" w:fill="FFFFE1"/>
            <w:noWrap/>
            <w:vAlign w:val="center"/>
            <w:hideMark/>
          </w:tcPr>
          <w:p w:rsidR="009336CB" w:rsidRDefault="009336CB">
            <w:pPr>
              <w:jc w:val="center"/>
              <w:rPr>
                <w:rFonts w:ascii="Arial" w:hAnsi="Arial" w:cs="Arial"/>
                <w:b/>
                <w:bCs/>
                <w:color w:val="000000"/>
                <w:sz w:val="16"/>
                <w:szCs w:val="16"/>
              </w:rPr>
            </w:pPr>
            <w:r>
              <w:rPr>
                <w:rFonts w:ascii="Arial" w:hAnsi="Arial" w:cs="Arial"/>
                <w:b/>
                <w:bCs/>
                <w:color w:val="000000"/>
                <w:sz w:val="16"/>
                <w:szCs w:val="16"/>
              </w:rPr>
              <w:t>Need</w:t>
            </w:r>
          </w:p>
        </w:tc>
        <w:tc>
          <w:tcPr>
            <w:tcW w:w="471" w:type="dxa"/>
            <w:tcBorders>
              <w:top w:val="nil"/>
              <w:left w:val="nil"/>
              <w:bottom w:val="single" w:sz="8" w:space="0" w:color="009900"/>
              <w:right w:val="nil"/>
            </w:tcBorders>
            <w:shd w:val="clear" w:color="000000" w:fill="FFFFE1"/>
            <w:noWrap/>
            <w:vAlign w:val="center"/>
            <w:hideMark/>
          </w:tcPr>
          <w:p w:rsidR="009336CB" w:rsidRDefault="009336CB">
            <w:pPr>
              <w:jc w:val="center"/>
              <w:rPr>
                <w:rFonts w:ascii="Arial" w:hAnsi="Arial" w:cs="Arial"/>
                <w:b/>
                <w:bCs/>
                <w:color w:val="000000"/>
                <w:sz w:val="16"/>
                <w:szCs w:val="16"/>
              </w:rPr>
            </w:pPr>
            <w:r>
              <w:rPr>
                <w:rFonts w:ascii="Arial" w:hAnsi="Arial" w:cs="Arial"/>
                <w:b/>
                <w:bCs/>
                <w:color w:val="000000"/>
                <w:sz w:val="16"/>
                <w:szCs w:val="16"/>
              </w:rPr>
              <w:t>Need</w:t>
            </w:r>
          </w:p>
        </w:tc>
        <w:tc>
          <w:tcPr>
            <w:tcW w:w="708" w:type="dxa"/>
            <w:tcBorders>
              <w:top w:val="nil"/>
              <w:left w:val="nil"/>
              <w:bottom w:val="single" w:sz="8" w:space="0" w:color="009900"/>
              <w:right w:val="nil"/>
            </w:tcBorders>
            <w:shd w:val="clear" w:color="000000" w:fill="FFFFE1"/>
            <w:noWrap/>
            <w:vAlign w:val="center"/>
            <w:hideMark/>
          </w:tcPr>
          <w:p w:rsidR="009336CB" w:rsidRDefault="009336CB">
            <w:pPr>
              <w:jc w:val="center"/>
              <w:rPr>
                <w:rFonts w:ascii="Arial" w:hAnsi="Arial" w:cs="Arial"/>
                <w:b/>
                <w:bCs/>
                <w:color w:val="000000"/>
                <w:sz w:val="16"/>
                <w:szCs w:val="16"/>
              </w:rPr>
            </w:pPr>
            <w:r>
              <w:rPr>
                <w:rFonts w:ascii="Arial" w:hAnsi="Arial" w:cs="Arial"/>
                <w:b/>
                <w:bCs/>
                <w:color w:val="000000"/>
                <w:sz w:val="16"/>
                <w:szCs w:val="16"/>
              </w:rPr>
              <w:t>Need</w:t>
            </w:r>
          </w:p>
        </w:tc>
        <w:tc>
          <w:tcPr>
            <w:tcW w:w="471" w:type="dxa"/>
            <w:tcBorders>
              <w:top w:val="nil"/>
              <w:left w:val="nil"/>
              <w:bottom w:val="single" w:sz="8" w:space="0" w:color="009900"/>
              <w:right w:val="nil"/>
            </w:tcBorders>
            <w:shd w:val="clear" w:color="000000" w:fill="FFFFE1"/>
            <w:noWrap/>
            <w:vAlign w:val="center"/>
            <w:hideMark/>
          </w:tcPr>
          <w:p w:rsidR="009336CB" w:rsidRDefault="009336CB">
            <w:pPr>
              <w:jc w:val="center"/>
              <w:rPr>
                <w:rFonts w:ascii="Arial" w:hAnsi="Arial" w:cs="Arial"/>
                <w:b/>
                <w:bCs/>
                <w:color w:val="000000"/>
                <w:sz w:val="16"/>
                <w:szCs w:val="16"/>
              </w:rPr>
            </w:pPr>
            <w:r>
              <w:rPr>
                <w:rFonts w:ascii="Arial" w:hAnsi="Arial" w:cs="Arial"/>
                <w:b/>
                <w:bCs/>
                <w:color w:val="000000"/>
                <w:sz w:val="16"/>
                <w:szCs w:val="16"/>
              </w:rPr>
              <w:t>Need</w:t>
            </w:r>
          </w:p>
        </w:tc>
        <w:tc>
          <w:tcPr>
            <w:tcW w:w="807" w:type="dxa"/>
            <w:vMerge/>
            <w:tcBorders>
              <w:top w:val="nil"/>
              <w:left w:val="nil"/>
              <w:bottom w:val="single" w:sz="8" w:space="0" w:color="009900"/>
              <w:right w:val="nil"/>
            </w:tcBorders>
            <w:vAlign w:val="center"/>
            <w:hideMark/>
          </w:tcPr>
          <w:p w:rsidR="009336CB" w:rsidRDefault="009336CB">
            <w:pPr>
              <w:rPr>
                <w:rFonts w:ascii="Arial" w:hAnsi="Arial" w:cs="Arial"/>
                <w:b/>
                <w:bCs/>
                <w:color w:val="000000"/>
                <w:sz w:val="16"/>
                <w:szCs w:val="16"/>
              </w:rPr>
            </w:pPr>
          </w:p>
        </w:tc>
        <w:tc>
          <w:tcPr>
            <w:tcW w:w="688" w:type="dxa"/>
            <w:vMerge/>
            <w:tcBorders>
              <w:top w:val="nil"/>
              <w:left w:val="nil"/>
              <w:bottom w:val="single" w:sz="8" w:space="0" w:color="009900"/>
              <w:right w:val="single" w:sz="8" w:space="0" w:color="009900"/>
            </w:tcBorders>
            <w:vAlign w:val="center"/>
            <w:hideMark/>
          </w:tcPr>
          <w:p w:rsidR="009336CB" w:rsidRDefault="009336CB">
            <w:pPr>
              <w:rPr>
                <w:rFonts w:ascii="Arial" w:hAnsi="Arial" w:cs="Arial"/>
                <w:b/>
                <w:bCs/>
                <w:color w:val="000000"/>
                <w:sz w:val="16"/>
                <w:szCs w:val="16"/>
              </w:rPr>
            </w:pPr>
          </w:p>
        </w:tc>
      </w:tr>
      <w:tr w:rsidR="009336CB" w:rsidTr="008A38CC">
        <w:trPr>
          <w:trHeight w:val="240"/>
          <w:jc w:val="center"/>
        </w:trPr>
        <w:tc>
          <w:tcPr>
            <w:tcW w:w="5045" w:type="dxa"/>
            <w:tcBorders>
              <w:top w:val="nil"/>
              <w:left w:val="single" w:sz="8" w:space="0" w:color="009900"/>
              <w:bottom w:val="nil"/>
              <w:right w:val="nil"/>
            </w:tcBorders>
            <w:shd w:val="clear" w:color="000000" w:fill="FFFFE1"/>
            <w:noWrap/>
            <w:vAlign w:val="center"/>
            <w:hideMark/>
          </w:tcPr>
          <w:p w:rsidR="009336CB" w:rsidRDefault="009336CB">
            <w:pPr>
              <w:rPr>
                <w:rFonts w:ascii="Arial" w:hAnsi="Arial" w:cs="Arial"/>
                <w:color w:val="000000"/>
                <w:sz w:val="16"/>
                <w:szCs w:val="16"/>
              </w:rPr>
            </w:pPr>
            <w:r>
              <w:rPr>
                <w:rFonts w:ascii="Arial" w:hAnsi="Arial" w:cs="Arial"/>
                <w:color w:val="000000"/>
                <w:sz w:val="16"/>
                <w:szCs w:val="16"/>
              </w:rPr>
              <w:t>Attraction of new businesses</w:t>
            </w:r>
          </w:p>
        </w:tc>
        <w:tc>
          <w:tcPr>
            <w:tcW w:w="471"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2</w:t>
            </w:r>
          </w:p>
        </w:tc>
        <w:tc>
          <w:tcPr>
            <w:tcW w:w="471"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8</w:t>
            </w:r>
          </w:p>
        </w:tc>
        <w:tc>
          <w:tcPr>
            <w:tcW w:w="7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43</w:t>
            </w:r>
          </w:p>
        </w:tc>
        <w:tc>
          <w:tcPr>
            <w:tcW w:w="471"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190</w:t>
            </w:r>
          </w:p>
        </w:tc>
        <w:tc>
          <w:tcPr>
            <w:tcW w:w="807" w:type="dxa"/>
            <w:tcBorders>
              <w:top w:val="nil"/>
              <w:left w:val="nil"/>
              <w:bottom w:val="nil"/>
              <w:right w:val="nil"/>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100</w:t>
            </w:r>
          </w:p>
        </w:tc>
        <w:tc>
          <w:tcPr>
            <w:tcW w:w="688" w:type="dxa"/>
            <w:tcBorders>
              <w:top w:val="nil"/>
              <w:left w:val="nil"/>
              <w:bottom w:val="nil"/>
              <w:right w:val="single" w:sz="8" w:space="0" w:color="009900"/>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343</w:t>
            </w:r>
          </w:p>
        </w:tc>
      </w:tr>
      <w:tr w:rsidR="009336CB" w:rsidTr="008A38CC">
        <w:trPr>
          <w:trHeight w:val="240"/>
          <w:jc w:val="center"/>
        </w:trPr>
        <w:tc>
          <w:tcPr>
            <w:tcW w:w="5045" w:type="dxa"/>
            <w:tcBorders>
              <w:top w:val="nil"/>
              <w:left w:val="single" w:sz="8" w:space="0" w:color="009900"/>
              <w:bottom w:val="nil"/>
              <w:right w:val="nil"/>
            </w:tcBorders>
            <w:shd w:val="clear" w:color="000000" w:fill="FFFFE1"/>
            <w:noWrap/>
            <w:vAlign w:val="center"/>
            <w:hideMark/>
          </w:tcPr>
          <w:p w:rsidR="009336CB" w:rsidRDefault="009336CB">
            <w:pPr>
              <w:rPr>
                <w:rFonts w:ascii="Arial" w:hAnsi="Arial" w:cs="Arial"/>
                <w:color w:val="000000"/>
                <w:sz w:val="16"/>
                <w:szCs w:val="16"/>
              </w:rPr>
            </w:pPr>
            <w:r>
              <w:rPr>
                <w:rFonts w:ascii="Arial" w:hAnsi="Arial" w:cs="Arial"/>
                <w:color w:val="000000"/>
                <w:sz w:val="16"/>
                <w:szCs w:val="16"/>
              </w:rPr>
              <w:t>Retention of existing businesses</w:t>
            </w:r>
          </w:p>
        </w:tc>
        <w:tc>
          <w:tcPr>
            <w:tcW w:w="471"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w:t>
            </w:r>
          </w:p>
        </w:tc>
        <w:tc>
          <w:tcPr>
            <w:tcW w:w="471"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12</w:t>
            </w:r>
          </w:p>
        </w:tc>
        <w:tc>
          <w:tcPr>
            <w:tcW w:w="7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54</w:t>
            </w:r>
          </w:p>
        </w:tc>
        <w:tc>
          <w:tcPr>
            <w:tcW w:w="471"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175</w:t>
            </w:r>
          </w:p>
        </w:tc>
        <w:tc>
          <w:tcPr>
            <w:tcW w:w="807" w:type="dxa"/>
            <w:tcBorders>
              <w:top w:val="nil"/>
              <w:left w:val="nil"/>
              <w:bottom w:val="nil"/>
              <w:right w:val="nil"/>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101</w:t>
            </w:r>
          </w:p>
        </w:tc>
        <w:tc>
          <w:tcPr>
            <w:tcW w:w="688" w:type="dxa"/>
            <w:tcBorders>
              <w:top w:val="nil"/>
              <w:left w:val="nil"/>
              <w:bottom w:val="nil"/>
              <w:right w:val="single" w:sz="8" w:space="0" w:color="009900"/>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343</w:t>
            </w:r>
          </w:p>
        </w:tc>
      </w:tr>
      <w:tr w:rsidR="009336CB" w:rsidTr="008A38CC">
        <w:trPr>
          <w:trHeight w:val="240"/>
          <w:jc w:val="center"/>
        </w:trPr>
        <w:tc>
          <w:tcPr>
            <w:tcW w:w="5045" w:type="dxa"/>
            <w:tcBorders>
              <w:top w:val="nil"/>
              <w:left w:val="single" w:sz="8" w:space="0" w:color="009900"/>
              <w:bottom w:val="nil"/>
              <w:right w:val="nil"/>
            </w:tcBorders>
            <w:shd w:val="clear" w:color="000000" w:fill="FFFFE1"/>
            <w:noWrap/>
            <w:vAlign w:val="center"/>
            <w:hideMark/>
          </w:tcPr>
          <w:p w:rsidR="009336CB" w:rsidRDefault="009336CB">
            <w:pPr>
              <w:rPr>
                <w:rFonts w:ascii="Arial" w:hAnsi="Arial" w:cs="Arial"/>
                <w:color w:val="000000"/>
                <w:sz w:val="16"/>
                <w:szCs w:val="16"/>
              </w:rPr>
            </w:pPr>
            <w:r>
              <w:rPr>
                <w:rFonts w:ascii="Arial" w:hAnsi="Arial" w:cs="Arial"/>
                <w:color w:val="000000"/>
                <w:sz w:val="16"/>
                <w:szCs w:val="16"/>
              </w:rPr>
              <w:t>Provision of job training</w:t>
            </w:r>
          </w:p>
        </w:tc>
        <w:tc>
          <w:tcPr>
            <w:tcW w:w="471"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w:t>
            </w:r>
          </w:p>
        </w:tc>
        <w:tc>
          <w:tcPr>
            <w:tcW w:w="471"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14</w:t>
            </w:r>
          </w:p>
        </w:tc>
        <w:tc>
          <w:tcPr>
            <w:tcW w:w="7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69</w:t>
            </w:r>
          </w:p>
        </w:tc>
        <w:tc>
          <w:tcPr>
            <w:tcW w:w="471"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153</w:t>
            </w:r>
          </w:p>
        </w:tc>
        <w:tc>
          <w:tcPr>
            <w:tcW w:w="807" w:type="dxa"/>
            <w:tcBorders>
              <w:top w:val="nil"/>
              <w:left w:val="nil"/>
              <w:bottom w:val="nil"/>
              <w:right w:val="nil"/>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104</w:t>
            </w:r>
          </w:p>
        </w:tc>
        <w:tc>
          <w:tcPr>
            <w:tcW w:w="688" w:type="dxa"/>
            <w:tcBorders>
              <w:top w:val="nil"/>
              <w:left w:val="nil"/>
              <w:bottom w:val="nil"/>
              <w:right w:val="single" w:sz="8" w:space="0" w:color="009900"/>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343</w:t>
            </w:r>
          </w:p>
        </w:tc>
      </w:tr>
      <w:tr w:rsidR="009336CB" w:rsidTr="008A38CC">
        <w:trPr>
          <w:trHeight w:val="240"/>
          <w:jc w:val="center"/>
        </w:trPr>
        <w:tc>
          <w:tcPr>
            <w:tcW w:w="5045" w:type="dxa"/>
            <w:tcBorders>
              <w:top w:val="nil"/>
              <w:left w:val="single" w:sz="8" w:space="0" w:color="009900"/>
              <w:bottom w:val="nil"/>
              <w:right w:val="nil"/>
            </w:tcBorders>
            <w:shd w:val="clear" w:color="000000" w:fill="FFFFE1"/>
            <w:noWrap/>
            <w:vAlign w:val="center"/>
            <w:hideMark/>
          </w:tcPr>
          <w:p w:rsidR="009336CB" w:rsidRDefault="009336CB">
            <w:pPr>
              <w:rPr>
                <w:rFonts w:ascii="Arial" w:hAnsi="Arial" w:cs="Arial"/>
                <w:color w:val="000000"/>
                <w:sz w:val="16"/>
                <w:szCs w:val="16"/>
              </w:rPr>
            </w:pPr>
            <w:r>
              <w:rPr>
                <w:rFonts w:ascii="Arial" w:hAnsi="Arial" w:cs="Arial"/>
                <w:color w:val="000000"/>
                <w:sz w:val="16"/>
                <w:szCs w:val="16"/>
              </w:rPr>
              <w:t>Expansion of existing businesses</w:t>
            </w:r>
          </w:p>
        </w:tc>
        <w:tc>
          <w:tcPr>
            <w:tcW w:w="471"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w:t>
            </w:r>
          </w:p>
        </w:tc>
        <w:tc>
          <w:tcPr>
            <w:tcW w:w="471"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15</w:t>
            </w:r>
          </w:p>
        </w:tc>
        <w:tc>
          <w:tcPr>
            <w:tcW w:w="7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75</w:t>
            </w:r>
          </w:p>
        </w:tc>
        <w:tc>
          <w:tcPr>
            <w:tcW w:w="471"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147</w:t>
            </w:r>
          </w:p>
        </w:tc>
        <w:tc>
          <w:tcPr>
            <w:tcW w:w="807" w:type="dxa"/>
            <w:tcBorders>
              <w:top w:val="nil"/>
              <w:left w:val="nil"/>
              <w:bottom w:val="nil"/>
              <w:right w:val="nil"/>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105</w:t>
            </w:r>
          </w:p>
        </w:tc>
        <w:tc>
          <w:tcPr>
            <w:tcW w:w="688" w:type="dxa"/>
            <w:tcBorders>
              <w:top w:val="nil"/>
              <w:left w:val="nil"/>
              <w:bottom w:val="nil"/>
              <w:right w:val="single" w:sz="8" w:space="0" w:color="009900"/>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343</w:t>
            </w:r>
          </w:p>
        </w:tc>
      </w:tr>
      <w:tr w:rsidR="009336CB" w:rsidTr="008A38CC">
        <w:trPr>
          <w:trHeight w:val="240"/>
          <w:jc w:val="center"/>
        </w:trPr>
        <w:tc>
          <w:tcPr>
            <w:tcW w:w="5045" w:type="dxa"/>
            <w:tcBorders>
              <w:top w:val="nil"/>
              <w:left w:val="single" w:sz="8" w:space="0" w:color="009900"/>
              <w:bottom w:val="nil"/>
              <w:right w:val="nil"/>
            </w:tcBorders>
            <w:shd w:val="clear" w:color="000000" w:fill="FFFFE1"/>
            <w:noWrap/>
            <w:vAlign w:val="center"/>
            <w:hideMark/>
          </w:tcPr>
          <w:p w:rsidR="009336CB" w:rsidRDefault="009336CB">
            <w:pPr>
              <w:rPr>
                <w:rFonts w:ascii="Arial" w:hAnsi="Arial" w:cs="Arial"/>
                <w:color w:val="000000"/>
                <w:sz w:val="16"/>
                <w:szCs w:val="16"/>
              </w:rPr>
            </w:pPr>
            <w:r>
              <w:rPr>
                <w:rFonts w:ascii="Arial" w:hAnsi="Arial" w:cs="Arial"/>
                <w:color w:val="000000"/>
                <w:sz w:val="16"/>
                <w:szCs w:val="16"/>
              </w:rPr>
              <w:t>Foster businesses with higher paying jobs</w:t>
            </w:r>
          </w:p>
        </w:tc>
        <w:tc>
          <w:tcPr>
            <w:tcW w:w="471"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w:t>
            </w:r>
          </w:p>
        </w:tc>
        <w:tc>
          <w:tcPr>
            <w:tcW w:w="471"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14</w:t>
            </w:r>
          </w:p>
        </w:tc>
        <w:tc>
          <w:tcPr>
            <w:tcW w:w="7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72</w:t>
            </w:r>
          </w:p>
        </w:tc>
        <w:tc>
          <w:tcPr>
            <w:tcW w:w="471"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145</w:t>
            </w:r>
          </w:p>
        </w:tc>
        <w:tc>
          <w:tcPr>
            <w:tcW w:w="807" w:type="dxa"/>
            <w:tcBorders>
              <w:top w:val="nil"/>
              <w:left w:val="nil"/>
              <w:bottom w:val="nil"/>
              <w:right w:val="nil"/>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109</w:t>
            </w:r>
          </w:p>
        </w:tc>
        <w:tc>
          <w:tcPr>
            <w:tcW w:w="688" w:type="dxa"/>
            <w:tcBorders>
              <w:top w:val="nil"/>
              <w:left w:val="nil"/>
              <w:bottom w:val="nil"/>
              <w:right w:val="single" w:sz="8" w:space="0" w:color="009900"/>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343</w:t>
            </w:r>
          </w:p>
        </w:tc>
      </w:tr>
      <w:tr w:rsidR="009336CB" w:rsidTr="008A38CC">
        <w:trPr>
          <w:trHeight w:val="240"/>
          <w:jc w:val="center"/>
        </w:trPr>
        <w:tc>
          <w:tcPr>
            <w:tcW w:w="5045" w:type="dxa"/>
            <w:tcBorders>
              <w:top w:val="nil"/>
              <w:left w:val="single" w:sz="8" w:space="0" w:color="009900"/>
              <w:bottom w:val="nil"/>
              <w:right w:val="nil"/>
            </w:tcBorders>
            <w:shd w:val="clear" w:color="000000" w:fill="FFFFE1"/>
            <w:noWrap/>
            <w:vAlign w:val="center"/>
            <w:hideMark/>
          </w:tcPr>
          <w:p w:rsidR="009336CB" w:rsidRDefault="009336CB">
            <w:pPr>
              <w:rPr>
                <w:rFonts w:ascii="Arial" w:hAnsi="Arial" w:cs="Arial"/>
                <w:color w:val="000000"/>
                <w:sz w:val="16"/>
                <w:szCs w:val="16"/>
              </w:rPr>
            </w:pPr>
            <w:r>
              <w:rPr>
                <w:rFonts w:ascii="Arial" w:hAnsi="Arial" w:cs="Arial"/>
                <w:color w:val="000000"/>
                <w:sz w:val="16"/>
                <w:szCs w:val="16"/>
              </w:rPr>
              <w:t>Provision of job re-training, such as after plant or other closures</w:t>
            </w:r>
          </w:p>
        </w:tc>
        <w:tc>
          <w:tcPr>
            <w:tcW w:w="471"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4</w:t>
            </w:r>
          </w:p>
        </w:tc>
        <w:tc>
          <w:tcPr>
            <w:tcW w:w="471"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31</w:t>
            </w:r>
          </w:p>
        </w:tc>
        <w:tc>
          <w:tcPr>
            <w:tcW w:w="7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91</w:t>
            </w:r>
          </w:p>
        </w:tc>
        <w:tc>
          <w:tcPr>
            <w:tcW w:w="471"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111</w:t>
            </w:r>
          </w:p>
        </w:tc>
        <w:tc>
          <w:tcPr>
            <w:tcW w:w="807" w:type="dxa"/>
            <w:tcBorders>
              <w:top w:val="nil"/>
              <w:left w:val="nil"/>
              <w:bottom w:val="nil"/>
              <w:right w:val="nil"/>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106</w:t>
            </w:r>
          </w:p>
        </w:tc>
        <w:tc>
          <w:tcPr>
            <w:tcW w:w="688" w:type="dxa"/>
            <w:tcBorders>
              <w:top w:val="nil"/>
              <w:left w:val="nil"/>
              <w:bottom w:val="nil"/>
              <w:right w:val="single" w:sz="8" w:space="0" w:color="009900"/>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343</w:t>
            </w:r>
          </w:p>
        </w:tc>
      </w:tr>
      <w:tr w:rsidR="009336CB" w:rsidTr="008A38CC">
        <w:trPr>
          <w:trHeight w:val="240"/>
          <w:jc w:val="center"/>
        </w:trPr>
        <w:tc>
          <w:tcPr>
            <w:tcW w:w="5045" w:type="dxa"/>
            <w:tcBorders>
              <w:top w:val="nil"/>
              <w:left w:val="single" w:sz="8" w:space="0" w:color="009900"/>
              <w:bottom w:val="nil"/>
              <w:right w:val="nil"/>
            </w:tcBorders>
            <w:shd w:val="clear" w:color="000000" w:fill="FFFFE1"/>
            <w:noWrap/>
            <w:vAlign w:val="center"/>
            <w:hideMark/>
          </w:tcPr>
          <w:p w:rsidR="009336CB" w:rsidRDefault="009336CB">
            <w:pPr>
              <w:rPr>
                <w:rFonts w:ascii="Arial" w:hAnsi="Arial" w:cs="Arial"/>
                <w:color w:val="000000"/>
                <w:sz w:val="16"/>
                <w:szCs w:val="16"/>
              </w:rPr>
            </w:pPr>
            <w:r>
              <w:rPr>
                <w:rFonts w:ascii="Arial" w:hAnsi="Arial" w:cs="Arial"/>
                <w:color w:val="000000"/>
                <w:sz w:val="16"/>
                <w:szCs w:val="16"/>
              </w:rPr>
              <w:t>Enhancement of businesses infrastructure</w:t>
            </w:r>
          </w:p>
        </w:tc>
        <w:tc>
          <w:tcPr>
            <w:tcW w:w="471"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2</w:t>
            </w:r>
          </w:p>
        </w:tc>
        <w:tc>
          <w:tcPr>
            <w:tcW w:w="471"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23</w:t>
            </w:r>
          </w:p>
        </w:tc>
        <w:tc>
          <w:tcPr>
            <w:tcW w:w="7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103</w:t>
            </w:r>
          </w:p>
        </w:tc>
        <w:tc>
          <w:tcPr>
            <w:tcW w:w="471"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108</w:t>
            </w:r>
          </w:p>
        </w:tc>
        <w:tc>
          <w:tcPr>
            <w:tcW w:w="807" w:type="dxa"/>
            <w:tcBorders>
              <w:top w:val="nil"/>
              <w:left w:val="nil"/>
              <w:bottom w:val="nil"/>
              <w:right w:val="nil"/>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107</w:t>
            </w:r>
          </w:p>
        </w:tc>
        <w:tc>
          <w:tcPr>
            <w:tcW w:w="688" w:type="dxa"/>
            <w:tcBorders>
              <w:top w:val="nil"/>
              <w:left w:val="nil"/>
              <w:bottom w:val="nil"/>
              <w:right w:val="single" w:sz="8" w:space="0" w:color="009900"/>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343</w:t>
            </w:r>
          </w:p>
        </w:tc>
      </w:tr>
      <w:tr w:rsidR="009336CB" w:rsidTr="008A38CC">
        <w:trPr>
          <w:trHeight w:val="240"/>
          <w:jc w:val="center"/>
        </w:trPr>
        <w:tc>
          <w:tcPr>
            <w:tcW w:w="5045" w:type="dxa"/>
            <w:tcBorders>
              <w:top w:val="nil"/>
              <w:left w:val="single" w:sz="8" w:space="0" w:color="009900"/>
              <w:bottom w:val="nil"/>
              <w:right w:val="nil"/>
            </w:tcBorders>
            <w:shd w:val="clear" w:color="000000" w:fill="FFFFE1"/>
            <w:noWrap/>
            <w:vAlign w:val="center"/>
            <w:hideMark/>
          </w:tcPr>
          <w:p w:rsidR="009336CB" w:rsidRDefault="009336CB">
            <w:pPr>
              <w:rPr>
                <w:rFonts w:ascii="Arial" w:hAnsi="Arial" w:cs="Arial"/>
                <w:color w:val="000000"/>
                <w:sz w:val="16"/>
                <w:szCs w:val="16"/>
              </w:rPr>
            </w:pPr>
            <w:r>
              <w:rPr>
                <w:rFonts w:ascii="Arial" w:hAnsi="Arial" w:cs="Arial"/>
                <w:color w:val="000000"/>
                <w:sz w:val="16"/>
                <w:szCs w:val="16"/>
              </w:rPr>
              <w:t>Provision of technical assistance for businesses</w:t>
            </w:r>
          </w:p>
        </w:tc>
        <w:tc>
          <w:tcPr>
            <w:tcW w:w="471"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w:t>
            </w:r>
          </w:p>
        </w:tc>
        <w:tc>
          <w:tcPr>
            <w:tcW w:w="471"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27</w:t>
            </w:r>
          </w:p>
        </w:tc>
        <w:tc>
          <w:tcPr>
            <w:tcW w:w="7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101</w:t>
            </w:r>
          </w:p>
        </w:tc>
        <w:tc>
          <w:tcPr>
            <w:tcW w:w="471"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104</w:t>
            </w:r>
          </w:p>
        </w:tc>
        <w:tc>
          <w:tcPr>
            <w:tcW w:w="807" w:type="dxa"/>
            <w:tcBorders>
              <w:top w:val="nil"/>
              <w:left w:val="nil"/>
              <w:bottom w:val="nil"/>
              <w:right w:val="nil"/>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108</w:t>
            </w:r>
          </w:p>
        </w:tc>
        <w:tc>
          <w:tcPr>
            <w:tcW w:w="688" w:type="dxa"/>
            <w:tcBorders>
              <w:top w:val="nil"/>
              <w:left w:val="nil"/>
              <w:bottom w:val="nil"/>
              <w:right w:val="single" w:sz="8" w:space="0" w:color="009900"/>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343</w:t>
            </w:r>
          </w:p>
        </w:tc>
      </w:tr>
      <w:tr w:rsidR="009336CB" w:rsidTr="008A38CC">
        <w:trPr>
          <w:trHeight w:val="240"/>
          <w:jc w:val="center"/>
        </w:trPr>
        <w:tc>
          <w:tcPr>
            <w:tcW w:w="5045" w:type="dxa"/>
            <w:tcBorders>
              <w:top w:val="nil"/>
              <w:left w:val="single" w:sz="8" w:space="0" w:color="009900"/>
              <w:bottom w:val="nil"/>
              <w:right w:val="nil"/>
            </w:tcBorders>
            <w:shd w:val="clear" w:color="000000" w:fill="FFFFE1"/>
            <w:noWrap/>
            <w:vAlign w:val="center"/>
            <w:hideMark/>
          </w:tcPr>
          <w:p w:rsidR="009336CB" w:rsidRDefault="009336CB">
            <w:pPr>
              <w:rPr>
                <w:rFonts w:ascii="Arial" w:hAnsi="Arial" w:cs="Arial"/>
                <w:color w:val="000000"/>
                <w:sz w:val="16"/>
                <w:szCs w:val="16"/>
              </w:rPr>
            </w:pPr>
            <w:r>
              <w:rPr>
                <w:rFonts w:ascii="Arial" w:hAnsi="Arial" w:cs="Arial"/>
                <w:color w:val="000000"/>
                <w:sz w:val="16"/>
                <w:szCs w:val="16"/>
              </w:rPr>
              <w:t>Provision of venture capital</w:t>
            </w:r>
          </w:p>
        </w:tc>
        <w:tc>
          <w:tcPr>
            <w:tcW w:w="471"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6</w:t>
            </w:r>
          </w:p>
        </w:tc>
        <w:tc>
          <w:tcPr>
            <w:tcW w:w="471"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33</w:t>
            </w:r>
          </w:p>
        </w:tc>
        <w:tc>
          <w:tcPr>
            <w:tcW w:w="7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88</w:t>
            </w:r>
          </w:p>
        </w:tc>
        <w:tc>
          <w:tcPr>
            <w:tcW w:w="471"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101</w:t>
            </w:r>
          </w:p>
        </w:tc>
        <w:tc>
          <w:tcPr>
            <w:tcW w:w="807" w:type="dxa"/>
            <w:tcBorders>
              <w:top w:val="nil"/>
              <w:left w:val="nil"/>
              <w:bottom w:val="nil"/>
              <w:right w:val="nil"/>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115</w:t>
            </w:r>
          </w:p>
        </w:tc>
        <w:tc>
          <w:tcPr>
            <w:tcW w:w="688" w:type="dxa"/>
            <w:tcBorders>
              <w:top w:val="nil"/>
              <w:left w:val="nil"/>
              <w:bottom w:val="nil"/>
              <w:right w:val="single" w:sz="8" w:space="0" w:color="009900"/>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343</w:t>
            </w:r>
          </w:p>
        </w:tc>
      </w:tr>
      <w:tr w:rsidR="009336CB" w:rsidTr="008A38CC">
        <w:trPr>
          <w:trHeight w:val="240"/>
          <w:jc w:val="center"/>
        </w:trPr>
        <w:tc>
          <w:tcPr>
            <w:tcW w:w="5045" w:type="dxa"/>
            <w:tcBorders>
              <w:top w:val="nil"/>
              <w:left w:val="single" w:sz="8" w:space="0" w:color="009900"/>
              <w:bottom w:val="nil"/>
              <w:right w:val="nil"/>
            </w:tcBorders>
            <w:shd w:val="clear" w:color="000000" w:fill="FFFFE1"/>
            <w:noWrap/>
            <w:vAlign w:val="center"/>
            <w:hideMark/>
          </w:tcPr>
          <w:p w:rsidR="009336CB" w:rsidRDefault="009336CB">
            <w:pPr>
              <w:rPr>
                <w:rFonts w:ascii="Arial" w:hAnsi="Arial" w:cs="Arial"/>
                <w:color w:val="000000"/>
                <w:sz w:val="16"/>
                <w:szCs w:val="16"/>
              </w:rPr>
            </w:pPr>
            <w:r>
              <w:rPr>
                <w:rFonts w:ascii="Arial" w:hAnsi="Arial" w:cs="Arial"/>
                <w:color w:val="000000"/>
                <w:sz w:val="16"/>
                <w:szCs w:val="16"/>
              </w:rPr>
              <w:t>Investment as equity partners</w:t>
            </w:r>
          </w:p>
        </w:tc>
        <w:tc>
          <w:tcPr>
            <w:tcW w:w="471"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6</w:t>
            </w:r>
          </w:p>
        </w:tc>
        <w:tc>
          <w:tcPr>
            <w:tcW w:w="471"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31</w:t>
            </w:r>
          </w:p>
        </w:tc>
        <w:tc>
          <w:tcPr>
            <w:tcW w:w="7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95</w:t>
            </w:r>
          </w:p>
        </w:tc>
        <w:tc>
          <w:tcPr>
            <w:tcW w:w="471"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97</w:t>
            </w:r>
          </w:p>
        </w:tc>
        <w:tc>
          <w:tcPr>
            <w:tcW w:w="807" w:type="dxa"/>
            <w:tcBorders>
              <w:top w:val="nil"/>
              <w:left w:val="nil"/>
              <w:bottom w:val="nil"/>
              <w:right w:val="nil"/>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114</w:t>
            </w:r>
          </w:p>
        </w:tc>
        <w:tc>
          <w:tcPr>
            <w:tcW w:w="688" w:type="dxa"/>
            <w:tcBorders>
              <w:top w:val="nil"/>
              <w:left w:val="nil"/>
              <w:bottom w:val="nil"/>
              <w:right w:val="single" w:sz="8" w:space="0" w:color="009900"/>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343</w:t>
            </w:r>
          </w:p>
        </w:tc>
      </w:tr>
      <w:tr w:rsidR="009336CB" w:rsidTr="008A38CC">
        <w:trPr>
          <w:trHeight w:val="240"/>
          <w:jc w:val="center"/>
        </w:trPr>
        <w:tc>
          <w:tcPr>
            <w:tcW w:w="5045" w:type="dxa"/>
            <w:tcBorders>
              <w:top w:val="nil"/>
              <w:left w:val="single" w:sz="8" w:space="0" w:color="009900"/>
              <w:bottom w:val="nil"/>
              <w:right w:val="nil"/>
            </w:tcBorders>
            <w:shd w:val="clear" w:color="000000" w:fill="FFFFE1"/>
            <w:noWrap/>
            <w:vAlign w:val="center"/>
            <w:hideMark/>
          </w:tcPr>
          <w:p w:rsidR="009336CB" w:rsidRDefault="009336CB">
            <w:pPr>
              <w:rPr>
                <w:rFonts w:ascii="Arial" w:hAnsi="Arial" w:cs="Arial"/>
                <w:color w:val="000000"/>
                <w:sz w:val="16"/>
                <w:szCs w:val="16"/>
              </w:rPr>
            </w:pPr>
            <w:r>
              <w:rPr>
                <w:rFonts w:ascii="Arial" w:hAnsi="Arial" w:cs="Arial"/>
                <w:color w:val="000000"/>
                <w:sz w:val="16"/>
                <w:szCs w:val="16"/>
              </w:rPr>
              <w:t>Development of business parks</w:t>
            </w:r>
          </w:p>
        </w:tc>
        <w:tc>
          <w:tcPr>
            <w:tcW w:w="471"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7</w:t>
            </w:r>
          </w:p>
        </w:tc>
        <w:tc>
          <w:tcPr>
            <w:tcW w:w="471"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45</w:t>
            </w:r>
          </w:p>
        </w:tc>
        <w:tc>
          <w:tcPr>
            <w:tcW w:w="7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87</w:t>
            </w:r>
          </w:p>
        </w:tc>
        <w:tc>
          <w:tcPr>
            <w:tcW w:w="471"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90</w:t>
            </w:r>
          </w:p>
        </w:tc>
        <w:tc>
          <w:tcPr>
            <w:tcW w:w="807" w:type="dxa"/>
            <w:tcBorders>
              <w:top w:val="nil"/>
              <w:left w:val="nil"/>
              <w:bottom w:val="nil"/>
              <w:right w:val="nil"/>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114</w:t>
            </w:r>
          </w:p>
        </w:tc>
        <w:tc>
          <w:tcPr>
            <w:tcW w:w="688" w:type="dxa"/>
            <w:tcBorders>
              <w:top w:val="nil"/>
              <w:left w:val="nil"/>
              <w:bottom w:val="nil"/>
              <w:right w:val="single" w:sz="8" w:space="0" w:color="009900"/>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343</w:t>
            </w:r>
          </w:p>
        </w:tc>
      </w:tr>
      <w:tr w:rsidR="009336CB" w:rsidTr="008A38CC">
        <w:trPr>
          <w:trHeight w:val="240"/>
          <w:jc w:val="center"/>
        </w:trPr>
        <w:tc>
          <w:tcPr>
            <w:tcW w:w="5045" w:type="dxa"/>
            <w:tcBorders>
              <w:top w:val="nil"/>
              <w:left w:val="single" w:sz="8" w:space="0" w:color="009900"/>
              <w:bottom w:val="single" w:sz="8" w:space="0" w:color="009900"/>
              <w:right w:val="nil"/>
            </w:tcBorders>
            <w:shd w:val="clear" w:color="000000" w:fill="FFFFE1"/>
            <w:noWrap/>
            <w:vAlign w:val="center"/>
            <w:hideMark/>
          </w:tcPr>
          <w:p w:rsidR="009336CB" w:rsidRDefault="009336CB">
            <w:pPr>
              <w:rPr>
                <w:rFonts w:ascii="Arial" w:hAnsi="Arial" w:cs="Arial"/>
                <w:color w:val="000000"/>
                <w:sz w:val="16"/>
                <w:szCs w:val="16"/>
              </w:rPr>
            </w:pPr>
            <w:r>
              <w:rPr>
                <w:rFonts w:ascii="Arial" w:hAnsi="Arial" w:cs="Arial"/>
                <w:color w:val="000000"/>
                <w:sz w:val="16"/>
                <w:szCs w:val="16"/>
              </w:rPr>
              <w:t>Other business activities</w:t>
            </w:r>
          </w:p>
        </w:tc>
        <w:tc>
          <w:tcPr>
            <w:tcW w:w="471" w:type="dxa"/>
            <w:tcBorders>
              <w:top w:val="nil"/>
              <w:left w:val="nil"/>
              <w:bottom w:val="single" w:sz="8" w:space="0" w:color="009900"/>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4</w:t>
            </w:r>
          </w:p>
        </w:tc>
        <w:tc>
          <w:tcPr>
            <w:tcW w:w="471" w:type="dxa"/>
            <w:tcBorders>
              <w:top w:val="nil"/>
              <w:left w:val="nil"/>
              <w:bottom w:val="single" w:sz="8" w:space="0" w:color="009900"/>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color w:val="000000"/>
                <w:sz w:val="16"/>
                <w:szCs w:val="16"/>
              </w:rPr>
              <w:t> </w:t>
            </w:r>
          </w:p>
        </w:tc>
        <w:tc>
          <w:tcPr>
            <w:tcW w:w="708" w:type="dxa"/>
            <w:tcBorders>
              <w:top w:val="nil"/>
              <w:left w:val="nil"/>
              <w:bottom w:val="single" w:sz="8" w:space="0" w:color="009900"/>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w:t>
            </w:r>
          </w:p>
        </w:tc>
        <w:tc>
          <w:tcPr>
            <w:tcW w:w="471" w:type="dxa"/>
            <w:tcBorders>
              <w:top w:val="nil"/>
              <w:left w:val="nil"/>
              <w:bottom w:val="single" w:sz="8" w:space="0" w:color="009900"/>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22</w:t>
            </w:r>
          </w:p>
        </w:tc>
        <w:tc>
          <w:tcPr>
            <w:tcW w:w="807" w:type="dxa"/>
            <w:tcBorders>
              <w:top w:val="nil"/>
              <w:left w:val="nil"/>
              <w:bottom w:val="single" w:sz="8" w:space="0" w:color="009900"/>
              <w:right w:val="nil"/>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316</w:t>
            </w:r>
          </w:p>
        </w:tc>
        <w:tc>
          <w:tcPr>
            <w:tcW w:w="688" w:type="dxa"/>
            <w:tcBorders>
              <w:top w:val="nil"/>
              <w:left w:val="nil"/>
              <w:bottom w:val="single" w:sz="8" w:space="0" w:color="009900"/>
              <w:right w:val="single" w:sz="8" w:space="0" w:color="009900"/>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343</w:t>
            </w:r>
          </w:p>
        </w:tc>
      </w:tr>
    </w:tbl>
    <w:p w:rsidR="00BD2ECE" w:rsidRPr="00925169" w:rsidRDefault="00BD2ECE" w:rsidP="00BD2ECE">
      <w:pPr>
        <w:pStyle w:val="BodyText"/>
        <w:tabs>
          <w:tab w:val="num" w:pos="360"/>
        </w:tabs>
        <w:rPr>
          <w:rFonts w:ascii="CG Omega" w:hAnsi="CG Omega"/>
          <w:szCs w:val="24"/>
          <w:highlight w:val="yellow"/>
        </w:rPr>
      </w:pPr>
    </w:p>
    <w:p w:rsidR="00BD2ECE" w:rsidRPr="00A10027" w:rsidRDefault="00BD2ECE" w:rsidP="00BD2ECE">
      <w:pPr>
        <w:jc w:val="both"/>
        <w:rPr>
          <w:rFonts w:ascii="CG Omega" w:hAnsi="CG Omega"/>
        </w:rPr>
      </w:pPr>
      <w:r w:rsidRPr="00A10027">
        <w:rPr>
          <w:rFonts w:ascii="CG Omega" w:hAnsi="CG Omega"/>
        </w:rPr>
        <w:t>Additional question were asked about the need for infrastructure, public facilities, and public services.  The tables</w:t>
      </w:r>
      <w:r w:rsidR="00925169">
        <w:rPr>
          <w:rFonts w:ascii="CG Omega" w:hAnsi="CG Omega"/>
        </w:rPr>
        <w:t xml:space="preserve"> on the following pages</w:t>
      </w:r>
      <w:r w:rsidRPr="00A10027">
        <w:rPr>
          <w:rFonts w:ascii="CG Omega" w:hAnsi="CG Omega"/>
        </w:rPr>
        <w:t xml:space="preserve"> will illustrate the respondents ranking of various priorities.  </w:t>
      </w:r>
    </w:p>
    <w:p w:rsidR="00BD2ECE" w:rsidRPr="00925169" w:rsidRDefault="00BD2ECE" w:rsidP="00BD2ECE">
      <w:pPr>
        <w:jc w:val="both"/>
        <w:rPr>
          <w:rFonts w:ascii="CG Omega" w:hAnsi="CG Omega"/>
          <w:highlight w:val="yellow"/>
        </w:rPr>
      </w:pPr>
    </w:p>
    <w:p w:rsidR="00BD2ECE" w:rsidRDefault="00BD2ECE" w:rsidP="00BD2ECE">
      <w:pPr>
        <w:jc w:val="both"/>
        <w:rPr>
          <w:rFonts w:ascii="CG Omega" w:hAnsi="CG Omega"/>
        </w:rPr>
      </w:pPr>
      <w:r w:rsidRPr="00A10027">
        <w:rPr>
          <w:rFonts w:ascii="CG Omega" w:hAnsi="CG Omega"/>
        </w:rPr>
        <w:t xml:space="preserve">Looking back at </w:t>
      </w:r>
      <w:r w:rsidRPr="00925169">
        <w:rPr>
          <w:rFonts w:ascii="CG Omega" w:hAnsi="CG Omega"/>
          <w:b/>
        </w:rPr>
        <w:t>Table</w:t>
      </w:r>
      <w:r w:rsidR="00215575" w:rsidRPr="00925169">
        <w:rPr>
          <w:rFonts w:ascii="CG Omega" w:hAnsi="CG Omega"/>
          <w:b/>
        </w:rPr>
        <w:t xml:space="preserve"> VI.1</w:t>
      </w:r>
      <w:r w:rsidRPr="00215575">
        <w:rPr>
          <w:rFonts w:ascii="CG Omega" w:hAnsi="CG Omega"/>
        </w:rPr>
        <w:t xml:space="preserve">, on the previous page, </w:t>
      </w:r>
      <w:r w:rsidRPr="00A10027">
        <w:rPr>
          <w:rFonts w:ascii="CG Omega" w:hAnsi="CG Omega"/>
        </w:rPr>
        <w:t>res</w:t>
      </w:r>
      <w:r>
        <w:rPr>
          <w:rFonts w:ascii="CG Omega" w:hAnsi="CG Omega"/>
        </w:rPr>
        <w:t xml:space="preserve">pondents indicated that infrastructure should account for more than </w:t>
      </w:r>
      <w:r w:rsidRPr="00F215BB">
        <w:rPr>
          <w:rFonts w:ascii="CG Omega" w:hAnsi="CG Omega"/>
        </w:rPr>
        <w:t>10 percent</w:t>
      </w:r>
      <w:r>
        <w:rPr>
          <w:rFonts w:ascii="CG Omega" w:hAnsi="CG Omega"/>
        </w:rPr>
        <w:t xml:space="preserve"> of resources.  In addition to that, water systems themselves should account for </w:t>
      </w:r>
      <w:r w:rsidRPr="00F215BB">
        <w:rPr>
          <w:rFonts w:ascii="CG Omega" w:hAnsi="CG Omega"/>
        </w:rPr>
        <w:t>over 15 percent</w:t>
      </w:r>
      <w:r>
        <w:rPr>
          <w:rFonts w:ascii="CG Omega" w:hAnsi="CG Omega"/>
        </w:rPr>
        <w:t xml:space="preserve"> of allocated resources. </w:t>
      </w:r>
      <w:r w:rsidRPr="00925169">
        <w:rPr>
          <w:rFonts w:ascii="CG Omega" w:hAnsi="CG Omega"/>
          <w:b/>
        </w:rPr>
        <w:t xml:space="preserve">Table </w:t>
      </w:r>
      <w:r w:rsidR="00215575" w:rsidRPr="00925169">
        <w:rPr>
          <w:rFonts w:ascii="CG Omega" w:hAnsi="CG Omega"/>
          <w:b/>
        </w:rPr>
        <w:t>VI.3</w:t>
      </w:r>
      <w:r>
        <w:rPr>
          <w:rFonts w:ascii="CG Omega" w:hAnsi="CG Omega"/>
        </w:rPr>
        <w:t xml:space="preserve">, </w:t>
      </w:r>
      <w:r w:rsidR="00DC0647">
        <w:rPr>
          <w:rFonts w:ascii="CG Omega" w:hAnsi="CG Omega"/>
        </w:rPr>
        <w:t>on the following page</w:t>
      </w:r>
      <w:r>
        <w:rPr>
          <w:rFonts w:ascii="CG Omega" w:hAnsi="CG Omega"/>
        </w:rPr>
        <w:t xml:space="preserve">, demonstrates the highest ranking for infrastructure is in street and road improvements and water system capacity improvements.  The Infrastructure Focus Group identified these priorities as well, citing that the competing needs of streets and water vary by location throughout the state.  The </w:t>
      </w:r>
      <w:r w:rsidR="00925169">
        <w:rPr>
          <w:rFonts w:ascii="CG Omega" w:hAnsi="CG Omega"/>
        </w:rPr>
        <w:t>g</w:t>
      </w:r>
      <w:r>
        <w:rPr>
          <w:rFonts w:ascii="CG Omega" w:hAnsi="CG Omega"/>
        </w:rPr>
        <w:t>roup also indicated an ever increasing need for infrastructure to meet the demand of new development</w:t>
      </w:r>
      <w:r w:rsidR="00503BA4">
        <w:rPr>
          <w:rFonts w:ascii="CG Omega" w:hAnsi="CG Omega"/>
        </w:rPr>
        <w:t>, and there is a need to update outdated water systems and infrastructure</w:t>
      </w:r>
      <w:r>
        <w:rPr>
          <w:rFonts w:ascii="CG Omega" w:hAnsi="CG Omega"/>
        </w:rPr>
        <w:t xml:space="preserve">. </w:t>
      </w:r>
    </w:p>
    <w:p w:rsidR="00DC0647" w:rsidRPr="00925169" w:rsidRDefault="00DC0647" w:rsidP="00DC0647">
      <w:pPr>
        <w:rPr>
          <w:rFonts w:ascii="CG Omega" w:hAnsi="CG Omega"/>
        </w:rPr>
      </w:pPr>
    </w:p>
    <w:p w:rsidR="00DC0647" w:rsidRDefault="00DC0647" w:rsidP="00E11EC3">
      <w:pPr>
        <w:jc w:val="both"/>
        <w:rPr>
          <w:rFonts w:ascii="CG Omega" w:hAnsi="CG Omega"/>
        </w:rPr>
      </w:pPr>
      <w:r>
        <w:rPr>
          <w:rFonts w:ascii="CG Omega" w:hAnsi="CG Omega"/>
        </w:rPr>
        <w:t>Mirroring the responses from public input, t</w:t>
      </w:r>
      <w:r w:rsidRPr="00C052DC">
        <w:rPr>
          <w:rFonts w:ascii="CG Omega" w:hAnsi="CG Omega"/>
        </w:rPr>
        <w:t>he state has</w:t>
      </w:r>
      <w:r>
        <w:rPr>
          <w:rFonts w:ascii="CG Omega" w:hAnsi="CG Omega"/>
        </w:rPr>
        <w:t xml:space="preserve"> also</w:t>
      </w:r>
      <w:r w:rsidRPr="00C052DC">
        <w:rPr>
          <w:rFonts w:ascii="CG Omega" w:hAnsi="CG Omega"/>
        </w:rPr>
        <w:t xml:space="preserve"> recognized the high need for water infrastructure updates. In March 2014,</w:t>
      </w:r>
      <w:r>
        <w:rPr>
          <w:rFonts w:ascii="CG Omega" w:hAnsi="CG Omega"/>
        </w:rPr>
        <w:t xml:space="preserve"> </w:t>
      </w:r>
      <w:r w:rsidRPr="00C052DC">
        <w:rPr>
          <w:rFonts w:ascii="CG Omega" w:hAnsi="CG Omega"/>
        </w:rPr>
        <w:t>Governor Susana Martinez signed a spending measure that includes $89 million to improve the state’s water infrastructure.  With New Mexico facing unprecedented droughts and outdated infrastructure, these funds are aimed to target critical water infrastructure projects that will prepare the state’s foundation for long-term economic growth. In addition, a recent U.S. Supreme Court decision ordered that Texas can file suit against New Mexico, alleging that New Mexico has violated its interstate water contract, the Rio Grande Compact, by allowing unauthorized diversions of water apportioned to Texas.</w:t>
      </w:r>
      <w:r w:rsidR="005B55EF">
        <w:rPr>
          <w:rStyle w:val="FootnoteReference"/>
          <w:rFonts w:ascii="CG Omega" w:hAnsi="CG Omega"/>
        </w:rPr>
        <w:footnoteReference w:id="88"/>
      </w:r>
      <w:r w:rsidRPr="00C052DC">
        <w:rPr>
          <w:rFonts w:ascii="CG Omega" w:hAnsi="CG Omega"/>
        </w:rPr>
        <w:t xml:space="preserve"> </w:t>
      </w:r>
      <w:r>
        <w:rPr>
          <w:rFonts w:ascii="CG Omega" w:hAnsi="CG Omega"/>
        </w:rPr>
        <w:t xml:space="preserve"> The impending results of this suit, in conjunction with the </w:t>
      </w:r>
      <w:r w:rsidR="00760EEB">
        <w:rPr>
          <w:rFonts w:ascii="CG Omega" w:hAnsi="CG Omega"/>
        </w:rPr>
        <w:t>strain on</w:t>
      </w:r>
      <w:r>
        <w:rPr>
          <w:rFonts w:ascii="CG Omega" w:hAnsi="CG Omega"/>
        </w:rPr>
        <w:t xml:space="preserve"> the State’s water infrastructure, helps to firmly establish water as a high priority throughout </w:t>
      </w:r>
      <w:r w:rsidR="00760EEB">
        <w:rPr>
          <w:rFonts w:ascii="CG Omega" w:hAnsi="CG Omega"/>
        </w:rPr>
        <w:t>New Mexico</w:t>
      </w:r>
      <w:r>
        <w:rPr>
          <w:rFonts w:ascii="CG Omega" w:hAnsi="CG Omega"/>
        </w:rPr>
        <w:t>.</w:t>
      </w:r>
    </w:p>
    <w:p w:rsidR="00BD2ECE" w:rsidRPr="00AC6FDD" w:rsidRDefault="00BD2ECE" w:rsidP="00BD2ECE">
      <w:pPr>
        <w:jc w:val="both"/>
        <w:rPr>
          <w:rFonts w:ascii="CG Omega" w:hAnsi="CG Omega"/>
          <w:sz w:val="16"/>
          <w:szCs w:val="16"/>
        </w:rPr>
      </w:pPr>
    </w:p>
    <w:tbl>
      <w:tblPr>
        <w:tblW w:w="8660" w:type="dxa"/>
        <w:jc w:val="center"/>
        <w:tblLook w:val="04A0" w:firstRow="1" w:lastRow="0" w:firstColumn="1" w:lastColumn="0" w:noHBand="0" w:noVBand="1"/>
      </w:tblPr>
      <w:tblGrid>
        <w:gridCol w:w="3928"/>
        <w:gridCol w:w="617"/>
        <w:gridCol w:w="616"/>
        <w:gridCol w:w="927"/>
        <w:gridCol w:w="616"/>
        <w:gridCol w:w="1056"/>
        <w:gridCol w:w="900"/>
      </w:tblGrid>
      <w:tr w:rsidR="009336CB" w:rsidTr="009336CB">
        <w:trPr>
          <w:trHeight w:val="153"/>
          <w:jc w:val="center"/>
        </w:trPr>
        <w:tc>
          <w:tcPr>
            <w:tcW w:w="8660" w:type="dxa"/>
            <w:gridSpan w:val="7"/>
            <w:tcBorders>
              <w:top w:val="nil"/>
              <w:left w:val="nil"/>
              <w:bottom w:val="nil"/>
              <w:right w:val="nil"/>
            </w:tcBorders>
            <w:shd w:val="clear" w:color="auto" w:fill="auto"/>
            <w:noWrap/>
            <w:vAlign w:val="center"/>
            <w:hideMark/>
          </w:tcPr>
          <w:p w:rsidR="009336CB" w:rsidRDefault="009336CB">
            <w:pPr>
              <w:jc w:val="center"/>
              <w:rPr>
                <w:rFonts w:ascii="Arial" w:hAnsi="Arial" w:cs="Arial"/>
                <w:b/>
                <w:bCs/>
                <w:color w:val="000000"/>
                <w:sz w:val="22"/>
                <w:szCs w:val="22"/>
              </w:rPr>
            </w:pPr>
            <w:r>
              <w:rPr>
                <w:rFonts w:ascii="Arial" w:hAnsi="Arial" w:cs="Arial"/>
                <w:b/>
                <w:bCs/>
                <w:color w:val="000000"/>
                <w:sz w:val="22"/>
                <w:szCs w:val="22"/>
              </w:rPr>
              <w:t>Table VI.3</w:t>
            </w:r>
          </w:p>
        </w:tc>
      </w:tr>
      <w:tr w:rsidR="009336CB" w:rsidTr="009336CB">
        <w:trPr>
          <w:trHeight w:val="162"/>
          <w:jc w:val="center"/>
        </w:trPr>
        <w:tc>
          <w:tcPr>
            <w:tcW w:w="8660" w:type="dxa"/>
            <w:gridSpan w:val="7"/>
            <w:tcBorders>
              <w:top w:val="nil"/>
              <w:left w:val="nil"/>
              <w:bottom w:val="nil"/>
              <w:right w:val="nil"/>
            </w:tcBorders>
            <w:shd w:val="clear" w:color="auto" w:fill="auto"/>
            <w:noWrap/>
            <w:vAlign w:val="center"/>
            <w:hideMark/>
          </w:tcPr>
          <w:p w:rsidR="009336CB" w:rsidRDefault="009336CB">
            <w:pPr>
              <w:jc w:val="center"/>
              <w:rPr>
                <w:rFonts w:ascii="Arial" w:hAnsi="Arial" w:cs="Arial"/>
                <w:b/>
                <w:bCs/>
                <w:color w:val="000000"/>
                <w:sz w:val="20"/>
                <w:szCs w:val="20"/>
              </w:rPr>
            </w:pPr>
            <w:r>
              <w:rPr>
                <w:rFonts w:ascii="Arial" w:hAnsi="Arial" w:cs="Arial"/>
                <w:b/>
                <w:bCs/>
                <w:color w:val="000000"/>
                <w:sz w:val="20"/>
                <w:szCs w:val="20"/>
              </w:rPr>
              <w:t>Please rate the need for the following Infrastructure activities.</w:t>
            </w:r>
          </w:p>
        </w:tc>
      </w:tr>
      <w:tr w:rsidR="009336CB" w:rsidTr="009336CB">
        <w:trPr>
          <w:trHeight w:val="207"/>
          <w:jc w:val="center"/>
        </w:trPr>
        <w:tc>
          <w:tcPr>
            <w:tcW w:w="8660" w:type="dxa"/>
            <w:gridSpan w:val="7"/>
            <w:tcBorders>
              <w:top w:val="nil"/>
              <w:left w:val="nil"/>
              <w:bottom w:val="nil"/>
              <w:right w:val="nil"/>
            </w:tcBorders>
            <w:shd w:val="clear" w:color="auto" w:fill="auto"/>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State of New Mexico</w:t>
            </w:r>
          </w:p>
        </w:tc>
      </w:tr>
      <w:tr w:rsidR="009336CB" w:rsidTr="009336CB">
        <w:trPr>
          <w:trHeight w:val="153"/>
          <w:jc w:val="center"/>
        </w:trPr>
        <w:tc>
          <w:tcPr>
            <w:tcW w:w="8660" w:type="dxa"/>
            <w:gridSpan w:val="7"/>
            <w:tcBorders>
              <w:top w:val="nil"/>
              <w:left w:val="nil"/>
              <w:bottom w:val="single" w:sz="8" w:space="0" w:color="009900"/>
              <w:right w:val="nil"/>
            </w:tcBorders>
            <w:shd w:val="clear" w:color="auto" w:fill="auto"/>
            <w:noWrap/>
            <w:vAlign w:val="center"/>
            <w:hideMark/>
          </w:tcPr>
          <w:p w:rsidR="009336CB" w:rsidRDefault="009336CB">
            <w:pPr>
              <w:jc w:val="center"/>
              <w:rPr>
                <w:rFonts w:ascii="Arial" w:hAnsi="Arial" w:cs="Arial"/>
                <w:color w:val="000000"/>
                <w:sz w:val="16"/>
                <w:szCs w:val="16"/>
              </w:rPr>
            </w:pPr>
            <w:r>
              <w:rPr>
                <w:rFonts w:ascii="Arial" w:hAnsi="Arial" w:cs="Arial"/>
                <w:bCs/>
                <w:color w:val="000000"/>
                <w:sz w:val="16"/>
                <w:szCs w:val="16"/>
              </w:rPr>
              <w:t>2014 Housing and Community Development Survey</w:t>
            </w:r>
          </w:p>
        </w:tc>
      </w:tr>
      <w:tr w:rsidR="009336CB" w:rsidTr="009336CB">
        <w:trPr>
          <w:trHeight w:val="240"/>
          <w:jc w:val="center"/>
        </w:trPr>
        <w:tc>
          <w:tcPr>
            <w:tcW w:w="3928" w:type="dxa"/>
            <w:vMerge w:val="restart"/>
            <w:tcBorders>
              <w:top w:val="nil"/>
              <w:left w:val="single" w:sz="8" w:space="0" w:color="009900"/>
              <w:bottom w:val="single" w:sz="8" w:space="0" w:color="009900"/>
              <w:right w:val="nil"/>
            </w:tcBorders>
            <w:shd w:val="clear" w:color="000000" w:fill="FFFFE1"/>
            <w:noWrap/>
            <w:vAlign w:val="center"/>
            <w:hideMark/>
          </w:tcPr>
          <w:p w:rsidR="009336CB" w:rsidRDefault="009336CB">
            <w:pPr>
              <w:rPr>
                <w:rFonts w:ascii="Arial" w:hAnsi="Arial" w:cs="Arial"/>
                <w:b/>
                <w:bCs/>
                <w:color w:val="000000"/>
                <w:sz w:val="16"/>
                <w:szCs w:val="16"/>
              </w:rPr>
            </w:pPr>
            <w:r>
              <w:rPr>
                <w:rFonts w:ascii="Arial" w:hAnsi="Arial" w:cs="Arial"/>
                <w:b/>
                <w:bCs/>
                <w:color w:val="000000"/>
                <w:sz w:val="16"/>
                <w:szCs w:val="16"/>
              </w:rPr>
              <w:t>Question</w:t>
            </w:r>
          </w:p>
        </w:tc>
        <w:tc>
          <w:tcPr>
            <w:tcW w:w="617"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b/>
                <w:bCs/>
                <w:color w:val="000000"/>
                <w:sz w:val="16"/>
                <w:szCs w:val="16"/>
              </w:rPr>
            </w:pPr>
            <w:r>
              <w:rPr>
                <w:rFonts w:ascii="Arial" w:hAnsi="Arial" w:cs="Arial"/>
                <w:b/>
                <w:bCs/>
                <w:color w:val="000000"/>
                <w:sz w:val="16"/>
                <w:szCs w:val="16"/>
              </w:rPr>
              <w:t xml:space="preserve">No </w:t>
            </w:r>
          </w:p>
        </w:tc>
        <w:tc>
          <w:tcPr>
            <w:tcW w:w="616"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b/>
                <w:bCs/>
                <w:color w:val="000000"/>
                <w:sz w:val="16"/>
                <w:szCs w:val="16"/>
              </w:rPr>
            </w:pPr>
            <w:r>
              <w:rPr>
                <w:rFonts w:ascii="Arial" w:hAnsi="Arial" w:cs="Arial"/>
                <w:b/>
                <w:bCs/>
                <w:color w:val="000000"/>
                <w:sz w:val="16"/>
                <w:szCs w:val="16"/>
              </w:rPr>
              <w:t xml:space="preserve">Low </w:t>
            </w:r>
          </w:p>
        </w:tc>
        <w:tc>
          <w:tcPr>
            <w:tcW w:w="927"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b/>
                <w:bCs/>
                <w:color w:val="000000"/>
                <w:sz w:val="16"/>
                <w:szCs w:val="16"/>
              </w:rPr>
            </w:pPr>
            <w:r>
              <w:rPr>
                <w:rFonts w:ascii="Arial" w:hAnsi="Arial" w:cs="Arial"/>
                <w:b/>
                <w:bCs/>
                <w:color w:val="000000"/>
                <w:sz w:val="16"/>
                <w:szCs w:val="16"/>
              </w:rPr>
              <w:t xml:space="preserve">Medium </w:t>
            </w:r>
          </w:p>
        </w:tc>
        <w:tc>
          <w:tcPr>
            <w:tcW w:w="616"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b/>
                <w:bCs/>
                <w:color w:val="000000"/>
                <w:sz w:val="16"/>
                <w:szCs w:val="16"/>
              </w:rPr>
            </w:pPr>
            <w:r>
              <w:rPr>
                <w:rFonts w:ascii="Arial" w:hAnsi="Arial" w:cs="Arial"/>
                <w:b/>
                <w:bCs/>
                <w:color w:val="000000"/>
                <w:sz w:val="16"/>
                <w:szCs w:val="16"/>
              </w:rPr>
              <w:t xml:space="preserve">High </w:t>
            </w:r>
          </w:p>
        </w:tc>
        <w:tc>
          <w:tcPr>
            <w:tcW w:w="1056" w:type="dxa"/>
            <w:vMerge w:val="restart"/>
            <w:tcBorders>
              <w:top w:val="nil"/>
              <w:left w:val="nil"/>
              <w:bottom w:val="single" w:sz="8" w:space="0" w:color="009900"/>
              <w:right w:val="nil"/>
            </w:tcBorders>
            <w:shd w:val="clear" w:color="000000" w:fill="FFFFE1"/>
            <w:vAlign w:val="center"/>
            <w:hideMark/>
          </w:tcPr>
          <w:p w:rsidR="009336CB" w:rsidRDefault="009336CB">
            <w:pPr>
              <w:jc w:val="center"/>
              <w:rPr>
                <w:rFonts w:ascii="Arial" w:hAnsi="Arial" w:cs="Arial"/>
                <w:b/>
                <w:bCs/>
                <w:color w:val="000000"/>
                <w:sz w:val="16"/>
                <w:szCs w:val="16"/>
              </w:rPr>
            </w:pPr>
            <w:r>
              <w:rPr>
                <w:rFonts w:ascii="Arial" w:hAnsi="Arial" w:cs="Arial"/>
                <w:b/>
                <w:bCs/>
                <w:color w:val="000000"/>
                <w:sz w:val="16"/>
                <w:szCs w:val="16"/>
              </w:rPr>
              <w:t>Missing</w:t>
            </w:r>
          </w:p>
        </w:tc>
        <w:tc>
          <w:tcPr>
            <w:tcW w:w="900" w:type="dxa"/>
            <w:vMerge w:val="restart"/>
            <w:tcBorders>
              <w:top w:val="nil"/>
              <w:left w:val="nil"/>
              <w:bottom w:val="single" w:sz="8" w:space="0" w:color="009900"/>
              <w:right w:val="single" w:sz="8" w:space="0" w:color="009900"/>
            </w:tcBorders>
            <w:shd w:val="clear" w:color="000000" w:fill="FFFFE1"/>
            <w:vAlign w:val="center"/>
            <w:hideMark/>
          </w:tcPr>
          <w:p w:rsidR="009336CB" w:rsidRDefault="009336CB">
            <w:pPr>
              <w:jc w:val="center"/>
              <w:rPr>
                <w:rFonts w:ascii="Arial" w:hAnsi="Arial" w:cs="Arial"/>
                <w:b/>
                <w:bCs/>
                <w:color w:val="000000"/>
                <w:sz w:val="16"/>
                <w:szCs w:val="16"/>
              </w:rPr>
            </w:pPr>
            <w:r>
              <w:rPr>
                <w:rFonts w:ascii="Arial" w:hAnsi="Arial" w:cs="Arial"/>
                <w:b/>
                <w:bCs/>
                <w:color w:val="000000"/>
                <w:sz w:val="16"/>
                <w:szCs w:val="16"/>
              </w:rPr>
              <w:t>Total</w:t>
            </w:r>
          </w:p>
        </w:tc>
      </w:tr>
      <w:tr w:rsidR="009336CB" w:rsidTr="009336CB">
        <w:trPr>
          <w:trHeight w:val="240"/>
          <w:jc w:val="center"/>
        </w:trPr>
        <w:tc>
          <w:tcPr>
            <w:tcW w:w="3928" w:type="dxa"/>
            <w:vMerge/>
            <w:tcBorders>
              <w:top w:val="nil"/>
              <w:left w:val="single" w:sz="8" w:space="0" w:color="009900"/>
              <w:bottom w:val="single" w:sz="8" w:space="0" w:color="009900"/>
              <w:right w:val="nil"/>
            </w:tcBorders>
            <w:vAlign w:val="center"/>
            <w:hideMark/>
          </w:tcPr>
          <w:p w:rsidR="009336CB" w:rsidRDefault="009336CB">
            <w:pPr>
              <w:rPr>
                <w:rFonts w:ascii="Arial" w:hAnsi="Arial" w:cs="Arial"/>
                <w:b/>
                <w:bCs/>
                <w:color w:val="000000"/>
                <w:sz w:val="16"/>
                <w:szCs w:val="16"/>
              </w:rPr>
            </w:pPr>
          </w:p>
        </w:tc>
        <w:tc>
          <w:tcPr>
            <w:tcW w:w="617" w:type="dxa"/>
            <w:tcBorders>
              <w:top w:val="nil"/>
              <w:left w:val="nil"/>
              <w:bottom w:val="single" w:sz="8" w:space="0" w:color="009900"/>
              <w:right w:val="nil"/>
            </w:tcBorders>
            <w:shd w:val="clear" w:color="000000" w:fill="FFFFE1"/>
            <w:noWrap/>
            <w:vAlign w:val="center"/>
            <w:hideMark/>
          </w:tcPr>
          <w:p w:rsidR="009336CB" w:rsidRDefault="009336CB">
            <w:pPr>
              <w:jc w:val="center"/>
              <w:rPr>
                <w:rFonts w:ascii="Arial" w:hAnsi="Arial" w:cs="Arial"/>
                <w:b/>
                <w:bCs/>
                <w:color w:val="000000"/>
                <w:sz w:val="16"/>
                <w:szCs w:val="16"/>
              </w:rPr>
            </w:pPr>
            <w:r>
              <w:rPr>
                <w:rFonts w:ascii="Arial" w:hAnsi="Arial" w:cs="Arial"/>
                <w:b/>
                <w:bCs/>
                <w:color w:val="000000"/>
                <w:sz w:val="16"/>
                <w:szCs w:val="16"/>
              </w:rPr>
              <w:t>Need</w:t>
            </w:r>
          </w:p>
        </w:tc>
        <w:tc>
          <w:tcPr>
            <w:tcW w:w="616" w:type="dxa"/>
            <w:tcBorders>
              <w:top w:val="nil"/>
              <w:left w:val="nil"/>
              <w:bottom w:val="single" w:sz="8" w:space="0" w:color="009900"/>
              <w:right w:val="nil"/>
            </w:tcBorders>
            <w:shd w:val="clear" w:color="000000" w:fill="FFFFE1"/>
            <w:noWrap/>
            <w:vAlign w:val="center"/>
            <w:hideMark/>
          </w:tcPr>
          <w:p w:rsidR="009336CB" w:rsidRDefault="009336CB">
            <w:pPr>
              <w:jc w:val="center"/>
              <w:rPr>
                <w:rFonts w:ascii="Arial" w:hAnsi="Arial" w:cs="Arial"/>
                <w:b/>
                <w:bCs/>
                <w:color w:val="000000"/>
                <w:sz w:val="16"/>
                <w:szCs w:val="16"/>
              </w:rPr>
            </w:pPr>
            <w:r>
              <w:rPr>
                <w:rFonts w:ascii="Arial" w:hAnsi="Arial" w:cs="Arial"/>
                <w:b/>
                <w:bCs/>
                <w:color w:val="000000"/>
                <w:sz w:val="16"/>
                <w:szCs w:val="16"/>
              </w:rPr>
              <w:t>Need</w:t>
            </w:r>
          </w:p>
        </w:tc>
        <w:tc>
          <w:tcPr>
            <w:tcW w:w="927" w:type="dxa"/>
            <w:tcBorders>
              <w:top w:val="nil"/>
              <w:left w:val="nil"/>
              <w:bottom w:val="single" w:sz="8" w:space="0" w:color="009900"/>
              <w:right w:val="nil"/>
            </w:tcBorders>
            <w:shd w:val="clear" w:color="000000" w:fill="FFFFE1"/>
            <w:noWrap/>
            <w:vAlign w:val="center"/>
            <w:hideMark/>
          </w:tcPr>
          <w:p w:rsidR="009336CB" w:rsidRDefault="009336CB">
            <w:pPr>
              <w:jc w:val="center"/>
              <w:rPr>
                <w:rFonts w:ascii="Arial" w:hAnsi="Arial" w:cs="Arial"/>
                <w:b/>
                <w:bCs/>
                <w:color w:val="000000"/>
                <w:sz w:val="16"/>
                <w:szCs w:val="16"/>
              </w:rPr>
            </w:pPr>
            <w:r>
              <w:rPr>
                <w:rFonts w:ascii="Arial" w:hAnsi="Arial" w:cs="Arial"/>
                <w:b/>
                <w:bCs/>
                <w:color w:val="000000"/>
                <w:sz w:val="16"/>
                <w:szCs w:val="16"/>
              </w:rPr>
              <w:t>Need</w:t>
            </w:r>
          </w:p>
        </w:tc>
        <w:tc>
          <w:tcPr>
            <w:tcW w:w="616" w:type="dxa"/>
            <w:tcBorders>
              <w:top w:val="nil"/>
              <w:left w:val="nil"/>
              <w:bottom w:val="single" w:sz="8" w:space="0" w:color="009900"/>
              <w:right w:val="nil"/>
            </w:tcBorders>
            <w:shd w:val="clear" w:color="000000" w:fill="FFFFE1"/>
            <w:noWrap/>
            <w:vAlign w:val="center"/>
            <w:hideMark/>
          </w:tcPr>
          <w:p w:rsidR="009336CB" w:rsidRDefault="009336CB">
            <w:pPr>
              <w:jc w:val="center"/>
              <w:rPr>
                <w:rFonts w:ascii="Arial" w:hAnsi="Arial" w:cs="Arial"/>
                <w:b/>
                <w:bCs/>
                <w:color w:val="000000"/>
                <w:sz w:val="16"/>
                <w:szCs w:val="16"/>
              </w:rPr>
            </w:pPr>
            <w:r>
              <w:rPr>
                <w:rFonts w:ascii="Arial" w:hAnsi="Arial" w:cs="Arial"/>
                <w:b/>
                <w:bCs/>
                <w:color w:val="000000"/>
                <w:sz w:val="16"/>
                <w:szCs w:val="16"/>
              </w:rPr>
              <w:t>Need</w:t>
            </w:r>
          </w:p>
        </w:tc>
        <w:tc>
          <w:tcPr>
            <w:tcW w:w="1056" w:type="dxa"/>
            <w:vMerge/>
            <w:tcBorders>
              <w:top w:val="nil"/>
              <w:left w:val="nil"/>
              <w:bottom w:val="single" w:sz="8" w:space="0" w:color="009900"/>
              <w:right w:val="nil"/>
            </w:tcBorders>
            <w:vAlign w:val="center"/>
            <w:hideMark/>
          </w:tcPr>
          <w:p w:rsidR="009336CB" w:rsidRDefault="009336CB">
            <w:pPr>
              <w:rPr>
                <w:rFonts w:ascii="Arial" w:hAnsi="Arial" w:cs="Arial"/>
                <w:b/>
                <w:bCs/>
                <w:color w:val="000000"/>
                <w:sz w:val="16"/>
                <w:szCs w:val="16"/>
              </w:rPr>
            </w:pPr>
          </w:p>
        </w:tc>
        <w:tc>
          <w:tcPr>
            <w:tcW w:w="900" w:type="dxa"/>
            <w:vMerge/>
            <w:tcBorders>
              <w:top w:val="nil"/>
              <w:left w:val="nil"/>
              <w:bottom w:val="single" w:sz="8" w:space="0" w:color="009900"/>
              <w:right w:val="single" w:sz="8" w:space="0" w:color="009900"/>
            </w:tcBorders>
            <w:vAlign w:val="center"/>
            <w:hideMark/>
          </w:tcPr>
          <w:p w:rsidR="009336CB" w:rsidRDefault="009336CB">
            <w:pPr>
              <w:rPr>
                <w:rFonts w:ascii="Arial" w:hAnsi="Arial" w:cs="Arial"/>
                <w:b/>
                <w:bCs/>
                <w:color w:val="000000"/>
                <w:sz w:val="16"/>
                <w:szCs w:val="16"/>
              </w:rPr>
            </w:pPr>
          </w:p>
        </w:tc>
      </w:tr>
      <w:tr w:rsidR="009336CB" w:rsidTr="009336CB">
        <w:trPr>
          <w:trHeight w:val="222"/>
          <w:jc w:val="center"/>
        </w:trPr>
        <w:tc>
          <w:tcPr>
            <w:tcW w:w="3928" w:type="dxa"/>
            <w:tcBorders>
              <w:top w:val="nil"/>
              <w:left w:val="single" w:sz="8" w:space="0" w:color="009900"/>
              <w:bottom w:val="nil"/>
              <w:right w:val="nil"/>
            </w:tcBorders>
            <w:shd w:val="clear" w:color="000000" w:fill="FFFFE1"/>
            <w:noWrap/>
            <w:vAlign w:val="center"/>
            <w:hideMark/>
          </w:tcPr>
          <w:p w:rsidR="009336CB" w:rsidRDefault="009336CB">
            <w:pPr>
              <w:rPr>
                <w:rFonts w:ascii="Arial" w:hAnsi="Arial" w:cs="Arial"/>
                <w:color w:val="000000"/>
                <w:sz w:val="16"/>
                <w:szCs w:val="16"/>
              </w:rPr>
            </w:pPr>
            <w:r>
              <w:rPr>
                <w:rFonts w:ascii="Arial" w:hAnsi="Arial" w:cs="Arial"/>
                <w:color w:val="000000"/>
                <w:sz w:val="16"/>
                <w:szCs w:val="16"/>
              </w:rPr>
              <w:t>Street and road improvements</w:t>
            </w:r>
          </w:p>
        </w:tc>
        <w:tc>
          <w:tcPr>
            <w:tcW w:w="617"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4</w:t>
            </w:r>
          </w:p>
        </w:tc>
        <w:tc>
          <w:tcPr>
            <w:tcW w:w="616"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20</w:t>
            </w:r>
          </w:p>
        </w:tc>
        <w:tc>
          <w:tcPr>
            <w:tcW w:w="927"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81</w:t>
            </w:r>
          </w:p>
        </w:tc>
        <w:tc>
          <w:tcPr>
            <w:tcW w:w="616"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130</w:t>
            </w:r>
          </w:p>
        </w:tc>
        <w:tc>
          <w:tcPr>
            <w:tcW w:w="1056" w:type="dxa"/>
            <w:tcBorders>
              <w:top w:val="nil"/>
              <w:left w:val="nil"/>
              <w:bottom w:val="nil"/>
              <w:right w:val="nil"/>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108</w:t>
            </w:r>
          </w:p>
        </w:tc>
        <w:tc>
          <w:tcPr>
            <w:tcW w:w="900" w:type="dxa"/>
            <w:tcBorders>
              <w:top w:val="nil"/>
              <w:left w:val="nil"/>
              <w:bottom w:val="nil"/>
              <w:right w:val="single" w:sz="8" w:space="0" w:color="009900"/>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343</w:t>
            </w:r>
          </w:p>
        </w:tc>
      </w:tr>
      <w:tr w:rsidR="009336CB" w:rsidTr="009336CB">
        <w:trPr>
          <w:trHeight w:val="222"/>
          <w:jc w:val="center"/>
        </w:trPr>
        <w:tc>
          <w:tcPr>
            <w:tcW w:w="3928" w:type="dxa"/>
            <w:tcBorders>
              <w:top w:val="nil"/>
              <w:left w:val="single" w:sz="8" w:space="0" w:color="009900"/>
              <w:bottom w:val="nil"/>
              <w:right w:val="nil"/>
            </w:tcBorders>
            <w:shd w:val="clear" w:color="000000" w:fill="FFFFE1"/>
            <w:noWrap/>
            <w:vAlign w:val="center"/>
            <w:hideMark/>
          </w:tcPr>
          <w:p w:rsidR="009336CB" w:rsidRDefault="009336CB">
            <w:pPr>
              <w:rPr>
                <w:rFonts w:ascii="Arial" w:hAnsi="Arial" w:cs="Arial"/>
                <w:color w:val="000000"/>
                <w:sz w:val="16"/>
                <w:szCs w:val="16"/>
              </w:rPr>
            </w:pPr>
            <w:r>
              <w:rPr>
                <w:rFonts w:ascii="Arial" w:hAnsi="Arial" w:cs="Arial"/>
                <w:color w:val="000000"/>
                <w:sz w:val="16"/>
                <w:szCs w:val="16"/>
              </w:rPr>
              <w:t>Water system capacity improvements</w:t>
            </w:r>
          </w:p>
        </w:tc>
        <w:tc>
          <w:tcPr>
            <w:tcW w:w="617"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2</w:t>
            </w:r>
          </w:p>
        </w:tc>
        <w:tc>
          <w:tcPr>
            <w:tcW w:w="616"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33</w:t>
            </w:r>
          </w:p>
        </w:tc>
        <w:tc>
          <w:tcPr>
            <w:tcW w:w="927"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68</w:t>
            </w:r>
          </w:p>
        </w:tc>
        <w:tc>
          <w:tcPr>
            <w:tcW w:w="616"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129</w:t>
            </w:r>
          </w:p>
        </w:tc>
        <w:tc>
          <w:tcPr>
            <w:tcW w:w="1056" w:type="dxa"/>
            <w:tcBorders>
              <w:top w:val="nil"/>
              <w:left w:val="nil"/>
              <w:bottom w:val="nil"/>
              <w:right w:val="nil"/>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111</w:t>
            </w:r>
          </w:p>
        </w:tc>
        <w:tc>
          <w:tcPr>
            <w:tcW w:w="900" w:type="dxa"/>
            <w:tcBorders>
              <w:top w:val="nil"/>
              <w:left w:val="nil"/>
              <w:bottom w:val="nil"/>
              <w:right w:val="single" w:sz="8" w:space="0" w:color="009900"/>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343</w:t>
            </w:r>
          </w:p>
        </w:tc>
      </w:tr>
      <w:tr w:rsidR="009336CB" w:rsidTr="009336CB">
        <w:trPr>
          <w:trHeight w:val="222"/>
          <w:jc w:val="center"/>
        </w:trPr>
        <w:tc>
          <w:tcPr>
            <w:tcW w:w="3928" w:type="dxa"/>
            <w:tcBorders>
              <w:top w:val="nil"/>
              <w:left w:val="single" w:sz="8" w:space="0" w:color="009900"/>
              <w:bottom w:val="nil"/>
              <w:right w:val="nil"/>
            </w:tcBorders>
            <w:shd w:val="clear" w:color="000000" w:fill="FFFFE1"/>
            <w:noWrap/>
            <w:vAlign w:val="center"/>
            <w:hideMark/>
          </w:tcPr>
          <w:p w:rsidR="009336CB" w:rsidRDefault="009336CB">
            <w:pPr>
              <w:rPr>
                <w:rFonts w:ascii="Arial" w:hAnsi="Arial" w:cs="Arial"/>
                <w:color w:val="000000"/>
                <w:sz w:val="16"/>
                <w:szCs w:val="16"/>
              </w:rPr>
            </w:pPr>
            <w:r>
              <w:rPr>
                <w:rFonts w:ascii="Arial" w:hAnsi="Arial" w:cs="Arial"/>
                <w:color w:val="000000"/>
                <w:sz w:val="16"/>
                <w:szCs w:val="16"/>
              </w:rPr>
              <w:t>Sidewalk improvements</w:t>
            </w:r>
          </w:p>
        </w:tc>
        <w:tc>
          <w:tcPr>
            <w:tcW w:w="617"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4</w:t>
            </w:r>
          </w:p>
        </w:tc>
        <w:tc>
          <w:tcPr>
            <w:tcW w:w="616"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34</w:t>
            </w:r>
          </w:p>
        </w:tc>
        <w:tc>
          <w:tcPr>
            <w:tcW w:w="927"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94</w:t>
            </w:r>
          </w:p>
        </w:tc>
        <w:tc>
          <w:tcPr>
            <w:tcW w:w="616"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102</w:t>
            </w:r>
          </w:p>
        </w:tc>
        <w:tc>
          <w:tcPr>
            <w:tcW w:w="1056" w:type="dxa"/>
            <w:tcBorders>
              <w:top w:val="nil"/>
              <w:left w:val="nil"/>
              <w:bottom w:val="nil"/>
              <w:right w:val="nil"/>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109</w:t>
            </w:r>
          </w:p>
        </w:tc>
        <w:tc>
          <w:tcPr>
            <w:tcW w:w="900" w:type="dxa"/>
            <w:tcBorders>
              <w:top w:val="nil"/>
              <w:left w:val="nil"/>
              <w:bottom w:val="nil"/>
              <w:right w:val="single" w:sz="8" w:space="0" w:color="009900"/>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343</w:t>
            </w:r>
          </w:p>
        </w:tc>
      </w:tr>
      <w:tr w:rsidR="009336CB" w:rsidTr="009336CB">
        <w:trPr>
          <w:trHeight w:val="222"/>
          <w:jc w:val="center"/>
        </w:trPr>
        <w:tc>
          <w:tcPr>
            <w:tcW w:w="3928" w:type="dxa"/>
            <w:tcBorders>
              <w:top w:val="nil"/>
              <w:left w:val="single" w:sz="8" w:space="0" w:color="009900"/>
              <w:bottom w:val="nil"/>
              <w:right w:val="nil"/>
            </w:tcBorders>
            <w:shd w:val="clear" w:color="000000" w:fill="FFFFE1"/>
            <w:noWrap/>
            <w:vAlign w:val="center"/>
            <w:hideMark/>
          </w:tcPr>
          <w:p w:rsidR="009336CB" w:rsidRDefault="009336CB">
            <w:pPr>
              <w:rPr>
                <w:rFonts w:ascii="Arial" w:hAnsi="Arial" w:cs="Arial"/>
                <w:color w:val="000000"/>
                <w:sz w:val="16"/>
                <w:szCs w:val="16"/>
              </w:rPr>
            </w:pPr>
            <w:r>
              <w:rPr>
                <w:rFonts w:ascii="Arial" w:hAnsi="Arial" w:cs="Arial"/>
                <w:color w:val="000000"/>
                <w:sz w:val="16"/>
                <w:szCs w:val="16"/>
              </w:rPr>
              <w:t>Water quality improvements</w:t>
            </w:r>
          </w:p>
        </w:tc>
        <w:tc>
          <w:tcPr>
            <w:tcW w:w="617"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4</w:t>
            </w:r>
          </w:p>
        </w:tc>
        <w:tc>
          <w:tcPr>
            <w:tcW w:w="616"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41</w:t>
            </w:r>
          </w:p>
        </w:tc>
        <w:tc>
          <w:tcPr>
            <w:tcW w:w="927"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90</w:t>
            </w:r>
          </w:p>
        </w:tc>
        <w:tc>
          <w:tcPr>
            <w:tcW w:w="616"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93</w:t>
            </w:r>
          </w:p>
        </w:tc>
        <w:tc>
          <w:tcPr>
            <w:tcW w:w="1056" w:type="dxa"/>
            <w:tcBorders>
              <w:top w:val="nil"/>
              <w:left w:val="nil"/>
              <w:bottom w:val="nil"/>
              <w:right w:val="nil"/>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115</w:t>
            </w:r>
          </w:p>
        </w:tc>
        <w:tc>
          <w:tcPr>
            <w:tcW w:w="900" w:type="dxa"/>
            <w:tcBorders>
              <w:top w:val="nil"/>
              <w:left w:val="nil"/>
              <w:bottom w:val="nil"/>
              <w:right w:val="single" w:sz="8" w:space="0" w:color="009900"/>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343</w:t>
            </w:r>
          </w:p>
        </w:tc>
      </w:tr>
      <w:tr w:rsidR="009336CB" w:rsidTr="009336CB">
        <w:trPr>
          <w:trHeight w:val="222"/>
          <w:jc w:val="center"/>
        </w:trPr>
        <w:tc>
          <w:tcPr>
            <w:tcW w:w="3928" w:type="dxa"/>
            <w:tcBorders>
              <w:top w:val="nil"/>
              <w:left w:val="single" w:sz="8" w:space="0" w:color="009900"/>
              <w:bottom w:val="nil"/>
              <w:right w:val="nil"/>
            </w:tcBorders>
            <w:shd w:val="clear" w:color="000000" w:fill="FFFFE1"/>
            <w:noWrap/>
            <w:vAlign w:val="center"/>
            <w:hideMark/>
          </w:tcPr>
          <w:p w:rsidR="009336CB" w:rsidRDefault="009336CB">
            <w:pPr>
              <w:rPr>
                <w:rFonts w:ascii="Arial" w:hAnsi="Arial" w:cs="Arial"/>
                <w:color w:val="000000"/>
                <w:sz w:val="16"/>
                <w:szCs w:val="16"/>
              </w:rPr>
            </w:pPr>
            <w:r>
              <w:rPr>
                <w:rFonts w:ascii="Arial" w:hAnsi="Arial" w:cs="Arial"/>
                <w:color w:val="000000"/>
                <w:sz w:val="16"/>
                <w:szCs w:val="16"/>
              </w:rPr>
              <w:t>Sewer system improvements</w:t>
            </w:r>
          </w:p>
        </w:tc>
        <w:tc>
          <w:tcPr>
            <w:tcW w:w="617"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w:t>
            </w:r>
          </w:p>
        </w:tc>
        <w:tc>
          <w:tcPr>
            <w:tcW w:w="616"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40</w:t>
            </w:r>
          </w:p>
        </w:tc>
        <w:tc>
          <w:tcPr>
            <w:tcW w:w="927"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92</w:t>
            </w:r>
          </w:p>
        </w:tc>
        <w:tc>
          <w:tcPr>
            <w:tcW w:w="616"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93</w:t>
            </w:r>
          </w:p>
        </w:tc>
        <w:tc>
          <w:tcPr>
            <w:tcW w:w="1056" w:type="dxa"/>
            <w:tcBorders>
              <w:top w:val="nil"/>
              <w:left w:val="nil"/>
              <w:bottom w:val="nil"/>
              <w:right w:val="nil"/>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115</w:t>
            </w:r>
          </w:p>
        </w:tc>
        <w:tc>
          <w:tcPr>
            <w:tcW w:w="900" w:type="dxa"/>
            <w:tcBorders>
              <w:top w:val="nil"/>
              <w:left w:val="nil"/>
              <w:bottom w:val="nil"/>
              <w:right w:val="single" w:sz="8" w:space="0" w:color="009900"/>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343</w:t>
            </w:r>
          </w:p>
        </w:tc>
      </w:tr>
      <w:tr w:rsidR="009336CB" w:rsidTr="009336CB">
        <w:trPr>
          <w:trHeight w:val="222"/>
          <w:jc w:val="center"/>
        </w:trPr>
        <w:tc>
          <w:tcPr>
            <w:tcW w:w="3928" w:type="dxa"/>
            <w:tcBorders>
              <w:top w:val="nil"/>
              <w:left w:val="single" w:sz="8" w:space="0" w:color="009900"/>
              <w:bottom w:val="nil"/>
              <w:right w:val="nil"/>
            </w:tcBorders>
            <w:shd w:val="clear" w:color="000000" w:fill="FFFFE1"/>
            <w:noWrap/>
            <w:vAlign w:val="center"/>
            <w:hideMark/>
          </w:tcPr>
          <w:p w:rsidR="009336CB" w:rsidRDefault="009336CB">
            <w:pPr>
              <w:rPr>
                <w:rFonts w:ascii="Arial" w:hAnsi="Arial" w:cs="Arial"/>
                <w:color w:val="000000"/>
                <w:sz w:val="16"/>
                <w:szCs w:val="16"/>
              </w:rPr>
            </w:pPr>
            <w:r>
              <w:rPr>
                <w:rFonts w:ascii="Arial" w:hAnsi="Arial" w:cs="Arial"/>
                <w:color w:val="000000"/>
                <w:sz w:val="16"/>
                <w:szCs w:val="16"/>
              </w:rPr>
              <w:t>Bicycle and walking paths</w:t>
            </w:r>
          </w:p>
        </w:tc>
        <w:tc>
          <w:tcPr>
            <w:tcW w:w="617"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10</w:t>
            </w:r>
          </w:p>
        </w:tc>
        <w:tc>
          <w:tcPr>
            <w:tcW w:w="616"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51</w:t>
            </w:r>
          </w:p>
        </w:tc>
        <w:tc>
          <w:tcPr>
            <w:tcW w:w="927"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83</w:t>
            </w:r>
          </w:p>
        </w:tc>
        <w:tc>
          <w:tcPr>
            <w:tcW w:w="616"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87</w:t>
            </w:r>
          </w:p>
        </w:tc>
        <w:tc>
          <w:tcPr>
            <w:tcW w:w="1056" w:type="dxa"/>
            <w:tcBorders>
              <w:top w:val="nil"/>
              <w:left w:val="nil"/>
              <w:bottom w:val="nil"/>
              <w:right w:val="nil"/>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112</w:t>
            </w:r>
          </w:p>
        </w:tc>
        <w:tc>
          <w:tcPr>
            <w:tcW w:w="900" w:type="dxa"/>
            <w:tcBorders>
              <w:top w:val="nil"/>
              <w:left w:val="nil"/>
              <w:bottom w:val="nil"/>
              <w:right w:val="single" w:sz="8" w:space="0" w:color="009900"/>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343</w:t>
            </w:r>
          </w:p>
        </w:tc>
      </w:tr>
      <w:tr w:rsidR="009336CB" w:rsidTr="009336CB">
        <w:trPr>
          <w:trHeight w:val="222"/>
          <w:jc w:val="center"/>
        </w:trPr>
        <w:tc>
          <w:tcPr>
            <w:tcW w:w="3928" w:type="dxa"/>
            <w:tcBorders>
              <w:top w:val="nil"/>
              <w:left w:val="single" w:sz="8" w:space="0" w:color="009900"/>
              <w:bottom w:val="nil"/>
              <w:right w:val="nil"/>
            </w:tcBorders>
            <w:shd w:val="clear" w:color="000000" w:fill="FFFFE1"/>
            <w:noWrap/>
            <w:vAlign w:val="center"/>
            <w:hideMark/>
          </w:tcPr>
          <w:p w:rsidR="009336CB" w:rsidRDefault="009336CB">
            <w:pPr>
              <w:rPr>
                <w:rFonts w:ascii="Arial" w:hAnsi="Arial" w:cs="Arial"/>
                <w:color w:val="000000"/>
                <w:sz w:val="16"/>
                <w:szCs w:val="16"/>
              </w:rPr>
            </w:pPr>
            <w:r>
              <w:rPr>
                <w:rFonts w:ascii="Arial" w:hAnsi="Arial" w:cs="Arial"/>
                <w:color w:val="000000"/>
                <w:sz w:val="16"/>
                <w:szCs w:val="16"/>
              </w:rPr>
              <w:t>Flood drainage improvements</w:t>
            </w:r>
          </w:p>
        </w:tc>
        <w:tc>
          <w:tcPr>
            <w:tcW w:w="617"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6</w:t>
            </w:r>
          </w:p>
        </w:tc>
        <w:tc>
          <w:tcPr>
            <w:tcW w:w="616"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48</w:t>
            </w:r>
          </w:p>
        </w:tc>
        <w:tc>
          <w:tcPr>
            <w:tcW w:w="927"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87</w:t>
            </w:r>
          </w:p>
        </w:tc>
        <w:tc>
          <w:tcPr>
            <w:tcW w:w="616"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86</w:t>
            </w:r>
          </w:p>
        </w:tc>
        <w:tc>
          <w:tcPr>
            <w:tcW w:w="1056" w:type="dxa"/>
            <w:tcBorders>
              <w:top w:val="nil"/>
              <w:left w:val="nil"/>
              <w:bottom w:val="nil"/>
              <w:right w:val="nil"/>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116</w:t>
            </w:r>
          </w:p>
        </w:tc>
        <w:tc>
          <w:tcPr>
            <w:tcW w:w="900" w:type="dxa"/>
            <w:tcBorders>
              <w:top w:val="nil"/>
              <w:left w:val="nil"/>
              <w:bottom w:val="nil"/>
              <w:right w:val="single" w:sz="8" w:space="0" w:color="009900"/>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343</w:t>
            </w:r>
          </w:p>
        </w:tc>
      </w:tr>
      <w:tr w:rsidR="009336CB" w:rsidTr="009336CB">
        <w:trPr>
          <w:trHeight w:val="222"/>
          <w:jc w:val="center"/>
        </w:trPr>
        <w:tc>
          <w:tcPr>
            <w:tcW w:w="3928" w:type="dxa"/>
            <w:tcBorders>
              <w:top w:val="nil"/>
              <w:left w:val="single" w:sz="8" w:space="0" w:color="009900"/>
              <w:bottom w:val="nil"/>
              <w:right w:val="nil"/>
            </w:tcBorders>
            <w:shd w:val="clear" w:color="000000" w:fill="FFFFE1"/>
            <w:noWrap/>
            <w:vAlign w:val="center"/>
            <w:hideMark/>
          </w:tcPr>
          <w:p w:rsidR="009336CB" w:rsidRDefault="009336CB">
            <w:pPr>
              <w:rPr>
                <w:rFonts w:ascii="Arial" w:hAnsi="Arial" w:cs="Arial"/>
                <w:color w:val="000000"/>
                <w:sz w:val="16"/>
                <w:szCs w:val="16"/>
              </w:rPr>
            </w:pPr>
            <w:r>
              <w:rPr>
                <w:rFonts w:ascii="Arial" w:hAnsi="Arial" w:cs="Arial"/>
                <w:color w:val="000000"/>
                <w:sz w:val="16"/>
                <w:szCs w:val="16"/>
              </w:rPr>
              <w:t>Storm sewer system improvements</w:t>
            </w:r>
          </w:p>
        </w:tc>
        <w:tc>
          <w:tcPr>
            <w:tcW w:w="617"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6</w:t>
            </w:r>
          </w:p>
        </w:tc>
        <w:tc>
          <w:tcPr>
            <w:tcW w:w="616"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54</w:t>
            </w:r>
          </w:p>
        </w:tc>
        <w:tc>
          <w:tcPr>
            <w:tcW w:w="927"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82</w:t>
            </w:r>
          </w:p>
        </w:tc>
        <w:tc>
          <w:tcPr>
            <w:tcW w:w="616"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82</w:t>
            </w:r>
          </w:p>
        </w:tc>
        <w:tc>
          <w:tcPr>
            <w:tcW w:w="1056" w:type="dxa"/>
            <w:tcBorders>
              <w:top w:val="nil"/>
              <w:left w:val="nil"/>
              <w:bottom w:val="nil"/>
              <w:right w:val="nil"/>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119</w:t>
            </w:r>
          </w:p>
        </w:tc>
        <w:tc>
          <w:tcPr>
            <w:tcW w:w="900" w:type="dxa"/>
            <w:tcBorders>
              <w:top w:val="nil"/>
              <w:left w:val="nil"/>
              <w:bottom w:val="nil"/>
              <w:right w:val="single" w:sz="8" w:space="0" w:color="009900"/>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343</w:t>
            </w:r>
          </w:p>
        </w:tc>
      </w:tr>
      <w:tr w:rsidR="009336CB" w:rsidTr="009336CB">
        <w:trPr>
          <w:trHeight w:val="222"/>
          <w:jc w:val="center"/>
        </w:trPr>
        <w:tc>
          <w:tcPr>
            <w:tcW w:w="3928" w:type="dxa"/>
            <w:tcBorders>
              <w:top w:val="nil"/>
              <w:left w:val="single" w:sz="8" w:space="0" w:color="009900"/>
              <w:bottom w:val="nil"/>
              <w:right w:val="nil"/>
            </w:tcBorders>
            <w:shd w:val="clear" w:color="000000" w:fill="FFFFE1"/>
            <w:noWrap/>
            <w:vAlign w:val="center"/>
            <w:hideMark/>
          </w:tcPr>
          <w:p w:rsidR="009336CB" w:rsidRDefault="009336CB">
            <w:pPr>
              <w:rPr>
                <w:rFonts w:ascii="Arial" w:hAnsi="Arial" w:cs="Arial"/>
                <w:color w:val="000000"/>
                <w:sz w:val="16"/>
                <w:szCs w:val="16"/>
              </w:rPr>
            </w:pPr>
            <w:r>
              <w:rPr>
                <w:rFonts w:ascii="Arial" w:hAnsi="Arial" w:cs="Arial"/>
                <w:color w:val="000000"/>
                <w:sz w:val="16"/>
                <w:szCs w:val="16"/>
              </w:rPr>
              <w:t>Bridge improvements</w:t>
            </w:r>
          </w:p>
        </w:tc>
        <w:tc>
          <w:tcPr>
            <w:tcW w:w="617"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12</w:t>
            </w:r>
          </w:p>
        </w:tc>
        <w:tc>
          <w:tcPr>
            <w:tcW w:w="616"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55</w:t>
            </w:r>
          </w:p>
        </w:tc>
        <w:tc>
          <w:tcPr>
            <w:tcW w:w="927"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83</w:t>
            </w:r>
          </w:p>
        </w:tc>
        <w:tc>
          <w:tcPr>
            <w:tcW w:w="616"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72</w:t>
            </w:r>
          </w:p>
        </w:tc>
        <w:tc>
          <w:tcPr>
            <w:tcW w:w="1056" w:type="dxa"/>
            <w:tcBorders>
              <w:top w:val="nil"/>
              <w:left w:val="nil"/>
              <w:bottom w:val="nil"/>
              <w:right w:val="nil"/>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121</w:t>
            </w:r>
          </w:p>
        </w:tc>
        <w:tc>
          <w:tcPr>
            <w:tcW w:w="900" w:type="dxa"/>
            <w:tcBorders>
              <w:top w:val="nil"/>
              <w:left w:val="nil"/>
              <w:bottom w:val="nil"/>
              <w:right w:val="single" w:sz="8" w:space="0" w:color="009900"/>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343</w:t>
            </w:r>
          </w:p>
        </w:tc>
      </w:tr>
      <w:tr w:rsidR="009336CB" w:rsidTr="009336CB">
        <w:trPr>
          <w:trHeight w:val="222"/>
          <w:jc w:val="center"/>
        </w:trPr>
        <w:tc>
          <w:tcPr>
            <w:tcW w:w="3928" w:type="dxa"/>
            <w:tcBorders>
              <w:top w:val="nil"/>
              <w:left w:val="single" w:sz="8" w:space="0" w:color="009900"/>
              <w:bottom w:val="nil"/>
              <w:right w:val="nil"/>
            </w:tcBorders>
            <w:shd w:val="clear" w:color="000000" w:fill="FFFFE1"/>
            <w:noWrap/>
            <w:vAlign w:val="center"/>
            <w:hideMark/>
          </w:tcPr>
          <w:p w:rsidR="009336CB" w:rsidRDefault="009336CB">
            <w:pPr>
              <w:rPr>
                <w:rFonts w:ascii="Arial" w:hAnsi="Arial" w:cs="Arial"/>
                <w:color w:val="000000"/>
                <w:sz w:val="16"/>
                <w:szCs w:val="16"/>
              </w:rPr>
            </w:pPr>
            <w:r>
              <w:rPr>
                <w:rFonts w:ascii="Arial" w:hAnsi="Arial" w:cs="Arial"/>
                <w:color w:val="000000"/>
                <w:sz w:val="16"/>
                <w:szCs w:val="16"/>
              </w:rPr>
              <w:t>Solid waste facility improvements</w:t>
            </w:r>
          </w:p>
        </w:tc>
        <w:tc>
          <w:tcPr>
            <w:tcW w:w="617"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w:t>
            </w:r>
          </w:p>
        </w:tc>
        <w:tc>
          <w:tcPr>
            <w:tcW w:w="616"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50</w:t>
            </w:r>
          </w:p>
        </w:tc>
        <w:tc>
          <w:tcPr>
            <w:tcW w:w="927"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103</w:t>
            </w:r>
          </w:p>
        </w:tc>
        <w:tc>
          <w:tcPr>
            <w:tcW w:w="616"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71</w:t>
            </w:r>
          </w:p>
        </w:tc>
        <w:tc>
          <w:tcPr>
            <w:tcW w:w="1056" w:type="dxa"/>
            <w:tcBorders>
              <w:top w:val="nil"/>
              <w:left w:val="nil"/>
              <w:bottom w:val="nil"/>
              <w:right w:val="nil"/>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116</w:t>
            </w:r>
          </w:p>
        </w:tc>
        <w:tc>
          <w:tcPr>
            <w:tcW w:w="900" w:type="dxa"/>
            <w:tcBorders>
              <w:top w:val="nil"/>
              <w:left w:val="nil"/>
              <w:bottom w:val="nil"/>
              <w:right w:val="single" w:sz="8" w:space="0" w:color="009900"/>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343</w:t>
            </w:r>
          </w:p>
        </w:tc>
      </w:tr>
      <w:tr w:rsidR="009336CB" w:rsidTr="009336CB">
        <w:trPr>
          <w:trHeight w:val="222"/>
          <w:jc w:val="center"/>
        </w:trPr>
        <w:tc>
          <w:tcPr>
            <w:tcW w:w="3928" w:type="dxa"/>
            <w:tcBorders>
              <w:top w:val="nil"/>
              <w:left w:val="single" w:sz="8" w:space="0" w:color="009900"/>
              <w:bottom w:val="single" w:sz="8" w:space="0" w:color="009900"/>
              <w:right w:val="nil"/>
            </w:tcBorders>
            <w:shd w:val="clear" w:color="000000" w:fill="FFFFE1"/>
            <w:noWrap/>
            <w:vAlign w:val="center"/>
            <w:hideMark/>
          </w:tcPr>
          <w:p w:rsidR="009336CB" w:rsidRDefault="009336CB">
            <w:pPr>
              <w:rPr>
                <w:rFonts w:ascii="Arial" w:hAnsi="Arial" w:cs="Arial"/>
                <w:color w:val="000000"/>
                <w:sz w:val="16"/>
                <w:szCs w:val="16"/>
              </w:rPr>
            </w:pPr>
            <w:r>
              <w:rPr>
                <w:rFonts w:ascii="Arial" w:hAnsi="Arial" w:cs="Arial"/>
                <w:color w:val="000000"/>
                <w:sz w:val="16"/>
                <w:szCs w:val="16"/>
              </w:rPr>
              <w:t>Other infrastructure activities</w:t>
            </w:r>
          </w:p>
        </w:tc>
        <w:tc>
          <w:tcPr>
            <w:tcW w:w="617" w:type="dxa"/>
            <w:tcBorders>
              <w:top w:val="nil"/>
              <w:left w:val="nil"/>
              <w:bottom w:val="single" w:sz="8" w:space="0" w:color="009900"/>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4</w:t>
            </w:r>
          </w:p>
        </w:tc>
        <w:tc>
          <w:tcPr>
            <w:tcW w:w="616" w:type="dxa"/>
            <w:tcBorders>
              <w:top w:val="nil"/>
              <w:left w:val="nil"/>
              <w:bottom w:val="single" w:sz="8" w:space="0" w:color="009900"/>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color w:val="000000"/>
                <w:sz w:val="16"/>
                <w:szCs w:val="16"/>
              </w:rPr>
              <w:t> </w:t>
            </w:r>
          </w:p>
        </w:tc>
        <w:tc>
          <w:tcPr>
            <w:tcW w:w="927" w:type="dxa"/>
            <w:tcBorders>
              <w:top w:val="nil"/>
              <w:left w:val="nil"/>
              <w:bottom w:val="single" w:sz="8" w:space="0" w:color="009900"/>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2</w:t>
            </w:r>
          </w:p>
        </w:tc>
        <w:tc>
          <w:tcPr>
            <w:tcW w:w="616" w:type="dxa"/>
            <w:tcBorders>
              <w:top w:val="nil"/>
              <w:left w:val="nil"/>
              <w:bottom w:val="single" w:sz="8" w:space="0" w:color="009900"/>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19</w:t>
            </w:r>
          </w:p>
        </w:tc>
        <w:tc>
          <w:tcPr>
            <w:tcW w:w="1056" w:type="dxa"/>
            <w:tcBorders>
              <w:top w:val="nil"/>
              <w:left w:val="nil"/>
              <w:bottom w:val="single" w:sz="8" w:space="0" w:color="009900"/>
              <w:right w:val="nil"/>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318</w:t>
            </w:r>
          </w:p>
        </w:tc>
        <w:tc>
          <w:tcPr>
            <w:tcW w:w="900" w:type="dxa"/>
            <w:tcBorders>
              <w:top w:val="nil"/>
              <w:left w:val="nil"/>
              <w:bottom w:val="single" w:sz="8" w:space="0" w:color="009900"/>
              <w:right w:val="single" w:sz="8" w:space="0" w:color="009900"/>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343</w:t>
            </w:r>
          </w:p>
        </w:tc>
      </w:tr>
    </w:tbl>
    <w:p w:rsidR="00BD2ECE" w:rsidRPr="00925169" w:rsidRDefault="00BD2ECE" w:rsidP="00BD2ECE">
      <w:pPr>
        <w:jc w:val="both"/>
        <w:rPr>
          <w:rFonts w:ascii="CG Omega" w:hAnsi="CG Omega"/>
          <w:highlight w:val="yellow"/>
        </w:rPr>
      </w:pPr>
    </w:p>
    <w:p w:rsidR="00BD2ECE" w:rsidRDefault="00BD2ECE" w:rsidP="00BD2ECE">
      <w:pPr>
        <w:jc w:val="both"/>
        <w:rPr>
          <w:rFonts w:ascii="CG Omega" w:hAnsi="CG Omega"/>
        </w:rPr>
      </w:pPr>
      <w:r w:rsidRPr="00524F22">
        <w:rPr>
          <w:rFonts w:ascii="CG Omega" w:hAnsi="CG Omega"/>
        </w:rPr>
        <w:t xml:space="preserve">Community and </w:t>
      </w:r>
      <w:r w:rsidR="00925169">
        <w:rPr>
          <w:rFonts w:ascii="CG Omega" w:hAnsi="CG Omega"/>
        </w:rPr>
        <w:t>p</w:t>
      </w:r>
      <w:r w:rsidRPr="00524F22">
        <w:rPr>
          <w:rFonts w:ascii="CG Omega" w:hAnsi="CG Omega"/>
        </w:rPr>
        <w:t>ublic facilities were also prioritized by respondents in the survey.</w:t>
      </w:r>
      <w:r>
        <w:rPr>
          <w:rFonts w:ascii="CG Omega" w:hAnsi="CG Omega"/>
        </w:rPr>
        <w:t xml:space="preserve">  According to allocation responses, public facilities should account for over </w:t>
      </w:r>
      <w:r w:rsidR="00925169">
        <w:rPr>
          <w:rFonts w:ascii="CG Omega" w:hAnsi="CG Omega"/>
        </w:rPr>
        <w:t>eight</w:t>
      </w:r>
      <w:r w:rsidRPr="00F215BB">
        <w:rPr>
          <w:rFonts w:ascii="CG Omega" w:hAnsi="CG Omega"/>
        </w:rPr>
        <w:t xml:space="preserve"> percent</w:t>
      </w:r>
      <w:r>
        <w:rPr>
          <w:rFonts w:ascii="CG Omega" w:hAnsi="CG Omega"/>
        </w:rPr>
        <w:t xml:space="preserve"> of resources. As seen in </w:t>
      </w:r>
      <w:r w:rsidRPr="00925169">
        <w:rPr>
          <w:rFonts w:ascii="CG Omega" w:hAnsi="CG Omega"/>
          <w:b/>
        </w:rPr>
        <w:t xml:space="preserve">Table </w:t>
      </w:r>
      <w:r w:rsidR="00215575" w:rsidRPr="00925169">
        <w:rPr>
          <w:rFonts w:ascii="CG Omega" w:hAnsi="CG Omega"/>
          <w:b/>
        </w:rPr>
        <w:t>VI.4</w:t>
      </w:r>
      <w:r w:rsidRPr="00215575">
        <w:rPr>
          <w:rFonts w:ascii="CG Omega" w:hAnsi="CG Omega"/>
        </w:rPr>
        <w:t>,</w:t>
      </w:r>
      <w:r>
        <w:rPr>
          <w:rFonts w:ascii="CG Omega" w:hAnsi="CG Omega"/>
        </w:rPr>
        <w:t xml:space="preserve"> </w:t>
      </w:r>
      <w:r w:rsidR="009336CB">
        <w:rPr>
          <w:rFonts w:ascii="CG Omega" w:hAnsi="CG Omega"/>
        </w:rPr>
        <w:t>below</w:t>
      </w:r>
      <w:r>
        <w:rPr>
          <w:rFonts w:ascii="CG Omega" w:hAnsi="CG Omega"/>
        </w:rPr>
        <w:t xml:space="preserve">, respondents indicated the highest level of need for childcare facilities, followed by healthcare and resident treatment centers. The Public Services Focus Group also pointed to the need to meet the needs of the ever-growing senior population, but also indicated that many priorities vary by differing populations throughout the state.  The </w:t>
      </w:r>
      <w:r w:rsidR="00925169">
        <w:rPr>
          <w:rFonts w:ascii="CG Omega" w:hAnsi="CG Omega"/>
        </w:rPr>
        <w:t>g</w:t>
      </w:r>
      <w:r>
        <w:rPr>
          <w:rFonts w:ascii="CG Omega" w:hAnsi="CG Omega"/>
        </w:rPr>
        <w:t xml:space="preserve">roups also indicated the need to prioritize public service projects that </w:t>
      </w:r>
      <w:r w:rsidR="00DC550E">
        <w:rPr>
          <w:rFonts w:ascii="CG Omega" w:hAnsi="CG Omega"/>
        </w:rPr>
        <w:t xml:space="preserve">will have the funds to </w:t>
      </w:r>
      <w:r>
        <w:rPr>
          <w:rFonts w:ascii="CG Omega" w:hAnsi="CG Omega"/>
        </w:rPr>
        <w:t xml:space="preserve">continue to </w:t>
      </w:r>
      <w:r w:rsidR="002752DA">
        <w:rPr>
          <w:rFonts w:ascii="CG Omega" w:hAnsi="CG Omega"/>
        </w:rPr>
        <w:t>operate into the future, especially when considering areas with aging populations.</w:t>
      </w:r>
      <w:r>
        <w:rPr>
          <w:rFonts w:ascii="CG Omega" w:hAnsi="CG Omega"/>
        </w:rPr>
        <w:t xml:space="preserve"> </w:t>
      </w:r>
    </w:p>
    <w:p w:rsidR="00BD2ECE" w:rsidRPr="00A63016" w:rsidRDefault="00BD2ECE" w:rsidP="00BD2ECE">
      <w:pPr>
        <w:jc w:val="both"/>
        <w:rPr>
          <w:rFonts w:ascii="CG Omega" w:hAnsi="CG Omega"/>
          <w:sz w:val="16"/>
          <w:szCs w:val="16"/>
        </w:rPr>
      </w:pPr>
    </w:p>
    <w:tbl>
      <w:tblPr>
        <w:tblW w:w="8660" w:type="dxa"/>
        <w:jc w:val="center"/>
        <w:tblLook w:val="04A0" w:firstRow="1" w:lastRow="0" w:firstColumn="1" w:lastColumn="0" w:noHBand="0" w:noVBand="1"/>
      </w:tblPr>
      <w:tblGrid>
        <w:gridCol w:w="4214"/>
        <w:gridCol w:w="608"/>
        <w:gridCol w:w="608"/>
        <w:gridCol w:w="871"/>
        <w:gridCol w:w="608"/>
        <w:gridCol w:w="992"/>
        <w:gridCol w:w="759"/>
      </w:tblGrid>
      <w:tr w:rsidR="009336CB" w:rsidTr="008A38CC">
        <w:trPr>
          <w:trHeight w:val="225"/>
          <w:jc w:val="center"/>
        </w:trPr>
        <w:tc>
          <w:tcPr>
            <w:tcW w:w="8660" w:type="dxa"/>
            <w:gridSpan w:val="7"/>
            <w:tcBorders>
              <w:top w:val="nil"/>
              <w:left w:val="nil"/>
              <w:bottom w:val="nil"/>
              <w:right w:val="nil"/>
            </w:tcBorders>
            <w:shd w:val="clear" w:color="auto" w:fill="auto"/>
            <w:noWrap/>
            <w:vAlign w:val="center"/>
            <w:hideMark/>
          </w:tcPr>
          <w:p w:rsidR="009336CB" w:rsidRDefault="009336CB">
            <w:pPr>
              <w:jc w:val="center"/>
              <w:rPr>
                <w:rFonts w:ascii="Arial" w:hAnsi="Arial" w:cs="Arial"/>
                <w:b/>
                <w:bCs/>
                <w:color w:val="000000"/>
                <w:sz w:val="22"/>
                <w:szCs w:val="22"/>
              </w:rPr>
            </w:pPr>
            <w:r>
              <w:rPr>
                <w:rFonts w:ascii="Arial" w:hAnsi="Arial" w:cs="Arial"/>
                <w:b/>
                <w:bCs/>
                <w:color w:val="000000"/>
                <w:sz w:val="22"/>
                <w:szCs w:val="22"/>
              </w:rPr>
              <w:t>Table VI.4</w:t>
            </w:r>
          </w:p>
        </w:tc>
      </w:tr>
      <w:tr w:rsidR="009336CB" w:rsidTr="008A38CC">
        <w:trPr>
          <w:trHeight w:val="195"/>
          <w:jc w:val="center"/>
        </w:trPr>
        <w:tc>
          <w:tcPr>
            <w:tcW w:w="8660" w:type="dxa"/>
            <w:gridSpan w:val="7"/>
            <w:tcBorders>
              <w:top w:val="nil"/>
              <w:left w:val="nil"/>
              <w:bottom w:val="nil"/>
              <w:right w:val="nil"/>
            </w:tcBorders>
            <w:shd w:val="clear" w:color="auto" w:fill="auto"/>
            <w:noWrap/>
            <w:vAlign w:val="center"/>
            <w:hideMark/>
          </w:tcPr>
          <w:p w:rsidR="009336CB" w:rsidRDefault="009336CB">
            <w:pPr>
              <w:jc w:val="center"/>
              <w:rPr>
                <w:rFonts w:ascii="Arial" w:hAnsi="Arial" w:cs="Arial"/>
                <w:b/>
                <w:bCs/>
                <w:color w:val="000000"/>
                <w:sz w:val="20"/>
                <w:szCs w:val="20"/>
              </w:rPr>
            </w:pPr>
            <w:r>
              <w:rPr>
                <w:rFonts w:ascii="Arial" w:hAnsi="Arial" w:cs="Arial"/>
                <w:b/>
                <w:bCs/>
                <w:color w:val="000000"/>
                <w:sz w:val="20"/>
                <w:szCs w:val="20"/>
              </w:rPr>
              <w:t>Please rate the need for the following community and public facilities.</w:t>
            </w:r>
          </w:p>
        </w:tc>
      </w:tr>
      <w:tr w:rsidR="009336CB" w:rsidTr="008A38CC">
        <w:trPr>
          <w:trHeight w:val="240"/>
          <w:jc w:val="center"/>
        </w:trPr>
        <w:tc>
          <w:tcPr>
            <w:tcW w:w="8660" w:type="dxa"/>
            <w:gridSpan w:val="7"/>
            <w:tcBorders>
              <w:top w:val="nil"/>
              <w:left w:val="nil"/>
              <w:bottom w:val="nil"/>
              <w:right w:val="nil"/>
            </w:tcBorders>
            <w:shd w:val="clear" w:color="auto" w:fill="auto"/>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State of New Mexico</w:t>
            </w:r>
          </w:p>
        </w:tc>
      </w:tr>
      <w:tr w:rsidR="009336CB" w:rsidTr="008A38CC">
        <w:trPr>
          <w:trHeight w:val="240"/>
          <w:jc w:val="center"/>
        </w:trPr>
        <w:tc>
          <w:tcPr>
            <w:tcW w:w="8660" w:type="dxa"/>
            <w:gridSpan w:val="7"/>
            <w:tcBorders>
              <w:top w:val="nil"/>
              <w:left w:val="nil"/>
              <w:bottom w:val="single" w:sz="8" w:space="0" w:color="009900"/>
              <w:right w:val="nil"/>
            </w:tcBorders>
            <w:shd w:val="clear" w:color="auto" w:fill="auto"/>
            <w:noWrap/>
            <w:vAlign w:val="center"/>
            <w:hideMark/>
          </w:tcPr>
          <w:p w:rsidR="009336CB" w:rsidRDefault="009336CB">
            <w:pPr>
              <w:jc w:val="center"/>
              <w:rPr>
                <w:rFonts w:ascii="Arial" w:hAnsi="Arial" w:cs="Arial"/>
                <w:color w:val="000000"/>
                <w:sz w:val="16"/>
                <w:szCs w:val="16"/>
              </w:rPr>
            </w:pPr>
            <w:r>
              <w:rPr>
                <w:rFonts w:ascii="Arial" w:hAnsi="Arial" w:cs="Arial"/>
                <w:bCs/>
                <w:color w:val="000000"/>
                <w:sz w:val="16"/>
                <w:szCs w:val="16"/>
              </w:rPr>
              <w:t>2014 Housing and Community Development Survey</w:t>
            </w:r>
          </w:p>
        </w:tc>
      </w:tr>
      <w:tr w:rsidR="009336CB" w:rsidTr="008A38CC">
        <w:trPr>
          <w:trHeight w:val="240"/>
          <w:jc w:val="center"/>
        </w:trPr>
        <w:tc>
          <w:tcPr>
            <w:tcW w:w="4214" w:type="dxa"/>
            <w:vMerge w:val="restart"/>
            <w:tcBorders>
              <w:top w:val="nil"/>
              <w:left w:val="single" w:sz="8" w:space="0" w:color="009900"/>
              <w:bottom w:val="single" w:sz="8" w:space="0" w:color="009900"/>
              <w:right w:val="nil"/>
            </w:tcBorders>
            <w:shd w:val="clear" w:color="000000" w:fill="FFFFE1"/>
            <w:noWrap/>
            <w:vAlign w:val="center"/>
            <w:hideMark/>
          </w:tcPr>
          <w:p w:rsidR="009336CB" w:rsidRDefault="009336CB">
            <w:pPr>
              <w:rPr>
                <w:rFonts w:ascii="Arial" w:hAnsi="Arial" w:cs="Arial"/>
                <w:b/>
                <w:bCs/>
                <w:color w:val="000000"/>
                <w:sz w:val="16"/>
                <w:szCs w:val="16"/>
              </w:rPr>
            </w:pPr>
            <w:r>
              <w:rPr>
                <w:rFonts w:ascii="Arial" w:hAnsi="Arial" w:cs="Arial"/>
                <w:b/>
                <w:bCs/>
                <w:color w:val="000000"/>
                <w:sz w:val="16"/>
                <w:szCs w:val="16"/>
              </w:rPr>
              <w:t>Question</w:t>
            </w:r>
          </w:p>
        </w:tc>
        <w:tc>
          <w:tcPr>
            <w:tcW w:w="579"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b/>
                <w:bCs/>
                <w:color w:val="000000"/>
                <w:sz w:val="16"/>
                <w:szCs w:val="16"/>
              </w:rPr>
            </w:pPr>
            <w:r>
              <w:rPr>
                <w:rFonts w:ascii="Arial" w:hAnsi="Arial" w:cs="Arial"/>
                <w:b/>
                <w:bCs/>
                <w:color w:val="000000"/>
                <w:sz w:val="16"/>
                <w:szCs w:val="16"/>
              </w:rPr>
              <w:t xml:space="preserve">No </w:t>
            </w:r>
          </w:p>
        </w:tc>
        <w:tc>
          <w:tcPr>
            <w:tcW w:w="579"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b/>
                <w:bCs/>
                <w:color w:val="000000"/>
                <w:sz w:val="16"/>
                <w:szCs w:val="16"/>
              </w:rPr>
            </w:pPr>
            <w:r>
              <w:rPr>
                <w:rFonts w:ascii="Arial" w:hAnsi="Arial" w:cs="Arial"/>
                <w:b/>
                <w:bCs/>
                <w:color w:val="000000"/>
                <w:sz w:val="16"/>
                <w:szCs w:val="16"/>
              </w:rPr>
              <w:t xml:space="preserve">Low </w:t>
            </w:r>
          </w:p>
        </w:tc>
        <w:tc>
          <w:tcPr>
            <w:tcW w:w="871"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b/>
                <w:bCs/>
                <w:color w:val="000000"/>
                <w:sz w:val="16"/>
                <w:szCs w:val="16"/>
              </w:rPr>
            </w:pPr>
            <w:r>
              <w:rPr>
                <w:rFonts w:ascii="Arial" w:hAnsi="Arial" w:cs="Arial"/>
                <w:b/>
                <w:bCs/>
                <w:color w:val="000000"/>
                <w:sz w:val="16"/>
                <w:szCs w:val="16"/>
              </w:rPr>
              <w:t xml:space="preserve">Medium </w:t>
            </w:r>
          </w:p>
        </w:tc>
        <w:tc>
          <w:tcPr>
            <w:tcW w:w="579"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b/>
                <w:bCs/>
                <w:color w:val="000000"/>
                <w:sz w:val="16"/>
                <w:szCs w:val="16"/>
              </w:rPr>
            </w:pPr>
            <w:r>
              <w:rPr>
                <w:rFonts w:ascii="Arial" w:hAnsi="Arial" w:cs="Arial"/>
                <w:b/>
                <w:bCs/>
                <w:color w:val="000000"/>
                <w:sz w:val="16"/>
                <w:szCs w:val="16"/>
              </w:rPr>
              <w:t xml:space="preserve">High </w:t>
            </w:r>
          </w:p>
        </w:tc>
        <w:tc>
          <w:tcPr>
            <w:tcW w:w="992" w:type="dxa"/>
            <w:vMerge w:val="restart"/>
            <w:tcBorders>
              <w:top w:val="nil"/>
              <w:left w:val="nil"/>
              <w:bottom w:val="single" w:sz="8" w:space="0" w:color="009900"/>
              <w:right w:val="nil"/>
            </w:tcBorders>
            <w:shd w:val="clear" w:color="000000" w:fill="FFFFE1"/>
            <w:vAlign w:val="center"/>
            <w:hideMark/>
          </w:tcPr>
          <w:p w:rsidR="009336CB" w:rsidRDefault="009336CB">
            <w:pPr>
              <w:jc w:val="center"/>
              <w:rPr>
                <w:rFonts w:ascii="Arial" w:hAnsi="Arial" w:cs="Arial"/>
                <w:b/>
                <w:bCs/>
                <w:color w:val="000000"/>
                <w:sz w:val="16"/>
                <w:szCs w:val="16"/>
              </w:rPr>
            </w:pPr>
            <w:r>
              <w:rPr>
                <w:rFonts w:ascii="Arial" w:hAnsi="Arial" w:cs="Arial"/>
                <w:b/>
                <w:bCs/>
                <w:color w:val="000000"/>
                <w:sz w:val="16"/>
                <w:szCs w:val="16"/>
              </w:rPr>
              <w:t>Missing</w:t>
            </w:r>
          </w:p>
        </w:tc>
        <w:tc>
          <w:tcPr>
            <w:tcW w:w="846" w:type="dxa"/>
            <w:vMerge w:val="restart"/>
            <w:tcBorders>
              <w:top w:val="nil"/>
              <w:left w:val="nil"/>
              <w:bottom w:val="single" w:sz="8" w:space="0" w:color="009900"/>
              <w:right w:val="single" w:sz="8" w:space="0" w:color="009900"/>
            </w:tcBorders>
            <w:shd w:val="clear" w:color="000000" w:fill="FFFFE1"/>
            <w:vAlign w:val="center"/>
            <w:hideMark/>
          </w:tcPr>
          <w:p w:rsidR="009336CB" w:rsidRDefault="009336CB">
            <w:pPr>
              <w:jc w:val="center"/>
              <w:rPr>
                <w:rFonts w:ascii="Arial" w:hAnsi="Arial" w:cs="Arial"/>
                <w:b/>
                <w:bCs/>
                <w:color w:val="000000"/>
                <w:sz w:val="16"/>
                <w:szCs w:val="16"/>
              </w:rPr>
            </w:pPr>
            <w:r>
              <w:rPr>
                <w:rFonts w:ascii="Arial" w:hAnsi="Arial" w:cs="Arial"/>
                <w:b/>
                <w:bCs/>
                <w:color w:val="000000"/>
                <w:sz w:val="16"/>
                <w:szCs w:val="16"/>
              </w:rPr>
              <w:t>Total</w:t>
            </w:r>
          </w:p>
        </w:tc>
      </w:tr>
      <w:tr w:rsidR="009336CB" w:rsidTr="008A38CC">
        <w:trPr>
          <w:trHeight w:val="240"/>
          <w:jc w:val="center"/>
        </w:trPr>
        <w:tc>
          <w:tcPr>
            <w:tcW w:w="4214" w:type="dxa"/>
            <w:vMerge/>
            <w:tcBorders>
              <w:top w:val="nil"/>
              <w:left w:val="single" w:sz="8" w:space="0" w:color="009900"/>
              <w:bottom w:val="single" w:sz="8" w:space="0" w:color="009900"/>
              <w:right w:val="nil"/>
            </w:tcBorders>
            <w:vAlign w:val="center"/>
            <w:hideMark/>
          </w:tcPr>
          <w:p w:rsidR="009336CB" w:rsidRDefault="009336CB">
            <w:pPr>
              <w:rPr>
                <w:rFonts w:ascii="Arial" w:hAnsi="Arial" w:cs="Arial"/>
                <w:b/>
                <w:bCs/>
                <w:color w:val="000000"/>
                <w:sz w:val="16"/>
                <w:szCs w:val="16"/>
              </w:rPr>
            </w:pPr>
          </w:p>
        </w:tc>
        <w:tc>
          <w:tcPr>
            <w:tcW w:w="579" w:type="dxa"/>
            <w:tcBorders>
              <w:top w:val="nil"/>
              <w:left w:val="nil"/>
              <w:bottom w:val="single" w:sz="8" w:space="0" w:color="009900"/>
              <w:right w:val="nil"/>
            </w:tcBorders>
            <w:shd w:val="clear" w:color="000000" w:fill="FFFFE1"/>
            <w:noWrap/>
            <w:vAlign w:val="center"/>
            <w:hideMark/>
          </w:tcPr>
          <w:p w:rsidR="009336CB" w:rsidRDefault="009336CB">
            <w:pPr>
              <w:jc w:val="center"/>
              <w:rPr>
                <w:rFonts w:ascii="Arial" w:hAnsi="Arial" w:cs="Arial"/>
                <w:b/>
                <w:bCs/>
                <w:color w:val="000000"/>
                <w:sz w:val="16"/>
                <w:szCs w:val="16"/>
              </w:rPr>
            </w:pPr>
            <w:r>
              <w:rPr>
                <w:rFonts w:ascii="Arial" w:hAnsi="Arial" w:cs="Arial"/>
                <w:b/>
                <w:bCs/>
                <w:color w:val="000000"/>
                <w:sz w:val="16"/>
                <w:szCs w:val="16"/>
              </w:rPr>
              <w:t>Need</w:t>
            </w:r>
          </w:p>
        </w:tc>
        <w:tc>
          <w:tcPr>
            <w:tcW w:w="579" w:type="dxa"/>
            <w:tcBorders>
              <w:top w:val="nil"/>
              <w:left w:val="nil"/>
              <w:bottom w:val="single" w:sz="8" w:space="0" w:color="009900"/>
              <w:right w:val="nil"/>
            </w:tcBorders>
            <w:shd w:val="clear" w:color="000000" w:fill="FFFFE1"/>
            <w:noWrap/>
            <w:vAlign w:val="center"/>
            <w:hideMark/>
          </w:tcPr>
          <w:p w:rsidR="009336CB" w:rsidRDefault="009336CB">
            <w:pPr>
              <w:jc w:val="center"/>
              <w:rPr>
                <w:rFonts w:ascii="Arial" w:hAnsi="Arial" w:cs="Arial"/>
                <w:b/>
                <w:bCs/>
                <w:color w:val="000000"/>
                <w:sz w:val="16"/>
                <w:szCs w:val="16"/>
              </w:rPr>
            </w:pPr>
            <w:r>
              <w:rPr>
                <w:rFonts w:ascii="Arial" w:hAnsi="Arial" w:cs="Arial"/>
                <w:b/>
                <w:bCs/>
                <w:color w:val="000000"/>
                <w:sz w:val="16"/>
                <w:szCs w:val="16"/>
              </w:rPr>
              <w:t>Need</w:t>
            </w:r>
          </w:p>
        </w:tc>
        <w:tc>
          <w:tcPr>
            <w:tcW w:w="871" w:type="dxa"/>
            <w:tcBorders>
              <w:top w:val="nil"/>
              <w:left w:val="nil"/>
              <w:bottom w:val="single" w:sz="8" w:space="0" w:color="009900"/>
              <w:right w:val="nil"/>
            </w:tcBorders>
            <w:shd w:val="clear" w:color="000000" w:fill="FFFFE1"/>
            <w:noWrap/>
            <w:vAlign w:val="center"/>
            <w:hideMark/>
          </w:tcPr>
          <w:p w:rsidR="009336CB" w:rsidRDefault="009336CB">
            <w:pPr>
              <w:jc w:val="center"/>
              <w:rPr>
                <w:rFonts w:ascii="Arial" w:hAnsi="Arial" w:cs="Arial"/>
                <w:b/>
                <w:bCs/>
                <w:color w:val="000000"/>
                <w:sz w:val="16"/>
                <w:szCs w:val="16"/>
              </w:rPr>
            </w:pPr>
            <w:r>
              <w:rPr>
                <w:rFonts w:ascii="Arial" w:hAnsi="Arial" w:cs="Arial"/>
                <w:b/>
                <w:bCs/>
                <w:color w:val="000000"/>
                <w:sz w:val="16"/>
                <w:szCs w:val="16"/>
              </w:rPr>
              <w:t>Need</w:t>
            </w:r>
          </w:p>
        </w:tc>
        <w:tc>
          <w:tcPr>
            <w:tcW w:w="579" w:type="dxa"/>
            <w:tcBorders>
              <w:top w:val="nil"/>
              <w:left w:val="nil"/>
              <w:bottom w:val="single" w:sz="8" w:space="0" w:color="009900"/>
              <w:right w:val="nil"/>
            </w:tcBorders>
            <w:shd w:val="clear" w:color="000000" w:fill="FFFFE1"/>
            <w:noWrap/>
            <w:vAlign w:val="center"/>
            <w:hideMark/>
          </w:tcPr>
          <w:p w:rsidR="009336CB" w:rsidRDefault="009336CB">
            <w:pPr>
              <w:jc w:val="center"/>
              <w:rPr>
                <w:rFonts w:ascii="Arial" w:hAnsi="Arial" w:cs="Arial"/>
                <w:b/>
                <w:bCs/>
                <w:color w:val="000000"/>
                <w:sz w:val="16"/>
                <w:szCs w:val="16"/>
              </w:rPr>
            </w:pPr>
            <w:r>
              <w:rPr>
                <w:rFonts w:ascii="Arial" w:hAnsi="Arial" w:cs="Arial"/>
                <w:b/>
                <w:bCs/>
                <w:color w:val="000000"/>
                <w:sz w:val="16"/>
                <w:szCs w:val="16"/>
              </w:rPr>
              <w:t>Need</w:t>
            </w:r>
          </w:p>
        </w:tc>
        <w:tc>
          <w:tcPr>
            <w:tcW w:w="992" w:type="dxa"/>
            <w:vMerge/>
            <w:tcBorders>
              <w:top w:val="nil"/>
              <w:left w:val="nil"/>
              <w:bottom w:val="single" w:sz="8" w:space="0" w:color="009900"/>
              <w:right w:val="nil"/>
            </w:tcBorders>
            <w:vAlign w:val="center"/>
            <w:hideMark/>
          </w:tcPr>
          <w:p w:rsidR="009336CB" w:rsidRDefault="009336CB">
            <w:pPr>
              <w:rPr>
                <w:rFonts w:ascii="Arial" w:hAnsi="Arial" w:cs="Arial"/>
                <w:b/>
                <w:bCs/>
                <w:color w:val="000000"/>
                <w:sz w:val="16"/>
                <w:szCs w:val="16"/>
              </w:rPr>
            </w:pPr>
          </w:p>
        </w:tc>
        <w:tc>
          <w:tcPr>
            <w:tcW w:w="846" w:type="dxa"/>
            <w:vMerge/>
            <w:tcBorders>
              <w:top w:val="nil"/>
              <w:left w:val="nil"/>
              <w:bottom w:val="single" w:sz="8" w:space="0" w:color="009900"/>
              <w:right w:val="single" w:sz="8" w:space="0" w:color="009900"/>
            </w:tcBorders>
            <w:vAlign w:val="center"/>
            <w:hideMark/>
          </w:tcPr>
          <w:p w:rsidR="009336CB" w:rsidRDefault="009336CB">
            <w:pPr>
              <w:rPr>
                <w:rFonts w:ascii="Arial" w:hAnsi="Arial" w:cs="Arial"/>
                <w:b/>
                <w:bCs/>
                <w:color w:val="000000"/>
                <w:sz w:val="16"/>
                <w:szCs w:val="16"/>
              </w:rPr>
            </w:pPr>
          </w:p>
        </w:tc>
      </w:tr>
      <w:tr w:rsidR="009336CB" w:rsidTr="008A38CC">
        <w:trPr>
          <w:trHeight w:val="222"/>
          <w:jc w:val="center"/>
        </w:trPr>
        <w:tc>
          <w:tcPr>
            <w:tcW w:w="4214" w:type="dxa"/>
            <w:tcBorders>
              <w:top w:val="nil"/>
              <w:left w:val="single" w:sz="8" w:space="0" w:color="009900"/>
              <w:bottom w:val="nil"/>
              <w:right w:val="nil"/>
            </w:tcBorders>
            <w:shd w:val="clear" w:color="000000" w:fill="FFFFE1"/>
            <w:noWrap/>
            <w:vAlign w:val="center"/>
            <w:hideMark/>
          </w:tcPr>
          <w:p w:rsidR="009336CB" w:rsidRDefault="009336CB">
            <w:pPr>
              <w:rPr>
                <w:rFonts w:ascii="Arial" w:hAnsi="Arial" w:cs="Arial"/>
                <w:color w:val="000000"/>
                <w:sz w:val="16"/>
                <w:szCs w:val="16"/>
              </w:rPr>
            </w:pPr>
            <w:r>
              <w:rPr>
                <w:rFonts w:ascii="Arial" w:hAnsi="Arial" w:cs="Arial"/>
                <w:color w:val="000000"/>
                <w:sz w:val="16"/>
                <w:szCs w:val="16"/>
              </w:rPr>
              <w:t>Childcare facilities</w:t>
            </w:r>
          </w:p>
        </w:tc>
        <w:tc>
          <w:tcPr>
            <w:tcW w:w="579"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w:t>
            </w:r>
          </w:p>
        </w:tc>
        <w:tc>
          <w:tcPr>
            <w:tcW w:w="579"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24</w:t>
            </w:r>
          </w:p>
        </w:tc>
        <w:tc>
          <w:tcPr>
            <w:tcW w:w="871"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75</w:t>
            </w:r>
          </w:p>
        </w:tc>
        <w:tc>
          <w:tcPr>
            <w:tcW w:w="579"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131</w:t>
            </w:r>
          </w:p>
        </w:tc>
        <w:tc>
          <w:tcPr>
            <w:tcW w:w="992" w:type="dxa"/>
            <w:tcBorders>
              <w:top w:val="nil"/>
              <w:left w:val="nil"/>
              <w:bottom w:val="nil"/>
              <w:right w:val="nil"/>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110</w:t>
            </w:r>
          </w:p>
        </w:tc>
        <w:tc>
          <w:tcPr>
            <w:tcW w:w="846" w:type="dxa"/>
            <w:tcBorders>
              <w:top w:val="nil"/>
              <w:left w:val="nil"/>
              <w:bottom w:val="nil"/>
              <w:right w:val="single" w:sz="8" w:space="0" w:color="009900"/>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343</w:t>
            </w:r>
          </w:p>
        </w:tc>
      </w:tr>
      <w:tr w:rsidR="009336CB" w:rsidTr="008A38CC">
        <w:trPr>
          <w:trHeight w:val="222"/>
          <w:jc w:val="center"/>
        </w:trPr>
        <w:tc>
          <w:tcPr>
            <w:tcW w:w="4214" w:type="dxa"/>
            <w:tcBorders>
              <w:top w:val="nil"/>
              <w:left w:val="single" w:sz="8" w:space="0" w:color="009900"/>
              <w:bottom w:val="nil"/>
              <w:right w:val="nil"/>
            </w:tcBorders>
            <w:shd w:val="clear" w:color="000000" w:fill="FFFFE1"/>
            <w:noWrap/>
            <w:vAlign w:val="center"/>
            <w:hideMark/>
          </w:tcPr>
          <w:p w:rsidR="009336CB" w:rsidRDefault="009336CB">
            <w:pPr>
              <w:rPr>
                <w:rFonts w:ascii="Arial" w:hAnsi="Arial" w:cs="Arial"/>
                <w:color w:val="000000"/>
                <w:sz w:val="16"/>
                <w:szCs w:val="16"/>
              </w:rPr>
            </w:pPr>
            <w:r>
              <w:rPr>
                <w:rFonts w:ascii="Arial" w:hAnsi="Arial" w:cs="Arial"/>
                <w:color w:val="000000"/>
                <w:sz w:val="16"/>
                <w:szCs w:val="16"/>
              </w:rPr>
              <w:t>Healthcare facilities</w:t>
            </w:r>
          </w:p>
        </w:tc>
        <w:tc>
          <w:tcPr>
            <w:tcW w:w="579"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w:t>
            </w:r>
          </w:p>
        </w:tc>
        <w:tc>
          <w:tcPr>
            <w:tcW w:w="579"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22</w:t>
            </w:r>
          </w:p>
        </w:tc>
        <w:tc>
          <w:tcPr>
            <w:tcW w:w="871"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87</w:t>
            </w:r>
          </w:p>
        </w:tc>
        <w:tc>
          <w:tcPr>
            <w:tcW w:w="579"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118</w:t>
            </w:r>
          </w:p>
        </w:tc>
        <w:tc>
          <w:tcPr>
            <w:tcW w:w="992" w:type="dxa"/>
            <w:tcBorders>
              <w:top w:val="nil"/>
              <w:left w:val="nil"/>
              <w:bottom w:val="nil"/>
              <w:right w:val="nil"/>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113</w:t>
            </w:r>
          </w:p>
        </w:tc>
        <w:tc>
          <w:tcPr>
            <w:tcW w:w="846" w:type="dxa"/>
            <w:tcBorders>
              <w:top w:val="nil"/>
              <w:left w:val="nil"/>
              <w:bottom w:val="nil"/>
              <w:right w:val="single" w:sz="8" w:space="0" w:color="009900"/>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343</w:t>
            </w:r>
          </w:p>
        </w:tc>
      </w:tr>
      <w:tr w:rsidR="009336CB" w:rsidTr="008A38CC">
        <w:trPr>
          <w:trHeight w:val="222"/>
          <w:jc w:val="center"/>
        </w:trPr>
        <w:tc>
          <w:tcPr>
            <w:tcW w:w="4214" w:type="dxa"/>
            <w:tcBorders>
              <w:top w:val="nil"/>
              <w:left w:val="single" w:sz="8" w:space="0" w:color="009900"/>
              <w:bottom w:val="nil"/>
              <w:right w:val="nil"/>
            </w:tcBorders>
            <w:shd w:val="clear" w:color="000000" w:fill="FFFFE1"/>
            <w:noWrap/>
            <w:vAlign w:val="center"/>
            <w:hideMark/>
          </w:tcPr>
          <w:p w:rsidR="009336CB" w:rsidRDefault="009336CB">
            <w:pPr>
              <w:rPr>
                <w:rFonts w:ascii="Arial" w:hAnsi="Arial" w:cs="Arial"/>
                <w:color w:val="000000"/>
                <w:sz w:val="16"/>
                <w:szCs w:val="16"/>
              </w:rPr>
            </w:pPr>
            <w:r>
              <w:rPr>
                <w:rFonts w:ascii="Arial" w:hAnsi="Arial" w:cs="Arial"/>
                <w:color w:val="000000"/>
                <w:sz w:val="16"/>
                <w:szCs w:val="16"/>
              </w:rPr>
              <w:t>Residential treatment centers</w:t>
            </w:r>
          </w:p>
        </w:tc>
        <w:tc>
          <w:tcPr>
            <w:tcW w:w="579"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w:t>
            </w:r>
          </w:p>
        </w:tc>
        <w:tc>
          <w:tcPr>
            <w:tcW w:w="579"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30</w:t>
            </w:r>
          </w:p>
        </w:tc>
        <w:tc>
          <w:tcPr>
            <w:tcW w:w="871"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87</w:t>
            </w:r>
          </w:p>
        </w:tc>
        <w:tc>
          <w:tcPr>
            <w:tcW w:w="579"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112</w:t>
            </w:r>
          </w:p>
        </w:tc>
        <w:tc>
          <w:tcPr>
            <w:tcW w:w="992" w:type="dxa"/>
            <w:tcBorders>
              <w:top w:val="nil"/>
              <w:left w:val="nil"/>
              <w:bottom w:val="nil"/>
              <w:right w:val="nil"/>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111</w:t>
            </w:r>
          </w:p>
        </w:tc>
        <w:tc>
          <w:tcPr>
            <w:tcW w:w="846" w:type="dxa"/>
            <w:tcBorders>
              <w:top w:val="nil"/>
              <w:left w:val="nil"/>
              <w:bottom w:val="nil"/>
              <w:right w:val="single" w:sz="8" w:space="0" w:color="009900"/>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343</w:t>
            </w:r>
          </w:p>
        </w:tc>
      </w:tr>
      <w:tr w:rsidR="009336CB" w:rsidTr="008A38CC">
        <w:trPr>
          <w:trHeight w:val="222"/>
          <w:jc w:val="center"/>
        </w:trPr>
        <w:tc>
          <w:tcPr>
            <w:tcW w:w="4214" w:type="dxa"/>
            <w:tcBorders>
              <w:top w:val="nil"/>
              <w:left w:val="single" w:sz="8" w:space="0" w:color="009900"/>
              <w:bottom w:val="nil"/>
              <w:right w:val="nil"/>
            </w:tcBorders>
            <w:shd w:val="clear" w:color="000000" w:fill="FFFFE1"/>
            <w:noWrap/>
            <w:vAlign w:val="center"/>
            <w:hideMark/>
          </w:tcPr>
          <w:p w:rsidR="009336CB" w:rsidRDefault="009336CB">
            <w:pPr>
              <w:rPr>
                <w:rFonts w:ascii="Arial" w:hAnsi="Arial" w:cs="Arial"/>
                <w:color w:val="000000"/>
                <w:sz w:val="16"/>
                <w:szCs w:val="16"/>
              </w:rPr>
            </w:pPr>
            <w:r>
              <w:rPr>
                <w:rFonts w:ascii="Arial" w:hAnsi="Arial" w:cs="Arial"/>
                <w:color w:val="000000"/>
                <w:sz w:val="16"/>
                <w:szCs w:val="16"/>
              </w:rPr>
              <w:t>Youth centers</w:t>
            </w:r>
          </w:p>
        </w:tc>
        <w:tc>
          <w:tcPr>
            <w:tcW w:w="579"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4</w:t>
            </w:r>
          </w:p>
        </w:tc>
        <w:tc>
          <w:tcPr>
            <w:tcW w:w="579"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26</w:t>
            </w:r>
          </w:p>
        </w:tc>
        <w:tc>
          <w:tcPr>
            <w:tcW w:w="871"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96</w:t>
            </w:r>
          </w:p>
        </w:tc>
        <w:tc>
          <w:tcPr>
            <w:tcW w:w="579"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106</w:t>
            </w:r>
          </w:p>
        </w:tc>
        <w:tc>
          <w:tcPr>
            <w:tcW w:w="992" w:type="dxa"/>
            <w:tcBorders>
              <w:top w:val="nil"/>
              <w:left w:val="nil"/>
              <w:bottom w:val="nil"/>
              <w:right w:val="nil"/>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111</w:t>
            </w:r>
          </w:p>
        </w:tc>
        <w:tc>
          <w:tcPr>
            <w:tcW w:w="846" w:type="dxa"/>
            <w:tcBorders>
              <w:top w:val="nil"/>
              <w:left w:val="nil"/>
              <w:bottom w:val="nil"/>
              <w:right w:val="single" w:sz="8" w:space="0" w:color="009900"/>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343</w:t>
            </w:r>
          </w:p>
        </w:tc>
      </w:tr>
      <w:tr w:rsidR="009336CB" w:rsidTr="008A38CC">
        <w:trPr>
          <w:trHeight w:val="222"/>
          <w:jc w:val="center"/>
        </w:trPr>
        <w:tc>
          <w:tcPr>
            <w:tcW w:w="4214" w:type="dxa"/>
            <w:tcBorders>
              <w:top w:val="nil"/>
              <w:left w:val="single" w:sz="8" w:space="0" w:color="009900"/>
              <w:bottom w:val="nil"/>
              <w:right w:val="nil"/>
            </w:tcBorders>
            <w:shd w:val="clear" w:color="000000" w:fill="FFFFE1"/>
            <w:noWrap/>
            <w:vAlign w:val="center"/>
            <w:hideMark/>
          </w:tcPr>
          <w:p w:rsidR="009336CB" w:rsidRDefault="009336CB">
            <w:pPr>
              <w:rPr>
                <w:rFonts w:ascii="Arial" w:hAnsi="Arial" w:cs="Arial"/>
                <w:color w:val="000000"/>
                <w:sz w:val="16"/>
                <w:szCs w:val="16"/>
              </w:rPr>
            </w:pPr>
            <w:r>
              <w:rPr>
                <w:rFonts w:ascii="Arial" w:hAnsi="Arial" w:cs="Arial"/>
                <w:color w:val="000000"/>
                <w:sz w:val="16"/>
                <w:szCs w:val="16"/>
              </w:rPr>
              <w:t>Parks and recreational centers</w:t>
            </w:r>
          </w:p>
        </w:tc>
        <w:tc>
          <w:tcPr>
            <w:tcW w:w="579"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5</w:t>
            </w:r>
          </w:p>
        </w:tc>
        <w:tc>
          <w:tcPr>
            <w:tcW w:w="579"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36</w:t>
            </w:r>
          </w:p>
        </w:tc>
        <w:tc>
          <w:tcPr>
            <w:tcW w:w="871"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108</w:t>
            </w:r>
          </w:p>
        </w:tc>
        <w:tc>
          <w:tcPr>
            <w:tcW w:w="579"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81</w:t>
            </w:r>
          </w:p>
        </w:tc>
        <w:tc>
          <w:tcPr>
            <w:tcW w:w="992" w:type="dxa"/>
            <w:tcBorders>
              <w:top w:val="nil"/>
              <w:left w:val="nil"/>
              <w:bottom w:val="nil"/>
              <w:right w:val="nil"/>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113</w:t>
            </w:r>
          </w:p>
        </w:tc>
        <w:tc>
          <w:tcPr>
            <w:tcW w:w="846" w:type="dxa"/>
            <w:tcBorders>
              <w:top w:val="nil"/>
              <w:left w:val="nil"/>
              <w:bottom w:val="nil"/>
              <w:right w:val="single" w:sz="8" w:space="0" w:color="009900"/>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343</w:t>
            </w:r>
          </w:p>
        </w:tc>
      </w:tr>
      <w:tr w:rsidR="009336CB" w:rsidTr="008A38CC">
        <w:trPr>
          <w:trHeight w:val="222"/>
          <w:jc w:val="center"/>
        </w:trPr>
        <w:tc>
          <w:tcPr>
            <w:tcW w:w="4214" w:type="dxa"/>
            <w:tcBorders>
              <w:top w:val="nil"/>
              <w:left w:val="single" w:sz="8" w:space="0" w:color="009900"/>
              <w:bottom w:val="nil"/>
              <w:right w:val="nil"/>
            </w:tcBorders>
            <w:shd w:val="clear" w:color="000000" w:fill="FFFFE1"/>
            <w:noWrap/>
            <w:vAlign w:val="center"/>
            <w:hideMark/>
          </w:tcPr>
          <w:p w:rsidR="009336CB" w:rsidRDefault="009336CB">
            <w:pPr>
              <w:rPr>
                <w:rFonts w:ascii="Arial" w:hAnsi="Arial" w:cs="Arial"/>
                <w:color w:val="000000"/>
                <w:sz w:val="16"/>
                <w:szCs w:val="16"/>
              </w:rPr>
            </w:pPr>
            <w:r>
              <w:rPr>
                <w:rFonts w:ascii="Arial" w:hAnsi="Arial" w:cs="Arial"/>
                <w:color w:val="000000"/>
                <w:sz w:val="16"/>
                <w:szCs w:val="16"/>
              </w:rPr>
              <w:t>Senior centers</w:t>
            </w:r>
          </w:p>
        </w:tc>
        <w:tc>
          <w:tcPr>
            <w:tcW w:w="579"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9</w:t>
            </w:r>
          </w:p>
        </w:tc>
        <w:tc>
          <w:tcPr>
            <w:tcW w:w="579"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41</w:t>
            </w:r>
          </w:p>
        </w:tc>
        <w:tc>
          <w:tcPr>
            <w:tcW w:w="871"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105</w:t>
            </w:r>
          </w:p>
        </w:tc>
        <w:tc>
          <w:tcPr>
            <w:tcW w:w="579"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78</w:t>
            </w:r>
          </w:p>
        </w:tc>
        <w:tc>
          <w:tcPr>
            <w:tcW w:w="992" w:type="dxa"/>
            <w:tcBorders>
              <w:top w:val="nil"/>
              <w:left w:val="nil"/>
              <w:bottom w:val="nil"/>
              <w:right w:val="nil"/>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110</w:t>
            </w:r>
          </w:p>
        </w:tc>
        <w:tc>
          <w:tcPr>
            <w:tcW w:w="846" w:type="dxa"/>
            <w:tcBorders>
              <w:top w:val="nil"/>
              <w:left w:val="nil"/>
              <w:bottom w:val="nil"/>
              <w:right w:val="single" w:sz="8" w:space="0" w:color="009900"/>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343</w:t>
            </w:r>
          </w:p>
        </w:tc>
      </w:tr>
      <w:tr w:rsidR="009336CB" w:rsidTr="008A38CC">
        <w:trPr>
          <w:trHeight w:val="222"/>
          <w:jc w:val="center"/>
        </w:trPr>
        <w:tc>
          <w:tcPr>
            <w:tcW w:w="4214" w:type="dxa"/>
            <w:tcBorders>
              <w:top w:val="nil"/>
              <w:left w:val="single" w:sz="8" w:space="0" w:color="009900"/>
              <w:bottom w:val="nil"/>
              <w:right w:val="nil"/>
            </w:tcBorders>
            <w:shd w:val="clear" w:color="000000" w:fill="FFFFE1"/>
            <w:noWrap/>
            <w:vAlign w:val="center"/>
            <w:hideMark/>
          </w:tcPr>
          <w:p w:rsidR="009336CB" w:rsidRDefault="009336CB">
            <w:pPr>
              <w:rPr>
                <w:rFonts w:ascii="Arial" w:hAnsi="Arial" w:cs="Arial"/>
                <w:color w:val="000000"/>
                <w:sz w:val="16"/>
                <w:szCs w:val="16"/>
              </w:rPr>
            </w:pPr>
            <w:r>
              <w:rPr>
                <w:rFonts w:ascii="Arial" w:hAnsi="Arial" w:cs="Arial"/>
                <w:color w:val="000000"/>
                <w:sz w:val="16"/>
                <w:szCs w:val="16"/>
              </w:rPr>
              <w:t>Community centers</w:t>
            </w:r>
          </w:p>
        </w:tc>
        <w:tc>
          <w:tcPr>
            <w:tcW w:w="579"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5</w:t>
            </w:r>
          </w:p>
        </w:tc>
        <w:tc>
          <w:tcPr>
            <w:tcW w:w="579"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36</w:t>
            </w:r>
          </w:p>
        </w:tc>
        <w:tc>
          <w:tcPr>
            <w:tcW w:w="871"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113</w:t>
            </w:r>
          </w:p>
        </w:tc>
        <w:tc>
          <w:tcPr>
            <w:tcW w:w="579"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76</w:t>
            </w:r>
          </w:p>
        </w:tc>
        <w:tc>
          <w:tcPr>
            <w:tcW w:w="992" w:type="dxa"/>
            <w:tcBorders>
              <w:top w:val="nil"/>
              <w:left w:val="nil"/>
              <w:bottom w:val="nil"/>
              <w:right w:val="nil"/>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113</w:t>
            </w:r>
          </w:p>
        </w:tc>
        <w:tc>
          <w:tcPr>
            <w:tcW w:w="846" w:type="dxa"/>
            <w:tcBorders>
              <w:top w:val="nil"/>
              <w:left w:val="nil"/>
              <w:bottom w:val="nil"/>
              <w:right w:val="single" w:sz="8" w:space="0" w:color="009900"/>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343</w:t>
            </w:r>
          </w:p>
        </w:tc>
      </w:tr>
      <w:tr w:rsidR="009336CB" w:rsidTr="008A38CC">
        <w:trPr>
          <w:trHeight w:val="222"/>
          <w:jc w:val="center"/>
        </w:trPr>
        <w:tc>
          <w:tcPr>
            <w:tcW w:w="4214" w:type="dxa"/>
            <w:tcBorders>
              <w:top w:val="nil"/>
              <w:left w:val="single" w:sz="8" w:space="0" w:color="009900"/>
              <w:bottom w:val="nil"/>
              <w:right w:val="nil"/>
            </w:tcBorders>
            <w:shd w:val="clear" w:color="000000" w:fill="FFFFE1"/>
            <w:noWrap/>
            <w:vAlign w:val="center"/>
            <w:hideMark/>
          </w:tcPr>
          <w:p w:rsidR="009336CB" w:rsidRDefault="009336CB">
            <w:pPr>
              <w:rPr>
                <w:rFonts w:ascii="Arial" w:hAnsi="Arial" w:cs="Arial"/>
                <w:color w:val="000000"/>
                <w:sz w:val="16"/>
                <w:szCs w:val="16"/>
              </w:rPr>
            </w:pPr>
            <w:r>
              <w:rPr>
                <w:rFonts w:ascii="Arial" w:hAnsi="Arial" w:cs="Arial"/>
                <w:color w:val="000000"/>
                <w:sz w:val="16"/>
                <w:szCs w:val="16"/>
              </w:rPr>
              <w:t>Public buildings with improved accessibility</w:t>
            </w:r>
          </w:p>
        </w:tc>
        <w:tc>
          <w:tcPr>
            <w:tcW w:w="579"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10</w:t>
            </w:r>
          </w:p>
        </w:tc>
        <w:tc>
          <w:tcPr>
            <w:tcW w:w="579"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52</w:t>
            </w:r>
          </w:p>
        </w:tc>
        <w:tc>
          <w:tcPr>
            <w:tcW w:w="871"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85</w:t>
            </w:r>
          </w:p>
        </w:tc>
        <w:tc>
          <w:tcPr>
            <w:tcW w:w="579"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63</w:t>
            </w:r>
          </w:p>
        </w:tc>
        <w:tc>
          <w:tcPr>
            <w:tcW w:w="992" w:type="dxa"/>
            <w:tcBorders>
              <w:top w:val="nil"/>
              <w:left w:val="nil"/>
              <w:bottom w:val="nil"/>
              <w:right w:val="nil"/>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133</w:t>
            </w:r>
          </w:p>
        </w:tc>
        <w:tc>
          <w:tcPr>
            <w:tcW w:w="846" w:type="dxa"/>
            <w:tcBorders>
              <w:top w:val="nil"/>
              <w:left w:val="nil"/>
              <w:bottom w:val="nil"/>
              <w:right w:val="single" w:sz="8" w:space="0" w:color="009900"/>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343</w:t>
            </w:r>
          </w:p>
        </w:tc>
      </w:tr>
      <w:tr w:rsidR="009336CB" w:rsidTr="008A38CC">
        <w:trPr>
          <w:trHeight w:val="222"/>
          <w:jc w:val="center"/>
        </w:trPr>
        <w:tc>
          <w:tcPr>
            <w:tcW w:w="4214" w:type="dxa"/>
            <w:tcBorders>
              <w:top w:val="nil"/>
              <w:left w:val="single" w:sz="8" w:space="0" w:color="009900"/>
              <w:bottom w:val="single" w:sz="8" w:space="0" w:color="009900"/>
              <w:right w:val="nil"/>
            </w:tcBorders>
            <w:shd w:val="clear" w:color="000000" w:fill="FFFFE1"/>
            <w:noWrap/>
            <w:vAlign w:val="center"/>
            <w:hideMark/>
          </w:tcPr>
          <w:p w:rsidR="009336CB" w:rsidRDefault="009336CB">
            <w:pPr>
              <w:rPr>
                <w:rFonts w:ascii="Arial" w:hAnsi="Arial" w:cs="Arial"/>
                <w:color w:val="000000"/>
                <w:sz w:val="16"/>
                <w:szCs w:val="16"/>
              </w:rPr>
            </w:pPr>
            <w:r>
              <w:rPr>
                <w:rFonts w:ascii="Arial" w:hAnsi="Arial" w:cs="Arial"/>
                <w:color w:val="000000"/>
                <w:sz w:val="16"/>
                <w:szCs w:val="16"/>
              </w:rPr>
              <w:t>Other infrastructure activities</w:t>
            </w:r>
          </w:p>
        </w:tc>
        <w:tc>
          <w:tcPr>
            <w:tcW w:w="579" w:type="dxa"/>
            <w:tcBorders>
              <w:top w:val="nil"/>
              <w:left w:val="nil"/>
              <w:bottom w:val="single" w:sz="8" w:space="0" w:color="009900"/>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4</w:t>
            </w:r>
          </w:p>
        </w:tc>
        <w:tc>
          <w:tcPr>
            <w:tcW w:w="579" w:type="dxa"/>
            <w:tcBorders>
              <w:top w:val="nil"/>
              <w:left w:val="nil"/>
              <w:bottom w:val="single" w:sz="8" w:space="0" w:color="009900"/>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color w:val="000000"/>
                <w:sz w:val="16"/>
                <w:szCs w:val="16"/>
              </w:rPr>
              <w:t> </w:t>
            </w:r>
          </w:p>
        </w:tc>
        <w:tc>
          <w:tcPr>
            <w:tcW w:w="871" w:type="dxa"/>
            <w:tcBorders>
              <w:top w:val="nil"/>
              <w:left w:val="nil"/>
              <w:bottom w:val="single" w:sz="8" w:space="0" w:color="009900"/>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2</w:t>
            </w:r>
          </w:p>
        </w:tc>
        <w:tc>
          <w:tcPr>
            <w:tcW w:w="579" w:type="dxa"/>
            <w:tcBorders>
              <w:top w:val="nil"/>
              <w:left w:val="nil"/>
              <w:bottom w:val="single" w:sz="8" w:space="0" w:color="009900"/>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19</w:t>
            </w:r>
          </w:p>
        </w:tc>
        <w:tc>
          <w:tcPr>
            <w:tcW w:w="992" w:type="dxa"/>
            <w:tcBorders>
              <w:top w:val="nil"/>
              <w:left w:val="nil"/>
              <w:bottom w:val="single" w:sz="8" w:space="0" w:color="009900"/>
              <w:right w:val="nil"/>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318</w:t>
            </w:r>
          </w:p>
        </w:tc>
        <w:tc>
          <w:tcPr>
            <w:tcW w:w="846" w:type="dxa"/>
            <w:tcBorders>
              <w:top w:val="nil"/>
              <w:left w:val="nil"/>
              <w:bottom w:val="single" w:sz="8" w:space="0" w:color="009900"/>
              <w:right w:val="single" w:sz="8" w:space="0" w:color="009900"/>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343</w:t>
            </w:r>
          </w:p>
        </w:tc>
      </w:tr>
    </w:tbl>
    <w:p w:rsidR="00BD2ECE" w:rsidRPr="00925169" w:rsidRDefault="00BD2ECE" w:rsidP="00BD2ECE">
      <w:pPr>
        <w:jc w:val="both"/>
        <w:rPr>
          <w:rFonts w:ascii="CG Omega" w:hAnsi="CG Omega"/>
        </w:rPr>
      </w:pPr>
    </w:p>
    <w:p w:rsidR="00BD2ECE" w:rsidRDefault="00BD2ECE" w:rsidP="00BD2ECE">
      <w:pPr>
        <w:jc w:val="both"/>
        <w:rPr>
          <w:rFonts w:ascii="CG Omega" w:hAnsi="CG Omega"/>
        </w:rPr>
      </w:pPr>
      <w:r w:rsidRPr="00925169">
        <w:rPr>
          <w:rFonts w:ascii="CG Omega" w:hAnsi="CG Omega"/>
          <w:b/>
        </w:rPr>
        <w:t xml:space="preserve">Table </w:t>
      </w:r>
      <w:r w:rsidR="00215575" w:rsidRPr="00925169">
        <w:rPr>
          <w:rFonts w:ascii="CG Omega" w:hAnsi="CG Omega"/>
          <w:b/>
        </w:rPr>
        <w:t>VI.5</w:t>
      </w:r>
      <w:r w:rsidRPr="00215575">
        <w:rPr>
          <w:rFonts w:ascii="CG Omega" w:hAnsi="CG Omega"/>
        </w:rPr>
        <w:t xml:space="preserve">, </w:t>
      </w:r>
      <w:r w:rsidR="009336CB">
        <w:rPr>
          <w:rFonts w:ascii="CG Omega" w:hAnsi="CG Omega"/>
        </w:rPr>
        <w:t>on the following page</w:t>
      </w:r>
      <w:r w:rsidRPr="00215575">
        <w:rPr>
          <w:rFonts w:ascii="CG Omega" w:hAnsi="CG Omega"/>
        </w:rPr>
        <w:t xml:space="preserve">, </w:t>
      </w:r>
      <w:r w:rsidRPr="005F3060">
        <w:rPr>
          <w:rFonts w:ascii="CG Omega" w:hAnsi="CG Omega"/>
        </w:rPr>
        <w:t xml:space="preserve">shows the need for human and public services. </w:t>
      </w:r>
      <w:r>
        <w:rPr>
          <w:rFonts w:ascii="CG Omega" w:hAnsi="CG Omega"/>
        </w:rPr>
        <w:t>The highest needs indicated were for mental health/chemical dependency services and healthcare services.  This was followed by childcare, transportation, and employment services.</w:t>
      </w:r>
    </w:p>
    <w:p w:rsidR="00CA6D92" w:rsidRDefault="00CA6D92" w:rsidP="00BD2ECE">
      <w:pPr>
        <w:jc w:val="both"/>
        <w:rPr>
          <w:rFonts w:ascii="CG Omega" w:hAnsi="CG Omega"/>
        </w:rPr>
      </w:pPr>
    </w:p>
    <w:tbl>
      <w:tblPr>
        <w:tblW w:w="8660" w:type="dxa"/>
        <w:jc w:val="center"/>
        <w:tblLook w:val="04A0" w:firstRow="1" w:lastRow="0" w:firstColumn="1" w:lastColumn="0" w:noHBand="0" w:noVBand="1"/>
      </w:tblPr>
      <w:tblGrid>
        <w:gridCol w:w="4313"/>
        <w:gridCol w:w="608"/>
        <w:gridCol w:w="608"/>
        <w:gridCol w:w="852"/>
        <w:gridCol w:w="608"/>
        <w:gridCol w:w="970"/>
        <w:gridCol w:w="701"/>
      </w:tblGrid>
      <w:tr w:rsidR="009336CB" w:rsidTr="008A38CC">
        <w:trPr>
          <w:trHeight w:val="225"/>
          <w:jc w:val="center"/>
        </w:trPr>
        <w:tc>
          <w:tcPr>
            <w:tcW w:w="8660" w:type="dxa"/>
            <w:gridSpan w:val="7"/>
            <w:tcBorders>
              <w:top w:val="nil"/>
              <w:left w:val="nil"/>
              <w:bottom w:val="nil"/>
              <w:right w:val="nil"/>
            </w:tcBorders>
            <w:shd w:val="clear" w:color="auto" w:fill="auto"/>
            <w:noWrap/>
            <w:vAlign w:val="center"/>
            <w:hideMark/>
          </w:tcPr>
          <w:p w:rsidR="00925169" w:rsidRDefault="00925169">
            <w:pPr>
              <w:jc w:val="center"/>
              <w:rPr>
                <w:rFonts w:ascii="Arial" w:hAnsi="Arial" w:cs="Arial"/>
                <w:b/>
                <w:bCs/>
                <w:color w:val="000000"/>
                <w:sz w:val="22"/>
                <w:szCs w:val="22"/>
              </w:rPr>
            </w:pPr>
          </w:p>
          <w:p w:rsidR="00925169" w:rsidRDefault="00925169">
            <w:pPr>
              <w:jc w:val="center"/>
              <w:rPr>
                <w:rFonts w:ascii="Arial" w:hAnsi="Arial" w:cs="Arial"/>
                <w:b/>
                <w:bCs/>
                <w:color w:val="000000"/>
                <w:sz w:val="22"/>
                <w:szCs w:val="22"/>
              </w:rPr>
            </w:pPr>
          </w:p>
          <w:p w:rsidR="009336CB" w:rsidRDefault="009336CB">
            <w:pPr>
              <w:jc w:val="center"/>
              <w:rPr>
                <w:rFonts w:ascii="Arial" w:hAnsi="Arial" w:cs="Arial"/>
                <w:b/>
                <w:bCs/>
                <w:color w:val="000000"/>
                <w:sz w:val="22"/>
                <w:szCs w:val="22"/>
              </w:rPr>
            </w:pPr>
            <w:r>
              <w:rPr>
                <w:rFonts w:ascii="Arial" w:hAnsi="Arial" w:cs="Arial"/>
                <w:b/>
                <w:bCs/>
                <w:color w:val="000000"/>
                <w:sz w:val="22"/>
                <w:szCs w:val="22"/>
              </w:rPr>
              <w:t>Table VI.5</w:t>
            </w:r>
          </w:p>
        </w:tc>
      </w:tr>
      <w:tr w:rsidR="009336CB" w:rsidTr="008A38CC">
        <w:trPr>
          <w:trHeight w:val="210"/>
          <w:jc w:val="center"/>
        </w:trPr>
        <w:tc>
          <w:tcPr>
            <w:tcW w:w="8660" w:type="dxa"/>
            <w:gridSpan w:val="7"/>
            <w:tcBorders>
              <w:top w:val="nil"/>
              <w:left w:val="nil"/>
              <w:bottom w:val="nil"/>
              <w:right w:val="nil"/>
            </w:tcBorders>
            <w:shd w:val="clear" w:color="auto" w:fill="auto"/>
            <w:noWrap/>
            <w:vAlign w:val="center"/>
            <w:hideMark/>
          </w:tcPr>
          <w:p w:rsidR="009336CB" w:rsidRDefault="009336CB">
            <w:pPr>
              <w:jc w:val="center"/>
              <w:rPr>
                <w:rFonts w:ascii="Arial" w:hAnsi="Arial" w:cs="Arial"/>
                <w:b/>
                <w:bCs/>
                <w:color w:val="000000"/>
                <w:sz w:val="20"/>
                <w:szCs w:val="20"/>
              </w:rPr>
            </w:pPr>
            <w:r>
              <w:rPr>
                <w:rFonts w:ascii="Arial" w:hAnsi="Arial" w:cs="Arial"/>
                <w:b/>
                <w:bCs/>
                <w:color w:val="000000"/>
                <w:sz w:val="20"/>
                <w:szCs w:val="20"/>
              </w:rPr>
              <w:t>Please rate the need for the following human and public services</w:t>
            </w:r>
          </w:p>
        </w:tc>
      </w:tr>
      <w:tr w:rsidR="009336CB" w:rsidTr="008A38CC">
        <w:trPr>
          <w:trHeight w:val="180"/>
          <w:jc w:val="center"/>
        </w:trPr>
        <w:tc>
          <w:tcPr>
            <w:tcW w:w="8660" w:type="dxa"/>
            <w:gridSpan w:val="7"/>
            <w:tcBorders>
              <w:top w:val="nil"/>
              <w:left w:val="nil"/>
              <w:bottom w:val="nil"/>
              <w:right w:val="nil"/>
            </w:tcBorders>
            <w:shd w:val="clear" w:color="auto" w:fill="auto"/>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State of New Mexico</w:t>
            </w:r>
          </w:p>
        </w:tc>
      </w:tr>
      <w:tr w:rsidR="009336CB" w:rsidTr="008A38CC">
        <w:trPr>
          <w:trHeight w:val="240"/>
          <w:jc w:val="center"/>
        </w:trPr>
        <w:tc>
          <w:tcPr>
            <w:tcW w:w="8660" w:type="dxa"/>
            <w:gridSpan w:val="7"/>
            <w:tcBorders>
              <w:top w:val="nil"/>
              <w:left w:val="nil"/>
              <w:bottom w:val="single" w:sz="8" w:space="0" w:color="009900"/>
              <w:right w:val="nil"/>
            </w:tcBorders>
            <w:shd w:val="clear" w:color="auto" w:fill="auto"/>
            <w:noWrap/>
            <w:vAlign w:val="center"/>
            <w:hideMark/>
          </w:tcPr>
          <w:p w:rsidR="009336CB" w:rsidRDefault="009336CB">
            <w:pPr>
              <w:jc w:val="center"/>
              <w:rPr>
                <w:rFonts w:ascii="Arial" w:hAnsi="Arial" w:cs="Arial"/>
                <w:color w:val="000000"/>
                <w:sz w:val="16"/>
                <w:szCs w:val="16"/>
              </w:rPr>
            </w:pPr>
            <w:r>
              <w:rPr>
                <w:rFonts w:ascii="Arial" w:hAnsi="Arial" w:cs="Arial"/>
                <w:bCs/>
                <w:color w:val="000000"/>
                <w:sz w:val="16"/>
                <w:szCs w:val="16"/>
              </w:rPr>
              <w:t>2014 Housing and Community Development Survey</w:t>
            </w:r>
          </w:p>
        </w:tc>
      </w:tr>
      <w:tr w:rsidR="009336CB" w:rsidTr="00925169">
        <w:trPr>
          <w:trHeight w:val="240"/>
          <w:jc w:val="center"/>
        </w:trPr>
        <w:tc>
          <w:tcPr>
            <w:tcW w:w="4313" w:type="dxa"/>
            <w:vMerge w:val="restart"/>
            <w:tcBorders>
              <w:top w:val="nil"/>
              <w:left w:val="single" w:sz="8" w:space="0" w:color="009900"/>
              <w:bottom w:val="single" w:sz="8" w:space="0" w:color="009900"/>
              <w:right w:val="nil"/>
            </w:tcBorders>
            <w:shd w:val="clear" w:color="000000" w:fill="FFFFE1"/>
            <w:noWrap/>
            <w:vAlign w:val="center"/>
            <w:hideMark/>
          </w:tcPr>
          <w:p w:rsidR="009336CB" w:rsidRDefault="009336CB">
            <w:pPr>
              <w:rPr>
                <w:rFonts w:ascii="Arial" w:hAnsi="Arial" w:cs="Arial"/>
                <w:b/>
                <w:bCs/>
                <w:color w:val="000000"/>
                <w:sz w:val="16"/>
                <w:szCs w:val="16"/>
              </w:rPr>
            </w:pPr>
            <w:r>
              <w:rPr>
                <w:rFonts w:ascii="Arial" w:hAnsi="Arial" w:cs="Arial"/>
                <w:b/>
                <w:bCs/>
                <w:color w:val="000000"/>
                <w:sz w:val="16"/>
                <w:szCs w:val="16"/>
              </w:rPr>
              <w:t>Question</w:t>
            </w:r>
          </w:p>
        </w:tc>
        <w:tc>
          <w:tcPr>
            <w:tcW w:w="6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b/>
                <w:bCs/>
                <w:color w:val="000000"/>
                <w:sz w:val="16"/>
                <w:szCs w:val="16"/>
              </w:rPr>
            </w:pPr>
            <w:r>
              <w:rPr>
                <w:rFonts w:ascii="Arial" w:hAnsi="Arial" w:cs="Arial"/>
                <w:b/>
                <w:bCs/>
                <w:color w:val="000000"/>
                <w:sz w:val="16"/>
                <w:szCs w:val="16"/>
              </w:rPr>
              <w:t xml:space="preserve">No </w:t>
            </w:r>
          </w:p>
        </w:tc>
        <w:tc>
          <w:tcPr>
            <w:tcW w:w="6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b/>
                <w:bCs/>
                <w:color w:val="000000"/>
                <w:sz w:val="16"/>
                <w:szCs w:val="16"/>
              </w:rPr>
            </w:pPr>
            <w:r>
              <w:rPr>
                <w:rFonts w:ascii="Arial" w:hAnsi="Arial" w:cs="Arial"/>
                <w:b/>
                <w:bCs/>
                <w:color w:val="000000"/>
                <w:sz w:val="16"/>
                <w:szCs w:val="16"/>
              </w:rPr>
              <w:t xml:space="preserve">Low </w:t>
            </w:r>
          </w:p>
        </w:tc>
        <w:tc>
          <w:tcPr>
            <w:tcW w:w="852"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b/>
                <w:bCs/>
                <w:color w:val="000000"/>
                <w:sz w:val="16"/>
                <w:szCs w:val="16"/>
              </w:rPr>
            </w:pPr>
            <w:r>
              <w:rPr>
                <w:rFonts w:ascii="Arial" w:hAnsi="Arial" w:cs="Arial"/>
                <w:b/>
                <w:bCs/>
                <w:color w:val="000000"/>
                <w:sz w:val="16"/>
                <w:szCs w:val="16"/>
              </w:rPr>
              <w:t xml:space="preserve">Medium </w:t>
            </w:r>
          </w:p>
        </w:tc>
        <w:tc>
          <w:tcPr>
            <w:tcW w:w="6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b/>
                <w:bCs/>
                <w:color w:val="000000"/>
                <w:sz w:val="16"/>
                <w:szCs w:val="16"/>
              </w:rPr>
            </w:pPr>
            <w:r>
              <w:rPr>
                <w:rFonts w:ascii="Arial" w:hAnsi="Arial" w:cs="Arial"/>
                <w:b/>
                <w:bCs/>
                <w:color w:val="000000"/>
                <w:sz w:val="16"/>
                <w:szCs w:val="16"/>
              </w:rPr>
              <w:t xml:space="preserve">High </w:t>
            </w:r>
          </w:p>
        </w:tc>
        <w:tc>
          <w:tcPr>
            <w:tcW w:w="970" w:type="dxa"/>
            <w:vMerge w:val="restart"/>
            <w:tcBorders>
              <w:top w:val="nil"/>
              <w:left w:val="nil"/>
              <w:bottom w:val="single" w:sz="8" w:space="0" w:color="009900"/>
              <w:right w:val="nil"/>
            </w:tcBorders>
            <w:shd w:val="clear" w:color="000000" w:fill="FFFFE1"/>
            <w:vAlign w:val="center"/>
            <w:hideMark/>
          </w:tcPr>
          <w:p w:rsidR="009336CB" w:rsidRDefault="009336CB">
            <w:pPr>
              <w:jc w:val="center"/>
              <w:rPr>
                <w:rFonts w:ascii="Arial" w:hAnsi="Arial" w:cs="Arial"/>
                <w:b/>
                <w:bCs/>
                <w:color w:val="000000"/>
                <w:sz w:val="16"/>
                <w:szCs w:val="16"/>
              </w:rPr>
            </w:pPr>
            <w:r>
              <w:rPr>
                <w:rFonts w:ascii="Arial" w:hAnsi="Arial" w:cs="Arial"/>
                <w:b/>
                <w:bCs/>
                <w:color w:val="000000"/>
                <w:sz w:val="16"/>
                <w:szCs w:val="16"/>
              </w:rPr>
              <w:t>Missing</w:t>
            </w:r>
          </w:p>
        </w:tc>
        <w:tc>
          <w:tcPr>
            <w:tcW w:w="701" w:type="dxa"/>
            <w:vMerge w:val="restart"/>
            <w:tcBorders>
              <w:top w:val="nil"/>
              <w:left w:val="nil"/>
              <w:bottom w:val="single" w:sz="8" w:space="0" w:color="009900"/>
              <w:right w:val="single" w:sz="8" w:space="0" w:color="009900"/>
            </w:tcBorders>
            <w:shd w:val="clear" w:color="000000" w:fill="FFFFE1"/>
            <w:vAlign w:val="center"/>
            <w:hideMark/>
          </w:tcPr>
          <w:p w:rsidR="009336CB" w:rsidRDefault="009336CB">
            <w:pPr>
              <w:jc w:val="center"/>
              <w:rPr>
                <w:rFonts w:ascii="Arial" w:hAnsi="Arial" w:cs="Arial"/>
                <w:b/>
                <w:bCs/>
                <w:color w:val="000000"/>
                <w:sz w:val="16"/>
                <w:szCs w:val="16"/>
              </w:rPr>
            </w:pPr>
            <w:r>
              <w:rPr>
                <w:rFonts w:ascii="Arial" w:hAnsi="Arial" w:cs="Arial"/>
                <w:b/>
                <w:bCs/>
                <w:color w:val="000000"/>
                <w:sz w:val="16"/>
                <w:szCs w:val="16"/>
              </w:rPr>
              <w:t>Total</w:t>
            </w:r>
          </w:p>
        </w:tc>
      </w:tr>
      <w:tr w:rsidR="009336CB" w:rsidTr="00925169">
        <w:trPr>
          <w:trHeight w:val="240"/>
          <w:jc w:val="center"/>
        </w:trPr>
        <w:tc>
          <w:tcPr>
            <w:tcW w:w="4313" w:type="dxa"/>
            <w:vMerge/>
            <w:tcBorders>
              <w:top w:val="nil"/>
              <w:left w:val="single" w:sz="8" w:space="0" w:color="009900"/>
              <w:bottom w:val="single" w:sz="8" w:space="0" w:color="009900"/>
              <w:right w:val="nil"/>
            </w:tcBorders>
            <w:vAlign w:val="center"/>
            <w:hideMark/>
          </w:tcPr>
          <w:p w:rsidR="009336CB" w:rsidRDefault="009336CB">
            <w:pPr>
              <w:rPr>
                <w:rFonts w:ascii="Arial" w:hAnsi="Arial" w:cs="Arial"/>
                <w:b/>
                <w:bCs/>
                <w:color w:val="000000"/>
                <w:sz w:val="16"/>
                <w:szCs w:val="16"/>
              </w:rPr>
            </w:pPr>
          </w:p>
        </w:tc>
        <w:tc>
          <w:tcPr>
            <w:tcW w:w="608" w:type="dxa"/>
            <w:tcBorders>
              <w:top w:val="nil"/>
              <w:left w:val="nil"/>
              <w:bottom w:val="single" w:sz="8" w:space="0" w:color="009900"/>
              <w:right w:val="nil"/>
            </w:tcBorders>
            <w:shd w:val="clear" w:color="000000" w:fill="FFFFE1"/>
            <w:noWrap/>
            <w:vAlign w:val="center"/>
            <w:hideMark/>
          </w:tcPr>
          <w:p w:rsidR="009336CB" w:rsidRDefault="009336CB">
            <w:pPr>
              <w:jc w:val="center"/>
              <w:rPr>
                <w:rFonts w:ascii="Arial" w:hAnsi="Arial" w:cs="Arial"/>
                <w:b/>
                <w:bCs/>
                <w:color w:val="000000"/>
                <w:sz w:val="16"/>
                <w:szCs w:val="16"/>
              </w:rPr>
            </w:pPr>
            <w:r>
              <w:rPr>
                <w:rFonts w:ascii="Arial" w:hAnsi="Arial" w:cs="Arial"/>
                <w:b/>
                <w:bCs/>
                <w:color w:val="000000"/>
                <w:sz w:val="16"/>
                <w:szCs w:val="16"/>
              </w:rPr>
              <w:t>Need</w:t>
            </w:r>
          </w:p>
        </w:tc>
        <w:tc>
          <w:tcPr>
            <w:tcW w:w="608" w:type="dxa"/>
            <w:tcBorders>
              <w:top w:val="nil"/>
              <w:left w:val="nil"/>
              <w:bottom w:val="single" w:sz="8" w:space="0" w:color="009900"/>
              <w:right w:val="nil"/>
            </w:tcBorders>
            <w:shd w:val="clear" w:color="000000" w:fill="FFFFE1"/>
            <w:noWrap/>
            <w:vAlign w:val="center"/>
            <w:hideMark/>
          </w:tcPr>
          <w:p w:rsidR="009336CB" w:rsidRDefault="009336CB">
            <w:pPr>
              <w:jc w:val="center"/>
              <w:rPr>
                <w:rFonts w:ascii="Arial" w:hAnsi="Arial" w:cs="Arial"/>
                <w:b/>
                <w:bCs/>
                <w:color w:val="000000"/>
                <w:sz w:val="16"/>
                <w:szCs w:val="16"/>
              </w:rPr>
            </w:pPr>
            <w:r>
              <w:rPr>
                <w:rFonts w:ascii="Arial" w:hAnsi="Arial" w:cs="Arial"/>
                <w:b/>
                <w:bCs/>
                <w:color w:val="000000"/>
                <w:sz w:val="16"/>
                <w:szCs w:val="16"/>
              </w:rPr>
              <w:t>Need</w:t>
            </w:r>
          </w:p>
        </w:tc>
        <w:tc>
          <w:tcPr>
            <w:tcW w:w="852" w:type="dxa"/>
            <w:tcBorders>
              <w:top w:val="nil"/>
              <w:left w:val="nil"/>
              <w:bottom w:val="single" w:sz="8" w:space="0" w:color="009900"/>
              <w:right w:val="nil"/>
            </w:tcBorders>
            <w:shd w:val="clear" w:color="000000" w:fill="FFFFE1"/>
            <w:noWrap/>
            <w:vAlign w:val="center"/>
            <w:hideMark/>
          </w:tcPr>
          <w:p w:rsidR="009336CB" w:rsidRDefault="009336CB">
            <w:pPr>
              <w:jc w:val="center"/>
              <w:rPr>
                <w:rFonts w:ascii="Arial" w:hAnsi="Arial" w:cs="Arial"/>
                <w:b/>
                <w:bCs/>
                <w:color w:val="000000"/>
                <w:sz w:val="16"/>
                <w:szCs w:val="16"/>
              </w:rPr>
            </w:pPr>
            <w:r>
              <w:rPr>
                <w:rFonts w:ascii="Arial" w:hAnsi="Arial" w:cs="Arial"/>
                <w:b/>
                <w:bCs/>
                <w:color w:val="000000"/>
                <w:sz w:val="16"/>
                <w:szCs w:val="16"/>
              </w:rPr>
              <w:t>Need</w:t>
            </w:r>
          </w:p>
        </w:tc>
        <w:tc>
          <w:tcPr>
            <w:tcW w:w="608" w:type="dxa"/>
            <w:tcBorders>
              <w:top w:val="nil"/>
              <w:left w:val="nil"/>
              <w:bottom w:val="single" w:sz="8" w:space="0" w:color="009900"/>
              <w:right w:val="nil"/>
            </w:tcBorders>
            <w:shd w:val="clear" w:color="000000" w:fill="FFFFE1"/>
            <w:noWrap/>
            <w:vAlign w:val="center"/>
            <w:hideMark/>
          </w:tcPr>
          <w:p w:rsidR="009336CB" w:rsidRDefault="009336CB">
            <w:pPr>
              <w:jc w:val="center"/>
              <w:rPr>
                <w:rFonts w:ascii="Arial" w:hAnsi="Arial" w:cs="Arial"/>
                <w:b/>
                <w:bCs/>
                <w:color w:val="000000"/>
                <w:sz w:val="16"/>
                <w:szCs w:val="16"/>
              </w:rPr>
            </w:pPr>
            <w:r>
              <w:rPr>
                <w:rFonts w:ascii="Arial" w:hAnsi="Arial" w:cs="Arial"/>
                <w:b/>
                <w:bCs/>
                <w:color w:val="000000"/>
                <w:sz w:val="16"/>
                <w:szCs w:val="16"/>
              </w:rPr>
              <w:t>Need</w:t>
            </w:r>
          </w:p>
        </w:tc>
        <w:tc>
          <w:tcPr>
            <w:tcW w:w="970" w:type="dxa"/>
            <w:vMerge/>
            <w:tcBorders>
              <w:top w:val="nil"/>
              <w:left w:val="nil"/>
              <w:bottom w:val="single" w:sz="8" w:space="0" w:color="009900"/>
              <w:right w:val="nil"/>
            </w:tcBorders>
            <w:vAlign w:val="center"/>
            <w:hideMark/>
          </w:tcPr>
          <w:p w:rsidR="009336CB" w:rsidRDefault="009336CB">
            <w:pPr>
              <w:rPr>
                <w:rFonts w:ascii="Arial" w:hAnsi="Arial" w:cs="Arial"/>
                <w:b/>
                <w:bCs/>
                <w:color w:val="000000"/>
                <w:sz w:val="16"/>
                <w:szCs w:val="16"/>
              </w:rPr>
            </w:pPr>
          </w:p>
        </w:tc>
        <w:tc>
          <w:tcPr>
            <w:tcW w:w="701" w:type="dxa"/>
            <w:vMerge/>
            <w:tcBorders>
              <w:top w:val="nil"/>
              <w:left w:val="nil"/>
              <w:bottom w:val="single" w:sz="8" w:space="0" w:color="009900"/>
              <w:right w:val="single" w:sz="8" w:space="0" w:color="009900"/>
            </w:tcBorders>
            <w:vAlign w:val="center"/>
            <w:hideMark/>
          </w:tcPr>
          <w:p w:rsidR="009336CB" w:rsidRDefault="009336CB">
            <w:pPr>
              <w:rPr>
                <w:rFonts w:ascii="Arial" w:hAnsi="Arial" w:cs="Arial"/>
                <w:b/>
                <w:bCs/>
                <w:color w:val="000000"/>
                <w:sz w:val="16"/>
                <w:szCs w:val="16"/>
              </w:rPr>
            </w:pPr>
          </w:p>
        </w:tc>
      </w:tr>
      <w:tr w:rsidR="009336CB" w:rsidTr="00925169">
        <w:trPr>
          <w:trHeight w:val="229"/>
          <w:jc w:val="center"/>
        </w:trPr>
        <w:tc>
          <w:tcPr>
            <w:tcW w:w="4313" w:type="dxa"/>
            <w:tcBorders>
              <w:top w:val="nil"/>
              <w:left w:val="single" w:sz="8" w:space="0" w:color="009900"/>
              <w:bottom w:val="nil"/>
              <w:right w:val="nil"/>
            </w:tcBorders>
            <w:shd w:val="clear" w:color="000000" w:fill="FFFFE1"/>
            <w:noWrap/>
            <w:vAlign w:val="center"/>
            <w:hideMark/>
          </w:tcPr>
          <w:p w:rsidR="009336CB" w:rsidRDefault="009336CB">
            <w:pPr>
              <w:rPr>
                <w:rFonts w:ascii="Arial" w:hAnsi="Arial" w:cs="Arial"/>
                <w:color w:val="000000"/>
                <w:sz w:val="16"/>
                <w:szCs w:val="16"/>
              </w:rPr>
            </w:pPr>
            <w:r>
              <w:rPr>
                <w:rFonts w:ascii="Arial" w:hAnsi="Arial" w:cs="Arial"/>
                <w:color w:val="000000"/>
                <w:sz w:val="16"/>
                <w:szCs w:val="16"/>
              </w:rPr>
              <w:t>Mental health/chemical dependency services</w:t>
            </w:r>
          </w:p>
        </w:tc>
        <w:tc>
          <w:tcPr>
            <w:tcW w:w="6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4</w:t>
            </w:r>
          </w:p>
        </w:tc>
        <w:tc>
          <w:tcPr>
            <w:tcW w:w="6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12</w:t>
            </w:r>
          </w:p>
        </w:tc>
        <w:tc>
          <w:tcPr>
            <w:tcW w:w="852"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59</w:t>
            </w:r>
          </w:p>
        </w:tc>
        <w:tc>
          <w:tcPr>
            <w:tcW w:w="6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157</w:t>
            </w:r>
          </w:p>
        </w:tc>
        <w:tc>
          <w:tcPr>
            <w:tcW w:w="970" w:type="dxa"/>
            <w:tcBorders>
              <w:top w:val="nil"/>
              <w:left w:val="nil"/>
              <w:bottom w:val="nil"/>
              <w:right w:val="nil"/>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111</w:t>
            </w:r>
          </w:p>
        </w:tc>
        <w:tc>
          <w:tcPr>
            <w:tcW w:w="701" w:type="dxa"/>
            <w:tcBorders>
              <w:top w:val="nil"/>
              <w:left w:val="nil"/>
              <w:bottom w:val="nil"/>
              <w:right w:val="single" w:sz="8" w:space="0" w:color="009900"/>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343</w:t>
            </w:r>
          </w:p>
        </w:tc>
      </w:tr>
      <w:tr w:rsidR="009336CB" w:rsidTr="00925169">
        <w:trPr>
          <w:trHeight w:val="229"/>
          <w:jc w:val="center"/>
        </w:trPr>
        <w:tc>
          <w:tcPr>
            <w:tcW w:w="4313" w:type="dxa"/>
            <w:tcBorders>
              <w:top w:val="nil"/>
              <w:left w:val="single" w:sz="8" w:space="0" w:color="009900"/>
              <w:bottom w:val="nil"/>
              <w:right w:val="nil"/>
            </w:tcBorders>
            <w:shd w:val="clear" w:color="000000" w:fill="FFFFE1"/>
            <w:noWrap/>
            <w:vAlign w:val="center"/>
            <w:hideMark/>
          </w:tcPr>
          <w:p w:rsidR="009336CB" w:rsidRDefault="009336CB">
            <w:pPr>
              <w:rPr>
                <w:rFonts w:ascii="Arial" w:hAnsi="Arial" w:cs="Arial"/>
                <w:color w:val="000000"/>
                <w:sz w:val="16"/>
                <w:szCs w:val="16"/>
              </w:rPr>
            </w:pPr>
            <w:r>
              <w:rPr>
                <w:rFonts w:ascii="Arial" w:hAnsi="Arial" w:cs="Arial"/>
                <w:color w:val="000000"/>
                <w:sz w:val="16"/>
                <w:szCs w:val="16"/>
              </w:rPr>
              <w:t>Healthcare services</w:t>
            </w:r>
          </w:p>
        </w:tc>
        <w:tc>
          <w:tcPr>
            <w:tcW w:w="6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2</w:t>
            </w:r>
          </w:p>
        </w:tc>
        <w:tc>
          <w:tcPr>
            <w:tcW w:w="6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12</w:t>
            </w:r>
          </w:p>
        </w:tc>
        <w:tc>
          <w:tcPr>
            <w:tcW w:w="852"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76</w:t>
            </w:r>
          </w:p>
        </w:tc>
        <w:tc>
          <w:tcPr>
            <w:tcW w:w="6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144</w:t>
            </w:r>
          </w:p>
        </w:tc>
        <w:tc>
          <w:tcPr>
            <w:tcW w:w="970" w:type="dxa"/>
            <w:tcBorders>
              <w:top w:val="nil"/>
              <w:left w:val="nil"/>
              <w:bottom w:val="nil"/>
              <w:right w:val="nil"/>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109</w:t>
            </w:r>
          </w:p>
        </w:tc>
        <w:tc>
          <w:tcPr>
            <w:tcW w:w="701" w:type="dxa"/>
            <w:tcBorders>
              <w:top w:val="nil"/>
              <w:left w:val="nil"/>
              <w:bottom w:val="nil"/>
              <w:right w:val="single" w:sz="8" w:space="0" w:color="009900"/>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343</w:t>
            </w:r>
          </w:p>
        </w:tc>
      </w:tr>
      <w:tr w:rsidR="009336CB" w:rsidTr="00925169">
        <w:trPr>
          <w:trHeight w:val="229"/>
          <w:jc w:val="center"/>
        </w:trPr>
        <w:tc>
          <w:tcPr>
            <w:tcW w:w="4313" w:type="dxa"/>
            <w:tcBorders>
              <w:top w:val="nil"/>
              <w:left w:val="single" w:sz="8" w:space="0" w:color="009900"/>
              <w:bottom w:val="nil"/>
              <w:right w:val="nil"/>
            </w:tcBorders>
            <w:shd w:val="clear" w:color="000000" w:fill="FFFFE1"/>
            <w:noWrap/>
            <w:vAlign w:val="center"/>
            <w:hideMark/>
          </w:tcPr>
          <w:p w:rsidR="009336CB" w:rsidRDefault="009336CB">
            <w:pPr>
              <w:rPr>
                <w:rFonts w:ascii="Arial" w:hAnsi="Arial" w:cs="Arial"/>
                <w:color w:val="000000"/>
                <w:sz w:val="16"/>
                <w:szCs w:val="16"/>
              </w:rPr>
            </w:pPr>
            <w:r>
              <w:rPr>
                <w:rFonts w:ascii="Arial" w:hAnsi="Arial" w:cs="Arial"/>
                <w:color w:val="000000"/>
                <w:sz w:val="16"/>
                <w:szCs w:val="16"/>
              </w:rPr>
              <w:t>Childcare services</w:t>
            </w:r>
          </w:p>
        </w:tc>
        <w:tc>
          <w:tcPr>
            <w:tcW w:w="6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2</w:t>
            </w:r>
          </w:p>
        </w:tc>
        <w:tc>
          <w:tcPr>
            <w:tcW w:w="6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21</w:t>
            </w:r>
          </w:p>
        </w:tc>
        <w:tc>
          <w:tcPr>
            <w:tcW w:w="852"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75</w:t>
            </w:r>
          </w:p>
        </w:tc>
        <w:tc>
          <w:tcPr>
            <w:tcW w:w="6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135</w:t>
            </w:r>
          </w:p>
        </w:tc>
        <w:tc>
          <w:tcPr>
            <w:tcW w:w="970" w:type="dxa"/>
            <w:tcBorders>
              <w:top w:val="nil"/>
              <w:left w:val="nil"/>
              <w:bottom w:val="nil"/>
              <w:right w:val="nil"/>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110</w:t>
            </w:r>
          </w:p>
        </w:tc>
        <w:tc>
          <w:tcPr>
            <w:tcW w:w="701" w:type="dxa"/>
            <w:tcBorders>
              <w:top w:val="nil"/>
              <w:left w:val="nil"/>
              <w:bottom w:val="nil"/>
              <w:right w:val="single" w:sz="8" w:space="0" w:color="009900"/>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343</w:t>
            </w:r>
          </w:p>
        </w:tc>
      </w:tr>
      <w:tr w:rsidR="009336CB" w:rsidTr="00925169">
        <w:trPr>
          <w:trHeight w:val="229"/>
          <w:jc w:val="center"/>
        </w:trPr>
        <w:tc>
          <w:tcPr>
            <w:tcW w:w="4313" w:type="dxa"/>
            <w:tcBorders>
              <w:top w:val="nil"/>
              <w:left w:val="single" w:sz="8" w:space="0" w:color="009900"/>
              <w:bottom w:val="nil"/>
              <w:right w:val="nil"/>
            </w:tcBorders>
            <w:shd w:val="clear" w:color="000000" w:fill="FFFFE1"/>
            <w:noWrap/>
            <w:vAlign w:val="center"/>
            <w:hideMark/>
          </w:tcPr>
          <w:p w:rsidR="009336CB" w:rsidRDefault="009336CB">
            <w:pPr>
              <w:rPr>
                <w:rFonts w:ascii="Arial" w:hAnsi="Arial" w:cs="Arial"/>
                <w:color w:val="000000"/>
                <w:sz w:val="16"/>
                <w:szCs w:val="16"/>
              </w:rPr>
            </w:pPr>
            <w:r>
              <w:rPr>
                <w:rFonts w:ascii="Arial" w:hAnsi="Arial" w:cs="Arial"/>
                <w:color w:val="000000"/>
                <w:sz w:val="16"/>
                <w:szCs w:val="16"/>
              </w:rPr>
              <w:t>Transportation services</w:t>
            </w:r>
          </w:p>
        </w:tc>
        <w:tc>
          <w:tcPr>
            <w:tcW w:w="6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w:t>
            </w:r>
          </w:p>
        </w:tc>
        <w:tc>
          <w:tcPr>
            <w:tcW w:w="6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16</w:t>
            </w:r>
          </w:p>
        </w:tc>
        <w:tc>
          <w:tcPr>
            <w:tcW w:w="852"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85</w:t>
            </w:r>
          </w:p>
        </w:tc>
        <w:tc>
          <w:tcPr>
            <w:tcW w:w="6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133</w:t>
            </w:r>
          </w:p>
        </w:tc>
        <w:tc>
          <w:tcPr>
            <w:tcW w:w="970" w:type="dxa"/>
            <w:tcBorders>
              <w:top w:val="nil"/>
              <w:left w:val="nil"/>
              <w:bottom w:val="nil"/>
              <w:right w:val="nil"/>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106</w:t>
            </w:r>
          </w:p>
        </w:tc>
        <w:tc>
          <w:tcPr>
            <w:tcW w:w="701" w:type="dxa"/>
            <w:tcBorders>
              <w:top w:val="nil"/>
              <w:left w:val="nil"/>
              <w:bottom w:val="nil"/>
              <w:right w:val="single" w:sz="8" w:space="0" w:color="009900"/>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343</w:t>
            </w:r>
          </w:p>
        </w:tc>
      </w:tr>
      <w:tr w:rsidR="009336CB" w:rsidTr="00925169">
        <w:trPr>
          <w:trHeight w:val="229"/>
          <w:jc w:val="center"/>
        </w:trPr>
        <w:tc>
          <w:tcPr>
            <w:tcW w:w="4313" w:type="dxa"/>
            <w:tcBorders>
              <w:top w:val="nil"/>
              <w:left w:val="single" w:sz="8" w:space="0" w:color="009900"/>
              <w:bottom w:val="nil"/>
              <w:right w:val="nil"/>
            </w:tcBorders>
            <w:shd w:val="clear" w:color="000000" w:fill="FFFFE1"/>
            <w:noWrap/>
            <w:vAlign w:val="center"/>
            <w:hideMark/>
          </w:tcPr>
          <w:p w:rsidR="009336CB" w:rsidRDefault="009336CB">
            <w:pPr>
              <w:rPr>
                <w:rFonts w:ascii="Arial" w:hAnsi="Arial" w:cs="Arial"/>
                <w:color w:val="000000"/>
                <w:sz w:val="16"/>
                <w:szCs w:val="16"/>
              </w:rPr>
            </w:pPr>
            <w:r>
              <w:rPr>
                <w:rFonts w:ascii="Arial" w:hAnsi="Arial" w:cs="Arial"/>
                <w:color w:val="000000"/>
                <w:sz w:val="16"/>
                <w:szCs w:val="16"/>
              </w:rPr>
              <w:t>Employment services</w:t>
            </w:r>
          </w:p>
        </w:tc>
        <w:tc>
          <w:tcPr>
            <w:tcW w:w="6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2</w:t>
            </w:r>
          </w:p>
        </w:tc>
        <w:tc>
          <w:tcPr>
            <w:tcW w:w="6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11</w:t>
            </w:r>
          </w:p>
        </w:tc>
        <w:tc>
          <w:tcPr>
            <w:tcW w:w="852"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87</w:t>
            </w:r>
          </w:p>
        </w:tc>
        <w:tc>
          <w:tcPr>
            <w:tcW w:w="6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133</w:t>
            </w:r>
          </w:p>
        </w:tc>
        <w:tc>
          <w:tcPr>
            <w:tcW w:w="970" w:type="dxa"/>
            <w:tcBorders>
              <w:top w:val="nil"/>
              <w:left w:val="nil"/>
              <w:bottom w:val="nil"/>
              <w:right w:val="nil"/>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110</w:t>
            </w:r>
          </w:p>
        </w:tc>
        <w:tc>
          <w:tcPr>
            <w:tcW w:w="701" w:type="dxa"/>
            <w:tcBorders>
              <w:top w:val="nil"/>
              <w:left w:val="nil"/>
              <w:bottom w:val="nil"/>
              <w:right w:val="single" w:sz="8" w:space="0" w:color="009900"/>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343</w:t>
            </w:r>
          </w:p>
        </w:tc>
      </w:tr>
      <w:tr w:rsidR="009336CB" w:rsidTr="00925169">
        <w:trPr>
          <w:trHeight w:val="229"/>
          <w:jc w:val="center"/>
        </w:trPr>
        <w:tc>
          <w:tcPr>
            <w:tcW w:w="4313" w:type="dxa"/>
            <w:tcBorders>
              <w:top w:val="nil"/>
              <w:left w:val="single" w:sz="8" w:space="0" w:color="009900"/>
              <w:bottom w:val="nil"/>
              <w:right w:val="nil"/>
            </w:tcBorders>
            <w:shd w:val="clear" w:color="000000" w:fill="FFFFE1"/>
            <w:noWrap/>
            <w:vAlign w:val="center"/>
            <w:hideMark/>
          </w:tcPr>
          <w:p w:rsidR="009336CB" w:rsidRDefault="009336CB">
            <w:pPr>
              <w:rPr>
                <w:rFonts w:ascii="Arial" w:hAnsi="Arial" w:cs="Arial"/>
                <w:color w:val="000000"/>
                <w:sz w:val="16"/>
                <w:szCs w:val="16"/>
              </w:rPr>
            </w:pPr>
            <w:r>
              <w:rPr>
                <w:rFonts w:ascii="Arial" w:hAnsi="Arial" w:cs="Arial"/>
                <w:color w:val="000000"/>
                <w:sz w:val="16"/>
                <w:szCs w:val="16"/>
              </w:rPr>
              <w:t>Senior services</w:t>
            </w:r>
          </w:p>
        </w:tc>
        <w:tc>
          <w:tcPr>
            <w:tcW w:w="6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2</w:t>
            </w:r>
          </w:p>
        </w:tc>
        <w:tc>
          <w:tcPr>
            <w:tcW w:w="6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9</w:t>
            </w:r>
          </w:p>
        </w:tc>
        <w:tc>
          <w:tcPr>
            <w:tcW w:w="852"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115</w:t>
            </w:r>
          </w:p>
        </w:tc>
        <w:tc>
          <w:tcPr>
            <w:tcW w:w="6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109</w:t>
            </w:r>
          </w:p>
        </w:tc>
        <w:tc>
          <w:tcPr>
            <w:tcW w:w="970" w:type="dxa"/>
            <w:tcBorders>
              <w:top w:val="nil"/>
              <w:left w:val="nil"/>
              <w:bottom w:val="nil"/>
              <w:right w:val="nil"/>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108</w:t>
            </w:r>
          </w:p>
        </w:tc>
        <w:tc>
          <w:tcPr>
            <w:tcW w:w="701" w:type="dxa"/>
            <w:tcBorders>
              <w:top w:val="nil"/>
              <w:left w:val="nil"/>
              <w:bottom w:val="nil"/>
              <w:right w:val="single" w:sz="8" w:space="0" w:color="009900"/>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343</w:t>
            </w:r>
          </w:p>
        </w:tc>
      </w:tr>
      <w:tr w:rsidR="009336CB" w:rsidTr="00925169">
        <w:trPr>
          <w:trHeight w:val="229"/>
          <w:jc w:val="center"/>
        </w:trPr>
        <w:tc>
          <w:tcPr>
            <w:tcW w:w="4313" w:type="dxa"/>
            <w:tcBorders>
              <w:top w:val="nil"/>
              <w:left w:val="single" w:sz="8" w:space="0" w:color="009900"/>
              <w:bottom w:val="nil"/>
              <w:right w:val="nil"/>
            </w:tcBorders>
            <w:shd w:val="clear" w:color="000000" w:fill="FFFFE1"/>
            <w:noWrap/>
            <w:vAlign w:val="center"/>
            <w:hideMark/>
          </w:tcPr>
          <w:p w:rsidR="009336CB" w:rsidRDefault="009336CB">
            <w:pPr>
              <w:rPr>
                <w:rFonts w:ascii="Arial" w:hAnsi="Arial" w:cs="Arial"/>
                <w:color w:val="000000"/>
                <w:sz w:val="16"/>
                <w:szCs w:val="16"/>
              </w:rPr>
            </w:pPr>
            <w:r>
              <w:rPr>
                <w:rFonts w:ascii="Arial" w:hAnsi="Arial" w:cs="Arial"/>
                <w:color w:val="000000"/>
                <w:sz w:val="16"/>
                <w:szCs w:val="16"/>
              </w:rPr>
              <w:t>Youth centers</w:t>
            </w:r>
          </w:p>
        </w:tc>
        <w:tc>
          <w:tcPr>
            <w:tcW w:w="6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4</w:t>
            </w:r>
          </w:p>
        </w:tc>
        <w:tc>
          <w:tcPr>
            <w:tcW w:w="6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26</w:t>
            </w:r>
          </w:p>
        </w:tc>
        <w:tc>
          <w:tcPr>
            <w:tcW w:w="852"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96</w:t>
            </w:r>
          </w:p>
        </w:tc>
        <w:tc>
          <w:tcPr>
            <w:tcW w:w="6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106</w:t>
            </w:r>
          </w:p>
        </w:tc>
        <w:tc>
          <w:tcPr>
            <w:tcW w:w="970" w:type="dxa"/>
            <w:tcBorders>
              <w:top w:val="nil"/>
              <w:left w:val="nil"/>
              <w:bottom w:val="nil"/>
              <w:right w:val="nil"/>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111</w:t>
            </w:r>
          </w:p>
        </w:tc>
        <w:tc>
          <w:tcPr>
            <w:tcW w:w="701" w:type="dxa"/>
            <w:tcBorders>
              <w:top w:val="nil"/>
              <w:left w:val="nil"/>
              <w:bottom w:val="nil"/>
              <w:right w:val="single" w:sz="8" w:space="0" w:color="009900"/>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343</w:t>
            </w:r>
          </w:p>
        </w:tc>
      </w:tr>
      <w:tr w:rsidR="009336CB" w:rsidTr="00925169">
        <w:trPr>
          <w:trHeight w:val="229"/>
          <w:jc w:val="center"/>
        </w:trPr>
        <w:tc>
          <w:tcPr>
            <w:tcW w:w="4313" w:type="dxa"/>
            <w:tcBorders>
              <w:top w:val="nil"/>
              <w:left w:val="single" w:sz="8" w:space="0" w:color="009900"/>
              <w:bottom w:val="nil"/>
              <w:right w:val="nil"/>
            </w:tcBorders>
            <w:shd w:val="clear" w:color="000000" w:fill="FFFFE1"/>
            <w:noWrap/>
            <w:vAlign w:val="center"/>
            <w:hideMark/>
          </w:tcPr>
          <w:p w:rsidR="009336CB" w:rsidRDefault="009336CB">
            <w:pPr>
              <w:rPr>
                <w:rFonts w:ascii="Arial" w:hAnsi="Arial" w:cs="Arial"/>
                <w:color w:val="000000"/>
                <w:sz w:val="16"/>
                <w:szCs w:val="16"/>
              </w:rPr>
            </w:pPr>
            <w:r>
              <w:rPr>
                <w:rFonts w:ascii="Arial" w:hAnsi="Arial" w:cs="Arial"/>
                <w:color w:val="000000"/>
                <w:sz w:val="16"/>
                <w:szCs w:val="16"/>
              </w:rPr>
              <w:t>Homebuyer education</w:t>
            </w:r>
          </w:p>
        </w:tc>
        <w:tc>
          <w:tcPr>
            <w:tcW w:w="6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5</w:t>
            </w:r>
          </w:p>
        </w:tc>
        <w:tc>
          <w:tcPr>
            <w:tcW w:w="6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39</w:t>
            </w:r>
          </w:p>
        </w:tc>
        <w:tc>
          <w:tcPr>
            <w:tcW w:w="852"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98</w:t>
            </w:r>
          </w:p>
        </w:tc>
        <w:tc>
          <w:tcPr>
            <w:tcW w:w="6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90</w:t>
            </w:r>
          </w:p>
        </w:tc>
        <w:tc>
          <w:tcPr>
            <w:tcW w:w="970" w:type="dxa"/>
            <w:tcBorders>
              <w:top w:val="nil"/>
              <w:left w:val="nil"/>
              <w:bottom w:val="nil"/>
              <w:right w:val="nil"/>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111</w:t>
            </w:r>
          </w:p>
        </w:tc>
        <w:tc>
          <w:tcPr>
            <w:tcW w:w="701" w:type="dxa"/>
            <w:tcBorders>
              <w:top w:val="nil"/>
              <w:left w:val="nil"/>
              <w:bottom w:val="nil"/>
              <w:right w:val="single" w:sz="8" w:space="0" w:color="009900"/>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343</w:t>
            </w:r>
          </w:p>
        </w:tc>
      </w:tr>
      <w:tr w:rsidR="009336CB" w:rsidTr="00925169">
        <w:trPr>
          <w:trHeight w:val="229"/>
          <w:jc w:val="center"/>
        </w:trPr>
        <w:tc>
          <w:tcPr>
            <w:tcW w:w="4313" w:type="dxa"/>
            <w:tcBorders>
              <w:top w:val="nil"/>
              <w:left w:val="single" w:sz="8" w:space="0" w:color="009900"/>
              <w:bottom w:val="nil"/>
              <w:right w:val="nil"/>
            </w:tcBorders>
            <w:shd w:val="clear" w:color="000000" w:fill="FFFFE1"/>
            <w:noWrap/>
            <w:vAlign w:val="center"/>
            <w:hideMark/>
          </w:tcPr>
          <w:p w:rsidR="009336CB" w:rsidRDefault="009336CB">
            <w:pPr>
              <w:rPr>
                <w:rFonts w:ascii="Arial" w:hAnsi="Arial" w:cs="Arial"/>
                <w:color w:val="000000"/>
                <w:sz w:val="16"/>
                <w:szCs w:val="16"/>
              </w:rPr>
            </w:pPr>
            <w:r>
              <w:rPr>
                <w:rFonts w:ascii="Arial" w:hAnsi="Arial" w:cs="Arial"/>
                <w:color w:val="000000"/>
                <w:sz w:val="16"/>
                <w:szCs w:val="16"/>
              </w:rPr>
              <w:t>Fair housing education</w:t>
            </w:r>
          </w:p>
        </w:tc>
        <w:tc>
          <w:tcPr>
            <w:tcW w:w="6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7</w:t>
            </w:r>
          </w:p>
        </w:tc>
        <w:tc>
          <w:tcPr>
            <w:tcW w:w="6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44</w:t>
            </w:r>
          </w:p>
        </w:tc>
        <w:tc>
          <w:tcPr>
            <w:tcW w:w="852"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87</w:t>
            </w:r>
          </w:p>
        </w:tc>
        <w:tc>
          <w:tcPr>
            <w:tcW w:w="6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87</w:t>
            </w:r>
          </w:p>
        </w:tc>
        <w:tc>
          <w:tcPr>
            <w:tcW w:w="970" w:type="dxa"/>
            <w:tcBorders>
              <w:top w:val="nil"/>
              <w:left w:val="nil"/>
              <w:bottom w:val="nil"/>
              <w:right w:val="nil"/>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118</w:t>
            </w:r>
          </w:p>
        </w:tc>
        <w:tc>
          <w:tcPr>
            <w:tcW w:w="701" w:type="dxa"/>
            <w:tcBorders>
              <w:top w:val="nil"/>
              <w:left w:val="nil"/>
              <w:bottom w:val="nil"/>
              <w:right w:val="single" w:sz="8" w:space="0" w:color="009900"/>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343</w:t>
            </w:r>
          </w:p>
        </w:tc>
      </w:tr>
      <w:tr w:rsidR="009336CB" w:rsidTr="00925169">
        <w:trPr>
          <w:trHeight w:val="229"/>
          <w:jc w:val="center"/>
        </w:trPr>
        <w:tc>
          <w:tcPr>
            <w:tcW w:w="4313" w:type="dxa"/>
            <w:tcBorders>
              <w:top w:val="nil"/>
              <w:left w:val="single" w:sz="8" w:space="0" w:color="009900"/>
              <w:bottom w:val="nil"/>
              <w:right w:val="nil"/>
            </w:tcBorders>
            <w:shd w:val="clear" w:color="000000" w:fill="FFFFE1"/>
            <w:noWrap/>
            <w:vAlign w:val="center"/>
            <w:hideMark/>
          </w:tcPr>
          <w:p w:rsidR="009336CB" w:rsidRDefault="009336CB">
            <w:pPr>
              <w:rPr>
                <w:rFonts w:ascii="Arial" w:hAnsi="Arial" w:cs="Arial"/>
                <w:color w:val="000000"/>
                <w:sz w:val="16"/>
                <w:szCs w:val="16"/>
              </w:rPr>
            </w:pPr>
            <w:r>
              <w:rPr>
                <w:rFonts w:ascii="Arial" w:hAnsi="Arial" w:cs="Arial"/>
                <w:color w:val="000000"/>
                <w:sz w:val="16"/>
                <w:szCs w:val="16"/>
              </w:rPr>
              <w:t>Fair housing activities</w:t>
            </w:r>
          </w:p>
        </w:tc>
        <w:tc>
          <w:tcPr>
            <w:tcW w:w="6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7</w:t>
            </w:r>
          </w:p>
        </w:tc>
        <w:tc>
          <w:tcPr>
            <w:tcW w:w="6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46</w:t>
            </w:r>
          </w:p>
        </w:tc>
        <w:tc>
          <w:tcPr>
            <w:tcW w:w="852"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88</w:t>
            </w:r>
          </w:p>
        </w:tc>
        <w:tc>
          <w:tcPr>
            <w:tcW w:w="6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84</w:t>
            </w:r>
          </w:p>
        </w:tc>
        <w:tc>
          <w:tcPr>
            <w:tcW w:w="970" w:type="dxa"/>
            <w:tcBorders>
              <w:top w:val="nil"/>
              <w:left w:val="nil"/>
              <w:bottom w:val="nil"/>
              <w:right w:val="nil"/>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118</w:t>
            </w:r>
          </w:p>
        </w:tc>
        <w:tc>
          <w:tcPr>
            <w:tcW w:w="701" w:type="dxa"/>
            <w:tcBorders>
              <w:top w:val="nil"/>
              <w:left w:val="nil"/>
              <w:bottom w:val="nil"/>
              <w:right w:val="single" w:sz="8" w:space="0" w:color="009900"/>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343</w:t>
            </w:r>
          </w:p>
        </w:tc>
      </w:tr>
      <w:tr w:rsidR="009336CB" w:rsidTr="00925169">
        <w:trPr>
          <w:trHeight w:val="229"/>
          <w:jc w:val="center"/>
        </w:trPr>
        <w:tc>
          <w:tcPr>
            <w:tcW w:w="4313" w:type="dxa"/>
            <w:tcBorders>
              <w:top w:val="nil"/>
              <w:left w:val="single" w:sz="8" w:space="0" w:color="009900"/>
              <w:bottom w:val="nil"/>
              <w:right w:val="nil"/>
            </w:tcBorders>
            <w:shd w:val="clear" w:color="000000" w:fill="FFFFE1"/>
            <w:noWrap/>
            <w:vAlign w:val="center"/>
            <w:hideMark/>
          </w:tcPr>
          <w:p w:rsidR="009336CB" w:rsidRDefault="009336CB">
            <w:pPr>
              <w:rPr>
                <w:rFonts w:ascii="Arial" w:hAnsi="Arial" w:cs="Arial"/>
                <w:color w:val="000000"/>
                <w:sz w:val="16"/>
                <w:szCs w:val="16"/>
              </w:rPr>
            </w:pPr>
            <w:r>
              <w:rPr>
                <w:rFonts w:ascii="Arial" w:hAnsi="Arial" w:cs="Arial"/>
                <w:color w:val="000000"/>
                <w:sz w:val="16"/>
                <w:szCs w:val="16"/>
              </w:rPr>
              <w:t>Tenant/Landlord counseling</w:t>
            </w:r>
          </w:p>
        </w:tc>
        <w:tc>
          <w:tcPr>
            <w:tcW w:w="6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6</w:t>
            </w:r>
          </w:p>
        </w:tc>
        <w:tc>
          <w:tcPr>
            <w:tcW w:w="6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43</w:t>
            </w:r>
          </w:p>
        </w:tc>
        <w:tc>
          <w:tcPr>
            <w:tcW w:w="852"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96</w:t>
            </w:r>
          </w:p>
        </w:tc>
        <w:tc>
          <w:tcPr>
            <w:tcW w:w="6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81</w:t>
            </w:r>
          </w:p>
        </w:tc>
        <w:tc>
          <w:tcPr>
            <w:tcW w:w="970" w:type="dxa"/>
            <w:tcBorders>
              <w:top w:val="nil"/>
              <w:left w:val="nil"/>
              <w:bottom w:val="nil"/>
              <w:right w:val="nil"/>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117</w:t>
            </w:r>
          </w:p>
        </w:tc>
        <w:tc>
          <w:tcPr>
            <w:tcW w:w="701" w:type="dxa"/>
            <w:tcBorders>
              <w:top w:val="nil"/>
              <w:left w:val="nil"/>
              <w:bottom w:val="nil"/>
              <w:right w:val="single" w:sz="8" w:space="0" w:color="009900"/>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343</w:t>
            </w:r>
          </w:p>
        </w:tc>
      </w:tr>
      <w:tr w:rsidR="009336CB" w:rsidTr="00925169">
        <w:trPr>
          <w:trHeight w:val="229"/>
          <w:jc w:val="center"/>
        </w:trPr>
        <w:tc>
          <w:tcPr>
            <w:tcW w:w="4313" w:type="dxa"/>
            <w:tcBorders>
              <w:top w:val="nil"/>
              <w:left w:val="single" w:sz="8" w:space="0" w:color="009900"/>
              <w:bottom w:val="nil"/>
              <w:right w:val="nil"/>
            </w:tcBorders>
            <w:shd w:val="clear" w:color="000000" w:fill="FFFFE1"/>
            <w:noWrap/>
            <w:vAlign w:val="center"/>
            <w:hideMark/>
          </w:tcPr>
          <w:p w:rsidR="009336CB" w:rsidRDefault="009336CB">
            <w:pPr>
              <w:rPr>
                <w:rFonts w:ascii="Arial" w:hAnsi="Arial" w:cs="Arial"/>
                <w:color w:val="000000"/>
                <w:sz w:val="16"/>
                <w:szCs w:val="16"/>
              </w:rPr>
            </w:pPr>
            <w:r>
              <w:rPr>
                <w:rFonts w:ascii="Arial" w:hAnsi="Arial" w:cs="Arial"/>
                <w:color w:val="000000"/>
                <w:sz w:val="16"/>
                <w:szCs w:val="16"/>
              </w:rPr>
              <w:t>Crime awareness education</w:t>
            </w:r>
          </w:p>
        </w:tc>
        <w:tc>
          <w:tcPr>
            <w:tcW w:w="6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6</w:t>
            </w:r>
          </w:p>
        </w:tc>
        <w:tc>
          <w:tcPr>
            <w:tcW w:w="6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44</w:t>
            </w:r>
          </w:p>
        </w:tc>
        <w:tc>
          <w:tcPr>
            <w:tcW w:w="852"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114</w:t>
            </w:r>
          </w:p>
        </w:tc>
        <w:tc>
          <w:tcPr>
            <w:tcW w:w="6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66</w:t>
            </w:r>
          </w:p>
        </w:tc>
        <w:tc>
          <w:tcPr>
            <w:tcW w:w="970" w:type="dxa"/>
            <w:tcBorders>
              <w:top w:val="nil"/>
              <w:left w:val="nil"/>
              <w:bottom w:val="nil"/>
              <w:right w:val="nil"/>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66</w:t>
            </w:r>
          </w:p>
        </w:tc>
        <w:tc>
          <w:tcPr>
            <w:tcW w:w="701" w:type="dxa"/>
            <w:tcBorders>
              <w:top w:val="nil"/>
              <w:left w:val="nil"/>
              <w:bottom w:val="nil"/>
              <w:right w:val="single" w:sz="8" w:space="0" w:color="009900"/>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343</w:t>
            </w:r>
          </w:p>
        </w:tc>
      </w:tr>
      <w:tr w:rsidR="009336CB" w:rsidTr="00925169">
        <w:trPr>
          <w:trHeight w:val="229"/>
          <w:jc w:val="center"/>
        </w:trPr>
        <w:tc>
          <w:tcPr>
            <w:tcW w:w="4313" w:type="dxa"/>
            <w:tcBorders>
              <w:top w:val="nil"/>
              <w:left w:val="single" w:sz="8" w:space="0" w:color="009900"/>
              <w:bottom w:val="nil"/>
              <w:right w:val="nil"/>
            </w:tcBorders>
            <w:shd w:val="clear" w:color="000000" w:fill="FFFFE1"/>
            <w:noWrap/>
            <w:vAlign w:val="center"/>
            <w:hideMark/>
          </w:tcPr>
          <w:p w:rsidR="009336CB" w:rsidRDefault="009336CB">
            <w:pPr>
              <w:rPr>
                <w:rFonts w:ascii="Arial" w:hAnsi="Arial" w:cs="Arial"/>
                <w:color w:val="000000"/>
                <w:sz w:val="16"/>
                <w:szCs w:val="16"/>
              </w:rPr>
            </w:pPr>
            <w:r>
              <w:rPr>
                <w:rFonts w:ascii="Arial" w:hAnsi="Arial" w:cs="Arial"/>
                <w:color w:val="000000"/>
                <w:sz w:val="16"/>
                <w:szCs w:val="16"/>
              </w:rPr>
              <w:t>Mitigation of asbestos hazards</w:t>
            </w:r>
          </w:p>
        </w:tc>
        <w:tc>
          <w:tcPr>
            <w:tcW w:w="6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16</w:t>
            </w:r>
          </w:p>
        </w:tc>
        <w:tc>
          <w:tcPr>
            <w:tcW w:w="6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87</w:t>
            </w:r>
          </w:p>
        </w:tc>
        <w:tc>
          <w:tcPr>
            <w:tcW w:w="852"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84</w:t>
            </w:r>
          </w:p>
        </w:tc>
        <w:tc>
          <w:tcPr>
            <w:tcW w:w="6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39</w:t>
            </w:r>
          </w:p>
        </w:tc>
        <w:tc>
          <w:tcPr>
            <w:tcW w:w="970" w:type="dxa"/>
            <w:tcBorders>
              <w:top w:val="nil"/>
              <w:left w:val="nil"/>
              <w:bottom w:val="nil"/>
              <w:right w:val="nil"/>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117</w:t>
            </w:r>
          </w:p>
        </w:tc>
        <w:tc>
          <w:tcPr>
            <w:tcW w:w="701" w:type="dxa"/>
            <w:tcBorders>
              <w:top w:val="nil"/>
              <w:left w:val="nil"/>
              <w:bottom w:val="nil"/>
              <w:right w:val="single" w:sz="8" w:space="0" w:color="009900"/>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343</w:t>
            </w:r>
          </w:p>
        </w:tc>
      </w:tr>
      <w:tr w:rsidR="009336CB" w:rsidTr="00925169">
        <w:trPr>
          <w:trHeight w:val="229"/>
          <w:jc w:val="center"/>
        </w:trPr>
        <w:tc>
          <w:tcPr>
            <w:tcW w:w="4313" w:type="dxa"/>
            <w:tcBorders>
              <w:top w:val="nil"/>
              <w:left w:val="single" w:sz="8" w:space="0" w:color="009900"/>
              <w:bottom w:val="nil"/>
              <w:right w:val="nil"/>
            </w:tcBorders>
            <w:shd w:val="clear" w:color="000000" w:fill="FFFFE1"/>
            <w:noWrap/>
            <w:vAlign w:val="center"/>
            <w:hideMark/>
          </w:tcPr>
          <w:p w:rsidR="009336CB" w:rsidRDefault="009336CB">
            <w:pPr>
              <w:rPr>
                <w:rFonts w:ascii="Arial" w:hAnsi="Arial" w:cs="Arial"/>
                <w:color w:val="000000"/>
                <w:sz w:val="16"/>
                <w:szCs w:val="16"/>
              </w:rPr>
            </w:pPr>
            <w:r>
              <w:rPr>
                <w:rFonts w:ascii="Arial" w:hAnsi="Arial" w:cs="Arial"/>
                <w:color w:val="000000"/>
                <w:sz w:val="16"/>
                <w:szCs w:val="16"/>
              </w:rPr>
              <w:t>Mitigation of radon hazards</w:t>
            </w:r>
          </w:p>
        </w:tc>
        <w:tc>
          <w:tcPr>
            <w:tcW w:w="6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18</w:t>
            </w:r>
          </w:p>
        </w:tc>
        <w:tc>
          <w:tcPr>
            <w:tcW w:w="6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92</w:t>
            </w:r>
          </w:p>
        </w:tc>
        <w:tc>
          <w:tcPr>
            <w:tcW w:w="852"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79</w:t>
            </w:r>
          </w:p>
        </w:tc>
        <w:tc>
          <w:tcPr>
            <w:tcW w:w="6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37</w:t>
            </w:r>
          </w:p>
        </w:tc>
        <w:tc>
          <w:tcPr>
            <w:tcW w:w="970" w:type="dxa"/>
            <w:tcBorders>
              <w:top w:val="nil"/>
              <w:left w:val="nil"/>
              <w:bottom w:val="nil"/>
              <w:right w:val="nil"/>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117</w:t>
            </w:r>
          </w:p>
        </w:tc>
        <w:tc>
          <w:tcPr>
            <w:tcW w:w="701" w:type="dxa"/>
            <w:tcBorders>
              <w:top w:val="nil"/>
              <w:left w:val="nil"/>
              <w:bottom w:val="nil"/>
              <w:right w:val="single" w:sz="8" w:space="0" w:color="009900"/>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343</w:t>
            </w:r>
          </w:p>
        </w:tc>
      </w:tr>
      <w:tr w:rsidR="009336CB" w:rsidTr="00925169">
        <w:trPr>
          <w:trHeight w:val="229"/>
          <w:jc w:val="center"/>
        </w:trPr>
        <w:tc>
          <w:tcPr>
            <w:tcW w:w="4313" w:type="dxa"/>
            <w:tcBorders>
              <w:top w:val="nil"/>
              <w:left w:val="single" w:sz="8" w:space="0" w:color="009900"/>
              <w:bottom w:val="nil"/>
              <w:right w:val="nil"/>
            </w:tcBorders>
            <w:shd w:val="clear" w:color="000000" w:fill="FFFFE1"/>
            <w:noWrap/>
            <w:vAlign w:val="center"/>
            <w:hideMark/>
          </w:tcPr>
          <w:p w:rsidR="009336CB" w:rsidRDefault="009336CB">
            <w:pPr>
              <w:rPr>
                <w:rFonts w:ascii="Arial" w:hAnsi="Arial" w:cs="Arial"/>
                <w:color w:val="000000"/>
                <w:sz w:val="16"/>
                <w:szCs w:val="16"/>
              </w:rPr>
            </w:pPr>
            <w:r>
              <w:rPr>
                <w:rFonts w:ascii="Arial" w:hAnsi="Arial" w:cs="Arial"/>
                <w:color w:val="000000"/>
                <w:sz w:val="16"/>
                <w:szCs w:val="16"/>
              </w:rPr>
              <w:t>Mitigation of lead-based paint hazards</w:t>
            </w:r>
          </w:p>
        </w:tc>
        <w:tc>
          <w:tcPr>
            <w:tcW w:w="6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16</w:t>
            </w:r>
          </w:p>
        </w:tc>
        <w:tc>
          <w:tcPr>
            <w:tcW w:w="6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93</w:t>
            </w:r>
          </w:p>
        </w:tc>
        <w:tc>
          <w:tcPr>
            <w:tcW w:w="852"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84</w:t>
            </w:r>
          </w:p>
        </w:tc>
        <w:tc>
          <w:tcPr>
            <w:tcW w:w="608" w:type="dxa"/>
            <w:tcBorders>
              <w:top w:val="nil"/>
              <w:left w:val="nil"/>
              <w:bottom w:val="nil"/>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34</w:t>
            </w:r>
          </w:p>
        </w:tc>
        <w:tc>
          <w:tcPr>
            <w:tcW w:w="970" w:type="dxa"/>
            <w:tcBorders>
              <w:top w:val="nil"/>
              <w:left w:val="nil"/>
              <w:bottom w:val="nil"/>
              <w:right w:val="nil"/>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116</w:t>
            </w:r>
          </w:p>
        </w:tc>
        <w:tc>
          <w:tcPr>
            <w:tcW w:w="701" w:type="dxa"/>
            <w:tcBorders>
              <w:top w:val="nil"/>
              <w:left w:val="nil"/>
              <w:bottom w:val="nil"/>
              <w:right w:val="single" w:sz="8" w:space="0" w:color="009900"/>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343</w:t>
            </w:r>
          </w:p>
        </w:tc>
      </w:tr>
      <w:tr w:rsidR="009336CB" w:rsidTr="00925169">
        <w:trPr>
          <w:trHeight w:val="229"/>
          <w:jc w:val="center"/>
        </w:trPr>
        <w:tc>
          <w:tcPr>
            <w:tcW w:w="4313" w:type="dxa"/>
            <w:tcBorders>
              <w:top w:val="nil"/>
              <w:left w:val="single" w:sz="8" w:space="0" w:color="009900"/>
              <w:bottom w:val="single" w:sz="8" w:space="0" w:color="009900"/>
              <w:right w:val="nil"/>
            </w:tcBorders>
            <w:shd w:val="clear" w:color="000000" w:fill="FFFFE1"/>
            <w:noWrap/>
            <w:vAlign w:val="center"/>
            <w:hideMark/>
          </w:tcPr>
          <w:p w:rsidR="009336CB" w:rsidRDefault="009336CB">
            <w:pPr>
              <w:rPr>
                <w:rFonts w:ascii="Arial" w:hAnsi="Arial" w:cs="Arial"/>
                <w:color w:val="000000"/>
                <w:sz w:val="16"/>
                <w:szCs w:val="16"/>
              </w:rPr>
            </w:pPr>
            <w:r>
              <w:rPr>
                <w:rFonts w:ascii="Arial" w:hAnsi="Arial" w:cs="Arial"/>
                <w:color w:val="000000"/>
                <w:sz w:val="16"/>
                <w:szCs w:val="16"/>
              </w:rPr>
              <w:t>Other public services</w:t>
            </w:r>
          </w:p>
        </w:tc>
        <w:tc>
          <w:tcPr>
            <w:tcW w:w="608" w:type="dxa"/>
            <w:tcBorders>
              <w:top w:val="nil"/>
              <w:left w:val="nil"/>
              <w:bottom w:val="single" w:sz="8" w:space="0" w:color="009900"/>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5</w:t>
            </w:r>
          </w:p>
        </w:tc>
        <w:tc>
          <w:tcPr>
            <w:tcW w:w="608" w:type="dxa"/>
            <w:tcBorders>
              <w:top w:val="nil"/>
              <w:left w:val="nil"/>
              <w:bottom w:val="single" w:sz="8" w:space="0" w:color="009900"/>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color w:val="000000"/>
                <w:sz w:val="16"/>
                <w:szCs w:val="16"/>
              </w:rPr>
              <w:t> </w:t>
            </w:r>
          </w:p>
        </w:tc>
        <w:tc>
          <w:tcPr>
            <w:tcW w:w="852" w:type="dxa"/>
            <w:tcBorders>
              <w:top w:val="nil"/>
              <w:left w:val="nil"/>
              <w:bottom w:val="single" w:sz="8" w:space="0" w:color="009900"/>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color w:val="000000"/>
                <w:sz w:val="16"/>
                <w:szCs w:val="16"/>
              </w:rPr>
              <w:t> </w:t>
            </w:r>
          </w:p>
        </w:tc>
        <w:tc>
          <w:tcPr>
            <w:tcW w:w="608" w:type="dxa"/>
            <w:tcBorders>
              <w:top w:val="nil"/>
              <w:left w:val="nil"/>
              <w:bottom w:val="single" w:sz="8" w:space="0" w:color="009900"/>
              <w:right w:val="nil"/>
            </w:tcBorders>
            <w:shd w:val="clear" w:color="000000" w:fill="FFFFE1"/>
            <w:noWrap/>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9</w:t>
            </w:r>
          </w:p>
        </w:tc>
        <w:tc>
          <w:tcPr>
            <w:tcW w:w="970" w:type="dxa"/>
            <w:tcBorders>
              <w:top w:val="nil"/>
              <w:left w:val="nil"/>
              <w:bottom w:val="single" w:sz="8" w:space="0" w:color="009900"/>
              <w:right w:val="nil"/>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329</w:t>
            </w:r>
          </w:p>
        </w:tc>
        <w:tc>
          <w:tcPr>
            <w:tcW w:w="701" w:type="dxa"/>
            <w:tcBorders>
              <w:top w:val="nil"/>
              <w:left w:val="nil"/>
              <w:bottom w:val="single" w:sz="8" w:space="0" w:color="009900"/>
              <w:right w:val="single" w:sz="8" w:space="0" w:color="009900"/>
            </w:tcBorders>
            <w:shd w:val="clear" w:color="000000" w:fill="FFFFE1"/>
            <w:vAlign w:val="center"/>
            <w:hideMark/>
          </w:tcPr>
          <w:p w:rsidR="009336CB" w:rsidRDefault="009336CB">
            <w:pPr>
              <w:jc w:val="center"/>
              <w:rPr>
                <w:rFonts w:ascii="Arial" w:hAnsi="Arial" w:cs="Arial"/>
                <w:color w:val="000000"/>
                <w:sz w:val="16"/>
                <w:szCs w:val="16"/>
              </w:rPr>
            </w:pPr>
            <w:r>
              <w:rPr>
                <w:rFonts w:ascii="Arial" w:hAnsi="Arial" w:cs="Arial"/>
                <w:noProof/>
                <w:color w:val="000000"/>
                <w:sz w:val="16"/>
                <w:szCs w:val="16"/>
              </w:rPr>
              <w:t>343</w:t>
            </w:r>
          </w:p>
        </w:tc>
      </w:tr>
    </w:tbl>
    <w:p w:rsidR="0035571F" w:rsidRPr="00925169" w:rsidRDefault="0035571F" w:rsidP="0035571F">
      <w:pPr>
        <w:pStyle w:val="BodyText"/>
        <w:tabs>
          <w:tab w:val="num" w:pos="360"/>
        </w:tabs>
        <w:rPr>
          <w:rFonts w:ascii="CG Omega" w:hAnsi="CG Omega"/>
          <w:szCs w:val="24"/>
          <w:highlight w:val="yellow"/>
        </w:rPr>
      </w:pPr>
    </w:p>
    <w:p w:rsidR="0035571F" w:rsidRPr="009B4972" w:rsidRDefault="0035571F" w:rsidP="00DF526D">
      <w:pPr>
        <w:jc w:val="both"/>
        <w:rPr>
          <w:rFonts w:ascii="CG Omega" w:hAnsi="CG Omega"/>
        </w:rPr>
      </w:pPr>
      <w:r w:rsidRPr="009B4972">
        <w:rPr>
          <w:rFonts w:ascii="CG Omega" w:hAnsi="CG Omega"/>
        </w:rPr>
        <w:t xml:space="preserve">At the end of the survey participants were given the opportunity to comment on barriers or constraints to addressing the community and economic development needs identified in the survey. </w:t>
      </w:r>
      <w:r w:rsidR="009B4972" w:rsidRPr="009B4972">
        <w:rPr>
          <w:rFonts w:ascii="CG Omega" w:hAnsi="CG Omega"/>
        </w:rPr>
        <w:t xml:space="preserve">Some comments included the lack of adequate infrastructure and water systems to meet housing and economic growth needs.  </w:t>
      </w:r>
      <w:r w:rsidRPr="009B4972">
        <w:rPr>
          <w:rFonts w:ascii="CG Omega" w:hAnsi="CG Omega"/>
        </w:rPr>
        <w:t xml:space="preserve"> </w:t>
      </w:r>
    </w:p>
    <w:p w:rsidR="0035571F" w:rsidRPr="00925169" w:rsidRDefault="0035571F" w:rsidP="006700D6">
      <w:pPr>
        <w:rPr>
          <w:rFonts w:ascii="CG Omega" w:hAnsi="CG Omega"/>
          <w:b/>
          <w:bCs/>
          <w:smallCaps/>
          <w:highlight w:val="yellow"/>
        </w:rPr>
      </w:pPr>
    </w:p>
    <w:p w:rsidR="00EA3D36" w:rsidRPr="00F2293B" w:rsidRDefault="000869BD" w:rsidP="00BB666B">
      <w:pPr>
        <w:pStyle w:val="FirstHead"/>
      </w:pPr>
      <w:bookmarkStart w:id="125" w:name="_Toc233426591"/>
      <w:bookmarkStart w:id="126" w:name="_Toc233426776"/>
      <w:bookmarkStart w:id="127" w:name="_Toc399834588"/>
      <w:r w:rsidRPr="00F2293B">
        <w:t>C</w:t>
      </w:r>
      <w:r w:rsidR="00EA3D36" w:rsidRPr="00F2293B">
        <w:t xml:space="preserve">. </w:t>
      </w:r>
      <w:r w:rsidR="006700D6" w:rsidRPr="00F2293B">
        <w:t>Priority Community Development Needs</w:t>
      </w:r>
      <w:bookmarkEnd w:id="125"/>
      <w:bookmarkEnd w:id="126"/>
      <w:r w:rsidR="00307BB1" w:rsidRPr="00F2293B">
        <w:t xml:space="preserve"> Rankings</w:t>
      </w:r>
      <w:bookmarkEnd w:id="127"/>
    </w:p>
    <w:p w:rsidR="00EA3D36" w:rsidRPr="00925169" w:rsidRDefault="00EA3D36" w:rsidP="00BE79E9">
      <w:pPr>
        <w:jc w:val="both"/>
        <w:rPr>
          <w:rFonts w:ascii="CG Omega" w:hAnsi="CG Omega"/>
          <w:b/>
          <w:bCs/>
          <w:highlight w:val="yellow"/>
        </w:rPr>
      </w:pPr>
    </w:p>
    <w:p w:rsidR="006700D6" w:rsidRPr="00F2293B" w:rsidRDefault="006700D6" w:rsidP="00BE79E9">
      <w:pPr>
        <w:pStyle w:val="BodyText"/>
        <w:tabs>
          <w:tab w:val="num" w:pos="360"/>
        </w:tabs>
        <w:rPr>
          <w:rFonts w:ascii="CG Omega" w:hAnsi="CG Omega"/>
          <w:szCs w:val="24"/>
        </w:rPr>
      </w:pPr>
      <w:r w:rsidRPr="00F2293B">
        <w:rPr>
          <w:rFonts w:ascii="CG Omega" w:hAnsi="CG Omega"/>
          <w:szCs w:val="24"/>
        </w:rPr>
        <w:t>Assignment of the ranking of the public facility needs, infrastructure, public service needs, special needs groups, and economic development are all presente</w:t>
      </w:r>
      <w:r w:rsidR="00C76357" w:rsidRPr="00F2293B">
        <w:rPr>
          <w:rFonts w:ascii="CG Omega" w:hAnsi="CG Omega"/>
          <w:szCs w:val="24"/>
        </w:rPr>
        <w:t xml:space="preserve">d in the Priority Needs </w:t>
      </w:r>
      <w:r w:rsidR="00C76357" w:rsidRPr="00925169">
        <w:rPr>
          <w:rFonts w:ascii="CG Omega" w:hAnsi="CG Omega"/>
          <w:b/>
          <w:szCs w:val="24"/>
        </w:rPr>
        <w:t>Table 2B</w:t>
      </w:r>
      <w:r w:rsidR="00B04744" w:rsidRPr="00F2293B">
        <w:rPr>
          <w:rFonts w:ascii="CG Omega" w:hAnsi="CG Omega"/>
          <w:szCs w:val="24"/>
        </w:rPr>
        <w:t>, on the following page.</w:t>
      </w:r>
      <w:r w:rsidR="009C441D" w:rsidRPr="00F2293B">
        <w:rPr>
          <w:rFonts w:ascii="CG Omega" w:hAnsi="CG Omega"/>
          <w:szCs w:val="24"/>
        </w:rPr>
        <w:t xml:space="preserve">  </w:t>
      </w:r>
    </w:p>
    <w:p w:rsidR="00F876AD" w:rsidRPr="00955C8C" w:rsidRDefault="00873C5E" w:rsidP="00F876AD">
      <w:pPr>
        <w:rPr>
          <w:sz w:val="2"/>
          <w:szCs w:val="2"/>
          <w:highlight w:val="yellow"/>
        </w:rPr>
      </w:pPr>
      <w:r w:rsidRPr="00955C8C">
        <w:rPr>
          <w:sz w:val="20"/>
          <w:szCs w:val="20"/>
          <w:highlight w:val="yellow"/>
        </w:rPr>
        <w:br w:type="page"/>
      </w:r>
    </w:p>
    <w:p w:rsidR="008436AB" w:rsidRPr="005B5B20" w:rsidRDefault="008436AB" w:rsidP="008436AB">
      <w:pPr>
        <w:pStyle w:val="Heading1"/>
        <w:rPr>
          <w:sz w:val="22"/>
          <w:szCs w:val="22"/>
        </w:rPr>
      </w:pPr>
      <w:r w:rsidRPr="005B5B20">
        <w:rPr>
          <w:sz w:val="22"/>
          <w:szCs w:val="22"/>
        </w:rPr>
        <w:t>HUD Table 2B</w:t>
      </w:r>
    </w:p>
    <w:p w:rsidR="008436AB" w:rsidRPr="005B5B20" w:rsidRDefault="008436AB" w:rsidP="008436AB">
      <w:pPr>
        <w:pStyle w:val="Header"/>
        <w:jc w:val="center"/>
        <w:rPr>
          <w:rFonts w:ascii="Arial" w:hAnsi="Arial" w:cs="Arial"/>
          <w:b/>
          <w:sz w:val="18"/>
          <w:szCs w:val="18"/>
        </w:rPr>
      </w:pPr>
      <w:r w:rsidRPr="005B5B20">
        <w:rPr>
          <w:rFonts w:ascii="Arial" w:hAnsi="Arial" w:cs="Arial"/>
          <w:b/>
          <w:sz w:val="18"/>
          <w:szCs w:val="18"/>
        </w:rPr>
        <w:t>Community Development Needs in New Mexico</w:t>
      </w:r>
    </w:p>
    <w:p w:rsidR="00980849" w:rsidRDefault="005B5B20" w:rsidP="008436AB">
      <w:pPr>
        <w:pStyle w:val="Header"/>
        <w:jc w:val="center"/>
        <w:rPr>
          <w:rFonts w:ascii="Arial" w:hAnsi="Arial" w:cs="Arial"/>
          <w:sz w:val="16"/>
          <w:szCs w:val="16"/>
        </w:rPr>
      </w:pPr>
      <w:r>
        <w:rPr>
          <w:rFonts w:ascii="Arial" w:hAnsi="Arial" w:cs="Arial"/>
          <w:sz w:val="16"/>
          <w:szCs w:val="16"/>
        </w:rPr>
        <w:t>2015-2019</w:t>
      </w:r>
      <w:r w:rsidR="00980849" w:rsidRPr="00980849">
        <w:rPr>
          <w:rFonts w:ascii="Arial" w:hAnsi="Arial" w:cs="Arial"/>
          <w:sz w:val="16"/>
          <w:szCs w:val="16"/>
        </w:rPr>
        <w:t xml:space="preserve"> I</w:t>
      </w:r>
      <w:r w:rsidR="00980849">
        <w:rPr>
          <w:rFonts w:ascii="Arial" w:hAnsi="Arial" w:cs="Arial"/>
          <w:sz w:val="16"/>
          <w:szCs w:val="16"/>
        </w:rPr>
        <w:t>nfrastructure Capital Improvement Plan</w:t>
      </w:r>
    </w:p>
    <w:p w:rsidR="005B5B20" w:rsidRPr="005B5B20" w:rsidRDefault="005B5B20" w:rsidP="008436AB">
      <w:pPr>
        <w:pStyle w:val="Header"/>
        <w:jc w:val="center"/>
        <w:rPr>
          <w:sz w:val="12"/>
          <w:szCs w:val="12"/>
        </w:rPr>
      </w:pPr>
      <w:r w:rsidRPr="005B5B20">
        <w:rPr>
          <w:rFonts w:ascii="Arial" w:hAnsi="Arial" w:cs="Arial"/>
          <w:sz w:val="12"/>
          <w:szCs w:val="12"/>
        </w:rPr>
        <w:t>Municipalities, Counties, and Special Districts</w:t>
      </w:r>
    </w:p>
    <w:tbl>
      <w:tblPr>
        <w:tblW w:w="8560" w:type="dxa"/>
        <w:jc w:val="center"/>
        <w:tblLook w:val="04A0" w:firstRow="1" w:lastRow="0" w:firstColumn="1" w:lastColumn="0" w:noHBand="0" w:noVBand="1"/>
      </w:tblPr>
      <w:tblGrid>
        <w:gridCol w:w="3760"/>
        <w:gridCol w:w="3040"/>
        <w:gridCol w:w="1760"/>
      </w:tblGrid>
      <w:tr w:rsidR="008436AB" w:rsidTr="005B5B20">
        <w:trPr>
          <w:trHeight w:val="402"/>
          <w:jc w:val="center"/>
        </w:trPr>
        <w:tc>
          <w:tcPr>
            <w:tcW w:w="3760" w:type="dxa"/>
            <w:tcBorders>
              <w:top w:val="single" w:sz="12" w:space="0" w:color="auto"/>
              <w:left w:val="single" w:sz="12" w:space="0" w:color="auto"/>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b/>
                <w:bCs/>
                <w:sz w:val="16"/>
                <w:szCs w:val="16"/>
              </w:rPr>
            </w:pPr>
            <w:r>
              <w:rPr>
                <w:rFonts w:ascii="Arial" w:hAnsi="Arial" w:cs="Arial"/>
                <w:b/>
                <w:bCs/>
                <w:sz w:val="16"/>
                <w:szCs w:val="16"/>
              </w:rPr>
              <w:t>PRIORITY COMMUNITY DEVELOPMENT NEEDS</w:t>
            </w:r>
          </w:p>
        </w:tc>
        <w:tc>
          <w:tcPr>
            <w:tcW w:w="3040" w:type="dxa"/>
            <w:tcBorders>
              <w:top w:val="single" w:sz="12" w:space="0" w:color="auto"/>
              <w:left w:val="nil"/>
              <w:bottom w:val="single" w:sz="8" w:space="0" w:color="auto"/>
              <w:right w:val="single" w:sz="8" w:space="0" w:color="auto"/>
            </w:tcBorders>
            <w:shd w:val="clear" w:color="auto" w:fill="auto"/>
            <w:vAlign w:val="bottom"/>
            <w:hideMark/>
          </w:tcPr>
          <w:p w:rsidR="008436AB" w:rsidRDefault="008436AB" w:rsidP="00E65913">
            <w:pPr>
              <w:jc w:val="center"/>
              <w:rPr>
                <w:rFonts w:ascii="Arial" w:hAnsi="Arial" w:cs="Arial"/>
                <w:b/>
                <w:bCs/>
                <w:sz w:val="16"/>
                <w:szCs w:val="16"/>
              </w:rPr>
            </w:pPr>
            <w:r>
              <w:rPr>
                <w:rFonts w:ascii="Arial" w:hAnsi="Arial" w:cs="Arial"/>
                <w:b/>
                <w:bCs/>
                <w:sz w:val="16"/>
                <w:szCs w:val="16"/>
              </w:rPr>
              <w:t>Priority Need Level (High, Medium, Low, No Such Need)</w:t>
            </w:r>
          </w:p>
        </w:tc>
        <w:tc>
          <w:tcPr>
            <w:tcW w:w="1760" w:type="dxa"/>
            <w:tcBorders>
              <w:top w:val="single" w:sz="12" w:space="0" w:color="auto"/>
              <w:left w:val="nil"/>
              <w:bottom w:val="single" w:sz="8" w:space="0" w:color="auto"/>
              <w:right w:val="single" w:sz="12" w:space="0" w:color="auto"/>
            </w:tcBorders>
            <w:shd w:val="clear" w:color="auto" w:fill="auto"/>
            <w:vAlign w:val="center"/>
            <w:hideMark/>
          </w:tcPr>
          <w:p w:rsidR="008436AB" w:rsidRDefault="008436AB" w:rsidP="00E65913">
            <w:pPr>
              <w:jc w:val="center"/>
              <w:rPr>
                <w:rFonts w:ascii="Arial" w:hAnsi="Arial" w:cs="Arial"/>
                <w:b/>
                <w:bCs/>
                <w:sz w:val="16"/>
                <w:szCs w:val="16"/>
              </w:rPr>
            </w:pPr>
            <w:r>
              <w:rPr>
                <w:rFonts w:ascii="Arial" w:hAnsi="Arial" w:cs="Arial"/>
                <w:b/>
                <w:bCs/>
                <w:sz w:val="16"/>
                <w:szCs w:val="16"/>
              </w:rPr>
              <w:t>Dollars to Address Unmet Need</w:t>
            </w:r>
          </w:p>
        </w:tc>
      </w:tr>
      <w:tr w:rsidR="008436AB" w:rsidTr="008436AB">
        <w:trPr>
          <w:trHeight w:val="199"/>
          <w:jc w:val="center"/>
        </w:trPr>
        <w:tc>
          <w:tcPr>
            <w:tcW w:w="3760" w:type="dxa"/>
            <w:tcBorders>
              <w:top w:val="nil"/>
              <w:left w:val="single" w:sz="12" w:space="0" w:color="auto"/>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b/>
                <w:bCs/>
                <w:sz w:val="16"/>
                <w:szCs w:val="16"/>
              </w:rPr>
            </w:pPr>
            <w:r>
              <w:rPr>
                <w:rFonts w:ascii="Arial" w:hAnsi="Arial" w:cs="Arial"/>
                <w:b/>
                <w:bCs/>
                <w:sz w:val="16"/>
                <w:szCs w:val="16"/>
              </w:rPr>
              <w:t>Economic Development Activities</w:t>
            </w:r>
          </w:p>
        </w:tc>
        <w:tc>
          <w:tcPr>
            <w:tcW w:w="3040" w:type="dxa"/>
            <w:tcBorders>
              <w:top w:val="nil"/>
              <w:left w:val="nil"/>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b/>
                <w:bCs/>
                <w:sz w:val="16"/>
                <w:szCs w:val="16"/>
              </w:rPr>
            </w:pPr>
            <w:r>
              <w:rPr>
                <w:rFonts w:ascii="Arial" w:hAnsi="Arial" w:cs="Arial"/>
                <w:b/>
                <w:bCs/>
                <w:sz w:val="16"/>
                <w:szCs w:val="16"/>
              </w:rPr>
              <w:t> </w:t>
            </w:r>
          </w:p>
        </w:tc>
        <w:tc>
          <w:tcPr>
            <w:tcW w:w="1760" w:type="dxa"/>
            <w:tcBorders>
              <w:top w:val="nil"/>
              <w:left w:val="nil"/>
              <w:bottom w:val="single" w:sz="8" w:space="0" w:color="auto"/>
              <w:right w:val="single" w:sz="12" w:space="0" w:color="auto"/>
            </w:tcBorders>
            <w:shd w:val="clear" w:color="auto" w:fill="auto"/>
            <w:noWrap/>
            <w:vAlign w:val="center"/>
            <w:hideMark/>
          </w:tcPr>
          <w:p w:rsidR="008436AB" w:rsidRDefault="008436AB" w:rsidP="00E65913">
            <w:pPr>
              <w:jc w:val="center"/>
              <w:rPr>
                <w:rFonts w:ascii="Arial" w:hAnsi="Arial" w:cs="Arial"/>
                <w:b/>
                <w:bCs/>
                <w:sz w:val="16"/>
                <w:szCs w:val="16"/>
              </w:rPr>
            </w:pPr>
            <w:r>
              <w:rPr>
                <w:rFonts w:ascii="Arial" w:hAnsi="Arial" w:cs="Arial"/>
                <w:b/>
                <w:bCs/>
                <w:sz w:val="16"/>
                <w:szCs w:val="16"/>
              </w:rPr>
              <w:t> </w:t>
            </w:r>
          </w:p>
        </w:tc>
      </w:tr>
      <w:tr w:rsidR="008436AB" w:rsidTr="008436AB">
        <w:trPr>
          <w:trHeight w:val="199"/>
          <w:jc w:val="center"/>
        </w:trPr>
        <w:tc>
          <w:tcPr>
            <w:tcW w:w="3760" w:type="dxa"/>
            <w:tcBorders>
              <w:top w:val="nil"/>
              <w:left w:val="single" w:sz="12" w:space="0" w:color="auto"/>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sz w:val="16"/>
                <w:szCs w:val="16"/>
              </w:rPr>
            </w:pPr>
            <w:r>
              <w:rPr>
                <w:rFonts w:ascii="Arial" w:hAnsi="Arial" w:cs="Arial"/>
                <w:sz w:val="16"/>
                <w:szCs w:val="16"/>
              </w:rPr>
              <w:t>Economic Development</w:t>
            </w:r>
          </w:p>
        </w:tc>
        <w:tc>
          <w:tcPr>
            <w:tcW w:w="3040" w:type="dxa"/>
            <w:tcBorders>
              <w:top w:val="nil"/>
              <w:left w:val="nil"/>
              <w:bottom w:val="single" w:sz="8" w:space="0" w:color="auto"/>
              <w:right w:val="single" w:sz="8" w:space="0" w:color="auto"/>
            </w:tcBorders>
            <w:shd w:val="clear" w:color="auto" w:fill="auto"/>
            <w:noWrap/>
            <w:vAlign w:val="bottom"/>
            <w:hideMark/>
          </w:tcPr>
          <w:p w:rsidR="008436AB" w:rsidRDefault="00F215BB" w:rsidP="00F215BB">
            <w:pPr>
              <w:jc w:val="center"/>
              <w:rPr>
                <w:rFonts w:ascii="Arial" w:hAnsi="Arial" w:cs="Arial"/>
                <w:sz w:val="16"/>
                <w:szCs w:val="16"/>
              </w:rPr>
            </w:pPr>
            <w:r>
              <w:rPr>
                <w:rFonts w:ascii="Arial" w:hAnsi="Arial" w:cs="Arial"/>
                <w:sz w:val="16"/>
                <w:szCs w:val="16"/>
              </w:rPr>
              <w:t>H</w:t>
            </w:r>
          </w:p>
        </w:tc>
        <w:tc>
          <w:tcPr>
            <w:tcW w:w="1760" w:type="dxa"/>
            <w:tcBorders>
              <w:top w:val="nil"/>
              <w:left w:val="nil"/>
              <w:bottom w:val="single" w:sz="8" w:space="0" w:color="auto"/>
              <w:right w:val="single" w:sz="12" w:space="0" w:color="auto"/>
            </w:tcBorders>
            <w:shd w:val="clear" w:color="auto" w:fill="auto"/>
            <w:noWrap/>
            <w:vAlign w:val="center"/>
            <w:hideMark/>
          </w:tcPr>
          <w:p w:rsidR="008436AB" w:rsidRDefault="008436AB" w:rsidP="00E65913">
            <w:pPr>
              <w:jc w:val="center"/>
              <w:rPr>
                <w:rFonts w:ascii="Arial" w:hAnsi="Arial" w:cs="Arial"/>
                <w:sz w:val="16"/>
                <w:szCs w:val="16"/>
              </w:rPr>
            </w:pPr>
            <w:r>
              <w:rPr>
                <w:rFonts w:ascii="Arial" w:hAnsi="Arial" w:cs="Arial"/>
                <w:sz w:val="16"/>
                <w:szCs w:val="16"/>
              </w:rPr>
              <w:t>265,480,417</w:t>
            </w:r>
          </w:p>
        </w:tc>
      </w:tr>
      <w:tr w:rsidR="008436AB" w:rsidTr="008436AB">
        <w:trPr>
          <w:trHeight w:val="199"/>
          <w:jc w:val="center"/>
        </w:trPr>
        <w:tc>
          <w:tcPr>
            <w:tcW w:w="3760" w:type="dxa"/>
            <w:tcBorders>
              <w:top w:val="nil"/>
              <w:left w:val="single" w:sz="12" w:space="0" w:color="auto"/>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b/>
                <w:bCs/>
                <w:sz w:val="16"/>
                <w:szCs w:val="16"/>
              </w:rPr>
            </w:pPr>
            <w:r>
              <w:rPr>
                <w:rFonts w:ascii="Arial" w:hAnsi="Arial" w:cs="Arial"/>
                <w:b/>
                <w:bCs/>
                <w:sz w:val="16"/>
                <w:szCs w:val="16"/>
              </w:rPr>
              <w:t>Human and Public Services</w:t>
            </w:r>
          </w:p>
        </w:tc>
        <w:tc>
          <w:tcPr>
            <w:tcW w:w="3040" w:type="dxa"/>
            <w:tcBorders>
              <w:top w:val="nil"/>
              <w:left w:val="nil"/>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sz w:val="16"/>
                <w:szCs w:val="16"/>
              </w:rPr>
            </w:pPr>
            <w:r>
              <w:rPr>
                <w:rFonts w:ascii="Arial" w:hAnsi="Arial" w:cs="Arial"/>
                <w:sz w:val="16"/>
                <w:szCs w:val="16"/>
              </w:rPr>
              <w:t> </w:t>
            </w:r>
          </w:p>
        </w:tc>
        <w:tc>
          <w:tcPr>
            <w:tcW w:w="1760" w:type="dxa"/>
            <w:tcBorders>
              <w:top w:val="nil"/>
              <w:left w:val="nil"/>
              <w:bottom w:val="single" w:sz="8" w:space="0" w:color="auto"/>
              <w:right w:val="single" w:sz="12" w:space="0" w:color="auto"/>
            </w:tcBorders>
            <w:shd w:val="clear" w:color="auto" w:fill="auto"/>
            <w:noWrap/>
            <w:vAlign w:val="center"/>
            <w:hideMark/>
          </w:tcPr>
          <w:p w:rsidR="008436AB" w:rsidRDefault="008436AB" w:rsidP="00E65913">
            <w:pPr>
              <w:jc w:val="center"/>
              <w:rPr>
                <w:rFonts w:ascii="Arial" w:hAnsi="Arial" w:cs="Arial"/>
                <w:sz w:val="16"/>
                <w:szCs w:val="16"/>
              </w:rPr>
            </w:pPr>
            <w:r>
              <w:rPr>
                <w:rFonts w:ascii="Arial" w:hAnsi="Arial" w:cs="Arial"/>
                <w:sz w:val="16"/>
                <w:szCs w:val="16"/>
              </w:rPr>
              <w:t> </w:t>
            </w:r>
          </w:p>
        </w:tc>
      </w:tr>
      <w:tr w:rsidR="008436AB" w:rsidTr="008436AB">
        <w:trPr>
          <w:trHeight w:val="199"/>
          <w:jc w:val="center"/>
        </w:trPr>
        <w:tc>
          <w:tcPr>
            <w:tcW w:w="3760" w:type="dxa"/>
            <w:tcBorders>
              <w:top w:val="nil"/>
              <w:left w:val="single" w:sz="12" w:space="0" w:color="auto"/>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sz w:val="16"/>
                <w:szCs w:val="16"/>
              </w:rPr>
            </w:pPr>
            <w:r>
              <w:rPr>
                <w:rFonts w:ascii="Arial" w:hAnsi="Arial" w:cs="Arial"/>
                <w:sz w:val="16"/>
                <w:szCs w:val="16"/>
              </w:rPr>
              <w:t>Adm/Service Facilities (local)</w:t>
            </w:r>
          </w:p>
        </w:tc>
        <w:tc>
          <w:tcPr>
            <w:tcW w:w="3040" w:type="dxa"/>
            <w:tcBorders>
              <w:top w:val="nil"/>
              <w:left w:val="nil"/>
              <w:bottom w:val="single" w:sz="8" w:space="0" w:color="auto"/>
              <w:right w:val="single" w:sz="8" w:space="0" w:color="auto"/>
            </w:tcBorders>
            <w:shd w:val="clear" w:color="auto" w:fill="auto"/>
            <w:noWrap/>
            <w:vAlign w:val="bottom"/>
            <w:hideMark/>
          </w:tcPr>
          <w:p w:rsidR="008436AB" w:rsidRDefault="00F215BB" w:rsidP="00F215BB">
            <w:pPr>
              <w:jc w:val="center"/>
              <w:rPr>
                <w:rFonts w:ascii="Arial" w:hAnsi="Arial" w:cs="Arial"/>
                <w:sz w:val="16"/>
                <w:szCs w:val="16"/>
              </w:rPr>
            </w:pPr>
            <w:r>
              <w:rPr>
                <w:rFonts w:ascii="Arial" w:hAnsi="Arial" w:cs="Arial"/>
                <w:sz w:val="16"/>
                <w:szCs w:val="16"/>
              </w:rPr>
              <w:t>H</w:t>
            </w:r>
          </w:p>
        </w:tc>
        <w:tc>
          <w:tcPr>
            <w:tcW w:w="1760" w:type="dxa"/>
            <w:tcBorders>
              <w:top w:val="nil"/>
              <w:left w:val="nil"/>
              <w:bottom w:val="single" w:sz="8" w:space="0" w:color="auto"/>
              <w:right w:val="single" w:sz="12" w:space="0" w:color="auto"/>
            </w:tcBorders>
            <w:shd w:val="clear" w:color="auto" w:fill="auto"/>
            <w:noWrap/>
            <w:vAlign w:val="center"/>
            <w:hideMark/>
          </w:tcPr>
          <w:p w:rsidR="008436AB" w:rsidRDefault="008436AB" w:rsidP="00E65913">
            <w:pPr>
              <w:jc w:val="center"/>
              <w:rPr>
                <w:rFonts w:ascii="Arial" w:hAnsi="Arial" w:cs="Arial"/>
                <w:sz w:val="16"/>
                <w:szCs w:val="16"/>
              </w:rPr>
            </w:pPr>
            <w:r>
              <w:rPr>
                <w:rFonts w:ascii="Arial" w:hAnsi="Arial" w:cs="Arial"/>
                <w:sz w:val="16"/>
                <w:szCs w:val="16"/>
              </w:rPr>
              <w:t>504,422,281</w:t>
            </w:r>
          </w:p>
        </w:tc>
      </w:tr>
      <w:tr w:rsidR="008436AB" w:rsidTr="008436AB">
        <w:trPr>
          <w:trHeight w:val="199"/>
          <w:jc w:val="center"/>
        </w:trPr>
        <w:tc>
          <w:tcPr>
            <w:tcW w:w="3760" w:type="dxa"/>
            <w:tcBorders>
              <w:top w:val="nil"/>
              <w:left w:val="single" w:sz="12" w:space="0" w:color="auto"/>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sz w:val="16"/>
                <w:szCs w:val="16"/>
              </w:rPr>
            </w:pPr>
            <w:r>
              <w:rPr>
                <w:rFonts w:ascii="Arial" w:hAnsi="Arial" w:cs="Arial"/>
                <w:sz w:val="16"/>
                <w:szCs w:val="16"/>
              </w:rPr>
              <w:t>Arts (other than museums)</w:t>
            </w:r>
          </w:p>
        </w:tc>
        <w:tc>
          <w:tcPr>
            <w:tcW w:w="3040" w:type="dxa"/>
            <w:tcBorders>
              <w:top w:val="nil"/>
              <w:left w:val="nil"/>
              <w:bottom w:val="single" w:sz="8" w:space="0" w:color="auto"/>
              <w:right w:val="single" w:sz="8" w:space="0" w:color="auto"/>
            </w:tcBorders>
            <w:shd w:val="clear" w:color="auto" w:fill="auto"/>
            <w:noWrap/>
            <w:vAlign w:val="bottom"/>
            <w:hideMark/>
          </w:tcPr>
          <w:p w:rsidR="008436AB" w:rsidRDefault="00F215BB" w:rsidP="00F215BB">
            <w:pPr>
              <w:jc w:val="center"/>
              <w:rPr>
                <w:rFonts w:ascii="Arial" w:hAnsi="Arial" w:cs="Arial"/>
                <w:sz w:val="16"/>
                <w:szCs w:val="16"/>
              </w:rPr>
            </w:pPr>
            <w:r>
              <w:rPr>
                <w:rFonts w:ascii="Arial" w:hAnsi="Arial" w:cs="Arial"/>
                <w:sz w:val="16"/>
                <w:szCs w:val="16"/>
              </w:rPr>
              <w:t>H</w:t>
            </w:r>
          </w:p>
        </w:tc>
        <w:tc>
          <w:tcPr>
            <w:tcW w:w="1760" w:type="dxa"/>
            <w:tcBorders>
              <w:top w:val="nil"/>
              <w:left w:val="nil"/>
              <w:bottom w:val="single" w:sz="8" w:space="0" w:color="auto"/>
              <w:right w:val="single" w:sz="12" w:space="0" w:color="auto"/>
            </w:tcBorders>
            <w:shd w:val="clear" w:color="auto" w:fill="auto"/>
            <w:noWrap/>
            <w:vAlign w:val="center"/>
            <w:hideMark/>
          </w:tcPr>
          <w:p w:rsidR="008436AB" w:rsidRDefault="008436AB" w:rsidP="00E65913">
            <w:pPr>
              <w:jc w:val="center"/>
              <w:rPr>
                <w:rFonts w:ascii="Arial" w:hAnsi="Arial" w:cs="Arial"/>
                <w:sz w:val="16"/>
                <w:szCs w:val="16"/>
              </w:rPr>
            </w:pPr>
            <w:r>
              <w:rPr>
                <w:rFonts w:ascii="Arial" w:hAnsi="Arial" w:cs="Arial"/>
                <w:sz w:val="16"/>
                <w:szCs w:val="16"/>
              </w:rPr>
              <w:t>1,922,203</w:t>
            </w:r>
          </w:p>
        </w:tc>
      </w:tr>
      <w:tr w:rsidR="008436AB" w:rsidTr="008436AB">
        <w:trPr>
          <w:trHeight w:val="199"/>
          <w:jc w:val="center"/>
        </w:trPr>
        <w:tc>
          <w:tcPr>
            <w:tcW w:w="3760" w:type="dxa"/>
            <w:tcBorders>
              <w:top w:val="nil"/>
              <w:left w:val="single" w:sz="12" w:space="0" w:color="auto"/>
              <w:bottom w:val="single" w:sz="8" w:space="0" w:color="auto"/>
              <w:right w:val="single" w:sz="8" w:space="0" w:color="auto"/>
            </w:tcBorders>
            <w:shd w:val="clear" w:color="auto" w:fill="auto"/>
            <w:noWrap/>
            <w:vAlign w:val="bottom"/>
            <w:hideMark/>
          </w:tcPr>
          <w:p w:rsidR="008436AB" w:rsidRDefault="00B71DBB" w:rsidP="00E65913">
            <w:pPr>
              <w:rPr>
                <w:rFonts w:ascii="Arial" w:hAnsi="Arial" w:cs="Arial"/>
                <w:sz w:val="16"/>
                <w:szCs w:val="16"/>
              </w:rPr>
            </w:pPr>
            <w:r>
              <w:rPr>
                <w:rFonts w:ascii="Arial" w:hAnsi="Arial" w:cs="Arial"/>
                <w:sz w:val="16"/>
                <w:szCs w:val="16"/>
              </w:rPr>
              <w:t>Childcare</w:t>
            </w:r>
            <w:r w:rsidR="008436AB">
              <w:rPr>
                <w:rFonts w:ascii="Arial" w:hAnsi="Arial" w:cs="Arial"/>
                <w:sz w:val="16"/>
                <w:szCs w:val="16"/>
              </w:rPr>
              <w:t xml:space="preserve"> Services</w:t>
            </w:r>
          </w:p>
        </w:tc>
        <w:tc>
          <w:tcPr>
            <w:tcW w:w="3040" w:type="dxa"/>
            <w:tcBorders>
              <w:top w:val="nil"/>
              <w:left w:val="nil"/>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sz w:val="16"/>
                <w:szCs w:val="16"/>
              </w:rPr>
            </w:pPr>
            <w:r>
              <w:rPr>
                <w:rFonts w:ascii="Arial" w:hAnsi="Arial" w:cs="Arial"/>
                <w:sz w:val="16"/>
                <w:szCs w:val="16"/>
              </w:rPr>
              <w:t> </w:t>
            </w:r>
          </w:p>
        </w:tc>
        <w:tc>
          <w:tcPr>
            <w:tcW w:w="1760" w:type="dxa"/>
            <w:tcBorders>
              <w:top w:val="nil"/>
              <w:left w:val="nil"/>
              <w:bottom w:val="single" w:sz="8" w:space="0" w:color="auto"/>
              <w:right w:val="single" w:sz="12" w:space="0" w:color="auto"/>
            </w:tcBorders>
            <w:shd w:val="clear" w:color="auto" w:fill="auto"/>
            <w:noWrap/>
            <w:vAlign w:val="center"/>
            <w:hideMark/>
          </w:tcPr>
          <w:p w:rsidR="008436AB" w:rsidRDefault="008436AB" w:rsidP="00E65913">
            <w:pPr>
              <w:jc w:val="center"/>
              <w:rPr>
                <w:rFonts w:ascii="Arial" w:hAnsi="Arial" w:cs="Arial"/>
                <w:sz w:val="16"/>
                <w:szCs w:val="16"/>
              </w:rPr>
            </w:pPr>
            <w:r>
              <w:rPr>
                <w:rFonts w:ascii="Arial" w:hAnsi="Arial" w:cs="Arial"/>
                <w:sz w:val="16"/>
                <w:szCs w:val="16"/>
              </w:rPr>
              <w:t> </w:t>
            </w:r>
          </w:p>
        </w:tc>
      </w:tr>
      <w:tr w:rsidR="008436AB" w:rsidTr="008436AB">
        <w:trPr>
          <w:trHeight w:val="199"/>
          <w:jc w:val="center"/>
        </w:trPr>
        <w:tc>
          <w:tcPr>
            <w:tcW w:w="3760" w:type="dxa"/>
            <w:tcBorders>
              <w:top w:val="nil"/>
              <w:left w:val="single" w:sz="12" w:space="0" w:color="auto"/>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sz w:val="16"/>
                <w:szCs w:val="16"/>
              </w:rPr>
            </w:pPr>
            <w:r>
              <w:rPr>
                <w:rFonts w:ascii="Arial" w:hAnsi="Arial" w:cs="Arial"/>
                <w:sz w:val="16"/>
                <w:szCs w:val="16"/>
              </w:rPr>
              <w:t>Expand Services for youth</w:t>
            </w:r>
          </w:p>
        </w:tc>
        <w:tc>
          <w:tcPr>
            <w:tcW w:w="3040" w:type="dxa"/>
            <w:tcBorders>
              <w:top w:val="nil"/>
              <w:left w:val="nil"/>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sz w:val="16"/>
                <w:szCs w:val="16"/>
              </w:rPr>
            </w:pPr>
            <w:r>
              <w:rPr>
                <w:rFonts w:ascii="Arial" w:hAnsi="Arial" w:cs="Arial"/>
                <w:sz w:val="16"/>
                <w:szCs w:val="16"/>
              </w:rPr>
              <w:t> </w:t>
            </w:r>
          </w:p>
        </w:tc>
        <w:tc>
          <w:tcPr>
            <w:tcW w:w="1760" w:type="dxa"/>
            <w:tcBorders>
              <w:top w:val="nil"/>
              <w:left w:val="nil"/>
              <w:bottom w:val="single" w:sz="8" w:space="0" w:color="auto"/>
              <w:right w:val="single" w:sz="12" w:space="0" w:color="auto"/>
            </w:tcBorders>
            <w:shd w:val="clear" w:color="auto" w:fill="auto"/>
            <w:noWrap/>
            <w:vAlign w:val="center"/>
            <w:hideMark/>
          </w:tcPr>
          <w:p w:rsidR="008436AB" w:rsidRDefault="008436AB" w:rsidP="00E65913">
            <w:pPr>
              <w:jc w:val="center"/>
              <w:rPr>
                <w:rFonts w:ascii="Arial" w:hAnsi="Arial" w:cs="Arial"/>
                <w:sz w:val="16"/>
                <w:szCs w:val="16"/>
              </w:rPr>
            </w:pPr>
            <w:r>
              <w:rPr>
                <w:rFonts w:ascii="Arial" w:hAnsi="Arial" w:cs="Arial"/>
                <w:sz w:val="16"/>
                <w:szCs w:val="16"/>
              </w:rPr>
              <w:t> </w:t>
            </w:r>
          </w:p>
        </w:tc>
      </w:tr>
      <w:tr w:rsidR="008436AB" w:rsidTr="008436AB">
        <w:trPr>
          <w:trHeight w:val="199"/>
          <w:jc w:val="center"/>
        </w:trPr>
        <w:tc>
          <w:tcPr>
            <w:tcW w:w="3760" w:type="dxa"/>
            <w:tcBorders>
              <w:top w:val="nil"/>
              <w:left w:val="single" w:sz="12" w:space="0" w:color="auto"/>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sz w:val="16"/>
                <w:szCs w:val="16"/>
              </w:rPr>
            </w:pPr>
            <w:r>
              <w:rPr>
                <w:rFonts w:ascii="Arial" w:hAnsi="Arial" w:cs="Arial"/>
                <w:sz w:val="16"/>
                <w:szCs w:val="16"/>
              </w:rPr>
              <w:t>Fire</w:t>
            </w:r>
          </w:p>
        </w:tc>
        <w:tc>
          <w:tcPr>
            <w:tcW w:w="3040" w:type="dxa"/>
            <w:tcBorders>
              <w:top w:val="nil"/>
              <w:left w:val="nil"/>
              <w:bottom w:val="single" w:sz="8" w:space="0" w:color="auto"/>
              <w:right w:val="single" w:sz="8" w:space="0" w:color="auto"/>
            </w:tcBorders>
            <w:shd w:val="clear" w:color="auto" w:fill="auto"/>
            <w:noWrap/>
            <w:vAlign w:val="bottom"/>
            <w:hideMark/>
          </w:tcPr>
          <w:p w:rsidR="008436AB" w:rsidRDefault="00F215BB" w:rsidP="00F215BB">
            <w:pPr>
              <w:jc w:val="center"/>
              <w:rPr>
                <w:rFonts w:ascii="Arial" w:hAnsi="Arial" w:cs="Arial"/>
                <w:sz w:val="16"/>
                <w:szCs w:val="16"/>
              </w:rPr>
            </w:pPr>
            <w:r>
              <w:rPr>
                <w:rFonts w:ascii="Arial" w:hAnsi="Arial" w:cs="Arial"/>
                <w:sz w:val="16"/>
                <w:szCs w:val="16"/>
              </w:rPr>
              <w:t>H</w:t>
            </w:r>
          </w:p>
        </w:tc>
        <w:tc>
          <w:tcPr>
            <w:tcW w:w="1760" w:type="dxa"/>
            <w:tcBorders>
              <w:top w:val="nil"/>
              <w:left w:val="nil"/>
              <w:bottom w:val="single" w:sz="8" w:space="0" w:color="auto"/>
              <w:right w:val="single" w:sz="12" w:space="0" w:color="auto"/>
            </w:tcBorders>
            <w:shd w:val="clear" w:color="auto" w:fill="auto"/>
            <w:noWrap/>
            <w:vAlign w:val="center"/>
            <w:hideMark/>
          </w:tcPr>
          <w:p w:rsidR="008436AB" w:rsidRDefault="008436AB" w:rsidP="00E65913">
            <w:pPr>
              <w:jc w:val="center"/>
              <w:rPr>
                <w:rFonts w:ascii="Arial" w:hAnsi="Arial" w:cs="Arial"/>
                <w:sz w:val="16"/>
                <w:szCs w:val="16"/>
              </w:rPr>
            </w:pPr>
            <w:r>
              <w:rPr>
                <w:rFonts w:ascii="Arial" w:hAnsi="Arial" w:cs="Arial"/>
                <w:sz w:val="16"/>
                <w:szCs w:val="16"/>
              </w:rPr>
              <w:t>236,415,732</w:t>
            </w:r>
          </w:p>
        </w:tc>
      </w:tr>
      <w:tr w:rsidR="008436AB" w:rsidTr="008436AB">
        <w:trPr>
          <w:trHeight w:val="199"/>
          <w:jc w:val="center"/>
        </w:trPr>
        <w:tc>
          <w:tcPr>
            <w:tcW w:w="3760" w:type="dxa"/>
            <w:tcBorders>
              <w:top w:val="nil"/>
              <w:left w:val="single" w:sz="12" w:space="0" w:color="auto"/>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sz w:val="16"/>
                <w:szCs w:val="16"/>
              </w:rPr>
            </w:pPr>
            <w:r>
              <w:rPr>
                <w:rFonts w:ascii="Arial" w:hAnsi="Arial" w:cs="Arial"/>
                <w:sz w:val="16"/>
                <w:szCs w:val="16"/>
              </w:rPr>
              <w:t>Museums</w:t>
            </w:r>
          </w:p>
        </w:tc>
        <w:tc>
          <w:tcPr>
            <w:tcW w:w="3040" w:type="dxa"/>
            <w:tcBorders>
              <w:top w:val="nil"/>
              <w:left w:val="nil"/>
              <w:bottom w:val="single" w:sz="8" w:space="0" w:color="auto"/>
              <w:right w:val="single" w:sz="8" w:space="0" w:color="auto"/>
            </w:tcBorders>
            <w:shd w:val="clear" w:color="auto" w:fill="auto"/>
            <w:noWrap/>
            <w:vAlign w:val="bottom"/>
            <w:hideMark/>
          </w:tcPr>
          <w:p w:rsidR="008436AB" w:rsidRDefault="00F215BB" w:rsidP="00F215BB">
            <w:pPr>
              <w:jc w:val="center"/>
              <w:rPr>
                <w:rFonts w:ascii="Arial" w:hAnsi="Arial" w:cs="Arial"/>
                <w:sz w:val="16"/>
                <w:szCs w:val="16"/>
              </w:rPr>
            </w:pPr>
            <w:r>
              <w:rPr>
                <w:rFonts w:ascii="Arial" w:hAnsi="Arial" w:cs="Arial"/>
                <w:sz w:val="16"/>
                <w:szCs w:val="16"/>
              </w:rPr>
              <w:t>H</w:t>
            </w:r>
          </w:p>
        </w:tc>
        <w:tc>
          <w:tcPr>
            <w:tcW w:w="1760" w:type="dxa"/>
            <w:tcBorders>
              <w:top w:val="nil"/>
              <w:left w:val="nil"/>
              <w:bottom w:val="single" w:sz="8" w:space="0" w:color="auto"/>
              <w:right w:val="single" w:sz="12" w:space="0" w:color="auto"/>
            </w:tcBorders>
            <w:shd w:val="clear" w:color="auto" w:fill="auto"/>
            <w:noWrap/>
            <w:vAlign w:val="center"/>
            <w:hideMark/>
          </w:tcPr>
          <w:p w:rsidR="008436AB" w:rsidRDefault="008436AB" w:rsidP="00E65913">
            <w:pPr>
              <w:jc w:val="center"/>
              <w:rPr>
                <w:rFonts w:ascii="Arial" w:hAnsi="Arial" w:cs="Arial"/>
                <w:sz w:val="16"/>
                <w:szCs w:val="16"/>
              </w:rPr>
            </w:pPr>
            <w:r>
              <w:rPr>
                <w:rFonts w:ascii="Arial" w:hAnsi="Arial" w:cs="Arial"/>
                <w:sz w:val="16"/>
                <w:szCs w:val="16"/>
              </w:rPr>
              <w:t>21,315,150</w:t>
            </w:r>
          </w:p>
        </w:tc>
      </w:tr>
      <w:tr w:rsidR="008436AB" w:rsidTr="008436AB">
        <w:trPr>
          <w:trHeight w:val="199"/>
          <w:jc w:val="center"/>
        </w:trPr>
        <w:tc>
          <w:tcPr>
            <w:tcW w:w="3760" w:type="dxa"/>
            <w:tcBorders>
              <w:top w:val="nil"/>
              <w:left w:val="single" w:sz="12" w:space="0" w:color="auto"/>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sz w:val="16"/>
                <w:szCs w:val="16"/>
              </w:rPr>
            </w:pPr>
            <w:r>
              <w:rPr>
                <w:rFonts w:ascii="Arial" w:hAnsi="Arial" w:cs="Arial"/>
                <w:sz w:val="16"/>
                <w:szCs w:val="16"/>
              </w:rPr>
              <w:t>Public Education (state only)</w:t>
            </w:r>
          </w:p>
        </w:tc>
        <w:tc>
          <w:tcPr>
            <w:tcW w:w="3040" w:type="dxa"/>
            <w:tcBorders>
              <w:top w:val="nil"/>
              <w:left w:val="nil"/>
              <w:bottom w:val="single" w:sz="8" w:space="0" w:color="auto"/>
              <w:right w:val="single" w:sz="8" w:space="0" w:color="auto"/>
            </w:tcBorders>
            <w:shd w:val="clear" w:color="auto" w:fill="auto"/>
            <w:noWrap/>
            <w:vAlign w:val="bottom"/>
            <w:hideMark/>
          </w:tcPr>
          <w:p w:rsidR="008436AB" w:rsidRDefault="00F215BB" w:rsidP="00F215BB">
            <w:pPr>
              <w:jc w:val="center"/>
              <w:rPr>
                <w:rFonts w:ascii="Arial" w:hAnsi="Arial" w:cs="Arial"/>
                <w:sz w:val="16"/>
                <w:szCs w:val="16"/>
              </w:rPr>
            </w:pPr>
            <w:r>
              <w:rPr>
                <w:rFonts w:ascii="Arial" w:hAnsi="Arial" w:cs="Arial"/>
                <w:sz w:val="16"/>
                <w:szCs w:val="16"/>
              </w:rPr>
              <w:t>H</w:t>
            </w:r>
          </w:p>
        </w:tc>
        <w:tc>
          <w:tcPr>
            <w:tcW w:w="1760" w:type="dxa"/>
            <w:tcBorders>
              <w:top w:val="nil"/>
              <w:left w:val="nil"/>
              <w:bottom w:val="single" w:sz="8" w:space="0" w:color="auto"/>
              <w:right w:val="single" w:sz="12" w:space="0" w:color="auto"/>
            </w:tcBorders>
            <w:shd w:val="clear" w:color="auto" w:fill="auto"/>
            <w:noWrap/>
            <w:vAlign w:val="center"/>
            <w:hideMark/>
          </w:tcPr>
          <w:p w:rsidR="008436AB" w:rsidRDefault="008436AB" w:rsidP="00E65913">
            <w:pPr>
              <w:jc w:val="center"/>
              <w:rPr>
                <w:rFonts w:ascii="Arial" w:hAnsi="Arial" w:cs="Arial"/>
                <w:sz w:val="16"/>
                <w:szCs w:val="16"/>
              </w:rPr>
            </w:pPr>
            <w:r>
              <w:rPr>
                <w:rFonts w:ascii="Arial" w:hAnsi="Arial" w:cs="Arial"/>
                <w:sz w:val="16"/>
                <w:szCs w:val="16"/>
              </w:rPr>
              <w:t>680,000</w:t>
            </w:r>
          </w:p>
        </w:tc>
      </w:tr>
      <w:tr w:rsidR="008436AB" w:rsidTr="008436AB">
        <w:trPr>
          <w:trHeight w:val="199"/>
          <w:jc w:val="center"/>
        </w:trPr>
        <w:tc>
          <w:tcPr>
            <w:tcW w:w="3760" w:type="dxa"/>
            <w:tcBorders>
              <w:top w:val="nil"/>
              <w:left w:val="single" w:sz="12" w:space="0" w:color="auto"/>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sz w:val="16"/>
                <w:szCs w:val="16"/>
              </w:rPr>
            </w:pPr>
            <w:r>
              <w:rPr>
                <w:rFonts w:ascii="Arial" w:hAnsi="Arial" w:cs="Arial"/>
                <w:sz w:val="16"/>
                <w:szCs w:val="16"/>
              </w:rPr>
              <w:t>Public Safety</w:t>
            </w:r>
          </w:p>
        </w:tc>
        <w:tc>
          <w:tcPr>
            <w:tcW w:w="3040" w:type="dxa"/>
            <w:tcBorders>
              <w:top w:val="nil"/>
              <w:left w:val="nil"/>
              <w:bottom w:val="single" w:sz="8" w:space="0" w:color="auto"/>
              <w:right w:val="single" w:sz="8" w:space="0" w:color="auto"/>
            </w:tcBorders>
            <w:shd w:val="clear" w:color="auto" w:fill="auto"/>
            <w:noWrap/>
            <w:vAlign w:val="bottom"/>
            <w:hideMark/>
          </w:tcPr>
          <w:p w:rsidR="008436AB" w:rsidRDefault="00F215BB" w:rsidP="00F215BB">
            <w:pPr>
              <w:jc w:val="center"/>
              <w:rPr>
                <w:rFonts w:ascii="Arial" w:hAnsi="Arial" w:cs="Arial"/>
                <w:sz w:val="16"/>
                <w:szCs w:val="16"/>
              </w:rPr>
            </w:pPr>
            <w:r>
              <w:rPr>
                <w:rFonts w:ascii="Arial" w:hAnsi="Arial" w:cs="Arial"/>
                <w:sz w:val="16"/>
                <w:szCs w:val="16"/>
              </w:rPr>
              <w:t>H</w:t>
            </w:r>
          </w:p>
        </w:tc>
        <w:tc>
          <w:tcPr>
            <w:tcW w:w="1760" w:type="dxa"/>
            <w:tcBorders>
              <w:top w:val="nil"/>
              <w:left w:val="nil"/>
              <w:bottom w:val="single" w:sz="8" w:space="0" w:color="auto"/>
              <w:right w:val="single" w:sz="12" w:space="0" w:color="auto"/>
            </w:tcBorders>
            <w:shd w:val="clear" w:color="auto" w:fill="auto"/>
            <w:noWrap/>
            <w:vAlign w:val="center"/>
            <w:hideMark/>
          </w:tcPr>
          <w:p w:rsidR="008436AB" w:rsidRDefault="008436AB" w:rsidP="00E65913">
            <w:pPr>
              <w:jc w:val="center"/>
              <w:rPr>
                <w:rFonts w:ascii="Arial" w:hAnsi="Arial" w:cs="Arial"/>
                <w:sz w:val="16"/>
                <w:szCs w:val="16"/>
              </w:rPr>
            </w:pPr>
            <w:r>
              <w:rPr>
                <w:rFonts w:ascii="Arial" w:hAnsi="Arial" w:cs="Arial"/>
                <w:sz w:val="16"/>
                <w:szCs w:val="16"/>
              </w:rPr>
              <w:t>8,225,000</w:t>
            </w:r>
          </w:p>
        </w:tc>
      </w:tr>
      <w:tr w:rsidR="008436AB" w:rsidTr="008436AB">
        <w:trPr>
          <w:trHeight w:val="199"/>
          <w:jc w:val="center"/>
        </w:trPr>
        <w:tc>
          <w:tcPr>
            <w:tcW w:w="3760" w:type="dxa"/>
            <w:tcBorders>
              <w:top w:val="nil"/>
              <w:left w:val="single" w:sz="12" w:space="0" w:color="auto"/>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sz w:val="16"/>
                <w:szCs w:val="16"/>
              </w:rPr>
            </w:pPr>
            <w:r>
              <w:rPr>
                <w:rFonts w:ascii="Arial" w:hAnsi="Arial" w:cs="Arial"/>
                <w:sz w:val="16"/>
                <w:szCs w:val="16"/>
              </w:rPr>
              <w:t>Public Safety Vehicles</w:t>
            </w:r>
          </w:p>
        </w:tc>
        <w:tc>
          <w:tcPr>
            <w:tcW w:w="3040" w:type="dxa"/>
            <w:tcBorders>
              <w:top w:val="nil"/>
              <w:left w:val="nil"/>
              <w:bottom w:val="single" w:sz="8" w:space="0" w:color="auto"/>
              <w:right w:val="single" w:sz="8" w:space="0" w:color="auto"/>
            </w:tcBorders>
            <w:shd w:val="clear" w:color="auto" w:fill="auto"/>
            <w:noWrap/>
            <w:vAlign w:val="bottom"/>
            <w:hideMark/>
          </w:tcPr>
          <w:p w:rsidR="008436AB" w:rsidRDefault="00F215BB" w:rsidP="00F215BB">
            <w:pPr>
              <w:jc w:val="center"/>
              <w:rPr>
                <w:rFonts w:ascii="Arial" w:hAnsi="Arial" w:cs="Arial"/>
                <w:sz w:val="16"/>
                <w:szCs w:val="16"/>
              </w:rPr>
            </w:pPr>
            <w:r>
              <w:rPr>
                <w:rFonts w:ascii="Arial" w:hAnsi="Arial" w:cs="Arial"/>
                <w:sz w:val="16"/>
                <w:szCs w:val="16"/>
              </w:rPr>
              <w:t>H</w:t>
            </w:r>
          </w:p>
        </w:tc>
        <w:tc>
          <w:tcPr>
            <w:tcW w:w="1760" w:type="dxa"/>
            <w:tcBorders>
              <w:top w:val="nil"/>
              <w:left w:val="nil"/>
              <w:bottom w:val="single" w:sz="8" w:space="0" w:color="auto"/>
              <w:right w:val="single" w:sz="12" w:space="0" w:color="auto"/>
            </w:tcBorders>
            <w:shd w:val="clear" w:color="auto" w:fill="auto"/>
            <w:noWrap/>
            <w:vAlign w:val="center"/>
            <w:hideMark/>
          </w:tcPr>
          <w:p w:rsidR="008436AB" w:rsidRDefault="008436AB" w:rsidP="00E65913">
            <w:pPr>
              <w:jc w:val="center"/>
              <w:rPr>
                <w:rFonts w:ascii="Arial" w:hAnsi="Arial" w:cs="Arial"/>
                <w:sz w:val="16"/>
                <w:szCs w:val="16"/>
              </w:rPr>
            </w:pPr>
            <w:r>
              <w:rPr>
                <w:rFonts w:ascii="Arial" w:hAnsi="Arial" w:cs="Arial"/>
                <w:sz w:val="16"/>
                <w:szCs w:val="16"/>
              </w:rPr>
              <w:t>33,835,586</w:t>
            </w:r>
          </w:p>
        </w:tc>
      </w:tr>
      <w:tr w:rsidR="008436AB" w:rsidTr="008436AB">
        <w:trPr>
          <w:trHeight w:val="199"/>
          <w:jc w:val="center"/>
        </w:trPr>
        <w:tc>
          <w:tcPr>
            <w:tcW w:w="3760" w:type="dxa"/>
            <w:tcBorders>
              <w:top w:val="nil"/>
              <w:left w:val="single" w:sz="12" w:space="0" w:color="auto"/>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b/>
                <w:bCs/>
                <w:sz w:val="16"/>
                <w:szCs w:val="16"/>
              </w:rPr>
            </w:pPr>
            <w:r>
              <w:rPr>
                <w:rFonts w:ascii="Arial" w:hAnsi="Arial" w:cs="Arial"/>
                <w:b/>
                <w:bCs/>
                <w:sz w:val="16"/>
                <w:szCs w:val="16"/>
              </w:rPr>
              <w:t>Infrastructure</w:t>
            </w:r>
          </w:p>
        </w:tc>
        <w:tc>
          <w:tcPr>
            <w:tcW w:w="3040" w:type="dxa"/>
            <w:tcBorders>
              <w:top w:val="nil"/>
              <w:left w:val="nil"/>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sz w:val="16"/>
                <w:szCs w:val="16"/>
              </w:rPr>
            </w:pPr>
            <w:r>
              <w:rPr>
                <w:rFonts w:ascii="Arial" w:hAnsi="Arial" w:cs="Arial"/>
                <w:sz w:val="16"/>
                <w:szCs w:val="16"/>
              </w:rPr>
              <w:t> </w:t>
            </w:r>
          </w:p>
        </w:tc>
        <w:tc>
          <w:tcPr>
            <w:tcW w:w="1760" w:type="dxa"/>
            <w:tcBorders>
              <w:top w:val="nil"/>
              <w:left w:val="nil"/>
              <w:bottom w:val="single" w:sz="8" w:space="0" w:color="auto"/>
              <w:right w:val="single" w:sz="12" w:space="0" w:color="auto"/>
            </w:tcBorders>
            <w:shd w:val="clear" w:color="auto" w:fill="auto"/>
            <w:noWrap/>
            <w:vAlign w:val="center"/>
            <w:hideMark/>
          </w:tcPr>
          <w:p w:rsidR="008436AB" w:rsidRDefault="008436AB" w:rsidP="00E65913">
            <w:pPr>
              <w:jc w:val="center"/>
              <w:rPr>
                <w:rFonts w:ascii="Arial" w:hAnsi="Arial" w:cs="Arial"/>
                <w:sz w:val="16"/>
                <w:szCs w:val="16"/>
              </w:rPr>
            </w:pPr>
            <w:r>
              <w:rPr>
                <w:rFonts w:ascii="Arial" w:hAnsi="Arial" w:cs="Arial"/>
                <w:sz w:val="16"/>
                <w:szCs w:val="16"/>
              </w:rPr>
              <w:t> </w:t>
            </w:r>
          </w:p>
        </w:tc>
      </w:tr>
      <w:tr w:rsidR="008436AB" w:rsidTr="008436AB">
        <w:trPr>
          <w:trHeight w:val="199"/>
          <w:jc w:val="center"/>
        </w:trPr>
        <w:tc>
          <w:tcPr>
            <w:tcW w:w="3760" w:type="dxa"/>
            <w:tcBorders>
              <w:top w:val="nil"/>
              <w:left w:val="single" w:sz="12" w:space="0" w:color="auto"/>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sz w:val="16"/>
                <w:szCs w:val="16"/>
              </w:rPr>
            </w:pPr>
            <w:r>
              <w:rPr>
                <w:rFonts w:ascii="Arial" w:hAnsi="Arial" w:cs="Arial"/>
                <w:sz w:val="16"/>
                <w:szCs w:val="16"/>
              </w:rPr>
              <w:t>Acequias</w:t>
            </w:r>
          </w:p>
        </w:tc>
        <w:tc>
          <w:tcPr>
            <w:tcW w:w="3040" w:type="dxa"/>
            <w:tcBorders>
              <w:top w:val="nil"/>
              <w:left w:val="nil"/>
              <w:bottom w:val="single" w:sz="8" w:space="0" w:color="auto"/>
              <w:right w:val="single" w:sz="8" w:space="0" w:color="auto"/>
            </w:tcBorders>
            <w:shd w:val="clear" w:color="auto" w:fill="auto"/>
            <w:noWrap/>
            <w:vAlign w:val="bottom"/>
            <w:hideMark/>
          </w:tcPr>
          <w:p w:rsidR="008436AB" w:rsidRDefault="00F215BB" w:rsidP="00F215BB">
            <w:pPr>
              <w:jc w:val="center"/>
              <w:rPr>
                <w:rFonts w:ascii="Arial" w:hAnsi="Arial" w:cs="Arial"/>
                <w:sz w:val="16"/>
                <w:szCs w:val="16"/>
              </w:rPr>
            </w:pPr>
            <w:r>
              <w:rPr>
                <w:rFonts w:ascii="Arial" w:hAnsi="Arial" w:cs="Arial"/>
                <w:sz w:val="16"/>
                <w:szCs w:val="16"/>
              </w:rPr>
              <w:t>H</w:t>
            </w:r>
          </w:p>
        </w:tc>
        <w:tc>
          <w:tcPr>
            <w:tcW w:w="1760" w:type="dxa"/>
            <w:tcBorders>
              <w:top w:val="nil"/>
              <w:left w:val="nil"/>
              <w:bottom w:val="single" w:sz="8" w:space="0" w:color="auto"/>
              <w:right w:val="single" w:sz="12" w:space="0" w:color="auto"/>
            </w:tcBorders>
            <w:shd w:val="clear" w:color="auto" w:fill="auto"/>
            <w:noWrap/>
            <w:vAlign w:val="center"/>
            <w:hideMark/>
          </w:tcPr>
          <w:p w:rsidR="008436AB" w:rsidRDefault="008436AB" w:rsidP="00E65913">
            <w:pPr>
              <w:jc w:val="center"/>
              <w:rPr>
                <w:rFonts w:ascii="Arial" w:hAnsi="Arial" w:cs="Arial"/>
                <w:sz w:val="16"/>
                <w:szCs w:val="16"/>
              </w:rPr>
            </w:pPr>
            <w:r>
              <w:rPr>
                <w:rFonts w:ascii="Arial" w:hAnsi="Arial" w:cs="Arial"/>
                <w:sz w:val="16"/>
                <w:szCs w:val="16"/>
              </w:rPr>
              <w:t>66,508,416</w:t>
            </w:r>
          </w:p>
        </w:tc>
      </w:tr>
      <w:tr w:rsidR="008436AB" w:rsidTr="008436AB">
        <w:trPr>
          <w:trHeight w:val="199"/>
          <w:jc w:val="center"/>
        </w:trPr>
        <w:tc>
          <w:tcPr>
            <w:tcW w:w="3760" w:type="dxa"/>
            <w:tcBorders>
              <w:top w:val="nil"/>
              <w:left w:val="single" w:sz="12" w:space="0" w:color="auto"/>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sz w:val="16"/>
                <w:szCs w:val="16"/>
              </w:rPr>
            </w:pPr>
            <w:r>
              <w:rPr>
                <w:rFonts w:ascii="Arial" w:hAnsi="Arial" w:cs="Arial"/>
                <w:sz w:val="16"/>
                <w:szCs w:val="16"/>
              </w:rPr>
              <w:t>Lighting</w:t>
            </w:r>
          </w:p>
        </w:tc>
        <w:tc>
          <w:tcPr>
            <w:tcW w:w="3040" w:type="dxa"/>
            <w:tcBorders>
              <w:top w:val="nil"/>
              <w:left w:val="nil"/>
              <w:bottom w:val="single" w:sz="8" w:space="0" w:color="auto"/>
              <w:right w:val="single" w:sz="8" w:space="0" w:color="auto"/>
            </w:tcBorders>
            <w:shd w:val="clear" w:color="auto" w:fill="auto"/>
            <w:noWrap/>
            <w:vAlign w:val="bottom"/>
            <w:hideMark/>
          </w:tcPr>
          <w:p w:rsidR="008436AB" w:rsidRDefault="00F215BB" w:rsidP="00F215BB">
            <w:pPr>
              <w:jc w:val="center"/>
              <w:rPr>
                <w:rFonts w:ascii="Arial" w:hAnsi="Arial" w:cs="Arial"/>
                <w:sz w:val="16"/>
                <w:szCs w:val="16"/>
              </w:rPr>
            </w:pPr>
            <w:r>
              <w:rPr>
                <w:rFonts w:ascii="Arial" w:hAnsi="Arial" w:cs="Arial"/>
                <w:sz w:val="16"/>
                <w:szCs w:val="16"/>
              </w:rPr>
              <w:t>H</w:t>
            </w:r>
          </w:p>
        </w:tc>
        <w:tc>
          <w:tcPr>
            <w:tcW w:w="1760" w:type="dxa"/>
            <w:tcBorders>
              <w:top w:val="nil"/>
              <w:left w:val="nil"/>
              <w:bottom w:val="single" w:sz="8" w:space="0" w:color="auto"/>
              <w:right w:val="single" w:sz="12" w:space="0" w:color="auto"/>
            </w:tcBorders>
            <w:shd w:val="clear" w:color="auto" w:fill="auto"/>
            <w:noWrap/>
            <w:vAlign w:val="center"/>
            <w:hideMark/>
          </w:tcPr>
          <w:p w:rsidR="008436AB" w:rsidRDefault="008436AB" w:rsidP="00E65913">
            <w:pPr>
              <w:jc w:val="center"/>
              <w:rPr>
                <w:rFonts w:ascii="Arial" w:hAnsi="Arial" w:cs="Arial"/>
                <w:sz w:val="16"/>
                <w:szCs w:val="16"/>
              </w:rPr>
            </w:pPr>
            <w:r>
              <w:rPr>
                <w:rFonts w:ascii="Arial" w:hAnsi="Arial" w:cs="Arial"/>
                <w:sz w:val="16"/>
                <w:szCs w:val="16"/>
              </w:rPr>
              <w:t>6,055,000</w:t>
            </w:r>
          </w:p>
        </w:tc>
      </w:tr>
      <w:tr w:rsidR="008436AB" w:rsidTr="008436AB">
        <w:trPr>
          <w:trHeight w:val="199"/>
          <w:jc w:val="center"/>
        </w:trPr>
        <w:tc>
          <w:tcPr>
            <w:tcW w:w="3760" w:type="dxa"/>
            <w:tcBorders>
              <w:top w:val="nil"/>
              <w:left w:val="single" w:sz="12" w:space="0" w:color="auto"/>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sz w:val="16"/>
                <w:szCs w:val="16"/>
              </w:rPr>
            </w:pPr>
            <w:r>
              <w:rPr>
                <w:rFonts w:ascii="Arial" w:hAnsi="Arial" w:cs="Arial"/>
                <w:sz w:val="16"/>
                <w:szCs w:val="16"/>
              </w:rPr>
              <w:t>Health-Related Cap Infra</w:t>
            </w:r>
          </w:p>
        </w:tc>
        <w:tc>
          <w:tcPr>
            <w:tcW w:w="3040" w:type="dxa"/>
            <w:tcBorders>
              <w:top w:val="nil"/>
              <w:left w:val="nil"/>
              <w:bottom w:val="single" w:sz="8" w:space="0" w:color="auto"/>
              <w:right w:val="single" w:sz="8" w:space="0" w:color="auto"/>
            </w:tcBorders>
            <w:shd w:val="clear" w:color="auto" w:fill="auto"/>
            <w:noWrap/>
            <w:vAlign w:val="bottom"/>
            <w:hideMark/>
          </w:tcPr>
          <w:p w:rsidR="008436AB" w:rsidRDefault="00F215BB" w:rsidP="00F215BB">
            <w:pPr>
              <w:jc w:val="center"/>
              <w:rPr>
                <w:rFonts w:ascii="Arial" w:hAnsi="Arial" w:cs="Arial"/>
                <w:sz w:val="16"/>
                <w:szCs w:val="16"/>
              </w:rPr>
            </w:pPr>
            <w:r>
              <w:rPr>
                <w:rFonts w:ascii="Arial" w:hAnsi="Arial" w:cs="Arial"/>
                <w:sz w:val="16"/>
                <w:szCs w:val="16"/>
              </w:rPr>
              <w:t>H</w:t>
            </w:r>
          </w:p>
        </w:tc>
        <w:tc>
          <w:tcPr>
            <w:tcW w:w="1760" w:type="dxa"/>
            <w:tcBorders>
              <w:top w:val="nil"/>
              <w:left w:val="nil"/>
              <w:bottom w:val="single" w:sz="8" w:space="0" w:color="auto"/>
              <w:right w:val="single" w:sz="12" w:space="0" w:color="auto"/>
            </w:tcBorders>
            <w:shd w:val="clear" w:color="auto" w:fill="auto"/>
            <w:noWrap/>
            <w:vAlign w:val="center"/>
            <w:hideMark/>
          </w:tcPr>
          <w:p w:rsidR="008436AB" w:rsidRDefault="008436AB" w:rsidP="00E65913">
            <w:pPr>
              <w:jc w:val="center"/>
              <w:rPr>
                <w:rFonts w:ascii="Arial" w:hAnsi="Arial" w:cs="Arial"/>
                <w:sz w:val="16"/>
                <w:szCs w:val="16"/>
              </w:rPr>
            </w:pPr>
            <w:r>
              <w:rPr>
                <w:rFonts w:ascii="Arial" w:hAnsi="Arial" w:cs="Arial"/>
                <w:sz w:val="16"/>
                <w:szCs w:val="16"/>
              </w:rPr>
              <w:t>637,931,939</w:t>
            </w:r>
          </w:p>
        </w:tc>
      </w:tr>
      <w:tr w:rsidR="008436AB" w:rsidTr="008436AB">
        <w:trPr>
          <w:trHeight w:val="199"/>
          <w:jc w:val="center"/>
        </w:trPr>
        <w:tc>
          <w:tcPr>
            <w:tcW w:w="3760" w:type="dxa"/>
            <w:tcBorders>
              <w:top w:val="nil"/>
              <w:left w:val="single" w:sz="12" w:space="0" w:color="auto"/>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sz w:val="16"/>
                <w:szCs w:val="16"/>
              </w:rPr>
            </w:pPr>
            <w:r>
              <w:rPr>
                <w:rFonts w:ascii="Arial" w:hAnsi="Arial" w:cs="Arial"/>
                <w:sz w:val="16"/>
                <w:szCs w:val="16"/>
              </w:rPr>
              <w:t>Hiways/Roads/Streets/Bridges</w:t>
            </w:r>
          </w:p>
        </w:tc>
        <w:tc>
          <w:tcPr>
            <w:tcW w:w="3040" w:type="dxa"/>
            <w:tcBorders>
              <w:top w:val="nil"/>
              <w:left w:val="nil"/>
              <w:bottom w:val="single" w:sz="8" w:space="0" w:color="auto"/>
              <w:right w:val="single" w:sz="8" w:space="0" w:color="auto"/>
            </w:tcBorders>
            <w:shd w:val="clear" w:color="auto" w:fill="auto"/>
            <w:noWrap/>
            <w:vAlign w:val="bottom"/>
            <w:hideMark/>
          </w:tcPr>
          <w:p w:rsidR="008436AB" w:rsidRDefault="00F215BB" w:rsidP="00F215BB">
            <w:pPr>
              <w:jc w:val="center"/>
              <w:rPr>
                <w:rFonts w:ascii="Arial" w:hAnsi="Arial" w:cs="Arial"/>
                <w:sz w:val="16"/>
                <w:szCs w:val="16"/>
              </w:rPr>
            </w:pPr>
            <w:r>
              <w:rPr>
                <w:rFonts w:ascii="Arial" w:hAnsi="Arial" w:cs="Arial"/>
                <w:sz w:val="16"/>
                <w:szCs w:val="16"/>
              </w:rPr>
              <w:t>H</w:t>
            </w:r>
          </w:p>
        </w:tc>
        <w:tc>
          <w:tcPr>
            <w:tcW w:w="1760" w:type="dxa"/>
            <w:tcBorders>
              <w:top w:val="nil"/>
              <w:left w:val="nil"/>
              <w:bottom w:val="single" w:sz="8" w:space="0" w:color="auto"/>
              <w:right w:val="single" w:sz="12" w:space="0" w:color="auto"/>
            </w:tcBorders>
            <w:shd w:val="clear" w:color="auto" w:fill="auto"/>
            <w:noWrap/>
            <w:vAlign w:val="center"/>
            <w:hideMark/>
          </w:tcPr>
          <w:p w:rsidR="008436AB" w:rsidRDefault="008436AB" w:rsidP="00E65913">
            <w:pPr>
              <w:jc w:val="center"/>
              <w:rPr>
                <w:rFonts w:ascii="Arial" w:hAnsi="Arial" w:cs="Arial"/>
                <w:sz w:val="16"/>
                <w:szCs w:val="16"/>
              </w:rPr>
            </w:pPr>
            <w:r>
              <w:rPr>
                <w:rFonts w:ascii="Arial" w:hAnsi="Arial" w:cs="Arial"/>
                <w:sz w:val="16"/>
                <w:szCs w:val="16"/>
              </w:rPr>
              <w:t>2,032,190,070</w:t>
            </w:r>
          </w:p>
        </w:tc>
      </w:tr>
      <w:tr w:rsidR="008436AB" w:rsidTr="008436AB">
        <w:trPr>
          <w:trHeight w:val="199"/>
          <w:jc w:val="center"/>
        </w:trPr>
        <w:tc>
          <w:tcPr>
            <w:tcW w:w="3760" w:type="dxa"/>
            <w:tcBorders>
              <w:top w:val="nil"/>
              <w:left w:val="single" w:sz="12" w:space="0" w:color="auto"/>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sz w:val="16"/>
                <w:szCs w:val="16"/>
              </w:rPr>
            </w:pPr>
            <w:r>
              <w:rPr>
                <w:rFonts w:ascii="Arial" w:hAnsi="Arial" w:cs="Arial"/>
                <w:sz w:val="16"/>
                <w:szCs w:val="16"/>
              </w:rPr>
              <w:t>Housing-Related Cap Infra</w:t>
            </w:r>
          </w:p>
        </w:tc>
        <w:tc>
          <w:tcPr>
            <w:tcW w:w="3040" w:type="dxa"/>
            <w:tcBorders>
              <w:top w:val="nil"/>
              <w:left w:val="nil"/>
              <w:bottom w:val="single" w:sz="8" w:space="0" w:color="auto"/>
              <w:right w:val="single" w:sz="8" w:space="0" w:color="auto"/>
            </w:tcBorders>
            <w:shd w:val="clear" w:color="auto" w:fill="auto"/>
            <w:noWrap/>
            <w:vAlign w:val="bottom"/>
            <w:hideMark/>
          </w:tcPr>
          <w:p w:rsidR="008436AB" w:rsidRDefault="00F215BB" w:rsidP="00F215BB">
            <w:pPr>
              <w:jc w:val="center"/>
              <w:rPr>
                <w:rFonts w:ascii="Arial" w:hAnsi="Arial" w:cs="Arial"/>
                <w:sz w:val="16"/>
                <w:szCs w:val="16"/>
              </w:rPr>
            </w:pPr>
            <w:r>
              <w:rPr>
                <w:rFonts w:ascii="Arial" w:hAnsi="Arial" w:cs="Arial"/>
                <w:sz w:val="16"/>
                <w:szCs w:val="16"/>
              </w:rPr>
              <w:t>H</w:t>
            </w:r>
          </w:p>
        </w:tc>
        <w:tc>
          <w:tcPr>
            <w:tcW w:w="1760" w:type="dxa"/>
            <w:tcBorders>
              <w:top w:val="nil"/>
              <w:left w:val="nil"/>
              <w:bottom w:val="single" w:sz="8" w:space="0" w:color="auto"/>
              <w:right w:val="single" w:sz="12" w:space="0" w:color="auto"/>
            </w:tcBorders>
            <w:shd w:val="clear" w:color="auto" w:fill="auto"/>
            <w:noWrap/>
            <w:vAlign w:val="center"/>
            <w:hideMark/>
          </w:tcPr>
          <w:p w:rsidR="008436AB" w:rsidRDefault="008436AB" w:rsidP="00E65913">
            <w:pPr>
              <w:jc w:val="center"/>
              <w:rPr>
                <w:rFonts w:ascii="Arial" w:hAnsi="Arial" w:cs="Arial"/>
                <w:sz w:val="16"/>
                <w:szCs w:val="16"/>
              </w:rPr>
            </w:pPr>
            <w:r>
              <w:rPr>
                <w:rFonts w:ascii="Arial" w:hAnsi="Arial" w:cs="Arial"/>
                <w:sz w:val="16"/>
                <w:szCs w:val="16"/>
              </w:rPr>
              <w:t>81,297,000</w:t>
            </w:r>
          </w:p>
        </w:tc>
      </w:tr>
      <w:tr w:rsidR="008436AB" w:rsidTr="008436AB">
        <w:trPr>
          <w:trHeight w:val="199"/>
          <w:jc w:val="center"/>
        </w:trPr>
        <w:tc>
          <w:tcPr>
            <w:tcW w:w="3760" w:type="dxa"/>
            <w:tcBorders>
              <w:top w:val="nil"/>
              <w:left w:val="single" w:sz="12" w:space="0" w:color="auto"/>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sz w:val="16"/>
                <w:szCs w:val="16"/>
              </w:rPr>
            </w:pPr>
            <w:r>
              <w:rPr>
                <w:rFonts w:ascii="Arial" w:hAnsi="Arial" w:cs="Arial"/>
                <w:sz w:val="16"/>
                <w:szCs w:val="16"/>
              </w:rPr>
              <w:t>Improve Bridges</w:t>
            </w:r>
          </w:p>
        </w:tc>
        <w:tc>
          <w:tcPr>
            <w:tcW w:w="3040" w:type="dxa"/>
            <w:tcBorders>
              <w:top w:val="nil"/>
              <w:left w:val="nil"/>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sz w:val="16"/>
                <w:szCs w:val="16"/>
              </w:rPr>
            </w:pPr>
            <w:r>
              <w:rPr>
                <w:rFonts w:ascii="Arial" w:hAnsi="Arial" w:cs="Arial"/>
                <w:sz w:val="16"/>
                <w:szCs w:val="16"/>
              </w:rPr>
              <w:t> </w:t>
            </w:r>
          </w:p>
        </w:tc>
        <w:tc>
          <w:tcPr>
            <w:tcW w:w="1760" w:type="dxa"/>
            <w:tcBorders>
              <w:top w:val="nil"/>
              <w:left w:val="nil"/>
              <w:bottom w:val="single" w:sz="8" w:space="0" w:color="auto"/>
              <w:right w:val="single" w:sz="12" w:space="0" w:color="auto"/>
            </w:tcBorders>
            <w:shd w:val="clear" w:color="auto" w:fill="auto"/>
            <w:noWrap/>
            <w:vAlign w:val="center"/>
            <w:hideMark/>
          </w:tcPr>
          <w:p w:rsidR="008436AB" w:rsidRDefault="008436AB" w:rsidP="00E65913">
            <w:pPr>
              <w:jc w:val="center"/>
              <w:rPr>
                <w:rFonts w:ascii="Arial" w:hAnsi="Arial" w:cs="Arial"/>
                <w:sz w:val="16"/>
                <w:szCs w:val="16"/>
              </w:rPr>
            </w:pPr>
            <w:r>
              <w:rPr>
                <w:rFonts w:ascii="Arial" w:hAnsi="Arial" w:cs="Arial"/>
                <w:sz w:val="16"/>
                <w:szCs w:val="16"/>
              </w:rPr>
              <w:t> </w:t>
            </w:r>
          </w:p>
        </w:tc>
      </w:tr>
      <w:tr w:rsidR="008436AB" w:rsidTr="008436AB">
        <w:trPr>
          <w:trHeight w:val="199"/>
          <w:jc w:val="center"/>
        </w:trPr>
        <w:tc>
          <w:tcPr>
            <w:tcW w:w="3760" w:type="dxa"/>
            <w:tcBorders>
              <w:top w:val="nil"/>
              <w:left w:val="single" w:sz="12" w:space="0" w:color="auto"/>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sz w:val="16"/>
                <w:szCs w:val="16"/>
              </w:rPr>
            </w:pPr>
            <w:r>
              <w:rPr>
                <w:rFonts w:ascii="Arial" w:hAnsi="Arial" w:cs="Arial"/>
                <w:sz w:val="16"/>
                <w:szCs w:val="16"/>
              </w:rPr>
              <w:t>Landfills</w:t>
            </w:r>
          </w:p>
        </w:tc>
        <w:tc>
          <w:tcPr>
            <w:tcW w:w="3040" w:type="dxa"/>
            <w:tcBorders>
              <w:top w:val="nil"/>
              <w:left w:val="nil"/>
              <w:bottom w:val="single" w:sz="8" w:space="0" w:color="auto"/>
              <w:right w:val="single" w:sz="8" w:space="0" w:color="auto"/>
            </w:tcBorders>
            <w:shd w:val="clear" w:color="auto" w:fill="auto"/>
            <w:noWrap/>
            <w:vAlign w:val="bottom"/>
            <w:hideMark/>
          </w:tcPr>
          <w:p w:rsidR="008436AB" w:rsidRDefault="00F215BB" w:rsidP="00F215BB">
            <w:pPr>
              <w:jc w:val="center"/>
              <w:rPr>
                <w:rFonts w:ascii="Arial" w:hAnsi="Arial" w:cs="Arial"/>
                <w:sz w:val="16"/>
                <w:szCs w:val="16"/>
              </w:rPr>
            </w:pPr>
            <w:r>
              <w:rPr>
                <w:rFonts w:ascii="Arial" w:hAnsi="Arial" w:cs="Arial"/>
                <w:sz w:val="16"/>
                <w:szCs w:val="16"/>
              </w:rPr>
              <w:t>H</w:t>
            </w:r>
          </w:p>
        </w:tc>
        <w:tc>
          <w:tcPr>
            <w:tcW w:w="1760" w:type="dxa"/>
            <w:tcBorders>
              <w:top w:val="nil"/>
              <w:left w:val="nil"/>
              <w:bottom w:val="single" w:sz="8" w:space="0" w:color="auto"/>
              <w:right w:val="single" w:sz="12" w:space="0" w:color="auto"/>
            </w:tcBorders>
            <w:shd w:val="clear" w:color="auto" w:fill="auto"/>
            <w:noWrap/>
            <w:vAlign w:val="center"/>
            <w:hideMark/>
          </w:tcPr>
          <w:p w:rsidR="008436AB" w:rsidRDefault="008436AB" w:rsidP="00E65913">
            <w:pPr>
              <w:jc w:val="center"/>
              <w:rPr>
                <w:rFonts w:ascii="Arial" w:hAnsi="Arial" w:cs="Arial"/>
                <w:sz w:val="16"/>
                <w:szCs w:val="16"/>
              </w:rPr>
            </w:pPr>
            <w:r>
              <w:rPr>
                <w:rFonts w:ascii="Arial" w:hAnsi="Arial" w:cs="Arial"/>
                <w:sz w:val="16"/>
                <w:szCs w:val="16"/>
              </w:rPr>
              <w:t>18,514,080</w:t>
            </w:r>
          </w:p>
        </w:tc>
      </w:tr>
      <w:tr w:rsidR="008436AB" w:rsidTr="008436AB">
        <w:trPr>
          <w:trHeight w:val="199"/>
          <w:jc w:val="center"/>
        </w:trPr>
        <w:tc>
          <w:tcPr>
            <w:tcW w:w="3760" w:type="dxa"/>
            <w:tcBorders>
              <w:top w:val="nil"/>
              <w:left w:val="single" w:sz="12" w:space="0" w:color="auto"/>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sz w:val="16"/>
                <w:szCs w:val="16"/>
              </w:rPr>
            </w:pPr>
            <w:r>
              <w:rPr>
                <w:rFonts w:ascii="Arial" w:hAnsi="Arial" w:cs="Arial"/>
                <w:sz w:val="16"/>
                <w:szCs w:val="16"/>
              </w:rPr>
              <w:t>Medians</w:t>
            </w:r>
          </w:p>
        </w:tc>
        <w:tc>
          <w:tcPr>
            <w:tcW w:w="3040" w:type="dxa"/>
            <w:tcBorders>
              <w:top w:val="nil"/>
              <w:left w:val="nil"/>
              <w:bottom w:val="single" w:sz="8" w:space="0" w:color="auto"/>
              <w:right w:val="single" w:sz="8" w:space="0" w:color="auto"/>
            </w:tcBorders>
            <w:shd w:val="clear" w:color="auto" w:fill="auto"/>
            <w:noWrap/>
            <w:vAlign w:val="bottom"/>
            <w:hideMark/>
          </w:tcPr>
          <w:p w:rsidR="008436AB" w:rsidRDefault="00F215BB" w:rsidP="00F215BB">
            <w:pPr>
              <w:jc w:val="center"/>
              <w:rPr>
                <w:rFonts w:ascii="Arial" w:hAnsi="Arial" w:cs="Arial"/>
                <w:sz w:val="16"/>
                <w:szCs w:val="16"/>
              </w:rPr>
            </w:pPr>
            <w:r>
              <w:rPr>
                <w:rFonts w:ascii="Arial" w:hAnsi="Arial" w:cs="Arial"/>
                <w:sz w:val="16"/>
                <w:szCs w:val="16"/>
              </w:rPr>
              <w:t>H</w:t>
            </w:r>
          </w:p>
        </w:tc>
        <w:tc>
          <w:tcPr>
            <w:tcW w:w="1760" w:type="dxa"/>
            <w:tcBorders>
              <w:top w:val="nil"/>
              <w:left w:val="nil"/>
              <w:bottom w:val="single" w:sz="8" w:space="0" w:color="auto"/>
              <w:right w:val="single" w:sz="12" w:space="0" w:color="auto"/>
            </w:tcBorders>
            <w:shd w:val="clear" w:color="auto" w:fill="auto"/>
            <w:noWrap/>
            <w:vAlign w:val="center"/>
            <w:hideMark/>
          </w:tcPr>
          <w:p w:rsidR="008436AB" w:rsidRDefault="008436AB" w:rsidP="00E65913">
            <w:pPr>
              <w:jc w:val="center"/>
              <w:rPr>
                <w:rFonts w:ascii="Arial" w:hAnsi="Arial" w:cs="Arial"/>
                <w:sz w:val="16"/>
                <w:szCs w:val="16"/>
              </w:rPr>
            </w:pPr>
            <w:r>
              <w:rPr>
                <w:rFonts w:ascii="Arial" w:hAnsi="Arial" w:cs="Arial"/>
                <w:sz w:val="16"/>
                <w:szCs w:val="16"/>
              </w:rPr>
              <w:t>22,882,000</w:t>
            </w:r>
          </w:p>
        </w:tc>
      </w:tr>
      <w:tr w:rsidR="008436AB" w:rsidTr="008436AB">
        <w:trPr>
          <w:trHeight w:val="199"/>
          <w:jc w:val="center"/>
        </w:trPr>
        <w:tc>
          <w:tcPr>
            <w:tcW w:w="3760" w:type="dxa"/>
            <w:tcBorders>
              <w:top w:val="nil"/>
              <w:left w:val="single" w:sz="12" w:space="0" w:color="auto"/>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sz w:val="16"/>
                <w:szCs w:val="16"/>
              </w:rPr>
            </w:pPr>
            <w:r>
              <w:rPr>
                <w:rFonts w:ascii="Arial" w:hAnsi="Arial" w:cs="Arial"/>
                <w:sz w:val="16"/>
                <w:szCs w:val="16"/>
              </w:rPr>
              <w:t>Overpasses</w:t>
            </w:r>
          </w:p>
        </w:tc>
        <w:tc>
          <w:tcPr>
            <w:tcW w:w="3040" w:type="dxa"/>
            <w:tcBorders>
              <w:top w:val="nil"/>
              <w:left w:val="nil"/>
              <w:bottom w:val="single" w:sz="8" w:space="0" w:color="auto"/>
              <w:right w:val="single" w:sz="8" w:space="0" w:color="auto"/>
            </w:tcBorders>
            <w:shd w:val="clear" w:color="auto" w:fill="auto"/>
            <w:noWrap/>
            <w:vAlign w:val="bottom"/>
            <w:hideMark/>
          </w:tcPr>
          <w:p w:rsidR="008436AB" w:rsidRDefault="00F215BB" w:rsidP="00F215BB">
            <w:pPr>
              <w:jc w:val="center"/>
              <w:rPr>
                <w:rFonts w:ascii="Arial" w:hAnsi="Arial" w:cs="Arial"/>
                <w:sz w:val="16"/>
                <w:szCs w:val="16"/>
              </w:rPr>
            </w:pPr>
            <w:r>
              <w:rPr>
                <w:rFonts w:ascii="Arial" w:hAnsi="Arial" w:cs="Arial"/>
                <w:sz w:val="16"/>
                <w:szCs w:val="16"/>
              </w:rPr>
              <w:t>H</w:t>
            </w:r>
          </w:p>
        </w:tc>
        <w:tc>
          <w:tcPr>
            <w:tcW w:w="1760" w:type="dxa"/>
            <w:tcBorders>
              <w:top w:val="nil"/>
              <w:left w:val="nil"/>
              <w:bottom w:val="single" w:sz="8" w:space="0" w:color="auto"/>
              <w:right w:val="single" w:sz="12" w:space="0" w:color="auto"/>
            </w:tcBorders>
            <w:shd w:val="clear" w:color="auto" w:fill="auto"/>
            <w:noWrap/>
            <w:vAlign w:val="center"/>
            <w:hideMark/>
          </w:tcPr>
          <w:p w:rsidR="008436AB" w:rsidRDefault="008436AB" w:rsidP="00E65913">
            <w:pPr>
              <w:jc w:val="center"/>
              <w:rPr>
                <w:rFonts w:ascii="Arial" w:hAnsi="Arial" w:cs="Arial"/>
                <w:sz w:val="16"/>
                <w:szCs w:val="16"/>
              </w:rPr>
            </w:pPr>
            <w:r>
              <w:rPr>
                <w:rFonts w:ascii="Arial" w:hAnsi="Arial" w:cs="Arial"/>
                <w:sz w:val="16"/>
                <w:szCs w:val="16"/>
              </w:rPr>
              <w:t>24,000,000</w:t>
            </w:r>
          </w:p>
        </w:tc>
      </w:tr>
      <w:tr w:rsidR="008436AB" w:rsidTr="008436AB">
        <w:trPr>
          <w:trHeight w:val="199"/>
          <w:jc w:val="center"/>
        </w:trPr>
        <w:tc>
          <w:tcPr>
            <w:tcW w:w="3760" w:type="dxa"/>
            <w:tcBorders>
              <w:top w:val="nil"/>
              <w:left w:val="single" w:sz="12" w:space="0" w:color="auto"/>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sz w:val="16"/>
                <w:szCs w:val="16"/>
              </w:rPr>
            </w:pPr>
            <w:r>
              <w:rPr>
                <w:rFonts w:ascii="Arial" w:hAnsi="Arial" w:cs="Arial"/>
                <w:sz w:val="16"/>
                <w:szCs w:val="16"/>
              </w:rPr>
              <w:t>Solid Waste</w:t>
            </w:r>
          </w:p>
        </w:tc>
        <w:tc>
          <w:tcPr>
            <w:tcW w:w="3040" w:type="dxa"/>
            <w:tcBorders>
              <w:top w:val="nil"/>
              <w:left w:val="nil"/>
              <w:bottom w:val="single" w:sz="8" w:space="0" w:color="auto"/>
              <w:right w:val="single" w:sz="8" w:space="0" w:color="auto"/>
            </w:tcBorders>
            <w:shd w:val="clear" w:color="auto" w:fill="auto"/>
            <w:noWrap/>
            <w:vAlign w:val="bottom"/>
            <w:hideMark/>
          </w:tcPr>
          <w:p w:rsidR="008436AB" w:rsidRDefault="00F215BB" w:rsidP="00F215BB">
            <w:pPr>
              <w:jc w:val="center"/>
              <w:rPr>
                <w:rFonts w:ascii="Arial" w:hAnsi="Arial" w:cs="Arial"/>
                <w:sz w:val="16"/>
                <w:szCs w:val="16"/>
              </w:rPr>
            </w:pPr>
            <w:r>
              <w:rPr>
                <w:rFonts w:ascii="Arial" w:hAnsi="Arial" w:cs="Arial"/>
                <w:sz w:val="16"/>
                <w:szCs w:val="16"/>
              </w:rPr>
              <w:t>H</w:t>
            </w:r>
          </w:p>
        </w:tc>
        <w:tc>
          <w:tcPr>
            <w:tcW w:w="1760" w:type="dxa"/>
            <w:tcBorders>
              <w:top w:val="nil"/>
              <w:left w:val="nil"/>
              <w:bottom w:val="single" w:sz="8" w:space="0" w:color="auto"/>
              <w:right w:val="single" w:sz="12" w:space="0" w:color="auto"/>
            </w:tcBorders>
            <w:shd w:val="clear" w:color="auto" w:fill="auto"/>
            <w:noWrap/>
            <w:vAlign w:val="center"/>
            <w:hideMark/>
          </w:tcPr>
          <w:p w:rsidR="008436AB" w:rsidRDefault="008436AB" w:rsidP="00E65913">
            <w:pPr>
              <w:jc w:val="center"/>
              <w:rPr>
                <w:rFonts w:ascii="Arial" w:hAnsi="Arial" w:cs="Arial"/>
                <w:sz w:val="16"/>
                <w:szCs w:val="16"/>
              </w:rPr>
            </w:pPr>
            <w:r>
              <w:rPr>
                <w:rFonts w:ascii="Arial" w:hAnsi="Arial" w:cs="Arial"/>
                <w:sz w:val="16"/>
                <w:szCs w:val="16"/>
              </w:rPr>
              <w:t>64,792,633</w:t>
            </w:r>
          </w:p>
        </w:tc>
      </w:tr>
      <w:tr w:rsidR="008436AB" w:rsidTr="008436AB">
        <w:trPr>
          <w:trHeight w:val="199"/>
          <w:jc w:val="center"/>
        </w:trPr>
        <w:tc>
          <w:tcPr>
            <w:tcW w:w="3760" w:type="dxa"/>
            <w:tcBorders>
              <w:top w:val="nil"/>
              <w:left w:val="single" w:sz="12" w:space="0" w:color="auto"/>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sz w:val="16"/>
                <w:szCs w:val="16"/>
              </w:rPr>
            </w:pPr>
            <w:r>
              <w:rPr>
                <w:rFonts w:ascii="Arial" w:hAnsi="Arial" w:cs="Arial"/>
                <w:sz w:val="16"/>
                <w:szCs w:val="16"/>
              </w:rPr>
              <w:t>Storm/Surface Water Control</w:t>
            </w:r>
          </w:p>
        </w:tc>
        <w:tc>
          <w:tcPr>
            <w:tcW w:w="3040" w:type="dxa"/>
            <w:tcBorders>
              <w:top w:val="nil"/>
              <w:left w:val="nil"/>
              <w:bottom w:val="single" w:sz="8" w:space="0" w:color="auto"/>
              <w:right w:val="single" w:sz="8" w:space="0" w:color="auto"/>
            </w:tcBorders>
            <w:shd w:val="clear" w:color="auto" w:fill="auto"/>
            <w:noWrap/>
            <w:vAlign w:val="bottom"/>
            <w:hideMark/>
          </w:tcPr>
          <w:p w:rsidR="008436AB" w:rsidRDefault="00F215BB" w:rsidP="00F215BB">
            <w:pPr>
              <w:jc w:val="center"/>
              <w:rPr>
                <w:rFonts w:ascii="Arial" w:hAnsi="Arial" w:cs="Arial"/>
                <w:sz w:val="16"/>
                <w:szCs w:val="16"/>
              </w:rPr>
            </w:pPr>
            <w:r>
              <w:rPr>
                <w:rFonts w:ascii="Arial" w:hAnsi="Arial" w:cs="Arial"/>
                <w:sz w:val="16"/>
                <w:szCs w:val="16"/>
              </w:rPr>
              <w:t>H</w:t>
            </w:r>
          </w:p>
        </w:tc>
        <w:tc>
          <w:tcPr>
            <w:tcW w:w="1760" w:type="dxa"/>
            <w:tcBorders>
              <w:top w:val="nil"/>
              <w:left w:val="nil"/>
              <w:bottom w:val="single" w:sz="8" w:space="0" w:color="auto"/>
              <w:right w:val="single" w:sz="12" w:space="0" w:color="auto"/>
            </w:tcBorders>
            <w:shd w:val="clear" w:color="auto" w:fill="auto"/>
            <w:noWrap/>
            <w:vAlign w:val="center"/>
            <w:hideMark/>
          </w:tcPr>
          <w:p w:rsidR="008436AB" w:rsidRDefault="008436AB" w:rsidP="00E65913">
            <w:pPr>
              <w:jc w:val="center"/>
              <w:rPr>
                <w:rFonts w:ascii="Arial" w:hAnsi="Arial" w:cs="Arial"/>
                <w:sz w:val="16"/>
                <w:szCs w:val="16"/>
              </w:rPr>
            </w:pPr>
            <w:r>
              <w:rPr>
                <w:rFonts w:ascii="Arial" w:hAnsi="Arial" w:cs="Arial"/>
                <w:sz w:val="16"/>
                <w:szCs w:val="16"/>
              </w:rPr>
              <w:t>383,907,189</w:t>
            </w:r>
          </w:p>
        </w:tc>
      </w:tr>
      <w:tr w:rsidR="008436AB" w:rsidTr="008436AB">
        <w:trPr>
          <w:trHeight w:val="199"/>
          <w:jc w:val="center"/>
        </w:trPr>
        <w:tc>
          <w:tcPr>
            <w:tcW w:w="3760" w:type="dxa"/>
            <w:tcBorders>
              <w:top w:val="nil"/>
              <w:left w:val="single" w:sz="12" w:space="0" w:color="auto"/>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sz w:val="16"/>
                <w:szCs w:val="16"/>
              </w:rPr>
            </w:pPr>
            <w:r>
              <w:rPr>
                <w:rFonts w:ascii="Arial" w:hAnsi="Arial" w:cs="Arial"/>
                <w:sz w:val="16"/>
                <w:szCs w:val="16"/>
              </w:rPr>
              <w:t>Transit</w:t>
            </w:r>
          </w:p>
        </w:tc>
        <w:tc>
          <w:tcPr>
            <w:tcW w:w="3040" w:type="dxa"/>
            <w:tcBorders>
              <w:top w:val="nil"/>
              <w:left w:val="nil"/>
              <w:bottom w:val="single" w:sz="8" w:space="0" w:color="auto"/>
              <w:right w:val="single" w:sz="8" w:space="0" w:color="auto"/>
            </w:tcBorders>
            <w:shd w:val="clear" w:color="auto" w:fill="auto"/>
            <w:noWrap/>
            <w:vAlign w:val="bottom"/>
            <w:hideMark/>
          </w:tcPr>
          <w:p w:rsidR="008436AB" w:rsidRDefault="00F215BB" w:rsidP="00F215BB">
            <w:pPr>
              <w:jc w:val="center"/>
              <w:rPr>
                <w:rFonts w:ascii="Arial" w:hAnsi="Arial" w:cs="Arial"/>
                <w:sz w:val="16"/>
                <w:szCs w:val="16"/>
              </w:rPr>
            </w:pPr>
            <w:r>
              <w:rPr>
                <w:rFonts w:ascii="Arial" w:hAnsi="Arial" w:cs="Arial"/>
                <w:sz w:val="16"/>
                <w:szCs w:val="16"/>
              </w:rPr>
              <w:t>H</w:t>
            </w:r>
          </w:p>
        </w:tc>
        <w:tc>
          <w:tcPr>
            <w:tcW w:w="1760" w:type="dxa"/>
            <w:tcBorders>
              <w:top w:val="nil"/>
              <w:left w:val="nil"/>
              <w:bottom w:val="single" w:sz="8" w:space="0" w:color="auto"/>
              <w:right w:val="single" w:sz="12" w:space="0" w:color="auto"/>
            </w:tcBorders>
            <w:shd w:val="clear" w:color="auto" w:fill="auto"/>
            <w:noWrap/>
            <w:vAlign w:val="center"/>
            <w:hideMark/>
          </w:tcPr>
          <w:p w:rsidR="008436AB" w:rsidRDefault="008436AB" w:rsidP="00E65913">
            <w:pPr>
              <w:jc w:val="center"/>
              <w:rPr>
                <w:rFonts w:ascii="Arial" w:hAnsi="Arial" w:cs="Arial"/>
                <w:sz w:val="16"/>
                <w:szCs w:val="16"/>
              </w:rPr>
            </w:pPr>
            <w:r>
              <w:rPr>
                <w:rFonts w:ascii="Arial" w:hAnsi="Arial" w:cs="Arial"/>
                <w:sz w:val="16"/>
                <w:szCs w:val="16"/>
              </w:rPr>
              <w:t>51,997,993</w:t>
            </w:r>
          </w:p>
        </w:tc>
      </w:tr>
      <w:tr w:rsidR="008436AB" w:rsidTr="008436AB">
        <w:trPr>
          <w:trHeight w:val="199"/>
          <w:jc w:val="center"/>
        </w:trPr>
        <w:tc>
          <w:tcPr>
            <w:tcW w:w="3760" w:type="dxa"/>
            <w:tcBorders>
              <w:top w:val="nil"/>
              <w:left w:val="single" w:sz="12" w:space="0" w:color="auto"/>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sz w:val="16"/>
                <w:szCs w:val="16"/>
              </w:rPr>
            </w:pPr>
            <w:r>
              <w:rPr>
                <w:rFonts w:ascii="Arial" w:hAnsi="Arial" w:cs="Arial"/>
                <w:sz w:val="16"/>
                <w:szCs w:val="16"/>
              </w:rPr>
              <w:t>Utilities (publicly-owned)</w:t>
            </w:r>
          </w:p>
        </w:tc>
        <w:tc>
          <w:tcPr>
            <w:tcW w:w="3040" w:type="dxa"/>
            <w:tcBorders>
              <w:top w:val="nil"/>
              <w:left w:val="nil"/>
              <w:bottom w:val="single" w:sz="8" w:space="0" w:color="auto"/>
              <w:right w:val="single" w:sz="8" w:space="0" w:color="auto"/>
            </w:tcBorders>
            <w:shd w:val="clear" w:color="auto" w:fill="auto"/>
            <w:noWrap/>
            <w:vAlign w:val="bottom"/>
            <w:hideMark/>
          </w:tcPr>
          <w:p w:rsidR="008436AB" w:rsidRDefault="00F215BB" w:rsidP="00F215BB">
            <w:pPr>
              <w:jc w:val="center"/>
              <w:rPr>
                <w:rFonts w:ascii="Arial" w:hAnsi="Arial" w:cs="Arial"/>
                <w:sz w:val="16"/>
                <w:szCs w:val="16"/>
              </w:rPr>
            </w:pPr>
            <w:r>
              <w:rPr>
                <w:rFonts w:ascii="Arial" w:hAnsi="Arial" w:cs="Arial"/>
                <w:sz w:val="16"/>
                <w:szCs w:val="16"/>
              </w:rPr>
              <w:t>H</w:t>
            </w:r>
          </w:p>
        </w:tc>
        <w:tc>
          <w:tcPr>
            <w:tcW w:w="1760" w:type="dxa"/>
            <w:tcBorders>
              <w:top w:val="nil"/>
              <w:left w:val="nil"/>
              <w:bottom w:val="single" w:sz="8" w:space="0" w:color="auto"/>
              <w:right w:val="single" w:sz="12" w:space="0" w:color="auto"/>
            </w:tcBorders>
            <w:shd w:val="clear" w:color="auto" w:fill="auto"/>
            <w:noWrap/>
            <w:vAlign w:val="center"/>
            <w:hideMark/>
          </w:tcPr>
          <w:p w:rsidR="008436AB" w:rsidRDefault="008436AB" w:rsidP="00E65913">
            <w:pPr>
              <w:jc w:val="center"/>
              <w:rPr>
                <w:rFonts w:ascii="Arial" w:hAnsi="Arial" w:cs="Arial"/>
                <w:sz w:val="16"/>
                <w:szCs w:val="16"/>
              </w:rPr>
            </w:pPr>
            <w:r>
              <w:rPr>
                <w:rFonts w:ascii="Arial" w:hAnsi="Arial" w:cs="Arial"/>
                <w:sz w:val="16"/>
                <w:szCs w:val="16"/>
              </w:rPr>
              <w:t>321,118,801</w:t>
            </w:r>
          </w:p>
        </w:tc>
      </w:tr>
      <w:tr w:rsidR="008436AB" w:rsidTr="008436AB">
        <w:trPr>
          <w:trHeight w:val="199"/>
          <w:jc w:val="center"/>
        </w:trPr>
        <w:tc>
          <w:tcPr>
            <w:tcW w:w="3760" w:type="dxa"/>
            <w:tcBorders>
              <w:top w:val="nil"/>
              <w:left w:val="single" w:sz="12" w:space="0" w:color="auto"/>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sz w:val="16"/>
                <w:szCs w:val="16"/>
              </w:rPr>
            </w:pPr>
            <w:r>
              <w:rPr>
                <w:rFonts w:ascii="Arial" w:hAnsi="Arial" w:cs="Arial"/>
                <w:sz w:val="16"/>
                <w:szCs w:val="16"/>
              </w:rPr>
              <w:t>Wastewater</w:t>
            </w:r>
          </w:p>
        </w:tc>
        <w:tc>
          <w:tcPr>
            <w:tcW w:w="3040" w:type="dxa"/>
            <w:tcBorders>
              <w:top w:val="nil"/>
              <w:left w:val="nil"/>
              <w:bottom w:val="single" w:sz="8" w:space="0" w:color="auto"/>
              <w:right w:val="single" w:sz="8" w:space="0" w:color="auto"/>
            </w:tcBorders>
            <w:shd w:val="clear" w:color="auto" w:fill="auto"/>
            <w:noWrap/>
            <w:vAlign w:val="bottom"/>
            <w:hideMark/>
          </w:tcPr>
          <w:p w:rsidR="008436AB" w:rsidRDefault="00F215BB" w:rsidP="00F215BB">
            <w:pPr>
              <w:jc w:val="center"/>
              <w:rPr>
                <w:rFonts w:ascii="Arial" w:hAnsi="Arial" w:cs="Arial"/>
                <w:sz w:val="16"/>
                <w:szCs w:val="16"/>
              </w:rPr>
            </w:pPr>
            <w:r>
              <w:rPr>
                <w:rFonts w:ascii="Arial" w:hAnsi="Arial" w:cs="Arial"/>
                <w:sz w:val="16"/>
                <w:szCs w:val="16"/>
              </w:rPr>
              <w:t>H</w:t>
            </w:r>
          </w:p>
        </w:tc>
        <w:tc>
          <w:tcPr>
            <w:tcW w:w="1760" w:type="dxa"/>
            <w:tcBorders>
              <w:top w:val="nil"/>
              <w:left w:val="nil"/>
              <w:bottom w:val="single" w:sz="8" w:space="0" w:color="auto"/>
              <w:right w:val="single" w:sz="12" w:space="0" w:color="auto"/>
            </w:tcBorders>
            <w:shd w:val="clear" w:color="auto" w:fill="auto"/>
            <w:noWrap/>
            <w:vAlign w:val="center"/>
            <w:hideMark/>
          </w:tcPr>
          <w:p w:rsidR="008436AB" w:rsidRDefault="008436AB" w:rsidP="00E65913">
            <w:pPr>
              <w:jc w:val="center"/>
              <w:rPr>
                <w:rFonts w:ascii="Arial" w:hAnsi="Arial" w:cs="Arial"/>
                <w:sz w:val="16"/>
                <w:szCs w:val="16"/>
              </w:rPr>
            </w:pPr>
            <w:r>
              <w:rPr>
                <w:rFonts w:ascii="Arial" w:hAnsi="Arial" w:cs="Arial"/>
                <w:sz w:val="16"/>
                <w:szCs w:val="16"/>
              </w:rPr>
              <w:t>915,898,081</w:t>
            </w:r>
          </w:p>
        </w:tc>
      </w:tr>
      <w:tr w:rsidR="008436AB" w:rsidTr="008436AB">
        <w:trPr>
          <w:trHeight w:val="199"/>
          <w:jc w:val="center"/>
        </w:trPr>
        <w:tc>
          <w:tcPr>
            <w:tcW w:w="3760" w:type="dxa"/>
            <w:tcBorders>
              <w:top w:val="nil"/>
              <w:left w:val="single" w:sz="12" w:space="0" w:color="auto"/>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sz w:val="16"/>
                <w:szCs w:val="16"/>
              </w:rPr>
            </w:pPr>
            <w:r>
              <w:rPr>
                <w:rFonts w:ascii="Arial" w:hAnsi="Arial" w:cs="Arial"/>
                <w:sz w:val="16"/>
                <w:szCs w:val="16"/>
              </w:rPr>
              <w:t>Water Rights</w:t>
            </w:r>
          </w:p>
        </w:tc>
        <w:tc>
          <w:tcPr>
            <w:tcW w:w="3040" w:type="dxa"/>
            <w:tcBorders>
              <w:top w:val="nil"/>
              <w:left w:val="nil"/>
              <w:bottom w:val="single" w:sz="8" w:space="0" w:color="auto"/>
              <w:right w:val="single" w:sz="8" w:space="0" w:color="auto"/>
            </w:tcBorders>
            <w:shd w:val="clear" w:color="auto" w:fill="auto"/>
            <w:noWrap/>
            <w:vAlign w:val="bottom"/>
            <w:hideMark/>
          </w:tcPr>
          <w:p w:rsidR="008436AB" w:rsidRDefault="00F215BB" w:rsidP="00F215BB">
            <w:pPr>
              <w:jc w:val="center"/>
              <w:rPr>
                <w:rFonts w:ascii="Arial" w:hAnsi="Arial" w:cs="Arial"/>
                <w:sz w:val="16"/>
                <w:szCs w:val="16"/>
              </w:rPr>
            </w:pPr>
            <w:r>
              <w:rPr>
                <w:rFonts w:ascii="Arial" w:hAnsi="Arial" w:cs="Arial"/>
                <w:sz w:val="16"/>
                <w:szCs w:val="16"/>
              </w:rPr>
              <w:t>H</w:t>
            </w:r>
          </w:p>
        </w:tc>
        <w:tc>
          <w:tcPr>
            <w:tcW w:w="1760" w:type="dxa"/>
            <w:tcBorders>
              <w:top w:val="nil"/>
              <w:left w:val="nil"/>
              <w:bottom w:val="single" w:sz="8" w:space="0" w:color="auto"/>
              <w:right w:val="single" w:sz="12" w:space="0" w:color="auto"/>
            </w:tcBorders>
            <w:shd w:val="clear" w:color="auto" w:fill="auto"/>
            <w:noWrap/>
            <w:vAlign w:val="center"/>
            <w:hideMark/>
          </w:tcPr>
          <w:p w:rsidR="008436AB" w:rsidRDefault="008436AB" w:rsidP="00E65913">
            <w:pPr>
              <w:jc w:val="center"/>
              <w:rPr>
                <w:rFonts w:ascii="Arial" w:hAnsi="Arial" w:cs="Arial"/>
                <w:sz w:val="16"/>
                <w:szCs w:val="16"/>
              </w:rPr>
            </w:pPr>
            <w:r>
              <w:rPr>
                <w:rFonts w:ascii="Arial" w:hAnsi="Arial" w:cs="Arial"/>
                <w:sz w:val="16"/>
                <w:szCs w:val="16"/>
              </w:rPr>
              <w:t>13,156,687</w:t>
            </w:r>
          </w:p>
        </w:tc>
      </w:tr>
      <w:tr w:rsidR="008436AB" w:rsidTr="008436AB">
        <w:trPr>
          <w:trHeight w:val="199"/>
          <w:jc w:val="center"/>
        </w:trPr>
        <w:tc>
          <w:tcPr>
            <w:tcW w:w="3760" w:type="dxa"/>
            <w:tcBorders>
              <w:top w:val="nil"/>
              <w:left w:val="single" w:sz="12" w:space="0" w:color="auto"/>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sz w:val="16"/>
                <w:szCs w:val="16"/>
              </w:rPr>
            </w:pPr>
            <w:r>
              <w:rPr>
                <w:rFonts w:ascii="Arial" w:hAnsi="Arial" w:cs="Arial"/>
                <w:sz w:val="16"/>
                <w:szCs w:val="16"/>
              </w:rPr>
              <w:t>Water Supply</w:t>
            </w:r>
          </w:p>
        </w:tc>
        <w:tc>
          <w:tcPr>
            <w:tcW w:w="3040" w:type="dxa"/>
            <w:tcBorders>
              <w:top w:val="nil"/>
              <w:left w:val="nil"/>
              <w:bottom w:val="single" w:sz="8" w:space="0" w:color="auto"/>
              <w:right w:val="single" w:sz="8" w:space="0" w:color="auto"/>
            </w:tcBorders>
            <w:shd w:val="clear" w:color="auto" w:fill="auto"/>
            <w:noWrap/>
            <w:vAlign w:val="bottom"/>
            <w:hideMark/>
          </w:tcPr>
          <w:p w:rsidR="008436AB" w:rsidRDefault="00F215BB" w:rsidP="00F215BB">
            <w:pPr>
              <w:jc w:val="center"/>
              <w:rPr>
                <w:rFonts w:ascii="Arial" w:hAnsi="Arial" w:cs="Arial"/>
                <w:sz w:val="16"/>
                <w:szCs w:val="16"/>
              </w:rPr>
            </w:pPr>
            <w:r>
              <w:rPr>
                <w:rFonts w:ascii="Arial" w:hAnsi="Arial" w:cs="Arial"/>
                <w:sz w:val="16"/>
                <w:szCs w:val="16"/>
              </w:rPr>
              <w:t>H</w:t>
            </w:r>
          </w:p>
        </w:tc>
        <w:tc>
          <w:tcPr>
            <w:tcW w:w="1760" w:type="dxa"/>
            <w:tcBorders>
              <w:top w:val="nil"/>
              <w:left w:val="nil"/>
              <w:bottom w:val="single" w:sz="8" w:space="0" w:color="auto"/>
              <w:right w:val="single" w:sz="12" w:space="0" w:color="auto"/>
            </w:tcBorders>
            <w:shd w:val="clear" w:color="auto" w:fill="auto"/>
            <w:noWrap/>
            <w:vAlign w:val="center"/>
            <w:hideMark/>
          </w:tcPr>
          <w:p w:rsidR="008436AB" w:rsidRDefault="008436AB" w:rsidP="00E65913">
            <w:pPr>
              <w:jc w:val="center"/>
              <w:rPr>
                <w:rFonts w:ascii="Arial" w:hAnsi="Arial" w:cs="Arial"/>
                <w:sz w:val="16"/>
                <w:szCs w:val="16"/>
              </w:rPr>
            </w:pPr>
            <w:r>
              <w:rPr>
                <w:rFonts w:ascii="Arial" w:hAnsi="Arial" w:cs="Arial"/>
                <w:sz w:val="16"/>
                <w:szCs w:val="16"/>
              </w:rPr>
              <w:t>1,342,457,928</w:t>
            </w:r>
          </w:p>
        </w:tc>
      </w:tr>
      <w:tr w:rsidR="008436AB" w:rsidTr="008436AB">
        <w:trPr>
          <w:trHeight w:val="199"/>
          <w:jc w:val="center"/>
        </w:trPr>
        <w:tc>
          <w:tcPr>
            <w:tcW w:w="3760" w:type="dxa"/>
            <w:tcBorders>
              <w:top w:val="nil"/>
              <w:left w:val="single" w:sz="12" w:space="0" w:color="auto"/>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b/>
                <w:bCs/>
                <w:sz w:val="16"/>
                <w:szCs w:val="16"/>
              </w:rPr>
            </w:pPr>
            <w:r>
              <w:rPr>
                <w:rFonts w:ascii="Arial" w:hAnsi="Arial" w:cs="Arial"/>
                <w:b/>
                <w:bCs/>
                <w:sz w:val="16"/>
                <w:szCs w:val="16"/>
              </w:rPr>
              <w:t>Public Facilities</w:t>
            </w:r>
          </w:p>
        </w:tc>
        <w:tc>
          <w:tcPr>
            <w:tcW w:w="3040" w:type="dxa"/>
            <w:tcBorders>
              <w:top w:val="nil"/>
              <w:left w:val="nil"/>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b/>
                <w:bCs/>
                <w:sz w:val="16"/>
                <w:szCs w:val="16"/>
              </w:rPr>
            </w:pPr>
            <w:r>
              <w:rPr>
                <w:rFonts w:ascii="Arial" w:hAnsi="Arial" w:cs="Arial"/>
                <w:b/>
                <w:bCs/>
                <w:sz w:val="16"/>
                <w:szCs w:val="16"/>
              </w:rPr>
              <w:t> </w:t>
            </w:r>
          </w:p>
        </w:tc>
        <w:tc>
          <w:tcPr>
            <w:tcW w:w="1760" w:type="dxa"/>
            <w:tcBorders>
              <w:top w:val="nil"/>
              <w:left w:val="nil"/>
              <w:bottom w:val="single" w:sz="8" w:space="0" w:color="auto"/>
              <w:right w:val="single" w:sz="12" w:space="0" w:color="auto"/>
            </w:tcBorders>
            <w:shd w:val="clear" w:color="auto" w:fill="auto"/>
            <w:noWrap/>
            <w:vAlign w:val="center"/>
            <w:hideMark/>
          </w:tcPr>
          <w:p w:rsidR="008436AB" w:rsidRDefault="008436AB" w:rsidP="00E65913">
            <w:pPr>
              <w:jc w:val="center"/>
              <w:rPr>
                <w:rFonts w:ascii="Arial" w:hAnsi="Arial" w:cs="Arial"/>
                <w:b/>
                <w:bCs/>
                <w:sz w:val="16"/>
                <w:szCs w:val="16"/>
              </w:rPr>
            </w:pPr>
            <w:r>
              <w:rPr>
                <w:rFonts w:ascii="Arial" w:hAnsi="Arial" w:cs="Arial"/>
                <w:b/>
                <w:bCs/>
                <w:sz w:val="16"/>
                <w:szCs w:val="16"/>
              </w:rPr>
              <w:t> </w:t>
            </w:r>
          </w:p>
        </w:tc>
      </w:tr>
      <w:tr w:rsidR="008436AB" w:rsidTr="008436AB">
        <w:trPr>
          <w:trHeight w:val="199"/>
          <w:jc w:val="center"/>
        </w:trPr>
        <w:tc>
          <w:tcPr>
            <w:tcW w:w="3760" w:type="dxa"/>
            <w:tcBorders>
              <w:top w:val="nil"/>
              <w:left w:val="single" w:sz="12" w:space="0" w:color="auto"/>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sz w:val="16"/>
                <w:szCs w:val="16"/>
              </w:rPr>
            </w:pPr>
            <w:r>
              <w:rPr>
                <w:rFonts w:ascii="Arial" w:hAnsi="Arial" w:cs="Arial"/>
                <w:sz w:val="16"/>
                <w:szCs w:val="16"/>
              </w:rPr>
              <w:t>Airports</w:t>
            </w:r>
          </w:p>
        </w:tc>
        <w:tc>
          <w:tcPr>
            <w:tcW w:w="3040" w:type="dxa"/>
            <w:tcBorders>
              <w:top w:val="nil"/>
              <w:left w:val="nil"/>
              <w:bottom w:val="single" w:sz="8" w:space="0" w:color="auto"/>
              <w:right w:val="single" w:sz="8" w:space="0" w:color="auto"/>
            </w:tcBorders>
            <w:shd w:val="clear" w:color="auto" w:fill="auto"/>
            <w:noWrap/>
            <w:vAlign w:val="bottom"/>
            <w:hideMark/>
          </w:tcPr>
          <w:p w:rsidR="008436AB" w:rsidRDefault="00F215BB" w:rsidP="00F215BB">
            <w:pPr>
              <w:jc w:val="center"/>
              <w:rPr>
                <w:rFonts w:ascii="Arial" w:hAnsi="Arial" w:cs="Arial"/>
                <w:sz w:val="16"/>
                <w:szCs w:val="16"/>
              </w:rPr>
            </w:pPr>
            <w:r>
              <w:rPr>
                <w:rFonts w:ascii="Arial" w:hAnsi="Arial" w:cs="Arial"/>
                <w:sz w:val="16"/>
                <w:szCs w:val="16"/>
              </w:rPr>
              <w:t>H</w:t>
            </w:r>
          </w:p>
        </w:tc>
        <w:tc>
          <w:tcPr>
            <w:tcW w:w="1760" w:type="dxa"/>
            <w:tcBorders>
              <w:top w:val="nil"/>
              <w:left w:val="nil"/>
              <w:bottom w:val="single" w:sz="8" w:space="0" w:color="auto"/>
              <w:right w:val="single" w:sz="12" w:space="0" w:color="auto"/>
            </w:tcBorders>
            <w:shd w:val="clear" w:color="auto" w:fill="auto"/>
            <w:noWrap/>
            <w:vAlign w:val="center"/>
            <w:hideMark/>
          </w:tcPr>
          <w:p w:rsidR="008436AB" w:rsidRDefault="008436AB" w:rsidP="00E65913">
            <w:pPr>
              <w:jc w:val="center"/>
              <w:rPr>
                <w:rFonts w:ascii="Arial" w:hAnsi="Arial" w:cs="Arial"/>
                <w:sz w:val="16"/>
                <w:szCs w:val="16"/>
              </w:rPr>
            </w:pPr>
            <w:r>
              <w:rPr>
                <w:rFonts w:ascii="Arial" w:hAnsi="Arial" w:cs="Arial"/>
                <w:sz w:val="16"/>
                <w:szCs w:val="16"/>
              </w:rPr>
              <w:t>272,514,674</w:t>
            </w:r>
          </w:p>
        </w:tc>
      </w:tr>
      <w:tr w:rsidR="008436AB" w:rsidTr="008436AB">
        <w:trPr>
          <w:trHeight w:val="199"/>
          <w:jc w:val="center"/>
        </w:trPr>
        <w:tc>
          <w:tcPr>
            <w:tcW w:w="3760" w:type="dxa"/>
            <w:tcBorders>
              <w:top w:val="nil"/>
              <w:left w:val="single" w:sz="12" w:space="0" w:color="auto"/>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sz w:val="16"/>
                <w:szCs w:val="16"/>
              </w:rPr>
            </w:pPr>
            <w:r>
              <w:rPr>
                <w:rFonts w:ascii="Arial" w:hAnsi="Arial" w:cs="Arial"/>
                <w:sz w:val="16"/>
                <w:szCs w:val="16"/>
              </w:rPr>
              <w:t>Clean Energy</w:t>
            </w:r>
          </w:p>
        </w:tc>
        <w:tc>
          <w:tcPr>
            <w:tcW w:w="3040" w:type="dxa"/>
            <w:tcBorders>
              <w:top w:val="nil"/>
              <w:left w:val="nil"/>
              <w:bottom w:val="single" w:sz="8" w:space="0" w:color="auto"/>
              <w:right w:val="single" w:sz="8" w:space="0" w:color="auto"/>
            </w:tcBorders>
            <w:shd w:val="clear" w:color="auto" w:fill="auto"/>
            <w:noWrap/>
            <w:vAlign w:val="bottom"/>
            <w:hideMark/>
          </w:tcPr>
          <w:p w:rsidR="008436AB" w:rsidRDefault="00F215BB" w:rsidP="00F215BB">
            <w:pPr>
              <w:jc w:val="center"/>
              <w:rPr>
                <w:rFonts w:ascii="Arial" w:hAnsi="Arial" w:cs="Arial"/>
                <w:sz w:val="16"/>
                <w:szCs w:val="16"/>
              </w:rPr>
            </w:pPr>
            <w:r>
              <w:rPr>
                <w:rFonts w:ascii="Arial" w:hAnsi="Arial" w:cs="Arial"/>
                <w:sz w:val="16"/>
                <w:szCs w:val="16"/>
              </w:rPr>
              <w:t>H</w:t>
            </w:r>
          </w:p>
        </w:tc>
        <w:tc>
          <w:tcPr>
            <w:tcW w:w="1760" w:type="dxa"/>
            <w:tcBorders>
              <w:top w:val="nil"/>
              <w:left w:val="nil"/>
              <w:bottom w:val="single" w:sz="8" w:space="0" w:color="auto"/>
              <w:right w:val="single" w:sz="12" w:space="0" w:color="auto"/>
            </w:tcBorders>
            <w:shd w:val="clear" w:color="auto" w:fill="auto"/>
            <w:noWrap/>
            <w:vAlign w:val="center"/>
            <w:hideMark/>
          </w:tcPr>
          <w:p w:rsidR="008436AB" w:rsidRDefault="008436AB" w:rsidP="00E65913">
            <w:pPr>
              <w:jc w:val="center"/>
              <w:rPr>
                <w:rFonts w:ascii="Arial" w:hAnsi="Arial" w:cs="Arial"/>
                <w:sz w:val="16"/>
                <w:szCs w:val="16"/>
              </w:rPr>
            </w:pPr>
            <w:r>
              <w:rPr>
                <w:rFonts w:ascii="Arial" w:hAnsi="Arial" w:cs="Arial"/>
                <w:sz w:val="16"/>
                <w:szCs w:val="16"/>
              </w:rPr>
              <w:t>213,840,000</w:t>
            </w:r>
          </w:p>
        </w:tc>
      </w:tr>
      <w:tr w:rsidR="008436AB" w:rsidTr="008436AB">
        <w:trPr>
          <w:trHeight w:val="199"/>
          <w:jc w:val="center"/>
        </w:trPr>
        <w:tc>
          <w:tcPr>
            <w:tcW w:w="3760" w:type="dxa"/>
            <w:tcBorders>
              <w:top w:val="nil"/>
              <w:left w:val="single" w:sz="12" w:space="0" w:color="auto"/>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sz w:val="16"/>
                <w:szCs w:val="16"/>
              </w:rPr>
            </w:pPr>
            <w:r>
              <w:rPr>
                <w:rFonts w:ascii="Arial" w:hAnsi="Arial" w:cs="Arial"/>
                <w:sz w:val="16"/>
                <w:szCs w:val="16"/>
              </w:rPr>
              <w:t>Convention Facilities</w:t>
            </w:r>
          </w:p>
        </w:tc>
        <w:tc>
          <w:tcPr>
            <w:tcW w:w="3040" w:type="dxa"/>
            <w:tcBorders>
              <w:top w:val="nil"/>
              <w:left w:val="nil"/>
              <w:bottom w:val="single" w:sz="8" w:space="0" w:color="auto"/>
              <w:right w:val="single" w:sz="8" w:space="0" w:color="auto"/>
            </w:tcBorders>
            <w:shd w:val="clear" w:color="auto" w:fill="auto"/>
            <w:noWrap/>
            <w:vAlign w:val="bottom"/>
            <w:hideMark/>
          </w:tcPr>
          <w:p w:rsidR="008436AB" w:rsidRDefault="00F215BB" w:rsidP="00F215BB">
            <w:pPr>
              <w:jc w:val="center"/>
              <w:rPr>
                <w:rFonts w:ascii="Arial" w:hAnsi="Arial" w:cs="Arial"/>
                <w:sz w:val="16"/>
                <w:szCs w:val="16"/>
              </w:rPr>
            </w:pPr>
            <w:r>
              <w:rPr>
                <w:rFonts w:ascii="Arial" w:hAnsi="Arial" w:cs="Arial"/>
                <w:sz w:val="16"/>
                <w:szCs w:val="16"/>
              </w:rPr>
              <w:t>H</w:t>
            </w:r>
          </w:p>
        </w:tc>
        <w:tc>
          <w:tcPr>
            <w:tcW w:w="1760" w:type="dxa"/>
            <w:tcBorders>
              <w:top w:val="nil"/>
              <w:left w:val="nil"/>
              <w:bottom w:val="single" w:sz="8" w:space="0" w:color="auto"/>
              <w:right w:val="single" w:sz="12" w:space="0" w:color="auto"/>
            </w:tcBorders>
            <w:shd w:val="clear" w:color="auto" w:fill="auto"/>
            <w:noWrap/>
            <w:vAlign w:val="center"/>
            <w:hideMark/>
          </w:tcPr>
          <w:p w:rsidR="008436AB" w:rsidRDefault="008436AB" w:rsidP="00E65913">
            <w:pPr>
              <w:jc w:val="center"/>
              <w:rPr>
                <w:rFonts w:ascii="Arial" w:hAnsi="Arial" w:cs="Arial"/>
                <w:sz w:val="16"/>
                <w:szCs w:val="16"/>
              </w:rPr>
            </w:pPr>
            <w:r>
              <w:rPr>
                <w:rFonts w:ascii="Arial" w:hAnsi="Arial" w:cs="Arial"/>
                <w:sz w:val="16"/>
                <w:szCs w:val="16"/>
              </w:rPr>
              <w:t>52,957,850</w:t>
            </w:r>
          </w:p>
        </w:tc>
      </w:tr>
      <w:tr w:rsidR="008436AB" w:rsidTr="008436AB">
        <w:trPr>
          <w:trHeight w:val="199"/>
          <w:jc w:val="center"/>
        </w:trPr>
        <w:tc>
          <w:tcPr>
            <w:tcW w:w="3760" w:type="dxa"/>
            <w:tcBorders>
              <w:top w:val="nil"/>
              <w:left w:val="single" w:sz="12" w:space="0" w:color="auto"/>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sz w:val="16"/>
                <w:szCs w:val="16"/>
              </w:rPr>
            </w:pPr>
            <w:r>
              <w:rPr>
                <w:rFonts w:ascii="Arial" w:hAnsi="Arial" w:cs="Arial"/>
                <w:sz w:val="16"/>
                <w:szCs w:val="16"/>
              </w:rPr>
              <w:t>Community Centers</w:t>
            </w:r>
          </w:p>
        </w:tc>
        <w:tc>
          <w:tcPr>
            <w:tcW w:w="3040" w:type="dxa"/>
            <w:tcBorders>
              <w:top w:val="nil"/>
              <w:left w:val="nil"/>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sz w:val="16"/>
                <w:szCs w:val="16"/>
              </w:rPr>
            </w:pPr>
            <w:r>
              <w:rPr>
                <w:rFonts w:ascii="Arial" w:hAnsi="Arial" w:cs="Arial"/>
                <w:sz w:val="16"/>
                <w:szCs w:val="16"/>
              </w:rPr>
              <w:t> </w:t>
            </w:r>
          </w:p>
        </w:tc>
        <w:tc>
          <w:tcPr>
            <w:tcW w:w="1760" w:type="dxa"/>
            <w:tcBorders>
              <w:top w:val="nil"/>
              <w:left w:val="nil"/>
              <w:bottom w:val="single" w:sz="8" w:space="0" w:color="auto"/>
              <w:right w:val="single" w:sz="12" w:space="0" w:color="auto"/>
            </w:tcBorders>
            <w:shd w:val="clear" w:color="auto" w:fill="auto"/>
            <w:noWrap/>
            <w:vAlign w:val="center"/>
            <w:hideMark/>
          </w:tcPr>
          <w:p w:rsidR="008436AB" w:rsidRDefault="008436AB" w:rsidP="00E65913">
            <w:pPr>
              <w:jc w:val="center"/>
              <w:rPr>
                <w:rFonts w:ascii="Arial" w:hAnsi="Arial" w:cs="Arial"/>
                <w:sz w:val="16"/>
                <w:szCs w:val="16"/>
              </w:rPr>
            </w:pPr>
            <w:r>
              <w:rPr>
                <w:rFonts w:ascii="Arial" w:hAnsi="Arial" w:cs="Arial"/>
                <w:sz w:val="16"/>
                <w:szCs w:val="16"/>
              </w:rPr>
              <w:t> </w:t>
            </w:r>
          </w:p>
        </w:tc>
      </w:tr>
      <w:tr w:rsidR="008436AB" w:rsidTr="008436AB">
        <w:trPr>
          <w:trHeight w:val="199"/>
          <w:jc w:val="center"/>
        </w:trPr>
        <w:tc>
          <w:tcPr>
            <w:tcW w:w="3760" w:type="dxa"/>
            <w:tcBorders>
              <w:top w:val="nil"/>
              <w:left w:val="single" w:sz="12" w:space="0" w:color="auto"/>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sz w:val="16"/>
                <w:szCs w:val="16"/>
              </w:rPr>
            </w:pPr>
            <w:r>
              <w:rPr>
                <w:rFonts w:ascii="Arial" w:hAnsi="Arial" w:cs="Arial"/>
                <w:sz w:val="16"/>
                <w:szCs w:val="16"/>
              </w:rPr>
              <w:t>Cultural Facilities</w:t>
            </w:r>
          </w:p>
        </w:tc>
        <w:tc>
          <w:tcPr>
            <w:tcW w:w="3040" w:type="dxa"/>
            <w:tcBorders>
              <w:top w:val="nil"/>
              <w:left w:val="nil"/>
              <w:bottom w:val="single" w:sz="8" w:space="0" w:color="auto"/>
              <w:right w:val="single" w:sz="8" w:space="0" w:color="auto"/>
            </w:tcBorders>
            <w:shd w:val="clear" w:color="auto" w:fill="auto"/>
            <w:noWrap/>
            <w:vAlign w:val="bottom"/>
            <w:hideMark/>
          </w:tcPr>
          <w:p w:rsidR="008436AB" w:rsidRDefault="00F215BB" w:rsidP="00F215BB">
            <w:pPr>
              <w:jc w:val="center"/>
              <w:rPr>
                <w:rFonts w:ascii="Arial" w:hAnsi="Arial" w:cs="Arial"/>
                <w:sz w:val="16"/>
                <w:szCs w:val="16"/>
              </w:rPr>
            </w:pPr>
            <w:r>
              <w:rPr>
                <w:rFonts w:ascii="Arial" w:hAnsi="Arial" w:cs="Arial"/>
                <w:sz w:val="16"/>
                <w:szCs w:val="16"/>
              </w:rPr>
              <w:t>H</w:t>
            </w:r>
          </w:p>
        </w:tc>
        <w:tc>
          <w:tcPr>
            <w:tcW w:w="1760" w:type="dxa"/>
            <w:tcBorders>
              <w:top w:val="nil"/>
              <w:left w:val="nil"/>
              <w:bottom w:val="single" w:sz="8" w:space="0" w:color="auto"/>
              <w:right w:val="single" w:sz="12" w:space="0" w:color="auto"/>
            </w:tcBorders>
            <w:shd w:val="clear" w:color="auto" w:fill="auto"/>
            <w:noWrap/>
            <w:vAlign w:val="center"/>
            <w:hideMark/>
          </w:tcPr>
          <w:p w:rsidR="008436AB" w:rsidRDefault="008436AB" w:rsidP="00E65913">
            <w:pPr>
              <w:jc w:val="center"/>
              <w:rPr>
                <w:rFonts w:ascii="Arial" w:hAnsi="Arial" w:cs="Arial"/>
                <w:sz w:val="16"/>
                <w:szCs w:val="16"/>
              </w:rPr>
            </w:pPr>
            <w:r>
              <w:rPr>
                <w:rFonts w:ascii="Arial" w:hAnsi="Arial" w:cs="Arial"/>
                <w:sz w:val="16"/>
                <w:szCs w:val="16"/>
              </w:rPr>
              <w:t>117,210,073</w:t>
            </w:r>
          </w:p>
        </w:tc>
      </w:tr>
      <w:tr w:rsidR="008436AB" w:rsidTr="008436AB">
        <w:trPr>
          <w:trHeight w:val="199"/>
          <w:jc w:val="center"/>
        </w:trPr>
        <w:tc>
          <w:tcPr>
            <w:tcW w:w="3760" w:type="dxa"/>
            <w:tcBorders>
              <w:top w:val="nil"/>
              <w:left w:val="single" w:sz="12" w:space="0" w:color="auto"/>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sz w:val="16"/>
                <w:szCs w:val="16"/>
              </w:rPr>
            </w:pPr>
            <w:r>
              <w:rPr>
                <w:rFonts w:ascii="Arial" w:hAnsi="Arial" w:cs="Arial"/>
                <w:sz w:val="16"/>
                <w:szCs w:val="16"/>
              </w:rPr>
              <w:t>Daycare Facilities</w:t>
            </w:r>
          </w:p>
        </w:tc>
        <w:tc>
          <w:tcPr>
            <w:tcW w:w="3040" w:type="dxa"/>
            <w:tcBorders>
              <w:top w:val="nil"/>
              <w:left w:val="nil"/>
              <w:bottom w:val="single" w:sz="8" w:space="0" w:color="auto"/>
              <w:right w:val="single" w:sz="8" w:space="0" w:color="auto"/>
            </w:tcBorders>
            <w:shd w:val="clear" w:color="auto" w:fill="auto"/>
            <w:noWrap/>
            <w:vAlign w:val="bottom"/>
            <w:hideMark/>
          </w:tcPr>
          <w:p w:rsidR="008436AB" w:rsidRDefault="00F215BB" w:rsidP="00F215BB">
            <w:pPr>
              <w:jc w:val="center"/>
              <w:rPr>
                <w:rFonts w:ascii="Arial" w:hAnsi="Arial" w:cs="Arial"/>
                <w:sz w:val="16"/>
                <w:szCs w:val="16"/>
              </w:rPr>
            </w:pPr>
            <w:r>
              <w:rPr>
                <w:rFonts w:ascii="Arial" w:hAnsi="Arial" w:cs="Arial"/>
                <w:sz w:val="16"/>
                <w:szCs w:val="16"/>
              </w:rPr>
              <w:t>H</w:t>
            </w:r>
          </w:p>
        </w:tc>
        <w:tc>
          <w:tcPr>
            <w:tcW w:w="1760" w:type="dxa"/>
            <w:tcBorders>
              <w:top w:val="nil"/>
              <w:left w:val="nil"/>
              <w:bottom w:val="single" w:sz="8" w:space="0" w:color="auto"/>
              <w:right w:val="single" w:sz="12" w:space="0" w:color="auto"/>
            </w:tcBorders>
            <w:shd w:val="clear" w:color="auto" w:fill="auto"/>
            <w:noWrap/>
            <w:vAlign w:val="center"/>
            <w:hideMark/>
          </w:tcPr>
          <w:p w:rsidR="008436AB" w:rsidRDefault="008436AB" w:rsidP="00E65913">
            <w:pPr>
              <w:jc w:val="center"/>
              <w:rPr>
                <w:rFonts w:ascii="Arial" w:hAnsi="Arial" w:cs="Arial"/>
                <w:sz w:val="16"/>
                <w:szCs w:val="16"/>
              </w:rPr>
            </w:pPr>
            <w:r>
              <w:rPr>
                <w:rFonts w:ascii="Arial" w:hAnsi="Arial" w:cs="Arial"/>
                <w:sz w:val="16"/>
                <w:szCs w:val="16"/>
              </w:rPr>
              <w:t>1,047,564</w:t>
            </w:r>
          </w:p>
        </w:tc>
      </w:tr>
      <w:tr w:rsidR="008436AB" w:rsidTr="008436AB">
        <w:trPr>
          <w:trHeight w:val="199"/>
          <w:jc w:val="center"/>
        </w:trPr>
        <w:tc>
          <w:tcPr>
            <w:tcW w:w="3760" w:type="dxa"/>
            <w:tcBorders>
              <w:top w:val="nil"/>
              <w:left w:val="single" w:sz="12" w:space="0" w:color="auto"/>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sz w:val="16"/>
                <w:szCs w:val="16"/>
              </w:rPr>
            </w:pPr>
            <w:r>
              <w:rPr>
                <w:rFonts w:ascii="Arial" w:hAnsi="Arial" w:cs="Arial"/>
                <w:sz w:val="16"/>
                <w:szCs w:val="16"/>
              </w:rPr>
              <w:t>Domestic Violence Facilities</w:t>
            </w:r>
          </w:p>
        </w:tc>
        <w:tc>
          <w:tcPr>
            <w:tcW w:w="3040" w:type="dxa"/>
            <w:tcBorders>
              <w:top w:val="nil"/>
              <w:left w:val="nil"/>
              <w:bottom w:val="single" w:sz="8" w:space="0" w:color="auto"/>
              <w:right w:val="single" w:sz="8" w:space="0" w:color="auto"/>
            </w:tcBorders>
            <w:shd w:val="clear" w:color="auto" w:fill="auto"/>
            <w:noWrap/>
            <w:vAlign w:val="bottom"/>
            <w:hideMark/>
          </w:tcPr>
          <w:p w:rsidR="008436AB" w:rsidRDefault="00F215BB" w:rsidP="00F215BB">
            <w:pPr>
              <w:jc w:val="center"/>
              <w:rPr>
                <w:rFonts w:ascii="Arial" w:hAnsi="Arial" w:cs="Arial"/>
                <w:sz w:val="16"/>
                <w:szCs w:val="16"/>
              </w:rPr>
            </w:pPr>
            <w:r>
              <w:rPr>
                <w:rFonts w:ascii="Arial" w:hAnsi="Arial" w:cs="Arial"/>
                <w:sz w:val="16"/>
                <w:szCs w:val="16"/>
              </w:rPr>
              <w:t>H</w:t>
            </w:r>
          </w:p>
        </w:tc>
        <w:tc>
          <w:tcPr>
            <w:tcW w:w="1760" w:type="dxa"/>
            <w:tcBorders>
              <w:top w:val="nil"/>
              <w:left w:val="nil"/>
              <w:bottom w:val="single" w:sz="8" w:space="0" w:color="auto"/>
              <w:right w:val="single" w:sz="12" w:space="0" w:color="auto"/>
            </w:tcBorders>
            <w:shd w:val="clear" w:color="auto" w:fill="auto"/>
            <w:noWrap/>
            <w:vAlign w:val="center"/>
            <w:hideMark/>
          </w:tcPr>
          <w:p w:rsidR="008436AB" w:rsidRDefault="008436AB" w:rsidP="00E65913">
            <w:pPr>
              <w:jc w:val="center"/>
              <w:rPr>
                <w:rFonts w:ascii="Arial" w:hAnsi="Arial" w:cs="Arial"/>
                <w:sz w:val="16"/>
                <w:szCs w:val="16"/>
              </w:rPr>
            </w:pPr>
            <w:r>
              <w:rPr>
                <w:rFonts w:ascii="Arial" w:hAnsi="Arial" w:cs="Arial"/>
                <w:sz w:val="16"/>
                <w:szCs w:val="16"/>
              </w:rPr>
              <w:t>4,350,000</w:t>
            </w:r>
          </w:p>
        </w:tc>
      </w:tr>
      <w:tr w:rsidR="008436AB" w:rsidTr="008436AB">
        <w:trPr>
          <w:trHeight w:val="199"/>
          <w:jc w:val="center"/>
        </w:trPr>
        <w:tc>
          <w:tcPr>
            <w:tcW w:w="3760" w:type="dxa"/>
            <w:tcBorders>
              <w:top w:val="nil"/>
              <w:left w:val="single" w:sz="12" w:space="0" w:color="auto"/>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sz w:val="16"/>
                <w:szCs w:val="16"/>
              </w:rPr>
            </w:pPr>
            <w:r>
              <w:rPr>
                <w:rFonts w:ascii="Arial" w:hAnsi="Arial" w:cs="Arial"/>
                <w:sz w:val="16"/>
                <w:szCs w:val="16"/>
              </w:rPr>
              <w:t>Expand Jail Space</w:t>
            </w:r>
          </w:p>
        </w:tc>
        <w:tc>
          <w:tcPr>
            <w:tcW w:w="3040" w:type="dxa"/>
            <w:tcBorders>
              <w:top w:val="nil"/>
              <w:left w:val="nil"/>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sz w:val="16"/>
                <w:szCs w:val="16"/>
              </w:rPr>
            </w:pPr>
            <w:r>
              <w:rPr>
                <w:rFonts w:ascii="Arial" w:hAnsi="Arial" w:cs="Arial"/>
                <w:sz w:val="16"/>
                <w:szCs w:val="16"/>
              </w:rPr>
              <w:t> </w:t>
            </w:r>
          </w:p>
        </w:tc>
        <w:tc>
          <w:tcPr>
            <w:tcW w:w="1760" w:type="dxa"/>
            <w:tcBorders>
              <w:top w:val="nil"/>
              <w:left w:val="nil"/>
              <w:bottom w:val="single" w:sz="8" w:space="0" w:color="auto"/>
              <w:right w:val="single" w:sz="12" w:space="0" w:color="auto"/>
            </w:tcBorders>
            <w:shd w:val="clear" w:color="auto" w:fill="auto"/>
            <w:noWrap/>
            <w:vAlign w:val="center"/>
            <w:hideMark/>
          </w:tcPr>
          <w:p w:rsidR="008436AB" w:rsidRDefault="008436AB" w:rsidP="00E65913">
            <w:pPr>
              <w:jc w:val="center"/>
              <w:rPr>
                <w:rFonts w:ascii="Arial" w:hAnsi="Arial" w:cs="Arial"/>
                <w:sz w:val="16"/>
                <w:szCs w:val="16"/>
              </w:rPr>
            </w:pPr>
            <w:r>
              <w:rPr>
                <w:rFonts w:ascii="Arial" w:hAnsi="Arial" w:cs="Arial"/>
                <w:sz w:val="16"/>
                <w:szCs w:val="16"/>
              </w:rPr>
              <w:t> </w:t>
            </w:r>
          </w:p>
        </w:tc>
      </w:tr>
      <w:tr w:rsidR="008436AB" w:rsidTr="008436AB">
        <w:trPr>
          <w:trHeight w:val="199"/>
          <w:jc w:val="center"/>
        </w:trPr>
        <w:tc>
          <w:tcPr>
            <w:tcW w:w="3760" w:type="dxa"/>
            <w:tcBorders>
              <w:top w:val="nil"/>
              <w:left w:val="single" w:sz="12" w:space="0" w:color="auto"/>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sz w:val="16"/>
                <w:szCs w:val="16"/>
              </w:rPr>
            </w:pPr>
            <w:r>
              <w:rPr>
                <w:rFonts w:ascii="Arial" w:hAnsi="Arial" w:cs="Arial"/>
                <w:sz w:val="16"/>
                <w:szCs w:val="16"/>
              </w:rPr>
              <w:t>Improve Accessibility to Public Buildings</w:t>
            </w:r>
          </w:p>
        </w:tc>
        <w:tc>
          <w:tcPr>
            <w:tcW w:w="3040" w:type="dxa"/>
            <w:tcBorders>
              <w:top w:val="nil"/>
              <w:left w:val="nil"/>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sz w:val="16"/>
                <w:szCs w:val="16"/>
              </w:rPr>
            </w:pPr>
            <w:r>
              <w:rPr>
                <w:rFonts w:ascii="Arial" w:hAnsi="Arial" w:cs="Arial"/>
                <w:sz w:val="16"/>
                <w:szCs w:val="16"/>
              </w:rPr>
              <w:t> </w:t>
            </w:r>
          </w:p>
        </w:tc>
        <w:tc>
          <w:tcPr>
            <w:tcW w:w="1760" w:type="dxa"/>
            <w:tcBorders>
              <w:top w:val="nil"/>
              <w:left w:val="nil"/>
              <w:bottom w:val="single" w:sz="8" w:space="0" w:color="auto"/>
              <w:right w:val="single" w:sz="12" w:space="0" w:color="auto"/>
            </w:tcBorders>
            <w:shd w:val="clear" w:color="auto" w:fill="auto"/>
            <w:noWrap/>
            <w:vAlign w:val="center"/>
            <w:hideMark/>
          </w:tcPr>
          <w:p w:rsidR="008436AB" w:rsidRDefault="008436AB" w:rsidP="00E65913">
            <w:pPr>
              <w:jc w:val="center"/>
              <w:rPr>
                <w:rFonts w:ascii="Arial" w:hAnsi="Arial" w:cs="Arial"/>
                <w:sz w:val="16"/>
                <w:szCs w:val="16"/>
              </w:rPr>
            </w:pPr>
            <w:r>
              <w:rPr>
                <w:rFonts w:ascii="Arial" w:hAnsi="Arial" w:cs="Arial"/>
                <w:sz w:val="16"/>
                <w:szCs w:val="16"/>
              </w:rPr>
              <w:t> </w:t>
            </w:r>
          </w:p>
        </w:tc>
      </w:tr>
      <w:tr w:rsidR="008436AB" w:rsidTr="008436AB">
        <w:trPr>
          <w:trHeight w:val="199"/>
          <w:jc w:val="center"/>
        </w:trPr>
        <w:tc>
          <w:tcPr>
            <w:tcW w:w="3760" w:type="dxa"/>
            <w:tcBorders>
              <w:top w:val="nil"/>
              <w:left w:val="single" w:sz="12" w:space="0" w:color="auto"/>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sz w:val="16"/>
                <w:szCs w:val="16"/>
              </w:rPr>
            </w:pPr>
            <w:r>
              <w:rPr>
                <w:rFonts w:ascii="Arial" w:hAnsi="Arial" w:cs="Arial"/>
                <w:sz w:val="16"/>
                <w:szCs w:val="16"/>
              </w:rPr>
              <w:t>Libraries</w:t>
            </w:r>
          </w:p>
        </w:tc>
        <w:tc>
          <w:tcPr>
            <w:tcW w:w="3040" w:type="dxa"/>
            <w:tcBorders>
              <w:top w:val="nil"/>
              <w:left w:val="nil"/>
              <w:bottom w:val="single" w:sz="8" w:space="0" w:color="auto"/>
              <w:right w:val="single" w:sz="8" w:space="0" w:color="auto"/>
            </w:tcBorders>
            <w:shd w:val="clear" w:color="auto" w:fill="auto"/>
            <w:noWrap/>
            <w:vAlign w:val="bottom"/>
            <w:hideMark/>
          </w:tcPr>
          <w:p w:rsidR="008436AB" w:rsidRDefault="00F215BB" w:rsidP="00F215BB">
            <w:pPr>
              <w:jc w:val="center"/>
              <w:rPr>
                <w:rFonts w:ascii="Arial" w:hAnsi="Arial" w:cs="Arial"/>
                <w:sz w:val="16"/>
                <w:szCs w:val="16"/>
              </w:rPr>
            </w:pPr>
            <w:r>
              <w:rPr>
                <w:rFonts w:ascii="Arial" w:hAnsi="Arial" w:cs="Arial"/>
                <w:sz w:val="16"/>
                <w:szCs w:val="16"/>
              </w:rPr>
              <w:t>H</w:t>
            </w:r>
          </w:p>
        </w:tc>
        <w:tc>
          <w:tcPr>
            <w:tcW w:w="1760" w:type="dxa"/>
            <w:tcBorders>
              <w:top w:val="nil"/>
              <w:left w:val="nil"/>
              <w:bottom w:val="single" w:sz="8" w:space="0" w:color="auto"/>
              <w:right w:val="single" w:sz="12" w:space="0" w:color="auto"/>
            </w:tcBorders>
            <w:shd w:val="clear" w:color="auto" w:fill="auto"/>
            <w:noWrap/>
            <w:vAlign w:val="center"/>
            <w:hideMark/>
          </w:tcPr>
          <w:p w:rsidR="008436AB" w:rsidRDefault="008436AB" w:rsidP="00E65913">
            <w:pPr>
              <w:jc w:val="center"/>
              <w:rPr>
                <w:rFonts w:ascii="Arial" w:hAnsi="Arial" w:cs="Arial"/>
                <w:sz w:val="16"/>
                <w:szCs w:val="16"/>
              </w:rPr>
            </w:pPr>
            <w:r>
              <w:rPr>
                <w:rFonts w:ascii="Arial" w:hAnsi="Arial" w:cs="Arial"/>
                <w:sz w:val="16"/>
                <w:szCs w:val="16"/>
              </w:rPr>
              <w:t>87,201,152</w:t>
            </w:r>
          </w:p>
        </w:tc>
      </w:tr>
      <w:tr w:rsidR="008436AB" w:rsidTr="008436AB">
        <w:trPr>
          <w:trHeight w:val="199"/>
          <w:jc w:val="center"/>
        </w:trPr>
        <w:tc>
          <w:tcPr>
            <w:tcW w:w="3760" w:type="dxa"/>
            <w:tcBorders>
              <w:top w:val="nil"/>
              <w:left w:val="single" w:sz="12" w:space="0" w:color="auto"/>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sz w:val="16"/>
                <w:szCs w:val="16"/>
              </w:rPr>
            </w:pPr>
            <w:r>
              <w:rPr>
                <w:rFonts w:ascii="Arial" w:hAnsi="Arial" w:cs="Arial"/>
                <w:sz w:val="16"/>
                <w:szCs w:val="16"/>
              </w:rPr>
              <w:t>Public Parks (local)</w:t>
            </w:r>
          </w:p>
        </w:tc>
        <w:tc>
          <w:tcPr>
            <w:tcW w:w="3040" w:type="dxa"/>
            <w:tcBorders>
              <w:top w:val="nil"/>
              <w:left w:val="nil"/>
              <w:bottom w:val="single" w:sz="8" w:space="0" w:color="auto"/>
              <w:right w:val="single" w:sz="8" w:space="0" w:color="auto"/>
            </w:tcBorders>
            <w:shd w:val="clear" w:color="auto" w:fill="auto"/>
            <w:noWrap/>
            <w:vAlign w:val="bottom"/>
            <w:hideMark/>
          </w:tcPr>
          <w:p w:rsidR="008436AB" w:rsidRDefault="00F215BB" w:rsidP="00F215BB">
            <w:pPr>
              <w:jc w:val="center"/>
              <w:rPr>
                <w:rFonts w:ascii="Arial" w:hAnsi="Arial" w:cs="Arial"/>
                <w:sz w:val="16"/>
                <w:szCs w:val="16"/>
              </w:rPr>
            </w:pPr>
            <w:r>
              <w:rPr>
                <w:rFonts w:ascii="Arial" w:hAnsi="Arial" w:cs="Arial"/>
                <w:sz w:val="16"/>
                <w:szCs w:val="16"/>
              </w:rPr>
              <w:t>H</w:t>
            </w:r>
          </w:p>
        </w:tc>
        <w:tc>
          <w:tcPr>
            <w:tcW w:w="1760" w:type="dxa"/>
            <w:tcBorders>
              <w:top w:val="nil"/>
              <w:left w:val="nil"/>
              <w:bottom w:val="single" w:sz="8" w:space="0" w:color="auto"/>
              <w:right w:val="single" w:sz="12" w:space="0" w:color="auto"/>
            </w:tcBorders>
            <w:shd w:val="clear" w:color="auto" w:fill="auto"/>
            <w:noWrap/>
            <w:vAlign w:val="center"/>
            <w:hideMark/>
          </w:tcPr>
          <w:p w:rsidR="008436AB" w:rsidRDefault="008436AB" w:rsidP="00E65913">
            <w:pPr>
              <w:jc w:val="center"/>
              <w:rPr>
                <w:rFonts w:ascii="Arial" w:hAnsi="Arial" w:cs="Arial"/>
                <w:sz w:val="16"/>
                <w:szCs w:val="16"/>
              </w:rPr>
            </w:pPr>
            <w:r>
              <w:rPr>
                <w:rFonts w:ascii="Arial" w:hAnsi="Arial" w:cs="Arial"/>
                <w:sz w:val="16"/>
                <w:szCs w:val="16"/>
              </w:rPr>
              <w:t>544,735,163</w:t>
            </w:r>
          </w:p>
        </w:tc>
      </w:tr>
      <w:tr w:rsidR="008436AB" w:rsidTr="008436AB">
        <w:trPr>
          <w:trHeight w:val="199"/>
          <w:jc w:val="center"/>
        </w:trPr>
        <w:tc>
          <w:tcPr>
            <w:tcW w:w="3760" w:type="dxa"/>
            <w:tcBorders>
              <w:top w:val="nil"/>
              <w:left w:val="single" w:sz="12" w:space="0" w:color="auto"/>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sz w:val="16"/>
                <w:szCs w:val="16"/>
              </w:rPr>
            </w:pPr>
            <w:r>
              <w:rPr>
                <w:rFonts w:ascii="Arial" w:hAnsi="Arial" w:cs="Arial"/>
                <w:sz w:val="16"/>
                <w:szCs w:val="16"/>
              </w:rPr>
              <w:t>Public Safety Equipment/Bldgs</w:t>
            </w:r>
          </w:p>
        </w:tc>
        <w:tc>
          <w:tcPr>
            <w:tcW w:w="3040" w:type="dxa"/>
            <w:tcBorders>
              <w:top w:val="nil"/>
              <w:left w:val="nil"/>
              <w:bottom w:val="single" w:sz="8" w:space="0" w:color="auto"/>
              <w:right w:val="single" w:sz="8" w:space="0" w:color="auto"/>
            </w:tcBorders>
            <w:shd w:val="clear" w:color="auto" w:fill="auto"/>
            <w:noWrap/>
            <w:vAlign w:val="bottom"/>
            <w:hideMark/>
          </w:tcPr>
          <w:p w:rsidR="008436AB" w:rsidRDefault="00F215BB" w:rsidP="00F215BB">
            <w:pPr>
              <w:jc w:val="center"/>
              <w:rPr>
                <w:rFonts w:ascii="Arial" w:hAnsi="Arial" w:cs="Arial"/>
                <w:sz w:val="16"/>
                <w:szCs w:val="16"/>
              </w:rPr>
            </w:pPr>
            <w:r>
              <w:rPr>
                <w:rFonts w:ascii="Arial" w:hAnsi="Arial" w:cs="Arial"/>
                <w:sz w:val="16"/>
                <w:szCs w:val="16"/>
              </w:rPr>
              <w:t>H</w:t>
            </w:r>
          </w:p>
        </w:tc>
        <w:tc>
          <w:tcPr>
            <w:tcW w:w="1760" w:type="dxa"/>
            <w:tcBorders>
              <w:top w:val="nil"/>
              <w:left w:val="nil"/>
              <w:bottom w:val="single" w:sz="8" w:space="0" w:color="auto"/>
              <w:right w:val="single" w:sz="12" w:space="0" w:color="auto"/>
            </w:tcBorders>
            <w:shd w:val="clear" w:color="auto" w:fill="auto"/>
            <w:noWrap/>
            <w:vAlign w:val="center"/>
            <w:hideMark/>
          </w:tcPr>
          <w:p w:rsidR="008436AB" w:rsidRDefault="008436AB" w:rsidP="00E65913">
            <w:pPr>
              <w:jc w:val="center"/>
              <w:rPr>
                <w:rFonts w:ascii="Arial" w:hAnsi="Arial" w:cs="Arial"/>
                <w:sz w:val="16"/>
                <w:szCs w:val="16"/>
              </w:rPr>
            </w:pPr>
            <w:r>
              <w:rPr>
                <w:rFonts w:ascii="Arial" w:hAnsi="Arial" w:cs="Arial"/>
                <w:sz w:val="16"/>
                <w:szCs w:val="16"/>
              </w:rPr>
              <w:t>361,595,713</w:t>
            </w:r>
          </w:p>
        </w:tc>
      </w:tr>
      <w:tr w:rsidR="008436AB" w:rsidTr="008436AB">
        <w:trPr>
          <w:trHeight w:val="199"/>
          <w:jc w:val="center"/>
        </w:trPr>
        <w:tc>
          <w:tcPr>
            <w:tcW w:w="3760" w:type="dxa"/>
            <w:tcBorders>
              <w:top w:val="nil"/>
              <w:left w:val="single" w:sz="12" w:space="0" w:color="auto"/>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sz w:val="16"/>
                <w:szCs w:val="16"/>
              </w:rPr>
            </w:pPr>
            <w:r>
              <w:rPr>
                <w:rFonts w:ascii="Arial" w:hAnsi="Arial" w:cs="Arial"/>
                <w:sz w:val="16"/>
                <w:szCs w:val="16"/>
              </w:rPr>
              <w:t>Rest Areas</w:t>
            </w:r>
          </w:p>
        </w:tc>
        <w:tc>
          <w:tcPr>
            <w:tcW w:w="3040" w:type="dxa"/>
            <w:tcBorders>
              <w:top w:val="nil"/>
              <w:left w:val="nil"/>
              <w:bottom w:val="single" w:sz="8" w:space="0" w:color="auto"/>
              <w:right w:val="single" w:sz="8" w:space="0" w:color="auto"/>
            </w:tcBorders>
            <w:shd w:val="clear" w:color="auto" w:fill="auto"/>
            <w:noWrap/>
            <w:vAlign w:val="bottom"/>
            <w:hideMark/>
          </w:tcPr>
          <w:p w:rsidR="008436AB" w:rsidRDefault="00F215BB" w:rsidP="00F215BB">
            <w:pPr>
              <w:jc w:val="center"/>
              <w:rPr>
                <w:rFonts w:ascii="Arial" w:hAnsi="Arial" w:cs="Arial"/>
                <w:sz w:val="16"/>
                <w:szCs w:val="16"/>
              </w:rPr>
            </w:pPr>
            <w:r>
              <w:rPr>
                <w:rFonts w:ascii="Arial" w:hAnsi="Arial" w:cs="Arial"/>
                <w:sz w:val="16"/>
                <w:szCs w:val="16"/>
              </w:rPr>
              <w:t>H</w:t>
            </w:r>
          </w:p>
        </w:tc>
        <w:tc>
          <w:tcPr>
            <w:tcW w:w="1760" w:type="dxa"/>
            <w:tcBorders>
              <w:top w:val="nil"/>
              <w:left w:val="nil"/>
              <w:bottom w:val="single" w:sz="8" w:space="0" w:color="auto"/>
              <w:right w:val="single" w:sz="12" w:space="0" w:color="auto"/>
            </w:tcBorders>
            <w:shd w:val="clear" w:color="auto" w:fill="auto"/>
            <w:noWrap/>
            <w:vAlign w:val="center"/>
            <w:hideMark/>
          </w:tcPr>
          <w:p w:rsidR="008436AB" w:rsidRDefault="008436AB" w:rsidP="00E65913">
            <w:pPr>
              <w:jc w:val="center"/>
              <w:rPr>
                <w:rFonts w:ascii="Arial" w:hAnsi="Arial" w:cs="Arial"/>
                <w:sz w:val="16"/>
                <w:szCs w:val="16"/>
              </w:rPr>
            </w:pPr>
            <w:r>
              <w:rPr>
                <w:rFonts w:ascii="Arial" w:hAnsi="Arial" w:cs="Arial"/>
                <w:sz w:val="16"/>
                <w:szCs w:val="16"/>
              </w:rPr>
              <w:t>210,000</w:t>
            </w:r>
          </w:p>
        </w:tc>
      </w:tr>
      <w:tr w:rsidR="008436AB" w:rsidTr="008436AB">
        <w:trPr>
          <w:trHeight w:val="199"/>
          <w:jc w:val="center"/>
        </w:trPr>
        <w:tc>
          <w:tcPr>
            <w:tcW w:w="3760" w:type="dxa"/>
            <w:tcBorders>
              <w:top w:val="nil"/>
              <w:left w:val="single" w:sz="12" w:space="0" w:color="auto"/>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sz w:val="16"/>
                <w:szCs w:val="16"/>
              </w:rPr>
            </w:pPr>
            <w:r>
              <w:rPr>
                <w:rFonts w:ascii="Arial" w:hAnsi="Arial" w:cs="Arial"/>
                <w:sz w:val="16"/>
                <w:szCs w:val="16"/>
              </w:rPr>
              <w:t>Senior Facilities</w:t>
            </w:r>
          </w:p>
        </w:tc>
        <w:tc>
          <w:tcPr>
            <w:tcW w:w="3040" w:type="dxa"/>
            <w:tcBorders>
              <w:top w:val="nil"/>
              <w:left w:val="nil"/>
              <w:bottom w:val="single" w:sz="8" w:space="0" w:color="auto"/>
              <w:right w:val="single" w:sz="8" w:space="0" w:color="auto"/>
            </w:tcBorders>
            <w:shd w:val="clear" w:color="auto" w:fill="auto"/>
            <w:noWrap/>
            <w:vAlign w:val="bottom"/>
            <w:hideMark/>
          </w:tcPr>
          <w:p w:rsidR="008436AB" w:rsidRDefault="00F215BB" w:rsidP="00F215BB">
            <w:pPr>
              <w:jc w:val="center"/>
              <w:rPr>
                <w:rFonts w:ascii="Arial" w:hAnsi="Arial" w:cs="Arial"/>
                <w:sz w:val="16"/>
                <w:szCs w:val="16"/>
              </w:rPr>
            </w:pPr>
            <w:r>
              <w:rPr>
                <w:rFonts w:ascii="Arial" w:hAnsi="Arial" w:cs="Arial"/>
                <w:sz w:val="16"/>
                <w:szCs w:val="16"/>
              </w:rPr>
              <w:t>H</w:t>
            </w:r>
          </w:p>
        </w:tc>
        <w:tc>
          <w:tcPr>
            <w:tcW w:w="1760" w:type="dxa"/>
            <w:tcBorders>
              <w:top w:val="nil"/>
              <w:left w:val="nil"/>
              <w:bottom w:val="single" w:sz="8" w:space="0" w:color="auto"/>
              <w:right w:val="single" w:sz="12" w:space="0" w:color="auto"/>
            </w:tcBorders>
            <w:shd w:val="clear" w:color="auto" w:fill="auto"/>
            <w:noWrap/>
            <w:vAlign w:val="center"/>
            <w:hideMark/>
          </w:tcPr>
          <w:p w:rsidR="008436AB" w:rsidRDefault="008436AB" w:rsidP="00E65913">
            <w:pPr>
              <w:jc w:val="center"/>
              <w:rPr>
                <w:rFonts w:ascii="Arial" w:hAnsi="Arial" w:cs="Arial"/>
                <w:sz w:val="16"/>
                <w:szCs w:val="16"/>
              </w:rPr>
            </w:pPr>
            <w:r>
              <w:rPr>
                <w:rFonts w:ascii="Arial" w:hAnsi="Arial" w:cs="Arial"/>
                <w:sz w:val="16"/>
                <w:szCs w:val="16"/>
              </w:rPr>
              <w:t>72,179,578</w:t>
            </w:r>
          </w:p>
        </w:tc>
      </w:tr>
      <w:tr w:rsidR="008436AB" w:rsidTr="008436AB">
        <w:trPr>
          <w:trHeight w:val="199"/>
          <w:jc w:val="center"/>
        </w:trPr>
        <w:tc>
          <w:tcPr>
            <w:tcW w:w="3760" w:type="dxa"/>
            <w:tcBorders>
              <w:top w:val="nil"/>
              <w:left w:val="single" w:sz="12" w:space="0" w:color="auto"/>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sz w:val="16"/>
                <w:szCs w:val="16"/>
              </w:rPr>
            </w:pPr>
            <w:r>
              <w:rPr>
                <w:rFonts w:ascii="Arial" w:hAnsi="Arial" w:cs="Arial"/>
                <w:sz w:val="16"/>
                <w:szCs w:val="16"/>
              </w:rPr>
              <w:t>State Government Facilities</w:t>
            </w:r>
          </w:p>
        </w:tc>
        <w:tc>
          <w:tcPr>
            <w:tcW w:w="3040" w:type="dxa"/>
            <w:tcBorders>
              <w:top w:val="nil"/>
              <w:left w:val="nil"/>
              <w:bottom w:val="single" w:sz="8" w:space="0" w:color="auto"/>
              <w:right w:val="single" w:sz="8" w:space="0" w:color="auto"/>
            </w:tcBorders>
            <w:shd w:val="clear" w:color="auto" w:fill="auto"/>
            <w:noWrap/>
            <w:vAlign w:val="bottom"/>
            <w:hideMark/>
          </w:tcPr>
          <w:p w:rsidR="008436AB" w:rsidRDefault="00F215BB" w:rsidP="00F215BB">
            <w:pPr>
              <w:jc w:val="center"/>
              <w:rPr>
                <w:rFonts w:ascii="Arial" w:hAnsi="Arial" w:cs="Arial"/>
                <w:sz w:val="16"/>
                <w:szCs w:val="16"/>
              </w:rPr>
            </w:pPr>
            <w:r>
              <w:rPr>
                <w:rFonts w:ascii="Arial" w:hAnsi="Arial" w:cs="Arial"/>
                <w:sz w:val="16"/>
                <w:szCs w:val="16"/>
              </w:rPr>
              <w:t>H</w:t>
            </w:r>
          </w:p>
        </w:tc>
        <w:tc>
          <w:tcPr>
            <w:tcW w:w="1760" w:type="dxa"/>
            <w:tcBorders>
              <w:top w:val="nil"/>
              <w:left w:val="nil"/>
              <w:bottom w:val="single" w:sz="8" w:space="0" w:color="auto"/>
              <w:right w:val="single" w:sz="12" w:space="0" w:color="auto"/>
            </w:tcBorders>
            <w:shd w:val="clear" w:color="auto" w:fill="auto"/>
            <w:noWrap/>
            <w:vAlign w:val="center"/>
            <w:hideMark/>
          </w:tcPr>
          <w:p w:rsidR="008436AB" w:rsidRDefault="008436AB" w:rsidP="00E65913">
            <w:pPr>
              <w:jc w:val="center"/>
              <w:rPr>
                <w:rFonts w:ascii="Arial" w:hAnsi="Arial" w:cs="Arial"/>
                <w:sz w:val="16"/>
                <w:szCs w:val="16"/>
              </w:rPr>
            </w:pPr>
            <w:r>
              <w:rPr>
                <w:rFonts w:ascii="Arial" w:hAnsi="Arial" w:cs="Arial"/>
                <w:sz w:val="16"/>
                <w:szCs w:val="16"/>
              </w:rPr>
              <w:t>8,820,000</w:t>
            </w:r>
          </w:p>
        </w:tc>
      </w:tr>
      <w:tr w:rsidR="008436AB" w:rsidTr="008436AB">
        <w:trPr>
          <w:trHeight w:val="199"/>
          <w:jc w:val="center"/>
        </w:trPr>
        <w:tc>
          <w:tcPr>
            <w:tcW w:w="3760" w:type="dxa"/>
            <w:tcBorders>
              <w:top w:val="nil"/>
              <w:left w:val="single" w:sz="12" w:space="0" w:color="auto"/>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sz w:val="16"/>
                <w:szCs w:val="16"/>
              </w:rPr>
            </w:pPr>
            <w:r>
              <w:rPr>
                <w:rFonts w:ascii="Arial" w:hAnsi="Arial" w:cs="Arial"/>
                <w:sz w:val="16"/>
                <w:szCs w:val="16"/>
              </w:rPr>
              <w:t>Youth Centers</w:t>
            </w:r>
          </w:p>
        </w:tc>
        <w:tc>
          <w:tcPr>
            <w:tcW w:w="3040" w:type="dxa"/>
            <w:tcBorders>
              <w:top w:val="nil"/>
              <w:left w:val="nil"/>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sz w:val="16"/>
                <w:szCs w:val="16"/>
              </w:rPr>
            </w:pPr>
            <w:r>
              <w:rPr>
                <w:rFonts w:ascii="Arial" w:hAnsi="Arial" w:cs="Arial"/>
                <w:sz w:val="16"/>
                <w:szCs w:val="16"/>
              </w:rPr>
              <w:t> </w:t>
            </w:r>
          </w:p>
        </w:tc>
        <w:tc>
          <w:tcPr>
            <w:tcW w:w="1760" w:type="dxa"/>
            <w:tcBorders>
              <w:top w:val="nil"/>
              <w:left w:val="nil"/>
              <w:bottom w:val="single" w:sz="8" w:space="0" w:color="auto"/>
              <w:right w:val="single" w:sz="12" w:space="0" w:color="auto"/>
            </w:tcBorders>
            <w:shd w:val="clear" w:color="auto" w:fill="auto"/>
            <w:noWrap/>
            <w:vAlign w:val="center"/>
            <w:hideMark/>
          </w:tcPr>
          <w:p w:rsidR="008436AB" w:rsidRDefault="008436AB" w:rsidP="00E65913">
            <w:pPr>
              <w:jc w:val="center"/>
              <w:rPr>
                <w:rFonts w:ascii="Arial" w:hAnsi="Arial" w:cs="Arial"/>
                <w:sz w:val="16"/>
                <w:szCs w:val="16"/>
              </w:rPr>
            </w:pPr>
            <w:r>
              <w:rPr>
                <w:rFonts w:ascii="Arial" w:hAnsi="Arial" w:cs="Arial"/>
                <w:sz w:val="16"/>
                <w:szCs w:val="16"/>
              </w:rPr>
              <w:t> </w:t>
            </w:r>
          </w:p>
        </w:tc>
      </w:tr>
      <w:tr w:rsidR="008436AB" w:rsidTr="008436AB">
        <w:trPr>
          <w:trHeight w:val="199"/>
          <w:jc w:val="center"/>
        </w:trPr>
        <w:tc>
          <w:tcPr>
            <w:tcW w:w="3760" w:type="dxa"/>
            <w:tcBorders>
              <w:top w:val="nil"/>
              <w:left w:val="single" w:sz="12" w:space="0" w:color="auto"/>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sz w:val="16"/>
                <w:szCs w:val="16"/>
              </w:rPr>
            </w:pPr>
            <w:r>
              <w:rPr>
                <w:rFonts w:ascii="Arial" w:hAnsi="Arial" w:cs="Arial"/>
                <w:sz w:val="16"/>
                <w:szCs w:val="16"/>
              </w:rPr>
              <w:t>State Parks (not local)</w:t>
            </w:r>
          </w:p>
        </w:tc>
        <w:tc>
          <w:tcPr>
            <w:tcW w:w="3040" w:type="dxa"/>
            <w:tcBorders>
              <w:top w:val="nil"/>
              <w:left w:val="nil"/>
              <w:bottom w:val="single" w:sz="8" w:space="0" w:color="auto"/>
              <w:right w:val="single" w:sz="8" w:space="0" w:color="auto"/>
            </w:tcBorders>
            <w:shd w:val="clear" w:color="auto" w:fill="auto"/>
            <w:noWrap/>
            <w:vAlign w:val="bottom"/>
            <w:hideMark/>
          </w:tcPr>
          <w:p w:rsidR="008436AB" w:rsidRDefault="00F215BB" w:rsidP="00F215BB">
            <w:pPr>
              <w:jc w:val="center"/>
              <w:rPr>
                <w:rFonts w:ascii="Arial" w:hAnsi="Arial" w:cs="Arial"/>
                <w:sz w:val="16"/>
                <w:szCs w:val="16"/>
              </w:rPr>
            </w:pPr>
            <w:r>
              <w:rPr>
                <w:rFonts w:ascii="Arial" w:hAnsi="Arial" w:cs="Arial"/>
                <w:sz w:val="16"/>
                <w:szCs w:val="16"/>
              </w:rPr>
              <w:t>H</w:t>
            </w:r>
          </w:p>
        </w:tc>
        <w:tc>
          <w:tcPr>
            <w:tcW w:w="1760" w:type="dxa"/>
            <w:tcBorders>
              <w:top w:val="nil"/>
              <w:left w:val="nil"/>
              <w:bottom w:val="single" w:sz="8" w:space="0" w:color="auto"/>
              <w:right w:val="single" w:sz="12" w:space="0" w:color="auto"/>
            </w:tcBorders>
            <w:shd w:val="clear" w:color="auto" w:fill="auto"/>
            <w:noWrap/>
            <w:vAlign w:val="center"/>
            <w:hideMark/>
          </w:tcPr>
          <w:p w:rsidR="008436AB" w:rsidRDefault="008436AB" w:rsidP="00E65913">
            <w:pPr>
              <w:jc w:val="center"/>
              <w:rPr>
                <w:rFonts w:ascii="Arial" w:hAnsi="Arial" w:cs="Arial"/>
                <w:sz w:val="16"/>
                <w:szCs w:val="16"/>
              </w:rPr>
            </w:pPr>
            <w:r>
              <w:rPr>
                <w:rFonts w:ascii="Arial" w:hAnsi="Arial" w:cs="Arial"/>
                <w:sz w:val="16"/>
                <w:szCs w:val="16"/>
              </w:rPr>
              <w:t>1,525,000</w:t>
            </w:r>
          </w:p>
        </w:tc>
      </w:tr>
      <w:tr w:rsidR="008436AB" w:rsidTr="008436AB">
        <w:trPr>
          <w:trHeight w:val="199"/>
          <w:jc w:val="center"/>
        </w:trPr>
        <w:tc>
          <w:tcPr>
            <w:tcW w:w="3760" w:type="dxa"/>
            <w:tcBorders>
              <w:top w:val="nil"/>
              <w:left w:val="single" w:sz="12" w:space="0" w:color="auto"/>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b/>
                <w:bCs/>
                <w:sz w:val="16"/>
                <w:szCs w:val="16"/>
              </w:rPr>
            </w:pPr>
            <w:r>
              <w:rPr>
                <w:rFonts w:ascii="Arial" w:hAnsi="Arial" w:cs="Arial"/>
                <w:b/>
                <w:bCs/>
                <w:sz w:val="16"/>
                <w:szCs w:val="16"/>
              </w:rPr>
              <w:t>Other</w:t>
            </w:r>
          </w:p>
        </w:tc>
        <w:tc>
          <w:tcPr>
            <w:tcW w:w="3040" w:type="dxa"/>
            <w:tcBorders>
              <w:top w:val="nil"/>
              <w:left w:val="nil"/>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sz w:val="16"/>
                <w:szCs w:val="16"/>
              </w:rPr>
            </w:pPr>
            <w:r>
              <w:rPr>
                <w:rFonts w:ascii="Arial" w:hAnsi="Arial" w:cs="Arial"/>
                <w:sz w:val="16"/>
                <w:szCs w:val="16"/>
              </w:rPr>
              <w:t> </w:t>
            </w:r>
          </w:p>
        </w:tc>
        <w:tc>
          <w:tcPr>
            <w:tcW w:w="1760" w:type="dxa"/>
            <w:tcBorders>
              <w:top w:val="nil"/>
              <w:left w:val="nil"/>
              <w:bottom w:val="single" w:sz="8" w:space="0" w:color="auto"/>
              <w:right w:val="single" w:sz="12" w:space="0" w:color="auto"/>
            </w:tcBorders>
            <w:shd w:val="clear" w:color="auto" w:fill="auto"/>
            <w:noWrap/>
            <w:vAlign w:val="center"/>
            <w:hideMark/>
          </w:tcPr>
          <w:p w:rsidR="008436AB" w:rsidRDefault="008436AB" w:rsidP="00E65913">
            <w:pPr>
              <w:jc w:val="center"/>
              <w:rPr>
                <w:rFonts w:ascii="Arial" w:hAnsi="Arial" w:cs="Arial"/>
                <w:sz w:val="16"/>
                <w:szCs w:val="16"/>
              </w:rPr>
            </w:pPr>
            <w:r>
              <w:rPr>
                <w:rFonts w:ascii="Arial" w:hAnsi="Arial" w:cs="Arial"/>
                <w:sz w:val="16"/>
                <w:szCs w:val="16"/>
              </w:rPr>
              <w:t> </w:t>
            </w:r>
          </w:p>
        </w:tc>
      </w:tr>
      <w:tr w:rsidR="008436AB" w:rsidTr="008436AB">
        <w:trPr>
          <w:trHeight w:val="199"/>
          <w:jc w:val="center"/>
        </w:trPr>
        <w:tc>
          <w:tcPr>
            <w:tcW w:w="3760" w:type="dxa"/>
            <w:tcBorders>
              <w:top w:val="nil"/>
              <w:left w:val="single" w:sz="12" w:space="0" w:color="auto"/>
              <w:bottom w:val="single" w:sz="8" w:space="0" w:color="auto"/>
              <w:right w:val="single" w:sz="8" w:space="0" w:color="auto"/>
            </w:tcBorders>
            <w:shd w:val="clear" w:color="auto" w:fill="auto"/>
            <w:noWrap/>
            <w:vAlign w:val="bottom"/>
            <w:hideMark/>
          </w:tcPr>
          <w:p w:rsidR="008436AB" w:rsidRDefault="008436AB" w:rsidP="00E65913">
            <w:pPr>
              <w:rPr>
                <w:rFonts w:ascii="Arial" w:hAnsi="Arial" w:cs="Arial"/>
                <w:sz w:val="16"/>
                <w:szCs w:val="16"/>
              </w:rPr>
            </w:pPr>
            <w:r>
              <w:rPr>
                <w:rFonts w:ascii="Arial" w:hAnsi="Arial" w:cs="Arial"/>
                <w:sz w:val="16"/>
                <w:szCs w:val="16"/>
              </w:rPr>
              <w:t>Debris</w:t>
            </w:r>
          </w:p>
        </w:tc>
        <w:tc>
          <w:tcPr>
            <w:tcW w:w="3040" w:type="dxa"/>
            <w:tcBorders>
              <w:top w:val="nil"/>
              <w:left w:val="nil"/>
              <w:bottom w:val="single" w:sz="8" w:space="0" w:color="auto"/>
              <w:right w:val="single" w:sz="8" w:space="0" w:color="auto"/>
            </w:tcBorders>
            <w:shd w:val="clear" w:color="auto" w:fill="auto"/>
            <w:noWrap/>
            <w:vAlign w:val="bottom"/>
            <w:hideMark/>
          </w:tcPr>
          <w:p w:rsidR="008436AB" w:rsidRDefault="00F215BB" w:rsidP="00F215BB">
            <w:pPr>
              <w:jc w:val="center"/>
              <w:rPr>
                <w:rFonts w:ascii="Arial" w:hAnsi="Arial" w:cs="Arial"/>
                <w:sz w:val="16"/>
                <w:szCs w:val="16"/>
              </w:rPr>
            </w:pPr>
            <w:r>
              <w:rPr>
                <w:rFonts w:ascii="Arial" w:hAnsi="Arial" w:cs="Arial"/>
                <w:sz w:val="16"/>
                <w:szCs w:val="16"/>
              </w:rPr>
              <w:t>H</w:t>
            </w:r>
          </w:p>
        </w:tc>
        <w:tc>
          <w:tcPr>
            <w:tcW w:w="1760" w:type="dxa"/>
            <w:tcBorders>
              <w:top w:val="nil"/>
              <w:left w:val="nil"/>
              <w:bottom w:val="single" w:sz="8" w:space="0" w:color="auto"/>
              <w:right w:val="single" w:sz="12" w:space="0" w:color="auto"/>
            </w:tcBorders>
            <w:shd w:val="clear" w:color="auto" w:fill="auto"/>
            <w:noWrap/>
            <w:vAlign w:val="center"/>
            <w:hideMark/>
          </w:tcPr>
          <w:p w:rsidR="008436AB" w:rsidRDefault="008436AB" w:rsidP="00E65913">
            <w:pPr>
              <w:jc w:val="center"/>
              <w:rPr>
                <w:rFonts w:ascii="Arial" w:hAnsi="Arial" w:cs="Arial"/>
                <w:sz w:val="16"/>
                <w:szCs w:val="16"/>
              </w:rPr>
            </w:pPr>
            <w:r>
              <w:rPr>
                <w:rFonts w:ascii="Arial" w:hAnsi="Arial" w:cs="Arial"/>
                <w:sz w:val="16"/>
                <w:szCs w:val="16"/>
              </w:rPr>
              <w:t>90,000</w:t>
            </w:r>
          </w:p>
        </w:tc>
      </w:tr>
      <w:tr w:rsidR="008436AB" w:rsidTr="008436AB">
        <w:trPr>
          <w:trHeight w:val="199"/>
          <w:jc w:val="center"/>
        </w:trPr>
        <w:tc>
          <w:tcPr>
            <w:tcW w:w="3760" w:type="dxa"/>
            <w:tcBorders>
              <w:top w:val="nil"/>
              <w:left w:val="single" w:sz="12" w:space="0" w:color="auto"/>
              <w:bottom w:val="nil"/>
              <w:right w:val="single" w:sz="8" w:space="0" w:color="auto"/>
            </w:tcBorders>
            <w:shd w:val="clear" w:color="auto" w:fill="auto"/>
            <w:noWrap/>
            <w:vAlign w:val="bottom"/>
            <w:hideMark/>
          </w:tcPr>
          <w:p w:rsidR="008436AB" w:rsidRDefault="008436AB" w:rsidP="00E65913">
            <w:pPr>
              <w:rPr>
                <w:rFonts w:ascii="Arial" w:hAnsi="Arial" w:cs="Arial"/>
                <w:sz w:val="16"/>
                <w:szCs w:val="16"/>
              </w:rPr>
            </w:pPr>
            <w:r>
              <w:rPr>
                <w:rFonts w:ascii="Arial" w:hAnsi="Arial" w:cs="Arial"/>
                <w:sz w:val="16"/>
                <w:szCs w:val="16"/>
              </w:rPr>
              <w:t>Other</w:t>
            </w:r>
          </w:p>
        </w:tc>
        <w:tc>
          <w:tcPr>
            <w:tcW w:w="3040" w:type="dxa"/>
            <w:tcBorders>
              <w:top w:val="nil"/>
              <w:left w:val="nil"/>
              <w:bottom w:val="nil"/>
              <w:right w:val="single" w:sz="8" w:space="0" w:color="auto"/>
            </w:tcBorders>
            <w:shd w:val="clear" w:color="auto" w:fill="auto"/>
            <w:noWrap/>
            <w:vAlign w:val="bottom"/>
            <w:hideMark/>
          </w:tcPr>
          <w:p w:rsidR="008436AB" w:rsidRDefault="00F215BB" w:rsidP="00F215BB">
            <w:pPr>
              <w:jc w:val="center"/>
              <w:rPr>
                <w:rFonts w:ascii="Arial" w:hAnsi="Arial" w:cs="Arial"/>
                <w:sz w:val="16"/>
                <w:szCs w:val="16"/>
              </w:rPr>
            </w:pPr>
            <w:r>
              <w:rPr>
                <w:rFonts w:ascii="Arial" w:hAnsi="Arial" w:cs="Arial"/>
                <w:sz w:val="16"/>
                <w:szCs w:val="16"/>
              </w:rPr>
              <w:t>H</w:t>
            </w:r>
          </w:p>
        </w:tc>
        <w:tc>
          <w:tcPr>
            <w:tcW w:w="1760" w:type="dxa"/>
            <w:tcBorders>
              <w:top w:val="nil"/>
              <w:left w:val="nil"/>
              <w:bottom w:val="nil"/>
              <w:right w:val="single" w:sz="12" w:space="0" w:color="auto"/>
            </w:tcBorders>
            <w:shd w:val="clear" w:color="auto" w:fill="auto"/>
            <w:noWrap/>
            <w:vAlign w:val="center"/>
            <w:hideMark/>
          </w:tcPr>
          <w:p w:rsidR="008436AB" w:rsidRDefault="008436AB" w:rsidP="00E65913">
            <w:pPr>
              <w:jc w:val="center"/>
              <w:rPr>
                <w:rFonts w:ascii="Arial" w:hAnsi="Arial" w:cs="Arial"/>
                <w:sz w:val="16"/>
                <w:szCs w:val="16"/>
              </w:rPr>
            </w:pPr>
            <w:r>
              <w:rPr>
                <w:rFonts w:ascii="Arial" w:hAnsi="Arial" w:cs="Arial"/>
                <w:sz w:val="16"/>
                <w:szCs w:val="16"/>
              </w:rPr>
              <w:t>355,560,757</w:t>
            </w:r>
          </w:p>
        </w:tc>
      </w:tr>
      <w:tr w:rsidR="008436AB" w:rsidTr="008436AB">
        <w:trPr>
          <w:trHeight w:val="222"/>
          <w:jc w:val="center"/>
        </w:trPr>
        <w:tc>
          <w:tcPr>
            <w:tcW w:w="3760" w:type="dxa"/>
            <w:tcBorders>
              <w:top w:val="double" w:sz="6" w:space="0" w:color="auto"/>
              <w:left w:val="single" w:sz="12" w:space="0" w:color="auto"/>
              <w:bottom w:val="single" w:sz="12" w:space="0" w:color="auto"/>
              <w:right w:val="single" w:sz="8" w:space="0" w:color="auto"/>
            </w:tcBorders>
            <w:shd w:val="clear" w:color="auto" w:fill="auto"/>
            <w:noWrap/>
            <w:vAlign w:val="bottom"/>
            <w:hideMark/>
          </w:tcPr>
          <w:p w:rsidR="008436AB" w:rsidRDefault="008436AB" w:rsidP="00E65913">
            <w:pPr>
              <w:rPr>
                <w:rFonts w:ascii="Arial" w:hAnsi="Arial" w:cs="Arial"/>
                <w:b/>
                <w:bCs/>
                <w:sz w:val="16"/>
                <w:szCs w:val="16"/>
              </w:rPr>
            </w:pPr>
            <w:r>
              <w:rPr>
                <w:rFonts w:ascii="Arial" w:hAnsi="Arial" w:cs="Arial"/>
                <w:b/>
                <w:bCs/>
                <w:sz w:val="16"/>
                <w:szCs w:val="16"/>
              </w:rPr>
              <w:t>Total</w:t>
            </w:r>
          </w:p>
        </w:tc>
        <w:tc>
          <w:tcPr>
            <w:tcW w:w="3040" w:type="dxa"/>
            <w:tcBorders>
              <w:top w:val="double" w:sz="6" w:space="0" w:color="auto"/>
              <w:left w:val="nil"/>
              <w:bottom w:val="single" w:sz="12" w:space="0" w:color="auto"/>
              <w:right w:val="single" w:sz="8" w:space="0" w:color="auto"/>
            </w:tcBorders>
            <w:shd w:val="clear" w:color="auto" w:fill="auto"/>
            <w:noWrap/>
            <w:vAlign w:val="bottom"/>
            <w:hideMark/>
          </w:tcPr>
          <w:p w:rsidR="008436AB" w:rsidRDefault="008436AB" w:rsidP="00E65913">
            <w:pPr>
              <w:rPr>
                <w:rFonts w:ascii="Arial" w:hAnsi="Arial" w:cs="Arial"/>
                <w:b/>
                <w:bCs/>
                <w:sz w:val="16"/>
                <w:szCs w:val="16"/>
              </w:rPr>
            </w:pPr>
            <w:r>
              <w:rPr>
                <w:rFonts w:ascii="Arial" w:hAnsi="Arial" w:cs="Arial"/>
                <w:b/>
                <w:bCs/>
                <w:sz w:val="16"/>
                <w:szCs w:val="16"/>
              </w:rPr>
              <w:t> </w:t>
            </w:r>
          </w:p>
        </w:tc>
        <w:tc>
          <w:tcPr>
            <w:tcW w:w="1760" w:type="dxa"/>
            <w:tcBorders>
              <w:top w:val="double" w:sz="6" w:space="0" w:color="auto"/>
              <w:left w:val="nil"/>
              <w:bottom w:val="single" w:sz="12" w:space="0" w:color="auto"/>
              <w:right w:val="single" w:sz="12" w:space="0" w:color="auto"/>
            </w:tcBorders>
            <w:shd w:val="clear" w:color="auto" w:fill="auto"/>
            <w:noWrap/>
            <w:vAlign w:val="center"/>
            <w:hideMark/>
          </w:tcPr>
          <w:p w:rsidR="008436AB" w:rsidRDefault="008436AB" w:rsidP="00E65913">
            <w:pPr>
              <w:jc w:val="center"/>
              <w:rPr>
                <w:rFonts w:ascii="Arial" w:hAnsi="Arial" w:cs="Arial"/>
                <w:b/>
                <w:bCs/>
                <w:sz w:val="16"/>
                <w:szCs w:val="16"/>
              </w:rPr>
            </w:pPr>
            <w:r>
              <w:rPr>
                <w:rFonts w:ascii="Arial" w:hAnsi="Arial" w:cs="Arial"/>
                <w:b/>
                <w:bCs/>
                <w:sz w:val="16"/>
                <w:szCs w:val="16"/>
              </w:rPr>
              <w:t>9,148,841,710</w:t>
            </w:r>
          </w:p>
        </w:tc>
      </w:tr>
    </w:tbl>
    <w:p w:rsidR="000869BD" w:rsidRPr="00F6027E" w:rsidRDefault="000869BD" w:rsidP="00BB666B">
      <w:pPr>
        <w:pStyle w:val="FirstHead"/>
      </w:pPr>
      <w:bookmarkStart w:id="128" w:name="_Toc399834589"/>
      <w:r w:rsidRPr="00F6027E">
        <w:t>D. Summary</w:t>
      </w:r>
      <w:bookmarkEnd w:id="128"/>
    </w:p>
    <w:p w:rsidR="000869BD" w:rsidRPr="00A63016" w:rsidRDefault="000869BD" w:rsidP="000869BD">
      <w:pPr>
        <w:pStyle w:val="BodyText"/>
        <w:tabs>
          <w:tab w:val="num" w:pos="360"/>
        </w:tabs>
        <w:rPr>
          <w:rFonts w:ascii="CG Omega" w:hAnsi="CG Omega"/>
          <w:sz w:val="16"/>
          <w:szCs w:val="16"/>
          <w:highlight w:val="yellow"/>
        </w:rPr>
      </w:pPr>
    </w:p>
    <w:p w:rsidR="00F2293B" w:rsidRPr="00955C8C" w:rsidRDefault="00F2293B" w:rsidP="00F2293B">
      <w:pPr>
        <w:jc w:val="both"/>
        <w:rPr>
          <w:rFonts w:ascii="CG Omega" w:hAnsi="CG Omega"/>
          <w:highlight w:val="yellow"/>
        </w:rPr>
      </w:pPr>
      <w:r w:rsidRPr="00FB13FE">
        <w:rPr>
          <w:rFonts w:ascii="CG Omega" w:hAnsi="CG Omega"/>
        </w:rPr>
        <w:t xml:space="preserve">The </w:t>
      </w:r>
      <w:r w:rsidRPr="00925169">
        <w:rPr>
          <w:rFonts w:ascii="CG Omega" w:hAnsi="CG Omega"/>
          <w:i/>
        </w:rPr>
        <w:t>2014 Housing and Community Development Survey</w:t>
      </w:r>
      <w:r w:rsidRPr="00FB13FE">
        <w:rPr>
          <w:rFonts w:ascii="CG Omega" w:hAnsi="CG Omega"/>
        </w:rPr>
        <w:t xml:space="preserve"> provided data on perceived community development needs. Respondents indicated that funding should be primarily devoted to housing and economic development and also to water systems and infrastructure.</w:t>
      </w:r>
      <w:r>
        <w:rPr>
          <w:rFonts w:ascii="CG Omega" w:hAnsi="CG Omega"/>
        </w:rPr>
        <w:t xml:space="preserve"> Attraction of new businesses and retention of existing business received high rankings in terms of economic development activities, while water systems and street/road improvements received high rankings in regard to infrastructure.</w:t>
      </w:r>
      <w:r w:rsidRPr="00FB13FE">
        <w:rPr>
          <w:rFonts w:ascii="CG Omega" w:hAnsi="CG Omega"/>
        </w:rPr>
        <w:t xml:space="preserve"> </w:t>
      </w:r>
      <w:r w:rsidR="00482218">
        <w:rPr>
          <w:rFonts w:ascii="CG Omega" w:hAnsi="CG Omega"/>
        </w:rPr>
        <w:t>The water system is also a high priority across the state as demonstrated by Governor Susana Martinez’s new plan that allocated resources to update New Mexico’s outdated infrastructure. As for public services, r</w:t>
      </w:r>
      <w:r w:rsidRPr="00613415">
        <w:rPr>
          <w:rFonts w:ascii="CG Omega" w:hAnsi="CG Omega"/>
        </w:rPr>
        <w:t>espondents</w:t>
      </w:r>
      <w:r w:rsidR="00482218">
        <w:rPr>
          <w:rFonts w:ascii="CG Omega" w:hAnsi="CG Omega"/>
        </w:rPr>
        <w:t xml:space="preserve"> to the survey</w:t>
      </w:r>
      <w:r w:rsidRPr="00613415">
        <w:rPr>
          <w:rFonts w:ascii="CG Omega" w:hAnsi="CG Omega"/>
        </w:rPr>
        <w:t xml:space="preserve"> noted mostly high levels of need for </w:t>
      </w:r>
      <w:r w:rsidR="00B71DBB">
        <w:rPr>
          <w:rFonts w:ascii="CG Omega" w:hAnsi="CG Omega"/>
        </w:rPr>
        <w:t>childcare</w:t>
      </w:r>
      <w:r w:rsidRPr="00613415">
        <w:rPr>
          <w:rFonts w:ascii="CG Omega" w:hAnsi="CG Omega"/>
        </w:rPr>
        <w:t xml:space="preserve"> facilities, healthcare and residential treatment facilities, and mental heal</w:t>
      </w:r>
      <w:r w:rsidR="00482218">
        <w:rPr>
          <w:rFonts w:ascii="CG Omega" w:hAnsi="CG Omega"/>
        </w:rPr>
        <w:t>th/chemical dependency services.</w:t>
      </w:r>
    </w:p>
    <w:p w:rsidR="00987891" w:rsidRPr="00955C8C" w:rsidRDefault="00987891" w:rsidP="00987891">
      <w:pPr>
        <w:pStyle w:val="BodyText"/>
        <w:tabs>
          <w:tab w:val="num" w:pos="360"/>
        </w:tabs>
        <w:rPr>
          <w:rFonts w:ascii="CG Omega" w:hAnsi="CG Omega"/>
          <w:szCs w:val="24"/>
          <w:highlight w:val="yellow"/>
        </w:rPr>
        <w:sectPr w:rsidR="00987891" w:rsidRPr="00955C8C" w:rsidSect="006757C0">
          <w:headerReference w:type="default" r:id="rId58"/>
          <w:headerReference w:type="first" r:id="rId59"/>
          <w:pgSz w:w="12240" w:h="15840"/>
          <w:pgMar w:top="1440" w:right="1440" w:bottom="1440" w:left="1440" w:header="1080" w:footer="720" w:gutter="0"/>
          <w:cols w:space="720"/>
          <w:titlePg/>
          <w:docGrid w:linePitch="360"/>
        </w:sectPr>
      </w:pPr>
    </w:p>
    <w:p w:rsidR="00623759" w:rsidRPr="00955C8C" w:rsidRDefault="00987891" w:rsidP="005249F1">
      <w:pPr>
        <w:pStyle w:val="Subhead1"/>
        <w:rPr>
          <w:highlight w:val="yellow"/>
        </w:rPr>
      </w:pPr>
      <w:r w:rsidRPr="00955C8C">
        <w:rPr>
          <w:highlight w:val="yellow"/>
        </w:rPr>
        <w:br w:type="page"/>
      </w:r>
      <w:r w:rsidR="00623759" w:rsidRPr="00955C8C">
        <w:rPr>
          <w:highlight w:val="yellow"/>
        </w:rPr>
        <w:fldChar w:fldCharType="begin"/>
      </w:r>
      <w:r w:rsidR="00623759" w:rsidRPr="00955C8C">
        <w:rPr>
          <w:highlight w:val="yellow"/>
        </w:rPr>
        <w:instrText xml:space="preserve"> TC  "</w:instrText>
      </w:r>
      <w:bookmarkStart w:id="129" w:name="_Toc233426592"/>
      <w:bookmarkStart w:id="130" w:name="_Toc233426778"/>
      <w:bookmarkStart w:id="131" w:name="_Toc399834590"/>
      <w:r w:rsidR="00623759" w:rsidRPr="00955C8C">
        <w:rPr>
          <w:highlight w:val="yellow"/>
        </w:rPr>
        <w:instrText>VII. Strategic Plan</w:instrText>
      </w:r>
      <w:bookmarkEnd w:id="129"/>
      <w:bookmarkEnd w:id="130"/>
      <w:bookmarkEnd w:id="131"/>
      <w:r w:rsidR="00623759" w:rsidRPr="00955C8C">
        <w:rPr>
          <w:highlight w:val="yellow"/>
        </w:rPr>
        <w:instrText xml:space="preserve">" </w:instrText>
      </w:r>
      <w:r w:rsidR="00623759" w:rsidRPr="00955C8C">
        <w:rPr>
          <w:highlight w:val="yellow"/>
        </w:rPr>
        <w:fldChar w:fldCharType="end"/>
      </w:r>
    </w:p>
    <w:p w:rsidR="003E1F50" w:rsidRPr="00215575" w:rsidRDefault="003E1F50" w:rsidP="00BB666B">
      <w:pPr>
        <w:pStyle w:val="FirstHead"/>
      </w:pPr>
      <w:bookmarkStart w:id="132" w:name="_Toc233426593"/>
      <w:bookmarkStart w:id="133" w:name="_Toc233426779"/>
      <w:bookmarkStart w:id="134" w:name="_Toc399834591"/>
      <w:r w:rsidRPr="00215575">
        <w:t>A. Overview of Consolidated Plan National Goals</w:t>
      </w:r>
      <w:bookmarkEnd w:id="132"/>
      <w:bookmarkEnd w:id="133"/>
      <w:bookmarkEnd w:id="134"/>
    </w:p>
    <w:p w:rsidR="003E1F50" w:rsidRPr="00925169" w:rsidRDefault="003E1F50" w:rsidP="003E1F50">
      <w:pPr>
        <w:jc w:val="both"/>
        <w:rPr>
          <w:rFonts w:ascii="CG Omega" w:hAnsi="CG Omega"/>
          <w:bCs/>
          <w:sz w:val="22"/>
          <w:szCs w:val="22"/>
        </w:rPr>
      </w:pPr>
    </w:p>
    <w:p w:rsidR="003E1F50" w:rsidRPr="00215575" w:rsidRDefault="003E1F50" w:rsidP="003E1F50">
      <w:pPr>
        <w:tabs>
          <w:tab w:val="left" w:pos="720"/>
          <w:tab w:val="left" w:pos="8520"/>
        </w:tabs>
        <w:jc w:val="both"/>
        <w:rPr>
          <w:rFonts w:ascii="CG Omega" w:hAnsi="CG Omega"/>
        </w:rPr>
      </w:pPr>
      <w:r w:rsidRPr="00215575">
        <w:rPr>
          <w:rFonts w:ascii="CG Omega" w:hAnsi="CG Omega"/>
        </w:rPr>
        <w:t xml:space="preserve">The goals of the </w:t>
      </w:r>
      <w:r w:rsidR="00CB3976" w:rsidRPr="00215575">
        <w:rPr>
          <w:rFonts w:ascii="CG Omega" w:hAnsi="CG Omega"/>
        </w:rPr>
        <w:t>New Mexico</w:t>
      </w:r>
      <w:r w:rsidRPr="00215575">
        <w:rPr>
          <w:rFonts w:ascii="CG Omega" w:hAnsi="CG Omega"/>
        </w:rPr>
        <w:t xml:space="preserve"> Consolidated Plan are to provide decent housing, </w:t>
      </w:r>
      <w:r w:rsidR="00672DA9" w:rsidRPr="00215575">
        <w:rPr>
          <w:rFonts w:ascii="CG Omega" w:hAnsi="CG Omega"/>
        </w:rPr>
        <w:t xml:space="preserve">provide </w:t>
      </w:r>
      <w:r w:rsidRPr="00215575">
        <w:rPr>
          <w:rFonts w:ascii="CG Omega" w:hAnsi="CG Omega"/>
        </w:rPr>
        <w:t>a suitable</w:t>
      </w:r>
      <w:r w:rsidR="00672DA9" w:rsidRPr="00215575">
        <w:rPr>
          <w:rFonts w:ascii="CG Omega" w:hAnsi="CG Omega"/>
        </w:rPr>
        <w:t xml:space="preserve"> living environment and expand</w:t>
      </w:r>
      <w:r w:rsidRPr="00215575">
        <w:rPr>
          <w:rFonts w:ascii="CG Omega" w:hAnsi="CG Omega"/>
        </w:rPr>
        <w:t xml:space="preserve"> economic opportunities for its low- and moderate-income</w:t>
      </w:r>
      <w:r w:rsidR="00CA7E96" w:rsidRPr="00215575">
        <w:rPr>
          <w:rFonts w:ascii="CG Omega" w:hAnsi="CG Omega"/>
        </w:rPr>
        <w:t xml:space="preserve"> residents. </w:t>
      </w:r>
      <w:r w:rsidR="00CC3344">
        <w:rPr>
          <w:rFonts w:ascii="CG Omega" w:hAnsi="CG Omega"/>
        </w:rPr>
        <w:t>MFA</w:t>
      </w:r>
      <w:r w:rsidRPr="00215575">
        <w:rPr>
          <w:rFonts w:ascii="CG Omega" w:hAnsi="CG Omega"/>
        </w:rPr>
        <w:t xml:space="preserve"> </w:t>
      </w:r>
      <w:r w:rsidR="00FE2F52" w:rsidRPr="00215575">
        <w:rPr>
          <w:rFonts w:ascii="CG Omega" w:hAnsi="CG Omega"/>
        </w:rPr>
        <w:t xml:space="preserve">and DFA </w:t>
      </w:r>
      <w:r w:rsidRPr="00215575">
        <w:rPr>
          <w:rFonts w:ascii="CG Omega" w:hAnsi="CG Omega"/>
        </w:rPr>
        <w:t xml:space="preserve">strive to accomplish these goals by </w:t>
      </w:r>
      <w:r w:rsidR="00891D73">
        <w:rPr>
          <w:rFonts w:ascii="CG Omega" w:hAnsi="CG Omega"/>
        </w:rPr>
        <w:t>e</w:t>
      </w:r>
      <w:r w:rsidR="00B6585A" w:rsidRPr="00215575">
        <w:rPr>
          <w:rFonts w:ascii="CG Omega" w:hAnsi="CG Omega"/>
        </w:rPr>
        <w:t xml:space="preserve">ffectively </w:t>
      </w:r>
      <w:r w:rsidRPr="00215575">
        <w:rPr>
          <w:rFonts w:ascii="CG Omega" w:hAnsi="CG Omega"/>
        </w:rPr>
        <w:t>maximizing and utilizing all available funding resources to conduct housing and community development activities that will serve the economically disadvanta</w:t>
      </w:r>
      <w:r w:rsidR="00FE069D" w:rsidRPr="00215575">
        <w:rPr>
          <w:rFonts w:ascii="CG Omega" w:hAnsi="CG Omega"/>
        </w:rPr>
        <w:t>ged residents of the non-entitle</w:t>
      </w:r>
      <w:r w:rsidR="002F2326" w:rsidRPr="00215575">
        <w:rPr>
          <w:rFonts w:ascii="CG Omega" w:hAnsi="CG Omega"/>
        </w:rPr>
        <w:t>ment areas</w:t>
      </w:r>
      <w:r w:rsidR="00FE069D" w:rsidRPr="00215575">
        <w:rPr>
          <w:rFonts w:ascii="CG Omega" w:hAnsi="CG Omega"/>
        </w:rPr>
        <w:t xml:space="preserve"> of the state</w:t>
      </w:r>
      <w:r w:rsidRPr="00215575">
        <w:rPr>
          <w:rFonts w:ascii="CG Omega" w:hAnsi="CG Omega"/>
        </w:rPr>
        <w:t>.  By addressing need and creating opportunity at the individual and neighb</w:t>
      </w:r>
      <w:r w:rsidR="00CA7E96" w:rsidRPr="00215575">
        <w:rPr>
          <w:rFonts w:ascii="CG Omega" w:hAnsi="CG Omega"/>
        </w:rPr>
        <w:t xml:space="preserve">orhood levels, </w:t>
      </w:r>
      <w:r w:rsidR="00CC3344">
        <w:rPr>
          <w:rFonts w:ascii="CG Omega" w:hAnsi="CG Omega"/>
        </w:rPr>
        <w:t>MFA</w:t>
      </w:r>
      <w:r w:rsidR="00FE2F52" w:rsidRPr="00215575">
        <w:rPr>
          <w:rFonts w:ascii="CG Omega" w:hAnsi="CG Omega"/>
        </w:rPr>
        <w:t xml:space="preserve"> and DFA</w:t>
      </w:r>
      <w:r w:rsidR="002F2326" w:rsidRPr="00215575">
        <w:rPr>
          <w:rFonts w:ascii="CG Omega" w:hAnsi="CG Omega"/>
        </w:rPr>
        <w:t xml:space="preserve"> and </w:t>
      </w:r>
      <w:r w:rsidRPr="00215575">
        <w:rPr>
          <w:rFonts w:ascii="CG Omega" w:hAnsi="CG Omega"/>
        </w:rPr>
        <w:t>participating communities hope to improve the quality of li</w:t>
      </w:r>
      <w:r w:rsidR="00FE069D" w:rsidRPr="00215575">
        <w:rPr>
          <w:rFonts w:ascii="CG Omega" w:hAnsi="CG Omega"/>
        </w:rPr>
        <w:t>fe for residents</w:t>
      </w:r>
      <w:r w:rsidRPr="00215575">
        <w:rPr>
          <w:rFonts w:ascii="CG Omega" w:hAnsi="CG Omega"/>
        </w:rPr>
        <w:t>.  These goals are further explained as follows:</w:t>
      </w:r>
    </w:p>
    <w:p w:rsidR="003E1F50" w:rsidRPr="00925169" w:rsidRDefault="003E1F50" w:rsidP="003E1F50">
      <w:pPr>
        <w:tabs>
          <w:tab w:val="left" w:pos="-720"/>
          <w:tab w:val="left" w:pos="-239"/>
          <w:tab w:val="left" w:pos="242"/>
          <w:tab w:val="left" w:pos="723"/>
          <w:tab w:val="left" w:pos="1204"/>
          <w:tab w:val="left" w:pos="1685"/>
          <w:tab w:val="left" w:pos="2166"/>
          <w:tab w:val="left" w:pos="2647"/>
          <w:tab w:val="left" w:pos="3128"/>
          <w:tab w:val="left" w:pos="3609"/>
          <w:tab w:val="left" w:pos="4090"/>
          <w:tab w:val="left" w:pos="4571"/>
          <w:tab w:val="left" w:pos="5052"/>
          <w:tab w:val="left" w:pos="5533"/>
          <w:tab w:val="left" w:pos="6014"/>
          <w:tab w:val="left" w:pos="6495"/>
          <w:tab w:val="left" w:pos="6976"/>
          <w:tab w:val="left" w:pos="7457"/>
          <w:tab w:val="left" w:pos="7938"/>
          <w:tab w:val="left" w:pos="8419"/>
        </w:tabs>
        <w:ind w:right="-720"/>
        <w:jc w:val="both"/>
        <w:rPr>
          <w:rFonts w:ascii="CG Omega" w:hAnsi="CG Omega"/>
        </w:rPr>
      </w:pPr>
    </w:p>
    <w:p w:rsidR="003E1F50" w:rsidRPr="00215575" w:rsidRDefault="003E1F50" w:rsidP="0049477B">
      <w:pPr>
        <w:numPr>
          <w:ilvl w:val="0"/>
          <w:numId w:val="14"/>
        </w:numPr>
        <w:tabs>
          <w:tab w:val="left" w:pos="-720"/>
          <w:tab w:val="left" w:pos="-239"/>
          <w:tab w:val="left" w:pos="1204"/>
          <w:tab w:val="left" w:pos="1685"/>
          <w:tab w:val="left" w:pos="2166"/>
          <w:tab w:val="left" w:pos="2647"/>
          <w:tab w:val="left" w:pos="3128"/>
          <w:tab w:val="left" w:pos="3609"/>
          <w:tab w:val="left" w:pos="4090"/>
          <w:tab w:val="left" w:pos="4571"/>
          <w:tab w:val="left" w:pos="5052"/>
          <w:tab w:val="left" w:pos="5533"/>
          <w:tab w:val="left" w:pos="6014"/>
          <w:tab w:val="left" w:pos="6495"/>
          <w:tab w:val="left" w:pos="6976"/>
          <w:tab w:val="left" w:pos="7457"/>
          <w:tab w:val="left" w:pos="7938"/>
          <w:tab w:val="left" w:pos="8419"/>
        </w:tabs>
        <w:ind w:right="-18"/>
        <w:jc w:val="both"/>
        <w:rPr>
          <w:rFonts w:ascii="CG Omega" w:hAnsi="CG Omega"/>
        </w:rPr>
      </w:pPr>
      <w:r w:rsidRPr="00215575">
        <w:rPr>
          <w:rFonts w:ascii="CG Omega" w:hAnsi="CG Omega"/>
          <w:i/>
        </w:rPr>
        <w:t>Provide decent housing</w:t>
      </w:r>
      <w:r w:rsidRPr="00215575">
        <w:rPr>
          <w:rFonts w:ascii="CG Omega" w:hAnsi="CG Omega"/>
        </w:rPr>
        <w:t xml:space="preserve"> by helping homeless persons obtain appropriate housing and assisting those at risk of homelessness; preserving the affordable housing stock; increasing availability of permanent housing that is affordable to low- and moderate-income persons without discrimination; and increasing the supply of supportive housing.</w:t>
      </w:r>
    </w:p>
    <w:p w:rsidR="003E1F50" w:rsidRPr="00925169" w:rsidRDefault="003E1F50" w:rsidP="00BF46E9">
      <w:pPr>
        <w:tabs>
          <w:tab w:val="left" w:pos="-720"/>
          <w:tab w:val="left" w:pos="-239"/>
          <w:tab w:val="num" w:pos="720"/>
          <w:tab w:val="left" w:pos="1204"/>
          <w:tab w:val="left" w:pos="1685"/>
          <w:tab w:val="left" w:pos="2166"/>
          <w:tab w:val="left" w:pos="2647"/>
          <w:tab w:val="left" w:pos="3128"/>
          <w:tab w:val="left" w:pos="3609"/>
          <w:tab w:val="left" w:pos="4090"/>
          <w:tab w:val="left" w:pos="4571"/>
          <w:tab w:val="left" w:pos="5052"/>
          <w:tab w:val="left" w:pos="5533"/>
          <w:tab w:val="left" w:pos="6014"/>
          <w:tab w:val="left" w:pos="6495"/>
          <w:tab w:val="left" w:pos="6976"/>
          <w:tab w:val="left" w:pos="7457"/>
          <w:tab w:val="left" w:pos="7938"/>
          <w:tab w:val="left" w:pos="8419"/>
        </w:tabs>
        <w:ind w:left="720" w:right="-720" w:hanging="360"/>
        <w:jc w:val="both"/>
        <w:rPr>
          <w:rFonts w:ascii="CG Omega" w:hAnsi="CG Omega"/>
        </w:rPr>
      </w:pPr>
    </w:p>
    <w:p w:rsidR="003E1F50" w:rsidRPr="00215575" w:rsidRDefault="003E1F50" w:rsidP="0049477B">
      <w:pPr>
        <w:numPr>
          <w:ilvl w:val="0"/>
          <w:numId w:val="14"/>
        </w:numPr>
        <w:tabs>
          <w:tab w:val="left" w:pos="-720"/>
          <w:tab w:val="left" w:pos="-239"/>
          <w:tab w:val="left" w:pos="1204"/>
          <w:tab w:val="left" w:pos="1685"/>
          <w:tab w:val="left" w:pos="2166"/>
          <w:tab w:val="left" w:pos="2647"/>
          <w:tab w:val="left" w:pos="3128"/>
          <w:tab w:val="left" w:pos="3609"/>
          <w:tab w:val="left" w:pos="4090"/>
          <w:tab w:val="left" w:pos="4571"/>
          <w:tab w:val="left" w:pos="5052"/>
          <w:tab w:val="left" w:pos="5533"/>
          <w:tab w:val="left" w:pos="6014"/>
          <w:tab w:val="left" w:pos="6495"/>
          <w:tab w:val="left" w:pos="6976"/>
          <w:tab w:val="left" w:pos="7457"/>
          <w:tab w:val="left" w:pos="7938"/>
          <w:tab w:val="left" w:pos="8419"/>
        </w:tabs>
        <w:ind w:right="-18"/>
        <w:jc w:val="both"/>
        <w:rPr>
          <w:rFonts w:ascii="CG Omega" w:hAnsi="CG Omega"/>
        </w:rPr>
      </w:pPr>
      <w:r w:rsidRPr="00215575">
        <w:rPr>
          <w:rFonts w:ascii="CG Omega" w:hAnsi="CG Omega"/>
          <w:i/>
        </w:rPr>
        <w:t>Provide a suitable living environment</w:t>
      </w:r>
      <w:r w:rsidRPr="00215575">
        <w:rPr>
          <w:rFonts w:ascii="CG Omega" w:hAnsi="CG Omega"/>
        </w:rPr>
        <w:t xml:space="preserve"> by improving the safety and livability of neighborhoods; increasing access to quality facilities and services</w:t>
      </w:r>
      <w:r w:rsidR="00FE2F52" w:rsidRPr="00215575">
        <w:rPr>
          <w:rFonts w:ascii="CG Omega" w:hAnsi="CG Omega"/>
        </w:rPr>
        <w:t xml:space="preserve"> and infrastructure</w:t>
      </w:r>
      <w:r w:rsidRPr="00215575">
        <w:rPr>
          <w:rFonts w:ascii="CG Omega" w:hAnsi="CG Omega"/>
        </w:rPr>
        <w:t>; and reducing the isolation of income groups within an area through de-concentration of low-income housing opportunities.</w:t>
      </w:r>
    </w:p>
    <w:p w:rsidR="003E1F50" w:rsidRPr="00925169" w:rsidRDefault="003E1F50" w:rsidP="00BF46E9">
      <w:pPr>
        <w:tabs>
          <w:tab w:val="left" w:pos="-720"/>
          <w:tab w:val="left" w:pos="-239"/>
          <w:tab w:val="num" w:pos="720"/>
          <w:tab w:val="left" w:pos="1204"/>
          <w:tab w:val="left" w:pos="1685"/>
          <w:tab w:val="left" w:pos="2166"/>
          <w:tab w:val="left" w:pos="2647"/>
          <w:tab w:val="left" w:pos="3128"/>
          <w:tab w:val="left" w:pos="3609"/>
          <w:tab w:val="left" w:pos="4090"/>
          <w:tab w:val="left" w:pos="4571"/>
          <w:tab w:val="left" w:pos="5052"/>
          <w:tab w:val="left" w:pos="5533"/>
          <w:tab w:val="left" w:pos="6014"/>
          <w:tab w:val="left" w:pos="6495"/>
          <w:tab w:val="left" w:pos="6976"/>
          <w:tab w:val="left" w:pos="7457"/>
          <w:tab w:val="left" w:pos="7938"/>
          <w:tab w:val="left" w:pos="8419"/>
        </w:tabs>
        <w:ind w:left="720" w:right="-720" w:hanging="360"/>
        <w:jc w:val="both"/>
        <w:rPr>
          <w:rFonts w:ascii="CG Omega" w:hAnsi="CG Omega"/>
        </w:rPr>
      </w:pPr>
    </w:p>
    <w:p w:rsidR="003E1F50" w:rsidRPr="00215575" w:rsidRDefault="003E1F50" w:rsidP="0049477B">
      <w:pPr>
        <w:numPr>
          <w:ilvl w:val="0"/>
          <w:numId w:val="14"/>
        </w:numPr>
        <w:tabs>
          <w:tab w:val="left" w:pos="-720"/>
          <w:tab w:val="left" w:pos="-239"/>
          <w:tab w:val="left" w:pos="1204"/>
          <w:tab w:val="left" w:pos="1685"/>
          <w:tab w:val="left" w:pos="2166"/>
          <w:tab w:val="left" w:pos="2647"/>
          <w:tab w:val="left" w:pos="3128"/>
          <w:tab w:val="left" w:pos="3609"/>
          <w:tab w:val="left" w:pos="4090"/>
          <w:tab w:val="left" w:pos="4571"/>
          <w:tab w:val="left" w:pos="5052"/>
          <w:tab w:val="left" w:pos="5533"/>
          <w:tab w:val="left" w:pos="6014"/>
          <w:tab w:val="left" w:pos="6495"/>
          <w:tab w:val="left" w:pos="6976"/>
          <w:tab w:val="left" w:pos="7457"/>
          <w:tab w:val="left" w:pos="7938"/>
          <w:tab w:val="left" w:pos="8419"/>
        </w:tabs>
        <w:ind w:right="-18"/>
        <w:jc w:val="both"/>
        <w:rPr>
          <w:rFonts w:ascii="CG Omega" w:hAnsi="CG Omega"/>
        </w:rPr>
      </w:pPr>
      <w:r w:rsidRPr="00215575">
        <w:rPr>
          <w:rFonts w:ascii="CG Omega" w:hAnsi="CG Omega"/>
          <w:i/>
        </w:rPr>
        <w:t>Expand economic opportunities</w:t>
      </w:r>
      <w:r w:rsidRPr="00215575">
        <w:rPr>
          <w:rFonts w:ascii="CG Omega" w:hAnsi="CG Omega"/>
        </w:rPr>
        <w:t xml:space="preserve"> by creating jobs accessible to low- and moderate-income persons; making mortgage financing available for low- and moderate-income persons at reasonable rates; providing access to credit for development activities that promote long-term economic and social viability of the community; and empowering low-income persons to achieve self-sufficiency to reduce generational poverty in federally assisted and public housing.</w:t>
      </w:r>
    </w:p>
    <w:p w:rsidR="003E1F50" w:rsidRPr="00925169" w:rsidRDefault="003E1F50" w:rsidP="003E1F50">
      <w:pPr>
        <w:pStyle w:val="BodyText"/>
        <w:tabs>
          <w:tab w:val="num" w:pos="360"/>
        </w:tabs>
        <w:rPr>
          <w:rFonts w:ascii="CG Omega" w:hAnsi="CG Omega"/>
          <w:szCs w:val="24"/>
          <w:highlight w:val="yellow"/>
        </w:rPr>
      </w:pPr>
    </w:p>
    <w:p w:rsidR="003E1F50" w:rsidRPr="00B92D9A" w:rsidRDefault="003E1F50" w:rsidP="00BB666B">
      <w:pPr>
        <w:pStyle w:val="FirstHead"/>
      </w:pPr>
      <w:bookmarkStart w:id="135" w:name="_Toc233426594"/>
      <w:bookmarkStart w:id="136" w:name="_Toc233426780"/>
      <w:bookmarkStart w:id="137" w:name="_Toc399834592"/>
      <w:r w:rsidRPr="00B92D9A">
        <w:t>B. Context in Which Activities will be Conducted</w:t>
      </w:r>
      <w:bookmarkEnd w:id="135"/>
      <w:bookmarkEnd w:id="136"/>
      <w:bookmarkEnd w:id="137"/>
    </w:p>
    <w:p w:rsidR="003E1F50" w:rsidRPr="00925169" w:rsidRDefault="003E1F50" w:rsidP="003E1F50">
      <w:pPr>
        <w:jc w:val="both"/>
        <w:rPr>
          <w:rFonts w:ascii="CG Omega" w:hAnsi="CG Omega"/>
          <w:b/>
          <w:bCs/>
        </w:rPr>
      </w:pPr>
    </w:p>
    <w:p w:rsidR="00B02B1C" w:rsidRPr="00B92D9A" w:rsidRDefault="00B02B1C" w:rsidP="00B02B1C">
      <w:pPr>
        <w:pStyle w:val="Header"/>
        <w:tabs>
          <w:tab w:val="clear" w:pos="4320"/>
          <w:tab w:val="clear" w:pos="8640"/>
        </w:tabs>
        <w:jc w:val="both"/>
        <w:rPr>
          <w:rFonts w:ascii="CG Omega" w:hAnsi="CG Omega" w:cs="Arial"/>
          <w:b/>
        </w:rPr>
      </w:pPr>
      <w:r w:rsidRPr="00B92D9A">
        <w:rPr>
          <w:rFonts w:ascii="CG Omega" w:hAnsi="CG Omega"/>
          <w:b/>
          <w:bCs/>
          <w:smallCaps/>
        </w:rPr>
        <w:t xml:space="preserve">Principles Guiding the Strategic Plan </w:t>
      </w:r>
    </w:p>
    <w:p w:rsidR="00B02B1C" w:rsidRPr="00A63016" w:rsidRDefault="00B02B1C" w:rsidP="00B02B1C">
      <w:pPr>
        <w:pStyle w:val="Header"/>
        <w:tabs>
          <w:tab w:val="clear" w:pos="4320"/>
          <w:tab w:val="clear" w:pos="8640"/>
        </w:tabs>
        <w:jc w:val="both"/>
        <w:rPr>
          <w:rFonts w:ascii="CG Omega" w:hAnsi="CG Omega" w:cs="Arial"/>
          <w:b/>
          <w:sz w:val="16"/>
          <w:szCs w:val="16"/>
        </w:rPr>
      </w:pPr>
    </w:p>
    <w:p w:rsidR="00B02B1C" w:rsidRPr="00B92D9A" w:rsidRDefault="00D2471D" w:rsidP="00B02B1C">
      <w:pPr>
        <w:pStyle w:val="Header"/>
        <w:tabs>
          <w:tab w:val="clear" w:pos="4320"/>
          <w:tab w:val="clear" w:pos="8640"/>
        </w:tabs>
        <w:jc w:val="both"/>
        <w:rPr>
          <w:rFonts w:ascii="CG Omega" w:hAnsi="CG Omega"/>
          <w:bCs/>
        </w:rPr>
      </w:pPr>
      <w:r w:rsidRPr="00B92D9A">
        <w:rPr>
          <w:rFonts w:ascii="CG Omega" w:hAnsi="CG Omega"/>
          <w:bCs/>
        </w:rPr>
        <w:t xml:space="preserve">The </w:t>
      </w:r>
      <w:r w:rsidR="009155AB" w:rsidRPr="00B92D9A">
        <w:rPr>
          <w:rFonts w:ascii="CG Omega" w:hAnsi="CG Omega"/>
          <w:bCs/>
        </w:rPr>
        <w:t>s</w:t>
      </w:r>
      <w:r w:rsidR="00CB3976" w:rsidRPr="00B92D9A">
        <w:rPr>
          <w:rFonts w:ascii="CG Omega" w:hAnsi="CG Omega"/>
          <w:bCs/>
        </w:rPr>
        <w:t>tate of New Mexico</w:t>
      </w:r>
      <w:r w:rsidR="00B02B1C" w:rsidRPr="00B92D9A">
        <w:rPr>
          <w:rFonts w:ascii="CG Omega" w:hAnsi="CG Omega"/>
          <w:bCs/>
        </w:rPr>
        <w:t xml:space="preserve"> recognizes that to be successful in the implementation of housing and community development activities, efforts must be efficient an</w:t>
      </w:r>
      <w:r w:rsidR="00B1114C" w:rsidRPr="00B92D9A">
        <w:rPr>
          <w:rFonts w:ascii="CG Omega" w:hAnsi="CG Omega"/>
          <w:bCs/>
        </w:rPr>
        <w:t>d fruitful. Unfortunately, the state</w:t>
      </w:r>
      <w:r w:rsidR="00B02B1C" w:rsidRPr="00B92D9A">
        <w:rPr>
          <w:rFonts w:ascii="CG Omega" w:hAnsi="CG Omega"/>
          <w:bCs/>
        </w:rPr>
        <w:t xml:space="preserve"> does not have sufficient resources in its CDBG</w:t>
      </w:r>
      <w:r w:rsidR="00F8625B" w:rsidRPr="00B92D9A">
        <w:rPr>
          <w:rFonts w:ascii="CG Omega" w:hAnsi="CG Omega"/>
          <w:bCs/>
        </w:rPr>
        <w:t>,</w:t>
      </w:r>
      <w:r w:rsidR="00B02B1C" w:rsidRPr="00B92D9A">
        <w:rPr>
          <w:rFonts w:ascii="CG Omega" w:hAnsi="CG Omega"/>
          <w:bCs/>
        </w:rPr>
        <w:t xml:space="preserve"> HOME</w:t>
      </w:r>
      <w:r w:rsidR="00F8625B" w:rsidRPr="00B92D9A">
        <w:rPr>
          <w:rFonts w:ascii="CG Omega" w:hAnsi="CG Omega"/>
          <w:bCs/>
        </w:rPr>
        <w:t xml:space="preserve"> or ESG</w:t>
      </w:r>
      <w:r w:rsidR="00B02B1C" w:rsidRPr="00B92D9A">
        <w:rPr>
          <w:rFonts w:ascii="CG Omega" w:hAnsi="CG Omega"/>
          <w:bCs/>
        </w:rPr>
        <w:t xml:space="preserve"> programs to properly address all</w:t>
      </w:r>
      <w:r w:rsidR="00B1114C" w:rsidRPr="00B92D9A">
        <w:rPr>
          <w:rFonts w:ascii="CG Omega" w:hAnsi="CG Omega"/>
          <w:bCs/>
        </w:rPr>
        <w:t xml:space="preserve"> needs identified in the state. The state</w:t>
      </w:r>
      <w:r w:rsidR="00B02B1C" w:rsidRPr="00B92D9A">
        <w:rPr>
          <w:rFonts w:ascii="CG Omega" w:hAnsi="CG Omega"/>
          <w:bCs/>
        </w:rPr>
        <w:t xml:space="preserve"> is therefore utilizing several guiding principles for its </w:t>
      </w:r>
      <w:r w:rsidR="00F8625B" w:rsidRPr="00B92D9A">
        <w:rPr>
          <w:rFonts w:ascii="CG Omega" w:hAnsi="CG Omega"/>
          <w:bCs/>
        </w:rPr>
        <w:t>five</w:t>
      </w:r>
      <w:r w:rsidR="00B02B1C" w:rsidRPr="00B92D9A">
        <w:rPr>
          <w:rFonts w:ascii="CG Omega" w:hAnsi="CG Omega"/>
          <w:bCs/>
        </w:rPr>
        <w:t>-year strategic plan. These principles are as follows:</w:t>
      </w:r>
    </w:p>
    <w:p w:rsidR="002F2326" w:rsidRPr="00B92D9A" w:rsidRDefault="002F2326" w:rsidP="00B02B1C">
      <w:pPr>
        <w:pStyle w:val="Header"/>
        <w:tabs>
          <w:tab w:val="clear" w:pos="4320"/>
          <w:tab w:val="clear" w:pos="8640"/>
        </w:tabs>
        <w:jc w:val="both"/>
        <w:rPr>
          <w:rFonts w:ascii="CG Omega" w:hAnsi="CG Omega"/>
          <w:bCs/>
          <w:sz w:val="12"/>
          <w:szCs w:val="12"/>
        </w:rPr>
      </w:pPr>
    </w:p>
    <w:p w:rsidR="00987891" w:rsidRPr="00B92D9A" w:rsidRDefault="00B02B1C" w:rsidP="0049477B">
      <w:pPr>
        <w:pStyle w:val="Header"/>
        <w:numPr>
          <w:ilvl w:val="0"/>
          <w:numId w:val="8"/>
        </w:numPr>
        <w:tabs>
          <w:tab w:val="clear" w:pos="360"/>
          <w:tab w:val="clear" w:pos="4320"/>
          <w:tab w:val="clear" w:pos="8640"/>
          <w:tab w:val="num" w:pos="720"/>
        </w:tabs>
        <w:ind w:left="720"/>
        <w:jc w:val="both"/>
        <w:rPr>
          <w:rFonts w:ascii="CG Omega" w:hAnsi="CG Omega"/>
          <w:bCs/>
        </w:rPr>
        <w:sectPr w:rsidR="00987891" w:rsidRPr="00B92D9A" w:rsidSect="001C78BE">
          <w:headerReference w:type="default" r:id="rId60"/>
          <w:type w:val="continuous"/>
          <w:pgSz w:w="12240" w:h="15840"/>
          <w:pgMar w:top="1440" w:right="1440" w:bottom="1440" w:left="1440" w:header="1080" w:footer="720" w:gutter="0"/>
          <w:cols w:space="720"/>
          <w:titlePg/>
          <w:docGrid w:linePitch="360"/>
        </w:sectPr>
      </w:pPr>
      <w:r w:rsidRPr="00B92D9A">
        <w:rPr>
          <w:rFonts w:ascii="CG Omega" w:hAnsi="CG Omega"/>
          <w:bCs/>
        </w:rPr>
        <w:t>Concentrate efforts on a limited number of areas and activities, so that those resources that are utilized will have the greates</w:t>
      </w:r>
      <w:r w:rsidR="00CA6D92">
        <w:rPr>
          <w:rFonts w:ascii="CG Omega" w:hAnsi="CG Omega"/>
          <w:bCs/>
        </w:rPr>
        <w:t>t lasting and noticeable effect</w:t>
      </w:r>
      <w:r w:rsidR="00925169">
        <w:rPr>
          <w:rFonts w:ascii="CG Omega" w:hAnsi="CG Omega"/>
          <w:bCs/>
        </w:rPr>
        <w:t>.</w:t>
      </w:r>
    </w:p>
    <w:p w:rsidR="00B02B1C" w:rsidRPr="00CA6D92" w:rsidRDefault="00B02B1C" w:rsidP="00CA6D92">
      <w:pPr>
        <w:pStyle w:val="Header"/>
        <w:tabs>
          <w:tab w:val="clear" w:pos="4320"/>
          <w:tab w:val="clear" w:pos="8640"/>
        </w:tabs>
        <w:jc w:val="both"/>
        <w:rPr>
          <w:rFonts w:ascii="CG Omega" w:hAnsi="CG Omega"/>
          <w:bCs/>
          <w:sz w:val="16"/>
          <w:szCs w:val="16"/>
        </w:rPr>
      </w:pPr>
    </w:p>
    <w:p w:rsidR="00B02B1C" w:rsidRPr="00B92D9A" w:rsidRDefault="00B02B1C" w:rsidP="0049477B">
      <w:pPr>
        <w:pStyle w:val="Header"/>
        <w:numPr>
          <w:ilvl w:val="0"/>
          <w:numId w:val="8"/>
        </w:numPr>
        <w:tabs>
          <w:tab w:val="clear" w:pos="360"/>
          <w:tab w:val="clear" w:pos="4320"/>
          <w:tab w:val="clear" w:pos="8640"/>
          <w:tab w:val="num" w:pos="720"/>
        </w:tabs>
        <w:ind w:left="720"/>
        <w:jc w:val="both"/>
        <w:rPr>
          <w:rFonts w:ascii="CG Omega" w:hAnsi="CG Omega"/>
          <w:bCs/>
        </w:rPr>
      </w:pPr>
      <w:r w:rsidRPr="00B92D9A">
        <w:rPr>
          <w:rFonts w:ascii="CG Omega" w:hAnsi="CG Omega"/>
          <w:bCs/>
        </w:rPr>
        <w:t>Support activities that build upon existing housing and community development infrastructure and provide for on-going maintenance</w:t>
      </w:r>
      <w:r w:rsidR="00925169">
        <w:rPr>
          <w:rFonts w:ascii="CG Omega" w:hAnsi="CG Omega"/>
          <w:bCs/>
        </w:rPr>
        <w:t>.</w:t>
      </w:r>
    </w:p>
    <w:p w:rsidR="00925169" w:rsidRDefault="00B02B1C" w:rsidP="0049477B">
      <w:pPr>
        <w:pStyle w:val="Header"/>
        <w:numPr>
          <w:ilvl w:val="0"/>
          <w:numId w:val="8"/>
        </w:numPr>
        <w:tabs>
          <w:tab w:val="clear" w:pos="360"/>
          <w:tab w:val="clear" w:pos="4320"/>
          <w:tab w:val="clear" w:pos="8640"/>
          <w:tab w:val="num" w:pos="720"/>
        </w:tabs>
        <w:ind w:left="720"/>
        <w:jc w:val="both"/>
        <w:rPr>
          <w:rFonts w:ascii="CG Omega" w:hAnsi="CG Omega"/>
          <w:bCs/>
        </w:rPr>
      </w:pPr>
      <w:r w:rsidRPr="00925169">
        <w:rPr>
          <w:rFonts w:ascii="CG Omega" w:hAnsi="CG Omega"/>
          <w:bCs/>
        </w:rPr>
        <w:t xml:space="preserve">Implement strategies with sustainable long-term impacts, such as cost-effective rehabilitation and </w:t>
      </w:r>
      <w:r w:rsidR="00F8625B" w:rsidRPr="00925169">
        <w:rPr>
          <w:rFonts w:ascii="CG Omega" w:hAnsi="CG Omega"/>
          <w:bCs/>
        </w:rPr>
        <w:t>redevelopment</w:t>
      </w:r>
      <w:r w:rsidRPr="00925169">
        <w:rPr>
          <w:rFonts w:ascii="CG Omega" w:hAnsi="CG Omega"/>
          <w:bCs/>
        </w:rPr>
        <w:t xml:space="preserve"> that complements surrounding properties;</w:t>
      </w:r>
      <w:r w:rsidR="00925169" w:rsidRPr="00925169">
        <w:rPr>
          <w:rFonts w:ascii="CG Omega" w:hAnsi="CG Omega"/>
          <w:bCs/>
        </w:rPr>
        <w:t>.</w:t>
      </w:r>
    </w:p>
    <w:p w:rsidR="00B02B1C" w:rsidRPr="00925169" w:rsidRDefault="00B02B1C" w:rsidP="0049477B">
      <w:pPr>
        <w:pStyle w:val="Header"/>
        <w:numPr>
          <w:ilvl w:val="0"/>
          <w:numId w:val="8"/>
        </w:numPr>
        <w:tabs>
          <w:tab w:val="clear" w:pos="360"/>
          <w:tab w:val="clear" w:pos="4320"/>
          <w:tab w:val="clear" w:pos="8640"/>
          <w:tab w:val="num" w:pos="720"/>
        </w:tabs>
        <w:ind w:left="720"/>
        <w:jc w:val="both"/>
        <w:rPr>
          <w:rFonts w:ascii="CG Omega" w:hAnsi="CG Omega"/>
          <w:bCs/>
        </w:rPr>
      </w:pPr>
      <w:r w:rsidRPr="00925169">
        <w:rPr>
          <w:rFonts w:ascii="CG Omega" w:hAnsi="CG Omega"/>
          <w:bCs/>
        </w:rPr>
        <w:t xml:space="preserve">Seek opportunities to form partnerships with other agencies within the </w:t>
      </w:r>
      <w:r w:rsidR="006C6060" w:rsidRPr="00925169">
        <w:rPr>
          <w:rFonts w:ascii="CG Omega" w:hAnsi="CG Omega"/>
          <w:bCs/>
        </w:rPr>
        <w:t>s</w:t>
      </w:r>
      <w:r w:rsidR="00F8625B" w:rsidRPr="00925169">
        <w:rPr>
          <w:rFonts w:ascii="CG Omega" w:hAnsi="CG Omega"/>
          <w:bCs/>
        </w:rPr>
        <w:t>tate</w:t>
      </w:r>
      <w:r w:rsidRPr="00925169">
        <w:rPr>
          <w:rFonts w:ascii="CG Omega" w:hAnsi="CG Omega"/>
          <w:bCs/>
        </w:rPr>
        <w:t>, generating benefi</w:t>
      </w:r>
      <w:r w:rsidR="00B1114C" w:rsidRPr="00925169">
        <w:rPr>
          <w:rFonts w:ascii="CG Omega" w:hAnsi="CG Omega"/>
          <w:bCs/>
        </w:rPr>
        <w:t>cial activities for the entire state</w:t>
      </w:r>
      <w:r w:rsidR="00925169">
        <w:rPr>
          <w:rFonts w:ascii="CG Omega" w:hAnsi="CG Omega"/>
          <w:bCs/>
        </w:rPr>
        <w:t>.</w:t>
      </w:r>
    </w:p>
    <w:p w:rsidR="00B02B1C" w:rsidRPr="00B92D9A" w:rsidRDefault="00B02B1C" w:rsidP="0049477B">
      <w:pPr>
        <w:pStyle w:val="Header"/>
        <w:numPr>
          <w:ilvl w:val="0"/>
          <w:numId w:val="8"/>
        </w:numPr>
        <w:tabs>
          <w:tab w:val="clear" w:pos="360"/>
          <w:tab w:val="clear" w:pos="4320"/>
          <w:tab w:val="clear" w:pos="8640"/>
          <w:tab w:val="num" w:pos="720"/>
        </w:tabs>
        <w:ind w:left="720"/>
        <w:jc w:val="both"/>
        <w:rPr>
          <w:rFonts w:ascii="CG Omega" w:hAnsi="CG Omega"/>
          <w:bCs/>
        </w:rPr>
      </w:pPr>
      <w:r w:rsidRPr="00B92D9A">
        <w:rPr>
          <w:rFonts w:ascii="CG Omega" w:hAnsi="CG Omega"/>
          <w:bCs/>
        </w:rPr>
        <w:t xml:space="preserve">Explore opportunities to leverage resources with other private, nonprofit, </w:t>
      </w:r>
      <w:r w:rsidR="00B1114C" w:rsidRPr="00B92D9A">
        <w:rPr>
          <w:rFonts w:ascii="CG Omega" w:hAnsi="CG Omega"/>
          <w:bCs/>
        </w:rPr>
        <w:t>and government agencies so the state</w:t>
      </w:r>
      <w:r w:rsidRPr="00B92D9A">
        <w:rPr>
          <w:rFonts w:ascii="CG Omega" w:hAnsi="CG Omega"/>
          <w:bCs/>
        </w:rPr>
        <w:t>’s limited resources have the greatest possible net effect.</w:t>
      </w:r>
    </w:p>
    <w:p w:rsidR="00B02B1C" w:rsidRPr="00925169" w:rsidRDefault="00B02B1C" w:rsidP="003E1F50">
      <w:pPr>
        <w:rPr>
          <w:rFonts w:ascii="CG Omega" w:hAnsi="CG Omega"/>
          <w:b/>
          <w:bCs/>
          <w:smallCaps/>
          <w:highlight w:val="yellow"/>
        </w:rPr>
      </w:pPr>
    </w:p>
    <w:p w:rsidR="00B02B1C" w:rsidRPr="00215575" w:rsidRDefault="00B02B1C" w:rsidP="00B02B1C">
      <w:pPr>
        <w:rPr>
          <w:rFonts w:ascii="CG Omega" w:hAnsi="CG Omega" w:cs="Arial"/>
          <w:b/>
          <w:smallCaps/>
          <w:color w:val="333300"/>
        </w:rPr>
      </w:pPr>
      <w:r w:rsidRPr="00215575">
        <w:rPr>
          <w:rFonts w:ascii="CG Omega" w:hAnsi="CG Omega"/>
          <w:b/>
          <w:bCs/>
          <w:smallCaps/>
        </w:rPr>
        <w:t>Performance Measurement Criteria</w:t>
      </w:r>
    </w:p>
    <w:p w:rsidR="003E1F50" w:rsidRPr="00925169" w:rsidRDefault="003E1F50" w:rsidP="003E1F50">
      <w:pPr>
        <w:pStyle w:val="BodyText"/>
        <w:tabs>
          <w:tab w:val="num" w:pos="360"/>
        </w:tabs>
        <w:rPr>
          <w:rFonts w:ascii="CG Omega" w:hAnsi="CG Omega"/>
          <w:szCs w:val="24"/>
        </w:rPr>
      </w:pPr>
    </w:p>
    <w:p w:rsidR="003E1F50" w:rsidRPr="00215575" w:rsidRDefault="00B1114C" w:rsidP="003E1F50">
      <w:pPr>
        <w:pStyle w:val="PlainText"/>
        <w:jc w:val="both"/>
        <w:rPr>
          <w:rFonts w:ascii="CG Omega" w:hAnsi="CG Omega"/>
          <w:sz w:val="24"/>
          <w:szCs w:val="24"/>
        </w:rPr>
      </w:pPr>
      <w:r w:rsidRPr="00215575">
        <w:rPr>
          <w:rFonts w:ascii="CG Omega" w:hAnsi="CG Omega"/>
          <w:sz w:val="24"/>
          <w:szCs w:val="24"/>
        </w:rPr>
        <w:t>The results of the state</w:t>
      </w:r>
      <w:r w:rsidR="003E1F50" w:rsidRPr="00215575">
        <w:rPr>
          <w:rFonts w:ascii="CG Omega" w:hAnsi="CG Omega"/>
          <w:sz w:val="24"/>
          <w:szCs w:val="24"/>
        </w:rPr>
        <w:t>’s resource expenditures will be in terms that are quantifiable; in terms that are measurable</w:t>
      </w:r>
      <w:r w:rsidR="002F2326" w:rsidRPr="00215575">
        <w:rPr>
          <w:rFonts w:ascii="CG Omega" w:hAnsi="CG Omega"/>
          <w:sz w:val="24"/>
          <w:szCs w:val="24"/>
        </w:rPr>
        <w:t>;</w:t>
      </w:r>
      <w:r w:rsidR="003E1F50" w:rsidRPr="00215575">
        <w:rPr>
          <w:rFonts w:ascii="CG Omega" w:hAnsi="CG Omega"/>
          <w:sz w:val="24"/>
          <w:szCs w:val="24"/>
        </w:rPr>
        <w:t xml:space="preserve"> and </w:t>
      </w:r>
      <w:r w:rsidR="002F2326" w:rsidRPr="00215575">
        <w:rPr>
          <w:rFonts w:ascii="CG Omega" w:hAnsi="CG Omega"/>
          <w:sz w:val="24"/>
          <w:szCs w:val="24"/>
        </w:rPr>
        <w:t xml:space="preserve">that </w:t>
      </w:r>
      <w:r w:rsidR="003E1F50" w:rsidRPr="00215575">
        <w:rPr>
          <w:rFonts w:ascii="CG Omega" w:hAnsi="CG Omega"/>
          <w:sz w:val="24"/>
          <w:szCs w:val="24"/>
        </w:rPr>
        <w:t>were originally cited as a goal.  These objectives, and their outcomes, are best illustrated in the following diagram:</w:t>
      </w:r>
      <w:r w:rsidR="00C15B1B" w:rsidRPr="00215575">
        <w:rPr>
          <w:rFonts w:ascii="CG Omega" w:hAnsi="CG Omega"/>
          <w:sz w:val="24"/>
          <w:szCs w:val="24"/>
        </w:rPr>
        <w:t xml:space="preserve">   </w:t>
      </w:r>
    </w:p>
    <w:p w:rsidR="003E1F50" w:rsidRPr="00955C8C" w:rsidRDefault="003E1F50" w:rsidP="003E1F50">
      <w:pPr>
        <w:pStyle w:val="PlainText"/>
        <w:ind w:left="360"/>
        <w:jc w:val="both"/>
        <w:rPr>
          <w:rFonts w:ascii="CG Omega" w:hAnsi="CG Omega"/>
          <w:sz w:val="22"/>
          <w:szCs w:val="22"/>
          <w:highlight w:val="yellow"/>
        </w:rPr>
      </w:pPr>
    </w:p>
    <w:p w:rsidR="003E1F50" w:rsidRPr="00955C8C" w:rsidRDefault="008168AF" w:rsidP="003E1F50">
      <w:pPr>
        <w:pStyle w:val="BodyTextIndent2"/>
        <w:jc w:val="center"/>
        <w:rPr>
          <w:highlight w:val="yellow"/>
        </w:rPr>
      </w:pPr>
      <w:r>
        <w:rPr>
          <w:noProof/>
        </w:rPr>
        <mc:AlternateContent>
          <mc:Choice Requires="wps">
            <w:drawing>
              <wp:anchor distT="0" distB="0" distL="114300" distR="114300" simplePos="0" relativeHeight="251638784" behindDoc="0" locked="0" layoutInCell="1" allowOverlap="1" wp14:anchorId="6944AFF2" wp14:editId="0B1EB5DA">
                <wp:simplePos x="0" y="0"/>
                <wp:positionH relativeFrom="column">
                  <wp:posOffset>2057400</wp:posOffset>
                </wp:positionH>
                <wp:positionV relativeFrom="paragraph">
                  <wp:posOffset>133350</wp:posOffset>
                </wp:positionV>
                <wp:extent cx="2057400" cy="859790"/>
                <wp:effectExtent l="28575" t="30480" r="28575" b="33655"/>
                <wp:wrapNone/>
                <wp:docPr id="254" name="Rectangle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859790"/>
                        </a:xfrm>
                        <a:prstGeom prst="rect">
                          <a:avLst/>
                        </a:prstGeom>
                        <a:solidFill>
                          <a:srgbClr val="FFFFFF"/>
                        </a:solidFill>
                        <a:ln w="50800">
                          <a:solidFill>
                            <a:srgbClr val="000000"/>
                          </a:solidFill>
                          <a:miter lim="800000"/>
                          <a:headEnd/>
                          <a:tailEnd/>
                        </a:ln>
                      </wps:spPr>
                      <wps:txbx>
                        <w:txbxContent>
                          <w:p w:rsidR="00000555" w:rsidRDefault="00000555" w:rsidP="003E1F50">
                            <w:pPr>
                              <w:pStyle w:val="BodyText"/>
                              <w:jc w:val="center"/>
                              <w:rPr>
                                <w:sz w:val="8"/>
                              </w:rPr>
                            </w:pPr>
                          </w:p>
                          <w:p w:rsidR="00000555" w:rsidRDefault="00000555" w:rsidP="003E1F50">
                            <w:pPr>
                              <w:pStyle w:val="BodyText"/>
                              <w:jc w:val="center"/>
                              <w:rPr>
                                <w:rFonts w:ascii="CG Omega" w:hAnsi="CG Omega"/>
                                <w:sz w:val="28"/>
                              </w:rPr>
                            </w:pPr>
                            <w:r>
                              <w:rPr>
                                <w:rFonts w:ascii="CG Omega" w:hAnsi="CG Omega"/>
                                <w:sz w:val="28"/>
                              </w:rPr>
                              <w:t>Five-Year</w:t>
                            </w:r>
                          </w:p>
                          <w:p w:rsidR="00000555" w:rsidRDefault="00000555" w:rsidP="003E1F50">
                            <w:pPr>
                              <w:pStyle w:val="BodyText"/>
                              <w:jc w:val="center"/>
                              <w:rPr>
                                <w:rFonts w:ascii="CG Omega" w:hAnsi="CG Omega"/>
                                <w:sz w:val="28"/>
                              </w:rPr>
                            </w:pPr>
                            <w:r>
                              <w:rPr>
                                <w:rFonts w:ascii="CG Omega" w:hAnsi="CG Omega"/>
                                <w:sz w:val="28"/>
                              </w:rPr>
                              <w:t>Consolidated</w:t>
                            </w:r>
                          </w:p>
                          <w:p w:rsidR="00000555" w:rsidRPr="005632B7" w:rsidRDefault="00000555" w:rsidP="003E1F50">
                            <w:pPr>
                              <w:pStyle w:val="BodyText"/>
                              <w:jc w:val="center"/>
                              <w:rPr>
                                <w:rFonts w:ascii="CG Omega" w:hAnsi="CG Omega"/>
                                <w:sz w:val="22"/>
                                <w:szCs w:val="22"/>
                              </w:rPr>
                            </w:pPr>
                            <w:r>
                              <w:rPr>
                                <w:rFonts w:ascii="CG Omega" w:hAnsi="CG Omega"/>
                                <w:sz w:val="28"/>
                              </w:rPr>
                              <w:t>Plan Objectives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44AFF2" id="Rectangle 107" o:spid="_x0000_s1028" style="position:absolute;left:0;text-align:left;margin-left:162pt;margin-top:10.5pt;width:162pt;height:67.7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" strokeweight="4pt">
                <v:textbox>
                  <w:txbxContent>
                    <w:p w:rsidR="00000555" w:rsidRDefault="00000555" w:rsidP="003E1F50">
                      <w:pPr>
                        <w:pStyle w:val="BodyText"/>
                        <w:jc w:val="center"/>
                        <w:rPr>
                          <w:sz w:val="8"/>
                        </w:rPr>
                      </w:pPr>
                    </w:p>
                    <w:p w:rsidR="00000555" w:rsidRDefault="00000555" w:rsidP="003E1F50">
                      <w:pPr>
                        <w:pStyle w:val="BodyText"/>
                        <w:jc w:val="center"/>
                        <w:rPr>
                          <w:rFonts w:ascii="CG Omega" w:hAnsi="CG Omega"/>
                          <w:sz w:val="28"/>
                        </w:rPr>
                      </w:pPr>
                      <w:r>
                        <w:rPr>
                          <w:rFonts w:ascii="CG Omega" w:hAnsi="CG Omega"/>
                          <w:sz w:val="28"/>
                        </w:rPr>
                        <w:t>Five-Year</w:t>
                      </w:r>
                    </w:p>
                    <w:p w:rsidR="00000555" w:rsidRDefault="00000555" w:rsidP="003E1F50">
                      <w:pPr>
                        <w:pStyle w:val="BodyText"/>
                        <w:jc w:val="center"/>
                        <w:rPr>
                          <w:rFonts w:ascii="CG Omega" w:hAnsi="CG Omega"/>
                          <w:sz w:val="28"/>
                        </w:rPr>
                      </w:pPr>
                      <w:r>
                        <w:rPr>
                          <w:rFonts w:ascii="CG Omega" w:hAnsi="CG Omega"/>
                          <w:sz w:val="28"/>
                        </w:rPr>
                        <w:t>Consolidated</w:t>
                      </w:r>
                    </w:p>
                    <w:p w:rsidR="00000555" w:rsidRPr="005632B7" w:rsidRDefault="00000555" w:rsidP="003E1F50">
                      <w:pPr>
                        <w:pStyle w:val="BodyText"/>
                        <w:jc w:val="center"/>
                        <w:rPr>
                          <w:rFonts w:ascii="CG Omega" w:hAnsi="CG Omega"/>
                          <w:sz w:val="22"/>
                          <w:szCs w:val="22"/>
                        </w:rPr>
                      </w:pPr>
                      <w:r>
                        <w:rPr>
                          <w:rFonts w:ascii="CG Omega" w:hAnsi="CG Omega"/>
                          <w:sz w:val="28"/>
                        </w:rPr>
                        <w:t>Plan Objectives</w:t>
                      </w:r>
                    </w:p>
                  </w:txbxContent>
                </v:textbox>
              </v:rect>
            </w:pict>
          </mc:Fallback>
        </mc:AlternateContent>
      </w:r>
    </w:p>
    <w:p w:rsidR="003E1F50" w:rsidRPr="00955C8C" w:rsidRDefault="003E1F50" w:rsidP="003E1F50">
      <w:pPr>
        <w:pStyle w:val="BodyTextIndent2"/>
        <w:rPr>
          <w:rFonts w:ascii="Times New Roman" w:hAnsi="Times New Roman"/>
          <w:szCs w:val="24"/>
          <w:highlight w:val="yellow"/>
        </w:rPr>
      </w:pPr>
    </w:p>
    <w:p w:rsidR="003E1F50" w:rsidRPr="00955C8C" w:rsidRDefault="003E1F50" w:rsidP="003E1F50">
      <w:pPr>
        <w:pStyle w:val="BodyTextIndent2"/>
        <w:rPr>
          <w:rFonts w:ascii="Times New Roman" w:hAnsi="Times New Roman"/>
          <w:szCs w:val="24"/>
          <w:highlight w:val="yellow"/>
        </w:rPr>
      </w:pPr>
    </w:p>
    <w:p w:rsidR="003E1F50" w:rsidRPr="00955C8C" w:rsidRDefault="003E1F50" w:rsidP="003E1F50">
      <w:pPr>
        <w:pStyle w:val="BodyTextIndent2"/>
        <w:rPr>
          <w:rFonts w:ascii="Times New Roman" w:hAnsi="Times New Roman"/>
          <w:szCs w:val="24"/>
          <w:highlight w:val="yellow"/>
        </w:rPr>
      </w:pPr>
    </w:p>
    <w:p w:rsidR="003E1F50" w:rsidRPr="00955C8C" w:rsidRDefault="003E1F50" w:rsidP="003E1F50">
      <w:pPr>
        <w:pStyle w:val="BodyTextIndent2"/>
        <w:rPr>
          <w:rFonts w:ascii="Times New Roman" w:hAnsi="Times New Roman"/>
          <w:szCs w:val="24"/>
          <w:highlight w:val="yellow"/>
        </w:rPr>
      </w:pPr>
    </w:p>
    <w:p w:rsidR="003E1F50" w:rsidRPr="00955C8C" w:rsidRDefault="008168AF" w:rsidP="003E1F50">
      <w:pPr>
        <w:pStyle w:val="BodyTextIndent2"/>
        <w:rPr>
          <w:rFonts w:ascii="Times New Roman" w:hAnsi="Times New Roman"/>
          <w:szCs w:val="24"/>
          <w:highlight w:val="yellow"/>
        </w:rPr>
      </w:pPr>
      <w:r>
        <w:rPr>
          <w:rFonts w:ascii="Times New Roman" w:hAnsi="Times New Roman"/>
          <w:noProof/>
          <w:sz w:val="20"/>
          <w:szCs w:val="24"/>
        </w:rPr>
        <mc:AlternateContent>
          <mc:Choice Requires="wps">
            <w:drawing>
              <wp:anchor distT="0" distB="0" distL="114300" distR="114300" simplePos="0" relativeHeight="251645952" behindDoc="0" locked="0" layoutInCell="1" allowOverlap="1" wp14:anchorId="343324FE" wp14:editId="291EF1FA">
                <wp:simplePos x="0" y="0"/>
                <wp:positionH relativeFrom="column">
                  <wp:posOffset>3086100</wp:posOffset>
                </wp:positionH>
                <wp:positionV relativeFrom="paragraph">
                  <wp:posOffset>137160</wp:posOffset>
                </wp:positionV>
                <wp:extent cx="0" cy="359410"/>
                <wp:effectExtent l="9525" t="5715" r="9525" b="6350"/>
                <wp:wrapNone/>
                <wp:docPr id="253" name="Line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94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223967" id="Line 114" o:spid="_x0000_s1026" style="position:absolute;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3pt,10.8pt" to="243pt,3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"/>
            </w:pict>
          </mc:Fallback>
        </mc:AlternateContent>
      </w:r>
    </w:p>
    <w:p w:rsidR="003E1F50" w:rsidRPr="00955C8C" w:rsidRDefault="003E1F50" w:rsidP="003E1F50">
      <w:pPr>
        <w:pStyle w:val="BodyTextIndent2"/>
        <w:rPr>
          <w:rFonts w:ascii="Times New Roman" w:hAnsi="Times New Roman"/>
          <w:szCs w:val="24"/>
          <w:highlight w:val="yellow"/>
        </w:rPr>
      </w:pPr>
    </w:p>
    <w:p w:rsidR="003E1F50" w:rsidRPr="00955C8C" w:rsidRDefault="008168AF" w:rsidP="003E1F50">
      <w:pPr>
        <w:pStyle w:val="BodyTextIndent2"/>
        <w:rPr>
          <w:rFonts w:ascii="Times New Roman" w:hAnsi="Times New Roman"/>
          <w:szCs w:val="24"/>
          <w:highlight w:val="yellow"/>
        </w:rPr>
      </w:pPr>
      <w:r>
        <w:rPr>
          <w:rFonts w:ascii="Times New Roman" w:hAnsi="Times New Roman"/>
          <w:noProof/>
          <w:sz w:val="20"/>
          <w:szCs w:val="24"/>
        </w:rPr>
        <mc:AlternateContent>
          <mc:Choice Requires="wps">
            <w:drawing>
              <wp:anchor distT="0" distB="0" distL="114300" distR="114300" simplePos="0" relativeHeight="251649024" behindDoc="0" locked="0" layoutInCell="1" allowOverlap="1" wp14:anchorId="2335C529" wp14:editId="60D9785B">
                <wp:simplePos x="0" y="0"/>
                <wp:positionH relativeFrom="column">
                  <wp:posOffset>1143000</wp:posOffset>
                </wp:positionH>
                <wp:positionV relativeFrom="paragraph">
                  <wp:posOffset>155575</wp:posOffset>
                </wp:positionV>
                <wp:extent cx="0" cy="457200"/>
                <wp:effectExtent l="9525" t="12700" r="9525" b="6350"/>
                <wp:wrapNone/>
                <wp:docPr id="252" name="Line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839932" id="Line 117" o:spid="_x0000_s1026" style="position:absolute;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pt,12.25pt" to="90pt,4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"/>
            </w:pict>
          </mc:Fallback>
        </mc:AlternateContent>
      </w:r>
      <w:r>
        <w:rPr>
          <w:noProof/>
          <w:sz w:val="20"/>
        </w:rPr>
        <mc:AlternateContent>
          <mc:Choice Requires="wps">
            <w:drawing>
              <wp:anchor distT="0" distB="0" distL="114300" distR="114300" simplePos="0" relativeHeight="251639808" behindDoc="0" locked="0" layoutInCell="1" allowOverlap="1" wp14:anchorId="11EB1952" wp14:editId="0337259A">
                <wp:simplePos x="0" y="0"/>
                <wp:positionH relativeFrom="column">
                  <wp:posOffset>1143000</wp:posOffset>
                </wp:positionH>
                <wp:positionV relativeFrom="paragraph">
                  <wp:posOffset>151765</wp:posOffset>
                </wp:positionV>
                <wp:extent cx="4000500" cy="0"/>
                <wp:effectExtent l="9525" t="8890" r="9525" b="10160"/>
                <wp:wrapNone/>
                <wp:docPr id="251" name="Line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00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B06ACD" id="Line 108" o:spid="_x0000_s1026" style="position:absolute;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pt,11.95pt" to="405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"/>
            </w:pict>
          </mc:Fallback>
        </mc:AlternateContent>
      </w:r>
      <w:r>
        <w:rPr>
          <w:rFonts w:ascii="Times New Roman" w:hAnsi="Times New Roman"/>
          <w:noProof/>
          <w:sz w:val="20"/>
          <w:szCs w:val="24"/>
        </w:rPr>
        <mc:AlternateContent>
          <mc:Choice Requires="wps">
            <w:drawing>
              <wp:anchor distT="0" distB="0" distL="114300" distR="114300" simplePos="0" relativeHeight="251646976" behindDoc="0" locked="0" layoutInCell="1" allowOverlap="1" wp14:anchorId="75AA2B02" wp14:editId="1C40D00F">
                <wp:simplePos x="0" y="0"/>
                <wp:positionH relativeFrom="column">
                  <wp:posOffset>5133975</wp:posOffset>
                </wp:positionH>
                <wp:positionV relativeFrom="paragraph">
                  <wp:posOffset>153035</wp:posOffset>
                </wp:positionV>
                <wp:extent cx="0" cy="457200"/>
                <wp:effectExtent l="9525" t="10160" r="9525" b="8890"/>
                <wp:wrapNone/>
                <wp:docPr id="250" name="Line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6E9340" id="Line 115" o:spid="_x0000_s1026" style="position:absolute;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4.25pt,12.05pt" to="404.25pt,4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"/>
            </w:pict>
          </mc:Fallback>
        </mc:AlternateContent>
      </w:r>
      <w:r>
        <w:rPr>
          <w:rFonts w:ascii="Times New Roman" w:hAnsi="Times New Roman"/>
          <w:noProof/>
          <w:sz w:val="20"/>
          <w:szCs w:val="24"/>
        </w:rPr>
        <mc:AlternateContent>
          <mc:Choice Requires="wps">
            <w:drawing>
              <wp:anchor distT="0" distB="0" distL="114300" distR="114300" simplePos="0" relativeHeight="251648000" behindDoc="0" locked="0" layoutInCell="1" allowOverlap="1" wp14:anchorId="7D7AA23E" wp14:editId="64AF19B6">
                <wp:simplePos x="0" y="0"/>
                <wp:positionH relativeFrom="column">
                  <wp:posOffset>3086100</wp:posOffset>
                </wp:positionH>
                <wp:positionV relativeFrom="paragraph">
                  <wp:posOffset>153035</wp:posOffset>
                </wp:positionV>
                <wp:extent cx="0" cy="457200"/>
                <wp:effectExtent l="9525" t="10160" r="9525" b="8890"/>
                <wp:wrapNone/>
                <wp:docPr id="249" name="Line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962557" id="Line 116" o:spid="_x0000_s1026" style="position:absolute;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3pt,12.05pt" to="243pt,4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"/>
            </w:pict>
          </mc:Fallback>
        </mc:AlternateContent>
      </w:r>
    </w:p>
    <w:p w:rsidR="003E1F50" w:rsidRPr="00955C8C" w:rsidRDefault="003E1F50" w:rsidP="003E1F50">
      <w:pPr>
        <w:pStyle w:val="BodyTextIndent2"/>
        <w:rPr>
          <w:rFonts w:ascii="Times New Roman" w:hAnsi="Times New Roman"/>
          <w:szCs w:val="24"/>
          <w:highlight w:val="yellow"/>
        </w:rPr>
      </w:pPr>
    </w:p>
    <w:p w:rsidR="003E1F50" w:rsidRPr="00955C8C" w:rsidRDefault="003E1F50" w:rsidP="003E1F50">
      <w:pPr>
        <w:pStyle w:val="BodyTextIndent2"/>
        <w:rPr>
          <w:rFonts w:ascii="Times New Roman" w:hAnsi="Times New Roman"/>
          <w:szCs w:val="24"/>
          <w:highlight w:val="yellow"/>
        </w:rPr>
      </w:pPr>
    </w:p>
    <w:p w:rsidR="003E1F50" w:rsidRPr="00955C8C" w:rsidRDefault="008168AF" w:rsidP="003E1F50">
      <w:pPr>
        <w:pStyle w:val="BodyTextIndent2"/>
        <w:rPr>
          <w:rFonts w:ascii="Times New Roman" w:hAnsi="Times New Roman"/>
          <w:szCs w:val="24"/>
          <w:highlight w:val="yellow"/>
        </w:rPr>
      </w:pPr>
      <w:r>
        <w:rPr>
          <w:noProof/>
          <w:sz w:val="20"/>
        </w:rPr>
        <mc:AlternateContent>
          <mc:Choice Requires="wps">
            <w:drawing>
              <wp:anchor distT="0" distB="0" distL="114300" distR="114300" simplePos="0" relativeHeight="251642880" behindDoc="0" locked="0" layoutInCell="1" allowOverlap="1" wp14:anchorId="2C7A3841" wp14:editId="67CCE6FC">
                <wp:simplePos x="0" y="0"/>
                <wp:positionH relativeFrom="column">
                  <wp:posOffset>4600575</wp:posOffset>
                </wp:positionH>
                <wp:positionV relativeFrom="paragraph">
                  <wp:posOffset>83185</wp:posOffset>
                </wp:positionV>
                <wp:extent cx="1143000" cy="762000"/>
                <wp:effectExtent l="9525" t="8890" r="9525" b="10160"/>
                <wp:wrapNone/>
                <wp:docPr id="248" name="Rectangle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762000"/>
                        </a:xfrm>
                        <a:prstGeom prst="rect">
                          <a:avLst/>
                        </a:prstGeom>
                        <a:solidFill>
                          <a:srgbClr val="FFFFFF"/>
                        </a:solidFill>
                        <a:ln w="9525">
                          <a:solidFill>
                            <a:srgbClr val="000000"/>
                          </a:solidFill>
                          <a:miter lim="800000"/>
                          <a:headEnd/>
                          <a:tailEnd/>
                        </a:ln>
                      </wps:spPr>
                      <wps:txbx>
                        <w:txbxContent>
                          <w:p w:rsidR="00000555" w:rsidRDefault="00000555" w:rsidP="003E1F50">
                            <w:pPr>
                              <w:pStyle w:val="BodyText"/>
                              <w:jc w:val="center"/>
                              <w:rPr>
                                <w:rFonts w:ascii="CG Omega" w:hAnsi="CG Omega"/>
                                <w:sz w:val="22"/>
                                <w:szCs w:val="22"/>
                              </w:rPr>
                            </w:pPr>
                            <w:r>
                              <w:rPr>
                                <w:rFonts w:ascii="CG Omega" w:hAnsi="CG Omega"/>
                                <w:sz w:val="22"/>
                                <w:szCs w:val="22"/>
                              </w:rPr>
                              <w:t>Creating</w:t>
                            </w:r>
                          </w:p>
                          <w:p w:rsidR="00000555" w:rsidRDefault="00000555" w:rsidP="003E1F50">
                            <w:pPr>
                              <w:pStyle w:val="BodyText"/>
                              <w:jc w:val="center"/>
                              <w:rPr>
                                <w:rFonts w:ascii="CG Omega" w:hAnsi="CG Omega"/>
                                <w:sz w:val="22"/>
                                <w:szCs w:val="22"/>
                              </w:rPr>
                            </w:pPr>
                            <w:r>
                              <w:rPr>
                                <w:rFonts w:ascii="CG Omega" w:hAnsi="CG Omega"/>
                                <w:sz w:val="22"/>
                                <w:szCs w:val="22"/>
                              </w:rPr>
                              <w:t>Economic</w:t>
                            </w:r>
                          </w:p>
                          <w:p w:rsidR="00000555" w:rsidRDefault="00000555" w:rsidP="003E1F50">
                            <w:pPr>
                              <w:pStyle w:val="BodyText"/>
                              <w:jc w:val="center"/>
                              <w:rPr>
                                <w:rFonts w:ascii="CG Omega" w:hAnsi="CG Omega"/>
                                <w:sz w:val="16"/>
                                <w:szCs w:val="16"/>
                              </w:rPr>
                            </w:pPr>
                            <w:r>
                              <w:rPr>
                                <w:rFonts w:ascii="CG Omega" w:hAnsi="CG Omega"/>
                                <w:sz w:val="22"/>
                                <w:szCs w:val="22"/>
                              </w:rPr>
                              <w:t>Opportunities</w:t>
                            </w:r>
                          </w:p>
                          <w:p w:rsidR="00000555" w:rsidRPr="00397E14" w:rsidRDefault="00000555" w:rsidP="003E1F50">
                            <w:pPr>
                              <w:pStyle w:val="BodyText"/>
                              <w:jc w:val="center"/>
                              <w:rPr>
                                <w:sz w:val="16"/>
                                <w:szCs w:val="16"/>
                              </w:rPr>
                            </w:pPr>
                            <w:r>
                              <w:rPr>
                                <w:rFonts w:ascii="CG Omega" w:hAnsi="CG Omega"/>
                                <w:sz w:val="16"/>
                                <w:szCs w:val="16"/>
                              </w:rPr>
                              <w:t>Outcomes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7A3841" id="Rectangle 111" o:spid="_x0000_s1029" style="position:absolute;left:0;text-align:left;margin-left:362.25pt;margin-top:6.55pt;width:90pt;height:60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">
                <v:textbox>
                  <w:txbxContent>
                    <w:p w:rsidR="00000555" w:rsidRDefault="00000555" w:rsidP="003E1F50">
                      <w:pPr>
                        <w:pStyle w:val="BodyText"/>
                        <w:jc w:val="center"/>
                        <w:rPr>
                          <w:rFonts w:ascii="CG Omega" w:hAnsi="CG Omega"/>
                          <w:sz w:val="22"/>
                          <w:szCs w:val="22"/>
                        </w:rPr>
                      </w:pPr>
                      <w:r>
                        <w:rPr>
                          <w:rFonts w:ascii="CG Omega" w:hAnsi="CG Omega"/>
                          <w:sz w:val="22"/>
                          <w:szCs w:val="22"/>
                        </w:rPr>
                        <w:t>Creating</w:t>
                      </w:r>
                    </w:p>
                    <w:p w:rsidR="00000555" w:rsidRDefault="00000555" w:rsidP="003E1F50">
                      <w:pPr>
                        <w:pStyle w:val="BodyText"/>
                        <w:jc w:val="center"/>
                        <w:rPr>
                          <w:rFonts w:ascii="CG Omega" w:hAnsi="CG Omega"/>
                          <w:sz w:val="22"/>
                          <w:szCs w:val="22"/>
                        </w:rPr>
                      </w:pPr>
                      <w:r>
                        <w:rPr>
                          <w:rFonts w:ascii="CG Omega" w:hAnsi="CG Omega"/>
                          <w:sz w:val="22"/>
                          <w:szCs w:val="22"/>
                        </w:rPr>
                        <w:t>Economic</w:t>
                      </w:r>
                    </w:p>
                    <w:p w:rsidR="00000555" w:rsidRDefault="00000555" w:rsidP="003E1F50">
                      <w:pPr>
                        <w:pStyle w:val="BodyText"/>
                        <w:jc w:val="center"/>
                        <w:rPr>
                          <w:rFonts w:ascii="CG Omega" w:hAnsi="CG Omega"/>
                          <w:sz w:val="16"/>
                          <w:szCs w:val="16"/>
                        </w:rPr>
                      </w:pPr>
                      <w:r>
                        <w:rPr>
                          <w:rFonts w:ascii="CG Omega" w:hAnsi="CG Omega"/>
                          <w:sz w:val="22"/>
                          <w:szCs w:val="22"/>
                        </w:rPr>
                        <w:t>Opportunities</w:t>
                      </w:r>
                    </w:p>
                    <w:p w:rsidR="00000555" w:rsidRPr="00397E14" w:rsidRDefault="00000555" w:rsidP="003E1F50">
                      <w:pPr>
                        <w:pStyle w:val="BodyText"/>
                        <w:jc w:val="center"/>
                        <w:rPr>
                          <w:sz w:val="16"/>
                          <w:szCs w:val="16"/>
                        </w:rPr>
                      </w:pPr>
                      <w:r>
                        <w:rPr>
                          <w:rFonts w:ascii="CG Omega" w:hAnsi="CG Omega"/>
                          <w:sz w:val="16"/>
                          <w:szCs w:val="16"/>
                        </w:rPr>
                        <w:t>Outcomes</w:t>
                      </w:r>
                    </w:p>
                  </w:txbxContent>
                </v:textbox>
              </v:rect>
            </w:pict>
          </mc:Fallback>
        </mc:AlternateContent>
      </w:r>
      <w:r>
        <w:rPr>
          <w:noProof/>
          <w:sz w:val="20"/>
        </w:rPr>
        <mc:AlternateContent>
          <mc:Choice Requires="wps">
            <w:drawing>
              <wp:anchor distT="0" distB="0" distL="114300" distR="114300" simplePos="0" relativeHeight="251641856" behindDoc="0" locked="0" layoutInCell="1" allowOverlap="1" wp14:anchorId="3AC6356D" wp14:editId="60FC754E">
                <wp:simplePos x="0" y="0"/>
                <wp:positionH relativeFrom="column">
                  <wp:posOffset>2514600</wp:posOffset>
                </wp:positionH>
                <wp:positionV relativeFrom="paragraph">
                  <wp:posOffset>83185</wp:posOffset>
                </wp:positionV>
                <wp:extent cx="1257300" cy="762000"/>
                <wp:effectExtent l="9525" t="8890" r="9525" b="10160"/>
                <wp:wrapNone/>
                <wp:docPr id="247" name="Rectangl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762000"/>
                        </a:xfrm>
                        <a:prstGeom prst="rect">
                          <a:avLst/>
                        </a:prstGeom>
                        <a:solidFill>
                          <a:srgbClr val="FFFFFF"/>
                        </a:solidFill>
                        <a:ln w="9525">
                          <a:solidFill>
                            <a:srgbClr val="000000"/>
                          </a:solidFill>
                          <a:miter lim="800000"/>
                          <a:headEnd/>
                          <a:tailEnd/>
                        </a:ln>
                      </wps:spPr>
                      <wps:txbx>
                        <w:txbxContent>
                          <w:p w:rsidR="00000555" w:rsidRDefault="00000555" w:rsidP="003E1F50">
                            <w:pPr>
                              <w:pStyle w:val="BodyText"/>
                              <w:jc w:val="center"/>
                              <w:rPr>
                                <w:rFonts w:ascii="CG Omega" w:hAnsi="CG Omega"/>
                                <w:sz w:val="22"/>
                                <w:szCs w:val="22"/>
                              </w:rPr>
                            </w:pPr>
                            <w:r>
                              <w:rPr>
                                <w:rFonts w:ascii="CG Omega" w:hAnsi="CG Omega"/>
                                <w:sz w:val="22"/>
                                <w:szCs w:val="22"/>
                              </w:rPr>
                              <w:t>Providing Decent Affordable</w:t>
                            </w:r>
                          </w:p>
                          <w:p w:rsidR="00000555" w:rsidRDefault="00000555" w:rsidP="003E1F50">
                            <w:pPr>
                              <w:pStyle w:val="BodyText"/>
                              <w:jc w:val="center"/>
                              <w:rPr>
                                <w:rFonts w:ascii="CG Omega" w:hAnsi="CG Omega"/>
                                <w:sz w:val="22"/>
                                <w:szCs w:val="22"/>
                              </w:rPr>
                            </w:pPr>
                            <w:r>
                              <w:rPr>
                                <w:rFonts w:ascii="CG Omega" w:hAnsi="CG Omega"/>
                                <w:sz w:val="22"/>
                                <w:szCs w:val="22"/>
                              </w:rPr>
                              <w:t>Housing</w:t>
                            </w:r>
                          </w:p>
                          <w:p w:rsidR="00000555" w:rsidRPr="00397E14" w:rsidRDefault="00000555" w:rsidP="003E1F50">
                            <w:pPr>
                              <w:pStyle w:val="BodyText"/>
                              <w:jc w:val="center"/>
                              <w:rPr>
                                <w:rFonts w:ascii="CG Omega" w:hAnsi="CG Omega"/>
                                <w:sz w:val="16"/>
                                <w:szCs w:val="16"/>
                              </w:rPr>
                            </w:pPr>
                            <w:r>
                              <w:rPr>
                                <w:rFonts w:ascii="CG Omega" w:hAnsi="CG Omega"/>
                                <w:sz w:val="16"/>
                                <w:szCs w:val="16"/>
                              </w:rPr>
                              <w:t>Outcomes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C6356D" id="Rectangle 110" o:spid="_x0000_s1030" style="position:absolute;left:0;text-align:left;margin-left:198pt;margin-top:6.55pt;width:99pt;height:60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">
                <v:textbox>
                  <w:txbxContent>
                    <w:p w:rsidR="00000555" w:rsidRDefault="00000555" w:rsidP="003E1F50">
                      <w:pPr>
                        <w:pStyle w:val="BodyText"/>
                        <w:jc w:val="center"/>
                        <w:rPr>
                          <w:rFonts w:ascii="CG Omega" w:hAnsi="CG Omega"/>
                          <w:sz w:val="22"/>
                          <w:szCs w:val="22"/>
                        </w:rPr>
                      </w:pPr>
                      <w:r>
                        <w:rPr>
                          <w:rFonts w:ascii="CG Omega" w:hAnsi="CG Omega"/>
                          <w:sz w:val="22"/>
                          <w:szCs w:val="22"/>
                        </w:rPr>
                        <w:t>Providing Decent Affordable</w:t>
                      </w:r>
                    </w:p>
                    <w:p w:rsidR="00000555" w:rsidRDefault="00000555" w:rsidP="003E1F50">
                      <w:pPr>
                        <w:pStyle w:val="BodyText"/>
                        <w:jc w:val="center"/>
                        <w:rPr>
                          <w:rFonts w:ascii="CG Omega" w:hAnsi="CG Omega"/>
                          <w:sz w:val="22"/>
                          <w:szCs w:val="22"/>
                        </w:rPr>
                      </w:pPr>
                      <w:r>
                        <w:rPr>
                          <w:rFonts w:ascii="CG Omega" w:hAnsi="CG Omega"/>
                          <w:sz w:val="22"/>
                          <w:szCs w:val="22"/>
                        </w:rPr>
                        <w:t>Housing</w:t>
                      </w:r>
                    </w:p>
                    <w:p w:rsidR="00000555" w:rsidRPr="00397E14" w:rsidRDefault="00000555" w:rsidP="003E1F50">
                      <w:pPr>
                        <w:pStyle w:val="BodyText"/>
                        <w:jc w:val="center"/>
                        <w:rPr>
                          <w:rFonts w:ascii="CG Omega" w:hAnsi="CG Omega"/>
                          <w:sz w:val="16"/>
                          <w:szCs w:val="16"/>
                        </w:rPr>
                      </w:pPr>
                      <w:r>
                        <w:rPr>
                          <w:rFonts w:ascii="CG Omega" w:hAnsi="CG Omega"/>
                          <w:sz w:val="16"/>
                          <w:szCs w:val="16"/>
                        </w:rPr>
                        <w:t>Outcomes</w:t>
                      </w:r>
                    </w:p>
                  </w:txbxContent>
                </v:textbox>
              </v:rect>
            </w:pict>
          </mc:Fallback>
        </mc:AlternateContent>
      </w:r>
      <w:r>
        <w:rPr>
          <w:noProof/>
          <w:sz w:val="20"/>
        </w:rPr>
        <mc:AlternateContent>
          <mc:Choice Requires="wps">
            <w:drawing>
              <wp:anchor distT="0" distB="0" distL="114300" distR="114300" simplePos="0" relativeHeight="251640832" behindDoc="0" locked="0" layoutInCell="1" allowOverlap="1" wp14:anchorId="502D21F4" wp14:editId="6E7C67B4">
                <wp:simplePos x="0" y="0"/>
                <wp:positionH relativeFrom="column">
                  <wp:posOffset>571500</wp:posOffset>
                </wp:positionH>
                <wp:positionV relativeFrom="paragraph">
                  <wp:posOffset>85725</wp:posOffset>
                </wp:positionV>
                <wp:extent cx="1143000" cy="759460"/>
                <wp:effectExtent l="9525" t="11430" r="9525" b="10160"/>
                <wp:wrapNone/>
                <wp:docPr id="246"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759460"/>
                        </a:xfrm>
                        <a:prstGeom prst="rect">
                          <a:avLst/>
                        </a:prstGeom>
                        <a:solidFill>
                          <a:srgbClr val="FFFFFF"/>
                        </a:solidFill>
                        <a:ln w="9525">
                          <a:solidFill>
                            <a:srgbClr val="000000"/>
                          </a:solidFill>
                          <a:miter lim="800000"/>
                          <a:headEnd/>
                          <a:tailEnd/>
                        </a:ln>
                      </wps:spPr>
                      <wps:txbx>
                        <w:txbxContent>
                          <w:p w:rsidR="00000555" w:rsidRDefault="00000555" w:rsidP="003E1F50">
                            <w:pPr>
                              <w:pStyle w:val="BodyText"/>
                              <w:jc w:val="center"/>
                              <w:rPr>
                                <w:rFonts w:ascii="CG Omega" w:hAnsi="CG Omega"/>
                                <w:sz w:val="22"/>
                                <w:szCs w:val="22"/>
                              </w:rPr>
                            </w:pPr>
                            <w:r>
                              <w:rPr>
                                <w:rFonts w:ascii="CG Omega" w:hAnsi="CG Omega"/>
                                <w:sz w:val="22"/>
                                <w:szCs w:val="22"/>
                              </w:rPr>
                              <w:t>Creating</w:t>
                            </w:r>
                          </w:p>
                          <w:p w:rsidR="00000555" w:rsidRDefault="00000555" w:rsidP="003E1F50">
                            <w:pPr>
                              <w:pStyle w:val="BodyText"/>
                              <w:jc w:val="center"/>
                              <w:rPr>
                                <w:rFonts w:ascii="CG Omega" w:hAnsi="CG Omega"/>
                                <w:sz w:val="22"/>
                                <w:szCs w:val="22"/>
                              </w:rPr>
                            </w:pPr>
                            <w:r>
                              <w:rPr>
                                <w:rFonts w:ascii="CG Omega" w:hAnsi="CG Omega"/>
                                <w:sz w:val="22"/>
                                <w:szCs w:val="22"/>
                              </w:rPr>
                              <w:t>Suitable Living</w:t>
                            </w:r>
                          </w:p>
                          <w:p w:rsidR="00000555" w:rsidRDefault="00000555" w:rsidP="003E1F50">
                            <w:pPr>
                              <w:pStyle w:val="BodyText"/>
                              <w:jc w:val="center"/>
                              <w:rPr>
                                <w:rFonts w:ascii="CG Omega" w:hAnsi="CG Omega"/>
                                <w:sz w:val="22"/>
                                <w:szCs w:val="22"/>
                              </w:rPr>
                            </w:pPr>
                            <w:r>
                              <w:rPr>
                                <w:rFonts w:ascii="CG Omega" w:hAnsi="CG Omega"/>
                                <w:sz w:val="22"/>
                                <w:szCs w:val="22"/>
                              </w:rPr>
                              <w:t>Environments</w:t>
                            </w:r>
                          </w:p>
                          <w:p w:rsidR="00000555" w:rsidRPr="00397E14" w:rsidRDefault="00000555" w:rsidP="003E1F50">
                            <w:pPr>
                              <w:pStyle w:val="BodyText"/>
                              <w:jc w:val="center"/>
                              <w:rPr>
                                <w:rFonts w:ascii="CG Omega" w:hAnsi="CG Omega"/>
                                <w:sz w:val="16"/>
                                <w:szCs w:val="16"/>
                              </w:rPr>
                            </w:pPr>
                            <w:r>
                              <w:rPr>
                                <w:rFonts w:ascii="CG Omega" w:hAnsi="CG Omega"/>
                                <w:sz w:val="16"/>
                                <w:szCs w:val="16"/>
                              </w:rPr>
                              <w:t>Outcomes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2D21F4" id="Rectangle 109" o:spid="_x0000_s1031" style="position:absolute;left:0;text-align:left;margin-left:45pt;margin-top:6.75pt;width:90pt;height:59.8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">
                <v:textbox>
                  <w:txbxContent>
                    <w:p w:rsidR="00000555" w:rsidRDefault="00000555" w:rsidP="003E1F50">
                      <w:pPr>
                        <w:pStyle w:val="BodyText"/>
                        <w:jc w:val="center"/>
                        <w:rPr>
                          <w:rFonts w:ascii="CG Omega" w:hAnsi="CG Omega"/>
                          <w:sz w:val="22"/>
                          <w:szCs w:val="22"/>
                        </w:rPr>
                      </w:pPr>
                      <w:r>
                        <w:rPr>
                          <w:rFonts w:ascii="CG Omega" w:hAnsi="CG Omega"/>
                          <w:sz w:val="22"/>
                          <w:szCs w:val="22"/>
                        </w:rPr>
                        <w:t>Creating</w:t>
                      </w:r>
                    </w:p>
                    <w:p w:rsidR="00000555" w:rsidRDefault="00000555" w:rsidP="003E1F50">
                      <w:pPr>
                        <w:pStyle w:val="BodyText"/>
                        <w:jc w:val="center"/>
                        <w:rPr>
                          <w:rFonts w:ascii="CG Omega" w:hAnsi="CG Omega"/>
                          <w:sz w:val="22"/>
                          <w:szCs w:val="22"/>
                        </w:rPr>
                      </w:pPr>
                      <w:r>
                        <w:rPr>
                          <w:rFonts w:ascii="CG Omega" w:hAnsi="CG Omega"/>
                          <w:sz w:val="22"/>
                          <w:szCs w:val="22"/>
                        </w:rPr>
                        <w:t>Suitable Living</w:t>
                      </w:r>
                    </w:p>
                    <w:p w:rsidR="00000555" w:rsidRDefault="00000555" w:rsidP="003E1F50">
                      <w:pPr>
                        <w:pStyle w:val="BodyText"/>
                        <w:jc w:val="center"/>
                        <w:rPr>
                          <w:rFonts w:ascii="CG Omega" w:hAnsi="CG Omega"/>
                          <w:sz w:val="22"/>
                          <w:szCs w:val="22"/>
                        </w:rPr>
                      </w:pPr>
                      <w:r>
                        <w:rPr>
                          <w:rFonts w:ascii="CG Omega" w:hAnsi="CG Omega"/>
                          <w:sz w:val="22"/>
                          <w:szCs w:val="22"/>
                        </w:rPr>
                        <w:t>Environments</w:t>
                      </w:r>
                    </w:p>
                    <w:p w:rsidR="00000555" w:rsidRPr="00397E14" w:rsidRDefault="00000555" w:rsidP="003E1F50">
                      <w:pPr>
                        <w:pStyle w:val="BodyText"/>
                        <w:jc w:val="center"/>
                        <w:rPr>
                          <w:rFonts w:ascii="CG Omega" w:hAnsi="CG Omega"/>
                          <w:sz w:val="16"/>
                          <w:szCs w:val="16"/>
                        </w:rPr>
                      </w:pPr>
                      <w:r>
                        <w:rPr>
                          <w:rFonts w:ascii="CG Omega" w:hAnsi="CG Omega"/>
                          <w:sz w:val="16"/>
                          <w:szCs w:val="16"/>
                        </w:rPr>
                        <w:t>Outcomes</w:t>
                      </w:r>
                    </w:p>
                  </w:txbxContent>
                </v:textbox>
              </v:rect>
            </w:pict>
          </mc:Fallback>
        </mc:AlternateContent>
      </w:r>
    </w:p>
    <w:p w:rsidR="003E1F50" w:rsidRPr="00955C8C" w:rsidRDefault="003E1F50" w:rsidP="003E1F50">
      <w:pPr>
        <w:pStyle w:val="BodyTextIndent2"/>
        <w:rPr>
          <w:rFonts w:ascii="Times New Roman" w:hAnsi="Times New Roman"/>
          <w:szCs w:val="24"/>
          <w:highlight w:val="yellow"/>
        </w:rPr>
      </w:pPr>
    </w:p>
    <w:p w:rsidR="003E1F50" w:rsidRPr="00955C8C" w:rsidRDefault="003E1F50" w:rsidP="003E1F50">
      <w:pPr>
        <w:pStyle w:val="BodyTextIndent2"/>
        <w:rPr>
          <w:rFonts w:ascii="Times New Roman" w:hAnsi="Times New Roman"/>
          <w:szCs w:val="24"/>
          <w:highlight w:val="yellow"/>
        </w:rPr>
      </w:pPr>
    </w:p>
    <w:p w:rsidR="003E1F50" w:rsidRPr="00955C8C" w:rsidRDefault="003E1F50" w:rsidP="003E1F50">
      <w:pPr>
        <w:pStyle w:val="BodyTextIndent2"/>
        <w:rPr>
          <w:rFonts w:ascii="Times New Roman" w:hAnsi="Times New Roman"/>
          <w:szCs w:val="24"/>
          <w:highlight w:val="yellow"/>
        </w:rPr>
      </w:pPr>
    </w:p>
    <w:p w:rsidR="003E1F50" w:rsidRPr="00955C8C" w:rsidRDefault="008168AF" w:rsidP="003E1F50">
      <w:pPr>
        <w:pStyle w:val="BodyTextIndent2"/>
        <w:rPr>
          <w:rFonts w:ascii="Times New Roman" w:hAnsi="Times New Roman"/>
          <w:szCs w:val="24"/>
          <w:highlight w:val="yellow"/>
        </w:rPr>
      </w:pPr>
      <w:r>
        <w:rPr>
          <w:rFonts w:ascii="Times New Roman" w:hAnsi="Times New Roman"/>
          <w:noProof/>
          <w:szCs w:val="24"/>
        </w:rPr>
        <mc:AlternateContent>
          <mc:Choice Requires="wps">
            <w:drawing>
              <wp:anchor distT="0" distB="0" distL="114300" distR="114300" simplePos="0" relativeHeight="251669504" behindDoc="0" locked="0" layoutInCell="1" allowOverlap="1" wp14:anchorId="35A34AF8" wp14:editId="547FD932">
                <wp:simplePos x="0" y="0"/>
                <wp:positionH relativeFrom="column">
                  <wp:posOffset>2790825</wp:posOffset>
                </wp:positionH>
                <wp:positionV relativeFrom="paragraph">
                  <wp:posOffset>144145</wp:posOffset>
                </wp:positionV>
                <wp:extent cx="9525" cy="1866900"/>
                <wp:effectExtent l="9525" t="8890" r="9525" b="10160"/>
                <wp:wrapNone/>
                <wp:docPr id="245" name="Line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866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F2B45C" id="Line 137"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9.75pt,11.35pt" to="220.5pt,15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"/>
            </w:pict>
          </mc:Fallback>
        </mc:AlternateContent>
      </w:r>
      <w:r>
        <w:rPr>
          <w:rFonts w:ascii="Times New Roman" w:hAnsi="Times New Roman"/>
          <w:noProof/>
          <w:sz w:val="20"/>
          <w:szCs w:val="24"/>
        </w:rPr>
        <mc:AlternateContent>
          <mc:Choice Requires="wps">
            <w:drawing>
              <wp:anchor distT="0" distB="0" distL="114300" distR="114300" simplePos="0" relativeHeight="251650048" behindDoc="0" locked="0" layoutInCell="1" allowOverlap="1" wp14:anchorId="47BC297B" wp14:editId="1890371E">
                <wp:simplePos x="0" y="0"/>
                <wp:positionH relativeFrom="column">
                  <wp:posOffset>685800</wp:posOffset>
                </wp:positionH>
                <wp:positionV relativeFrom="paragraph">
                  <wp:posOffset>144145</wp:posOffset>
                </wp:positionV>
                <wp:extent cx="0" cy="1876425"/>
                <wp:effectExtent l="9525" t="8890" r="9525" b="10160"/>
                <wp:wrapNone/>
                <wp:docPr id="244" name="Line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764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244F74" id="Line 118" o:spid="_x0000_s1026" style="position:absolute;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11.35pt" to="54pt,15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"/>
            </w:pict>
          </mc:Fallback>
        </mc:AlternateContent>
      </w:r>
      <w:r>
        <w:rPr>
          <w:rFonts w:ascii="CG Omega" w:hAnsi="CG Omega"/>
          <w:noProof/>
          <w:sz w:val="22"/>
          <w:szCs w:val="22"/>
        </w:rPr>
        <mc:AlternateContent>
          <mc:Choice Requires="wps">
            <w:drawing>
              <wp:anchor distT="0" distB="0" distL="114300" distR="114300" simplePos="0" relativeHeight="251661312" behindDoc="0" locked="0" layoutInCell="1" allowOverlap="1" wp14:anchorId="6F9F2ECC" wp14:editId="48D32B17">
                <wp:simplePos x="0" y="0"/>
                <wp:positionH relativeFrom="column">
                  <wp:posOffset>4800600</wp:posOffset>
                </wp:positionH>
                <wp:positionV relativeFrom="paragraph">
                  <wp:posOffset>144145</wp:posOffset>
                </wp:positionV>
                <wp:extent cx="9525" cy="1866900"/>
                <wp:effectExtent l="9525" t="8890" r="9525" b="10160"/>
                <wp:wrapNone/>
                <wp:docPr id="243" name="Line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866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4E24CD" id="Line 129"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8pt,11.35pt" to="378.75pt,15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"/>
            </w:pict>
          </mc:Fallback>
        </mc:AlternateContent>
      </w:r>
      <w:r>
        <w:rPr>
          <w:rFonts w:ascii="CG Omega" w:hAnsi="CG Omega"/>
          <w:noProof/>
          <w:sz w:val="22"/>
          <w:szCs w:val="22"/>
        </w:rPr>
        <mc:AlternateContent>
          <mc:Choice Requires="wps">
            <w:drawing>
              <wp:anchor distT="0" distB="0" distL="114300" distR="114300" simplePos="0" relativeHeight="251665408" behindDoc="0" locked="0" layoutInCell="1" allowOverlap="1" wp14:anchorId="6828E93F" wp14:editId="0488F234">
                <wp:simplePos x="0" y="0"/>
                <wp:positionH relativeFrom="column">
                  <wp:posOffset>4800600</wp:posOffset>
                </wp:positionH>
                <wp:positionV relativeFrom="paragraph">
                  <wp:posOffset>2020570</wp:posOffset>
                </wp:positionV>
                <wp:extent cx="114300" cy="0"/>
                <wp:effectExtent l="9525" t="8890" r="9525" b="10160"/>
                <wp:wrapNone/>
                <wp:docPr id="242" name="Line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55651B" id="Line 133"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8pt,159.1pt" to="387pt,15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"/>
            </w:pict>
          </mc:Fallback>
        </mc:AlternateContent>
      </w:r>
      <w:r>
        <w:rPr>
          <w:rFonts w:ascii="CG Omega" w:hAnsi="CG Omega"/>
          <w:noProof/>
          <w:sz w:val="22"/>
          <w:szCs w:val="22"/>
        </w:rPr>
        <mc:AlternateContent>
          <mc:Choice Requires="wps">
            <w:drawing>
              <wp:anchor distT="0" distB="0" distL="114300" distR="114300" simplePos="0" relativeHeight="251664384" behindDoc="0" locked="0" layoutInCell="1" allowOverlap="1" wp14:anchorId="14C05FFA" wp14:editId="332EBE4E">
                <wp:simplePos x="0" y="0"/>
                <wp:positionH relativeFrom="column">
                  <wp:posOffset>4800600</wp:posOffset>
                </wp:positionH>
                <wp:positionV relativeFrom="paragraph">
                  <wp:posOffset>1544320</wp:posOffset>
                </wp:positionV>
                <wp:extent cx="114300" cy="0"/>
                <wp:effectExtent l="9525" t="8890" r="9525" b="10160"/>
                <wp:wrapNone/>
                <wp:docPr id="241" name="Line 1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52A20A" id="Line 132"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8pt,121.6pt" to="387pt,1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"/>
            </w:pict>
          </mc:Fallback>
        </mc:AlternateContent>
      </w:r>
      <w:r>
        <w:rPr>
          <w:rFonts w:ascii="CG Omega" w:hAnsi="CG Omega"/>
          <w:noProof/>
          <w:sz w:val="22"/>
          <w:szCs w:val="22"/>
        </w:rPr>
        <mc:AlternateContent>
          <mc:Choice Requires="wps">
            <w:drawing>
              <wp:anchor distT="0" distB="0" distL="114300" distR="114300" simplePos="0" relativeHeight="251663360" behindDoc="0" locked="0" layoutInCell="1" allowOverlap="1" wp14:anchorId="234790ED" wp14:editId="0B8F9EBB">
                <wp:simplePos x="0" y="0"/>
                <wp:positionH relativeFrom="column">
                  <wp:posOffset>4800600</wp:posOffset>
                </wp:positionH>
                <wp:positionV relativeFrom="paragraph">
                  <wp:posOffset>848995</wp:posOffset>
                </wp:positionV>
                <wp:extent cx="114300" cy="0"/>
                <wp:effectExtent l="9525" t="8890" r="9525" b="10160"/>
                <wp:wrapNone/>
                <wp:docPr id="240" name="Line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046FAA" id="Line 131"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8pt,66.85pt" to="387pt,6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"/>
            </w:pict>
          </mc:Fallback>
        </mc:AlternateContent>
      </w:r>
      <w:r>
        <w:rPr>
          <w:rFonts w:ascii="CG Omega" w:hAnsi="CG Omega"/>
          <w:noProof/>
          <w:sz w:val="22"/>
          <w:szCs w:val="22"/>
        </w:rPr>
        <mc:AlternateContent>
          <mc:Choice Requires="wps">
            <w:drawing>
              <wp:anchor distT="0" distB="0" distL="114300" distR="114300" simplePos="0" relativeHeight="251662336" behindDoc="0" locked="0" layoutInCell="1" allowOverlap="1" wp14:anchorId="1FC91C1D" wp14:editId="01485683">
                <wp:simplePos x="0" y="0"/>
                <wp:positionH relativeFrom="column">
                  <wp:posOffset>4924425</wp:posOffset>
                </wp:positionH>
                <wp:positionV relativeFrom="paragraph">
                  <wp:posOffset>1325245</wp:posOffset>
                </wp:positionV>
                <wp:extent cx="1028700" cy="342900"/>
                <wp:effectExtent l="9525" t="8890" r="9525" b="10160"/>
                <wp:wrapNone/>
                <wp:docPr id="239" name="Rectangle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342900"/>
                        </a:xfrm>
                        <a:prstGeom prst="rect">
                          <a:avLst/>
                        </a:prstGeom>
                        <a:solidFill>
                          <a:srgbClr val="FFFFFF"/>
                        </a:solidFill>
                        <a:ln w="9525">
                          <a:solidFill>
                            <a:srgbClr val="000000"/>
                          </a:solidFill>
                          <a:miter lim="800000"/>
                          <a:headEnd/>
                          <a:tailEnd/>
                        </a:ln>
                      </wps:spPr>
                      <wps:txbx>
                        <w:txbxContent>
                          <w:p w:rsidR="00000555" w:rsidRPr="005632B7" w:rsidRDefault="00000555" w:rsidP="003E1F50">
                            <w:pPr>
                              <w:jc w:val="center"/>
                              <w:rPr>
                                <w:rFonts w:ascii="CG Omega" w:hAnsi="CG Omega"/>
                                <w:sz w:val="22"/>
                                <w:szCs w:val="22"/>
                              </w:rPr>
                            </w:pPr>
                            <w:r>
                              <w:rPr>
                                <w:rFonts w:ascii="CG Omega" w:hAnsi="CG Omega"/>
                                <w:sz w:val="22"/>
                                <w:szCs w:val="22"/>
                              </w:rPr>
                              <w:t>Affordability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C91C1D" id="Rectangle 130" o:spid="_x0000_s1032" style="position:absolute;left:0;text-align:left;margin-left:387.75pt;margin-top:104.35pt;width:81pt;height:2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">
                <v:textbox>
                  <w:txbxContent>
                    <w:p w:rsidR="00000555" w:rsidRPr="005632B7" w:rsidRDefault="00000555" w:rsidP="003E1F50">
                      <w:pPr>
                        <w:jc w:val="center"/>
                        <w:rPr>
                          <w:rFonts w:ascii="CG Omega" w:hAnsi="CG Omega"/>
                          <w:sz w:val="22"/>
                          <w:szCs w:val="22"/>
                        </w:rPr>
                      </w:pPr>
                      <w:r>
                        <w:rPr>
                          <w:rFonts w:ascii="CG Omega" w:hAnsi="CG Omega"/>
                          <w:sz w:val="22"/>
                          <w:szCs w:val="22"/>
                        </w:rPr>
                        <w:t>Affordability</w:t>
                      </w:r>
                    </w:p>
                  </w:txbxContent>
                </v:textbox>
              </v:rect>
            </w:pict>
          </mc:Fallback>
        </mc:AlternateContent>
      </w:r>
      <w:r>
        <w:rPr>
          <w:rFonts w:ascii="CG Omega" w:hAnsi="CG Omega"/>
          <w:noProof/>
          <w:sz w:val="22"/>
          <w:szCs w:val="22"/>
        </w:rPr>
        <mc:AlternateContent>
          <mc:Choice Requires="wps">
            <w:drawing>
              <wp:anchor distT="0" distB="0" distL="114300" distR="114300" simplePos="0" relativeHeight="251660288" behindDoc="0" locked="0" layoutInCell="1" allowOverlap="1" wp14:anchorId="4F2B8820" wp14:editId="541217BB">
                <wp:simplePos x="0" y="0"/>
                <wp:positionH relativeFrom="column">
                  <wp:posOffset>4924425</wp:posOffset>
                </wp:positionH>
                <wp:positionV relativeFrom="paragraph">
                  <wp:posOffset>1896745</wp:posOffset>
                </wp:positionV>
                <wp:extent cx="1028700" cy="342900"/>
                <wp:effectExtent l="9525" t="8890" r="9525" b="10160"/>
                <wp:wrapNone/>
                <wp:docPr id="238" name="Rectangle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342900"/>
                        </a:xfrm>
                        <a:prstGeom prst="rect">
                          <a:avLst/>
                        </a:prstGeom>
                        <a:solidFill>
                          <a:srgbClr val="FFFFFF"/>
                        </a:solidFill>
                        <a:ln w="9525">
                          <a:solidFill>
                            <a:srgbClr val="000000"/>
                          </a:solidFill>
                          <a:miter lim="800000"/>
                          <a:headEnd/>
                          <a:tailEnd/>
                        </a:ln>
                      </wps:spPr>
                      <wps:txbx>
                        <w:txbxContent>
                          <w:p w:rsidR="00000555" w:rsidRPr="005632B7" w:rsidRDefault="00000555" w:rsidP="003E1F50">
                            <w:pPr>
                              <w:jc w:val="center"/>
                              <w:rPr>
                                <w:rFonts w:ascii="CG Omega" w:hAnsi="CG Omega"/>
                                <w:sz w:val="22"/>
                                <w:szCs w:val="22"/>
                              </w:rPr>
                            </w:pPr>
                            <w:r>
                              <w:rPr>
                                <w:rFonts w:ascii="CG Omega" w:hAnsi="CG Omega"/>
                                <w:sz w:val="22"/>
                                <w:szCs w:val="22"/>
                              </w:rPr>
                              <w:t>Sustainability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2B8820" id="Rectangle 128" o:spid="_x0000_s1033" style="position:absolute;left:0;text-align:left;margin-left:387.75pt;margin-top:149.35pt;width:81pt;height:2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">
                <v:textbox>
                  <w:txbxContent>
                    <w:p w:rsidR="00000555" w:rsidRPr="005632B7" w:rsidRDefault="00000555" w:rsidP="003E1F50">
                      <w:pPr>
                        <w:jc w:val="center"/>
                        <w:rPr>
                          <w:rFonts w:ascii="CG Omega" w:hAnsi="CG Omega"/>
                          <w:sz w:val="22"/>
                          <w:szCs w:val="22"/>
                        </w:rPr>
                      </w:pPr>
                      <w:r>
                        <w:rPr>
                          <w:rFonts w:ascii="CG Omega" w:hAnsi="CG Omega"/>
                          <w:sz w:val="22"/>
                          <w:szCs w:val="22"/>
                        </w:rPr>
                        <w:t>Sustainability</w:t>
                      </w:r>
                    </w:p>
                  </w:txbxContent>
                </v:textbox>
              </v:rect>
            </w:pict>
          </mc:Fallback>
        </mc:AlternateContent>
      </w:r>
      <w:r>
        <w:rPr>
          <w:rFonts w:ascii="Times New Roman" w:hAnsi="Times New Roman"/>
          <w:noProof/>
          <w:szCs w:val="24"/>
        </w:rPr>
        <mc:AlternateContent>
          <mc:Choice Requires="wps">
            <w:drawing>
              <wp:anchor distT="0" distB="0" distL="114300" distR="114300" simplePos="0" relativeHeight="251657216" behindDoc="0" locked="0" layoutInCell="1" allowOverlap="1" wp14:anchorId="552539A6" wp14:editId="1021718B">
                <wp:simplePos x="0" y="0"/>
                <wp:positionH relativeFrom="column">
                  <wp:posOffset>3086100</wp:posOffset>
                </wp:positionH>
                <wp:positionV relativeFrom="paragraph">
                  <wp:posOffset>848995</wp:posOffset>
                </wp:positionV>
                <wp:extent cx="114300" cy="0"/>
                <wp:effectExtent l="9525" t="8890" r="9525" b="10160"/>
                <wp:wrapNone/>
                <wp:docPr id="237" name="Line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D788FE" id="Line 125"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3pt,66.85pt" to="252pt,6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"/>
            </w:pict>
          </mc:Fallback>
        </mc:AlternateContent>
      </w:r>
    </w:p>
    <w:p w:rsidR="003E1F50" w:rsidRPr="00955C8C" w:rsidRDefault="003E1F50" w:rsidP="003E1F50">
      <w:pPr>
        <w:pStyle w:val="BodyTextIndent2"/>
        <w:rPr>
          <w:rFonts w:ascii="Times New Roman" w:hAnsi="Times New Roman"/>
          <w:szCs w:val="24"/>
          <w:highlight w:val="yellow"/>
        </w:rPr>
      </w:pPr>
    </w:p>
    <w:p w:rsidR="003E1F50" w:rsidRPr="00955C8C" w:rsidRDefault="003E1F50" w:rsidP="003E1F50">
      <w:pPr>
        <w:pStyle w:val="BodyTextIndent2"/>
        <w:rPr>
          <w:rFonts w:ascii="Times New Roman" w:hAnsi="Times New Roman"/>
          <w:szCs w:val="24"/>
          <w:highlight w:val="yellow"/>
        </w:rPr>
      </w:pPr>
    </w:p>
    <w:p w:rsidR="003E1F50" w:rsidRPr="00955C8C" w:rsidRDefault="008168AF" w:rsidP="003E1F50">
      <w:pPr>
        <w:pStyle w:val="BodyTextIndent2"/>
        <w:rPr>
          <w:rFonts w:ascii="Times New Roman" w:hAnsi="Times New Roman"/>
          <w:szCs w:val="24"/>
          <w:highlight w:val="yellow"/>
        </w:rPr>
      </w:pPr>
      <w:r>
        <w:rPr>
          <w:rFonts w:ascii="CG Omega" w:hAnsi="CG Omega"/>
          <w:noProof/>
          <w:sz w:val="22"/>
          <w:szCs w:val="22"/>
        </w:rPr>
        <mc:AlternateContent>
          <mc:Choice Requires="wps">
            <w:drawing>
              <wp:anchor distT="0" distB="0" distL="114300" distR="114300" simplePos="0" relativeHeight="251666432" behindDoc="0" locked="0" layoutInCell="1" allowOverlap="1" wp14:anchorId="6E0DABF9" wp14:editId="1D8B5E6E">
                <wp:simplePos x="0" y="0"/>
                <wp:positionH relativeFrom="column">
                  <wp:posOffset>2905125</wp:posOffset>
                </wp:positionH>
                <wp:positionV relativeFrom="paragraph">
                  <wp:posOffset>113665</wp:posOffset>
                </wp:positionV>
                <wp:extent cx="1038225" cy="457200"/>
                <wp:effectExtent l="9525" t="8255" r="9525" b="10795"/>
                <wp:wrapNone/>
                <wp:docPr id="236" name="Rectangle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8225" cy="457200"/>
                        </a:xfrm>
                        <a:prstGeom prst="rect">
                          <a:avLst/>
                        </a:prstGeom>
                        <a:solidFill>
                          <a:srgbClr val="FFFFFF"/>
                        </a:solidFill>
                        <a:ln w="9525">
                          <a:solidFill>
                            <a:srgbClr val="000000"/>
                          </a:solidFill>
                          <a:miter lim="800000"/>
                          <a:headEnd/>
                          <a:tailEnd/>
                        </a:ln>
                      </wps:spPr>
                      <wps:txbx>
                        <w:txbxContent>
                          <w:p w:rsidR="00000555" w:rsidRDefault="00000555" w:rsidP="003E1F50">
                            <w:pPr>
                              <w:jc w:val="center"/>
                              <w:rPr>
                                <w:rFonts w:ascii="CG Omega" w:hAnsi="CG Omega"/>
                                <w:sz w:val="22"/>
                                <w:szCs w:val="22"/>
                              </w:rPr>
                            </w:pPr>
                            <w:r>
                              <w:rPr>
                                <w:rFonts w:ascii="CG Omega" w:hAnsi="CG Omega"/>
                                <w:sz w:val="22"/>
                                <w:szCs w:val="22"/>
                              </w:rPr>
                              <w:t>Availability/</w:t>
                            </w:r>
                          </w:p>
                          <w:p w:rsidR="00000555" w:rsidRPr="005632B7" w:rsidRDefault="00000555" w:rsidP="003E1F50">
                            <w:pPr>
                              <w:jc w:val="center"/>
                              <w:rPr>
                                <w:rFonts w:ascii="CG Omega" w:hAnsi="CG Omega"/>
                                <w:sz w:val="22"/>
                                <w:szCs w:val="22"/>
                              </w:rPr>
                            </w:pPr>
                            <w:r>
                              <w:rPr>
                                <w:rFonts w:ascii="CG Omega" w:hAnsi="CG Omega"/>
                                <w:sz w:val="22"/>
                                <w:szCs w:val="22"/>
                              </w:rPr>
                              <w:t>Accessibility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0DABF9" id="Rectangle 134" o:spid="_x0000_s1034" style="position:absolute;left:0;text-align:left;margin-left:228.75pt;margin-top:8.95pt;width:81.75pt;height:3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">
                <v:textbox>
                  <w:txbxContent>
                    <w:p w:rsidR="00000555" w:rsidRDefault="00000555" w:rsidP="003E1F50">
                      <w:pPr>
                        <w:jc w:val="center"/>
                        <w:rPr>
                          <w:rFonts w:ascii="CG Omega" w:hAnsi="CG Omega"/>
                          <w:sz w:val="22"/>
                          <w:szCs w:val="22"/>
                        </w:rPr>
                      </w:pPr>
                      <w:r>
                        <w:rPr>
                          <w:rFonts w:ascii="CG Omega" w:hAnsi="CG Omega"/>
                          <w:sz w:val="22"/>
                          <w:szCs w:val="22"/>
                        </w:rPr>
                        <w:t>Availability/</w:t>
                      </w:r>
                    </w:p>
                    <w:p w:rsidR="00000555" w:rsidRPr="005632B7" w:rsidRDefault="00000555" w:rsidP="003E1F50">
                      <w:pPr>
                        <w:jc w:val="center"/>
                        <w:rPr>
                          <w:rFonts w:ascii="CG Omega" w:hAnsi="CG Omega"/>
                          <w:sz w:val="22"/>
                          <w:szCs w:val="22"/>
                        </w:rPr>
                      </w:pPr>
                      <w:r>
                        <w:rPr>
                          <w:rFonts w:ascii="CG Omega" w:hAnsi="CG Omega"/>
                          <w:sz w:val="22"/>
                          <w:szCs w:val="22"/>
                        </w:rPr>
                        <w:t>Accessibility</w:t>
                      </w:r>
                    </w:p>
                  </w:txbxContent>
                </v:textbox>
              </v:rect>
            </w:pict>
          </mc:Fallback>
        </mc:AlternateContent>
      </w:r>
      <w:r>
        <w:rPr>
          <w:noProof/>
          <w:sz w:val="20"/>
        </w:rPr>
        <mc:AlternateContent>
          <mc:Choice Requires="wps">
            <w:drawing>
              <wp:anchor distT="0" distB="0" distL="114300" distR="114300" simplePos="0" relativeHeight="251644928" behindDoc="0" locked="0" layoutInCell="1" allowOverlap="1" wp14:anchorId="06B255E4" wp14:editId="0295BA96">
                <wp:simplePos x="0" y="0"/>
                <wp:positionH relativeFrom="column">
                  <wp:posOffset>790575</wp:posOffset>
                </wp:positionH>
                <wp:positionV relativeFrom="paragraph">
                  <wp:posOffset>116205</wp:posOffset>
                </wp:positionV>
                <wp:extent cx="1038225" cy="457200"/>
                <wp:effectExtent l="9525" t="10795" r="9525" b="8255"/>
                <wp:wrapNone/>
                <wp:docPr id="235"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8225" cy="457200"/>
                        </a:xfrm>
                        <a:prstGeom prst="rect">
                          <a:avLst/>
                        </a:prstGeom>
                        <a:solidFill>
                          <a:srgbClr val="FFFFFF"/>
                        </a:solidFill>
                        <a:ln w="9525">
                          <a:solidFill>
                            <a:srgbClr val="000000"/>
                          </a:solidFill>
                          <a:miter lim="800000"/>
                          <a:headEnd/>
                          <a:tailEnd/>
                        </a:ln>
                      </wps:spPr>
                      <wps:txbx>
                        <w:txbxContent>
                          <w:p w:rsidR="00000555" w:rsidRDefault="00000555" w:rsidP="003E1F50">
                            <w:pPr>
                              <w:jc w:val="center"/>
                              <w:rPr>
                                <w:rFonts w:ascii="CG Omega" w:hAnsi="CG Omega"/>
                                <w:sz w:val="22"/>
                                <w:szCs w:val="22"/>
                              </w:rPr>
                            </w:pPr>
                            <w:r>
                              <w:rPr>
                                <w:rFonts w:ascii="CG Omega" w:hAnsi="CG Omega"/>
                                <w:sz w:val="22"/>
                                <w:szCs w:val="22"/>
                              </w:rPr>
                              <w:t>Availability/</w:t>
                            </w:r>
                          </w:p>
                          <w:p w:rsidR="00000555" w:rsidRPr="005632B7" w:rsidRDefault="00000555" w:rsidP="003E1F50">
                            <w:pPr>
                              <w:jc w:val="center"/>
                              <w:rPr>
                                <w:rFonts w:ascii="CG Omega" w:hAnsi="CG Omega"/>
                                <w:sz w:val="22"/>
                                <w:szCs w:val="22"/>
                              </w:rPr>
                            </w:pPr>
                            <w:r>
                              <w:rPr>
                                <w:rFonts w:ascii="CG Omega" w:hAnsi="CG Omega"/>
                                <w:sz w:val="22"/>
                                <w:szCs w:val="22"/>
                              </w:rPr>
                              <w:t>Accessibility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B255E4" id="Rectangle 113" o:spid="_x0000_s1035" style="position:absolute;left:0;text-align:left;margin-left:62.25pt;margin-top:9.15pt;width:81.75pt;height:36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">
                <v:textbox>
                  <w:txbxContent>
                    <w:p w:rsidR="00000555" w:rsidRDefault="00000555" w:rsidP="003E1F50">
                      <w:pPr>
                        <w:jc w:val="center"/>
                        <w:rPr>
                          <w:rFonts w:ascii="CG Omega" w:hAnsi="CG Omega"/>
                          <w:sz w:val="22"/>
                          <w:szCs w:val="22"/>
                        </w:rPr>
                      </w:pPr>
                      <w:r>
                        <w:rPr>
                          <w:rFonts w:ascii="CG Omega" w:hAnsi="CG Omega"/>
                          <w:sz w:val="22"/>
                          <w:szCs w:val="22"/>
                        </w:rPr>
                        <w:t>Availability/</w:t>
                      </w:r>
                    </w:p>
                    <w:p w:rsidR="00000555" w:rsidRPr="005632B7" w:rsidRDefault="00000555" w:rsidP="003E1F50">
                      <w:pPr>
                        <w:jc w:val="center"/>
                        <w:rPr>
                          <w:rFonts w:ascii="CG Omega" w:hAnsi="CG Omega"/>
                          <w:sz w:val="22"/>
                          <w:szCs w:val="22"/>
                        </w:rPr>
                      </w:pPr>
                      <w:r>
                        <w:rPr>
                          <w:rFonts w:ascii="CG Omega" w:hAnsi="CG Omega"/>
                          <w:sz w:val="22"/>
                          <w:szCs w:val="22"/>
                        </w:rPr>
                        <w:t>Accessibility</w:t>
                      </w:r>
                    </w:p>
                  </w:txbxContent>
                </v:textbox>
              </v:rect>
            </w:pict>
          </mc:Fallback>
        </mc:AlternateContent>
      </w:r>
      <w:r>
        <w:rPr>
          <w:rFonts w:ascii="CG Omega" w:hAnsi="CG Omega"/>
          <w:noProof/>
          <w:sz w:val="22"/>
          <w:szCs w:val="22"/>
        </w:rPr>
        <mc:AlternateContent>
          <mc:Choice Requires="wps">
            <w:drawing>
              <wp:anchor distT="0" distB="0" distL="114300" distR="114300" simplePos="0" relativeHeight="251667456" behindDoc="0" locked="0" layoutInCell="1" allowOverlap="1" wp14:anchorId="4523CD28" wp14:editId="09824803">
                <wp:simplePos x="0" y="0"/>
                <wp:positionH relativeFrom="column">
                  <wp:posOffset>4914900</wp:posOffset>
                </wp:positionH>
                <wp:positionV relativeFrom="paragraph">
                  <wp:posOffset>85090</wp:posOffset>
                </wp:positionV>
                <wp:extent cx="1038225" cy="457200"/>
                <wp:effectExtent l="9525" t="8255" r="9525" b="10795"/>
                <wp:wrapNone/>
                <wp:docPr id="234" name="Rectangle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8225" cy="457200"/>
                        </a:xfrm>
                        <a:prstGeom prst="rect">
                          <a:avLst/>
                        </a:prstGeom>
                        <a:solidFill>
                          <a:srgbClr val="FFFFFF"/>
                        </a:solidFill>
                        <a:ln w="9525">
                          <a:solidFill>
                            <a:srgbClr val="000000"/>
                          </a:solidFill>
                          <a:miter lim="800000"/>
                          <a:headEnd/>
                          <a:tailEnd/>
                        </a:ln>
                      </wps:spPr>
                      <wps:txbx>
                        <w:txbxContent>
                          <w:p w:rsidR="00000555" w:rsidRDefault="00000555" w:rsidP="003E1F50">
                            <w:pPr>
                              <w:jc w:val="center"/>
                              <w:rPr>
                                <w:rFonts w:ascii="CG Omega" w:hAnsi="CG Omega"/>
                                <w:sz w:val="22"/>
                                <w:szCs w:val="22"/>
                              </w:rPr>
                            </w:pPr>
                            <w:r>
                              <w:rPr>
                                <w:rFonts w:ascii="CG Omega" w:hAnsi="CG Omega"/>
                                <w:sz w:val="22"/>
                                <w:szCs w:val="22"/>
                              </w:rPr>
                              <w:t>Availability/</w:t>
                            </w:r>
                          </w:p>
                          <w:p w:rsidR="00000555" w:rsidRPr="005632B7" w:rsidRDefault="00000555" w:rsidP="003E1F50">
                            <w:pPr>
                              <w:jc w:val="center"/>
                              <w:rPr>
                                <w:rFonts w:ascii="CG Omega" w:hAnsi="CG Omega"/>
                                <w:sz w:val="22"/>
                                <w:szCs w:val="22"/>
                              </w:rPr>
                            </w:pPr>
                            <w:r>
                              <w:rPr>
                                <w:rFonts w:ascii="CG Omega" w:hAnsi="CG Omega"/>
                                <w:sz w:val="22"/>
                                <w:szCs w:val="22"/>
                              </w:rPr>
                              <w:t>Accessibility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23CD28" id="Rectangle 135" o:spid="_x0000_s1036" style="position:absolute;left:0;text-align:left;margin-left:387pt;margin-top:6.7pt;width:81.75pt;height:3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">
                <v:textbox>
                  <w:txbxContent>
                    <w:p w:rsidR="00000555" w:rsidRDefault="00000555" w:rsidP="003E1F50">
                      <w:pPr>
                        <w:jc w:val="center"/>
                        <w:rPr>
                          <w:rFonts w:ascii="CG Omega" w:hAnsi="CG Omega"/>
                          <w:sz w:val="22"/>
                          <w:szCs w:val="22"/>
                        </w:rPr>
                      </w:pPr>
                      <w:r>
                        <w:rPr>
                          <w:rFonts w:ascii="CG Omega" w:hAnsi="CG Omega"/>
                          <w:sz w:val="22"/>
                          <w:szCs w:val="22"/>
                        </w:rPr>
                        <w:t>Availability/</w:t>
                      </w:r>
                    </w:p>
                    <w:p w:rsidR="00000555" w:rsidRPr="005632B7" w:rsidRDefault="00000555" w:rsidP="003E1F50">
                      <w:pPr>
                        <w:jc w:val="center"/>
                        <w:rPr>
                          <w:rFonts w:ascii="CG Omega" w:hAnsi="CG Omega"/>
                          <w:sz w:val="22"/>
                          <w:szCs w:val="22"/>
                        </w:rPr>
                      </w:pPr>
                      <w:r>
                        <w:rPr>
                          <w:rFonts w:ascii="CG Omega" w:hAnsi="CG Omega"/>
                          <w:sz w:val="22"/>
                          <w:szCs w:val="22"/>
                        </w:rPr>
                        <w:t>Accessibility</w:t>
                      </w:r>
                    </w:p>
                  </w:txbxContent>
                </v:textbox>
              </v:rect>
            </w:pict>
          </mc:Fallback>
        </mc:AlternateContent>
      </w:r>
    </w:p>
    <w:p w:rsidR="003E1F50" w:rsidRPr="00955C8C" w:rsidRDefault="008168AF" w:rsidP="003E1F50">
      <w:pPr>
        <w:pStyle w:val="BodyTextIndent2"/>
        <w:rPr>
          <w:rFonts w:ascii="Times New Roman" w:hAnsi="Times New Roman"/>
          <w:szCs w:val="24"/>
          <w:highlight w:val="yellow"/>
        </w:rPr>
      </w:pPr>
      <w:r>
        <w:rPr>
          <w:rFonts w:ascii="CG Omega" w:hAnsi="CG Omega"/>
          <w:noProof/>
          <w:sz w:val="22"/>
          <w:szCs w:val="22"/>
        </w:rPr>
        <mc:AlternateContent>
          <mc:Choice Requires="wps">
            <w:drawing>
              <wp:anchor distT="0" distB="0" distL="114300" distR="114300" simplePos="0" relativeHeight="251652096" behindDoc="0" locked="0" layoutInCell="1" allowOverlap="1" wp14:anchorId="6611425A" wp14:editId="3F2B576E">
                <wp:simplePos x="0" y="0"/>
                <wp:positionH relativeFrom="column">
                  <wp:posOffset>676275</wp:posOffset>
                </wp:positionH>
                <wp:positionV relativeFrom="paragraph">
                  <wp:posOffset>157480</wp:posOffset>
                </wp:positionV>
                <wp:extent cx="114300" cy="0"/>
                <wp:effectExtent l="9525" t="8255" r="9525" b="10795"/>
                <wp:wrapNone/>
                <wp:docPr id="233" name="Line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73A12D" id="Line 120" o:spid="_x0000_s1026" style="position:absolute;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25pt,12.4pt" to="62.25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"/>
            </w:pict>
          </mc:Fallback>
        </mc:AlternateContent>
      </w:r>
    </w:p>
    <w:p w:rsidR="003E1F50" w:rsidRPr="00955C8C" w:rsidRDefault="008168AF" w:rsidP="003E1F50">
      <w:pPr>
        <w:pStyle w:val="BodyTextIndent2"/>
        <w:rPr>
          <w:rFonts w:ascii="Times New Roman" w:hAnsi="Times New Roman"/>
          <w:szCs w:val="24"/>
          <w:highlight w:val="yellow"/>
        </w:rPr>
      </w:pPr>
      <w:r>
        <w:rPr>
          <w:rFonts w:ascii="Times New Roman" w:hAnsi="Times New Roman"/>
          <w:noProof/>
          <w:szCs w:val="24"/>
        </w:rPr>
        <mc:AlternateContent>
          <mc:Choice Requires="wps">
            <w:drawing>
              <wp:anchor distT="0" distB="0" distL="114300" distR="114300" simplePos="0" relativeHeight="251668480" behindDoc="0" locked="0" layoutInCell="1" allowOverlap="1" wp14:anchorId="7CC5DD8A" wp14:editId="4DD0FB61">
                <wp:simplePos x="0" y="0"/>
                <wp:positionH relativeFrom="column">
                  <wp:posOffset>2800350</wp:posOffset>
                </wp:positionH>
                <wp:positionV relativeFrom="paragraph">
                  <wp:posOffset>10795</wp:posOffset>
                </wp:positionV>
                <wp:extent cx="114300" cy="0"/>
                <wp:effectExtent l="9525" t="8255" r="9525" b="10795"/>
                <wp:wrapNone/>
                <wp:docPr id="232" name="Line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E863EC" id="Line 136"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5pt,.85pt" to="229.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"/>
            </w:pict>
          </mc:Fallback>
        </mc:AlternateContent>
      </w:r>
    </w:p>
    <w:p w:rsidR="003E1F50" w:rsidRPr="00955C8C" w:rsidRDefault="003E1F50" w:rsidP="003E1F50">
      <w:pPr>
        <w:pStyle w:val="BodyTextIndent2"/>
        <w:rPr>
          <w:rFonts w:ascii="Times New Roman" w:hAnsi="Times New Roman"/>
          <w:szCs w:val="24"/>
          <w:highlight w:val="yellow"/>
        </w:rPr>
      </w:pPr>
    </w:p>
    <w:p w:rsidR="003E1F50" w:rsidRPr="00955C8C" w:rsidRDefault="008168AF" w:rsidP="003E1F50">
      <w:pPr>
        <w:ind w:left="360"/>
        <w:jc w:val="both"/>
        <w:rPr>
          <w:rFonts w:ascii="CG Omega" w:hAnsi="CG Omega"/>
          <w:sz w:val="22"/>
          <w:szCs w:val="22"/>
          <w:highlight w:val="yellow"/>
        </w:rPr>
      </w:pPr>
      <w:r>
        <w:rPr>
          <w:noProof/>
        </w:rPr>
        <mc:AlternateContent>
          <mc:Choice Requires="wps">
            <w:drawing>
              <wp:anchor distT="0" distB="0" distL="114300" distR="114300" simplePos="0" relativeHeight="251656192" behindDoc="0" locked="0" layoutInCell="1" allowOverlap="1" wp14:anchorId="6548A901" wp14:editId="2F88735D">
                <wp:simplePos x="0" y="0"/>
                <wp:positionH relativeFrom="column">
                  <wp:posOffset>2914650</wp:posOffset>
                </wp:positionH>
                <wp:positionV relativeFrom="paragraph">
                  <wp:posOffset>99060</wp:posOffset>
                </wp:positionV>
                <wp:extent cx="1028700" cy="342900"/>
                <wp:effectExtent l="9525" t="8890" r="9525" b="10160"/>
                <wp:wrapNone/>
                <wp:docPr id="230" name="Rectangle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342900"/>
                        </a:xfrm>
                        <a:prstGeom prst="rect">
                          <a:avLst/>
                        </a:prstGeom>
                        <a:solidFill>
                          <a:srgbClr val="FFFFFF"/>
                        </a:solidFill>
                        <a:ln w="9525">
                          <a:solidFill>
                            <a:srgbClr val="000000"/>
                          </a:solidFill>
                          <a:miter lim="800000"/>
                          <a:headEnd/>
                          <a:tailEnd/>
                        </a:ln>
                      </wps:spPr>
                      <wps:txbx>
                        <w:txbxContent>
                          <w:p w:rsidR="00000555" w:rsidRPr="005632B7" w:rsidRDefault="00000555" w:rsidP="003E1F50">
                            <w:pPr>
                              <w:jc w:val="center"/>
                              <w:rPr>
                                <w:rFonts w:ascii="CG Omega" w:hAnsi="CG Omega"/>
                                <w:sz w:val="22"/>
                                <w:szCs w:val="22"/>
                              </w:rPr>
                            </w:pPr>
                            <w:r>
                              <w:rPr>
                                <w:rFonts w:ascii="CG Omega" w:hAnsi="CG Omega"/>
                                <w:sz w:val="22"/>
                                <w:szCs w:val="22"/>
                              </w:rPr>
                              <w:t>Affordability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48A901" id="Rectangle 124" o:spid="_x0000_s1037" style="position:absolute;left:0;text-align:left;margin-left:229.5pt;margin-top:7.8pt;width:81pt;height:27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">
                <v:textbox>
                  <w:txbxContent>
                    <w:p w:rsidR="00000555" w:rsidRPr="005632B7" w:rsidRDefault="00000555" w:rsidP="003E1F50">
                      <w:pPr>
                        <w:jc w:val="center"/>
                        <w:rPr>
                          <w:rFonts w:ascii="CG Omega" w:hAnsi="CG Omega"/>
                          <w:sz w:val="22"/>
                          <w:szCs w:val="22"/>
                        </w:rPr>
                      </w:pPr>
                      <w:r>
                        <w:rPr>
                          <w:rFonts w:ascii="CG Omega" w:hAnsi="CG Omega"/>
                          <w:sz w:val="22"/>
                          <w:szCs w:val="22"/>
                        </w:rPr>
                        <w:t>Affordability</w:t>
                      </w:r>
                    </w:p>
                  </w:txbxContent>
                </v:textbox>
              </v:rect>
            </w:pict>
          </mc:Fallback>
        </mc:AlternateContent>
      </w:r>
      <w:r>
        <w:rPr>
          <w:noProof/>
          <w:sz w:val="20"/>
        </w:rPr>
        <mc:AlternateContent>
          <mc:Choice Requires="wps">
            <w:drawing>
              <wp:anchor distT="0" distB="0" distL="114300" distR="114300" simplePos="0" relativeHeight="251651072" behindDoc="0" locked="0" layoutInCell="1" allowOverlap="1" wp14:anchorId="20BE951F" wp14:editId="4A6B9409">
                <wp:simplePos x="0" y="0"/>
                <wp:positionH relativeFrom="column">
                  <wp:posOffset>800100</wp:posOffset>
                </wp:positionH>
                <wp:positionV relativeFrom="paragraph">
                  <wp:posOffset>108585</wp:posOffset>
                </wp:positionV>
                <wp:extent cx="1028700" cy="342900"/>
                <wp:effectExtent l="9525" t="8890" r="9525" b="10160"/>
                <wp:wrapNone/>
                <wp:docPr id="229" name="Rectangle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342900"/>
                        </a:xfrm>
                        <a:prstGeom prst="rect">
                          <a:avLst/>
                        </a:prstGeom>
                        <a:solidFill>
                          <a:srgbClr val="FFFFFF"/>
                        </a:solidFill>
                        <a:ln w="9525">
                          <a:solidFill>
                            <a:srgbClr val="000000"/>
                          </a:solidFill>
                          <a:miter lim="800000"/>
                          <a:headEnd/>
                          <a:tailEnd/>
                        </a:ln>
                      </wps:spPr>
                      <wps:txbx>
                        <w:txbxContent>
                          <w:p w:rsidR="00000555" w:rsidRPr="005632B7" w:rsidRDefault="00000555" w:rsidP="003E1F50">
                            <w:pPr>
                              <w:jc w:val="center"/>
                              <w:rPr>
                                <w:rFonts w:ascii="CG Omega" w:hAnsi="CG Omega"/>
                                <w:sz w:val="22"/>
                                <w:szCs w:val="22"/>
                              </w:rPr>
                            </w:pPr>
                            <w:r>
                              <w:rPr>
                                <w:rFonts w:ascii="CG Omega" w:hAnsi="CG Omega"/>
                                <w:sz w:val="22"/>
                                <w:szCs w:val="22"/>
                              </w:rPr>
                              <w:t>Affordability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BE951F" id="Rectangle 119" o:spid="_x0000_s1038" style="position:absolute;left:0;text-align:left;margin-left:63pt;margin-top:8.55pt;width:81pt;height:27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">
                <v:textbox>
                  <w:txbxContent>
                    <w:p w:rsidR="00000555" w:rsidRPr="005632B7" w:rsidRDefault="00000555" w:rsidP="003E1F50">
                      <w:pPr>
                        <w:jc w:val="center"/>
                        <w:rPr>
                          <w:rFonts w:ascii="CG Omega" w:hAnsi="CG Omega"/>
                          <w:sz w:val="22"/>
                          <w:szCs w:val="22"/>
                        </w:rPr>
                      </w:pPr>
                      <w:r>
                        <w:rPr>
                          <w:rFonts w:ascii="CG Omega" w:hAnsi="CG Omega"/>
                          <w:sz w:val="22"/>
                          <w:szCs w:val="22"/>
                        </w:rPr>
                        <w:t>Affordability</w:t>
                      </w:r>
                    </w:p>
                  </w:txbxContent>
                </v:textbox>
              </v:rect>
            </w:pict>
          </mc:Fallback>
        </mc:AlternateContent>
      </w:r>
    </w:p>
    <w:p w:rsidR="003E1F50" w:rsidRPr="00955C8C" w:rsidRDefault="008168AF" w:rsidP="003E1F50">
      <w:pPr>
        <w:ind w:left="1440"/>
        <w:jc w:val="both"/>
        <w:rPr>
          <w:rFonts w:ascii="CG Omega" w:hAnsi="CG Omega"/>
          <w:sz w:val="22"/>
          <w:szCs w:val="22"/>
          <w:highlight w:val="yellow"/>
        </w:rPr>
      </w:pPr>
      <w:r>
        <w:rPr>
          <w:noProof/>
        </w:rPr>
        <mc:AlternateContent>
          <mc:Choice Requires="wps">
            <w:drawing>
              <wp:anchor distT="0" distB="0" distL="114300" distR="114300" simplePos="0" relativeHeight="251658240" behindDoc="0" locked="0" layoutInCell="1" allowOverlap="1" wp14:anchorId="1C1B0BF1" wp14:editId="54A5DAE4">
                <wp:simplePos x="0" y="0"/>
                <wp:positionH relativeFrom="column">
                  <wp:posOffset>2790825</wp:posOffset>
                </wp:positionH>
                <wp:positionV relativeFrom="paragraph">
                  <wp:posOffset>149860</wp:posOffset>
                </wp:positionV>
                <wp:extent cx="114300" cy="0"/>
                <wp:effectExtent l="9525" t="8255" r="9525" b="10795"/>
                <wp:wrapNone/>
                <wp:docPr id="228" name="Line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16B358" id="Line 126"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9.75pt,11.8pt" to="228.75pt,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"/>
            </w:pict>
          </mc:Fallback>
        </mc:AlternateContent>
      </w:r>
      <w:r>
        <w:rPr>
          <w:rFonts w:ascii="CG Omega" w:hAnsi="CG Omega"/>
          <w:noProof/>
          <w:sz w:val="22"/>
          <w:szCs w:val="22"/>
        </w:rPr>
        <mc:AlternateContent>
          <mc:Choice Requires="wps">
            <w:drawing>
              <wp:anchor distT="0" distB="0" distL="114300" distR="114300" simplePos="0" relativeHeight="251653120" behindDoc="0" locked="0" layoutInCell="1" allowOverlap="1" wp14:anchorId="79CB3B76" wp14:editId="04B50785">
                <wp:simplePos x="0" y="0"/>
                <wp:positionH relativeFrom="column">
                  <wp:posOffset>676275</wp:posOffset>
                </wp:positionH>
                <wp:positionV relativeFrom="paragraph">
                  <wp:posOffset>159385</wp:posOffset>
                </wp:positionV>
                <wp:extent cx="114300" cy="0"/>
                <wp:effectExtent l="9525" t="8255" r="9525" b="10795"/>
                <wp:wrapNone/>
                <wp:docPr id="227" name="Line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CAF09F" id="Line 121" o:spid="_x0000_s1026" style="position:absolute;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25pt,12.55pt" to="62.2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"/>
            </w:pict>
          </mc:Fallback>
        </mc:AlternateContent>
      </w:r>
    </w:p>
    <w:p w:rsidR="003E1F50" w:rsidRPr="00955C8C" w:rsidRDefault="003E1F50" w:rsidP="003E1F50">
      <w:pPr>
        <w:ind w:left="360"/>
        <w:jc w:val="both"/>
        <w:rPr>
          <w:rFonts w:ascii="CG Omega" w:hAnsi="CG Omega"/>
          <w:sz w:val="22"/>
          <w:szCs w:val="22"/>
          <w:highlight w:val="yellow"/>
        </w:rPr>
      </w:pPr>
      <w:r w:rsidRPr="00955C8C">
        <w:rPr>
          <w:rFonts w:ascii="CG Omega" w:hAnsi="CG Omega"/>
          <w:sz w:val="22"/>
          <w:szCs w:val="22"/>
          <w:highlight w:val="yellow"/>
        </w:rPr>
        <w:t xml:space="preserve">  </w:t>
      </w:r>
    </w:p>
    <w:p w:rsidR="003E1F50" w:rsidRPr="00955C8C" w:rsidRDefault="008168AF" w:rsidP="003E1F50">
      <w:pPr>
        <w:ind w:left="360"/>
        <w:jc w:val="both"/>
        <w:rPr>
          <w:rFonts w:ascii="CG Omega" w:hAnsi="CG Omega"/>
          <w:sz w:val="22"/>
          <w:szCs w:val="22"/>
          <w:highlight w:val="yellow"/>
        </w:rPr>
      </w:pPr>
      <w:r>
        <w:rPr>
          <w:noProof/>
        </w:rPr>
        <mc:AlternateContent>
          <mc:Choice Requires="wps">
            <w:drawing>
              <wp:anchor distT="0" distB="0" distL="114300" distR="114300" simplePos="0" relativeHeight="251655168" behindDoc="0" locked="0" layoutInCell="1" allowOverlap="1" wp14:anchorId="2FEE3124" wp14:editId="5FDFF1EA">
                <wp:simplePos x="0" y="0"/>
                <wp:positionH relativeFrom="column">
                  <wp:posOffset>2924175</wp:posOffset>
                </wp:positionH>
                <wp:positionV relativeFrom="paragraph">
                  <wp:posOffset>109855</wp:posOffset>
                </wp:positionV>
                <wp:extent cx="1028700" cy="342900"/>
                <wp:effectExtent l="9525" t="8255" r="9525" b="10795"/>
                <wp:wrapNone/>
                <wp:docPr id="226" name="Rectangle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342900"/>
                        </a:xfrm>
                        <a:prstGeom prst="rect">
                          <a:avLst/>
                        </a:prstGeom>
                        <a:solidFill>
                          <a:srgbClr val="FFFFFF"/>
                        </a:solidFill>
                        <a:ln w="9525">
                          <a:solidFill>
                            <a:srgbClr val="000000"/>
                          </a:solidFill>
                          <a:miter lim="800000"/>
                          <a:headEnd/>
                          <a:tailEnd/>
                        </a:ln>
                      </wps:spPr>
                      <wps:txbx>
                        <w:txbxContent>
                          <w:p w:rsidR="00000555" w:rsidRPr="005632B7" w:rsidRDefault="00000555" w:rsidP="003E1F50">
                            <w:pPr>
                              <w:jc w:val="center"/>
                              <w:rPr>
                                <w:rFonts w:ascii="CG Omega" w:hAnsi="CG Omega"/>
                                <w:sz w:val="22"/>
                                <w:szCs w:val="22"/>
                              </w:rPr>
                            </w:pPr>
                            <w:r>
                              <w:rPr>
                                <w:rFonts w:ascii="CG Omega" w:hAnsi="CG Omega"/>
                                <w:sz w:val="22"/>
                                <w:szCs w:val="22"/>
                              </w:rPr>
                              <w:t>Sustainability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EE3124" id="Rectangle 123" o:spid="_x0000_s1039" style="position:absolute;left:0;text-align:left;margin-left:230.25pt;margin-top:8.65pt;width:81pt;height:27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">
                <v:textbox>
                  <w:txbxContent>
                    <w:p w:rsidR="00000555" w:rsidRPr="005632B7" w:rsidRDefault="00000555" w:rsidP="003E1F50">
                      <w:pPr>
                        <w:jc w:val="center"/>
                        <w:rPr>
                          <w:rFonts w:ascii="CG Omega" w:hAnsi="CG Omega"/>
                          <w:sz w:val="22"/>
                          <w:szCs w:val="22"/>
                        </w:rPr>
                      </w:pPr>
                      <w:r>
                        <w:rPr>
                          <w:rFonts w:ascii="CG Omega" w:hAnsi="CG Omega"/>
                          <w:sz w:val="22"/>
                          <w:szCs w:val="22"/>
                        </w:rPr>
                        <w:t>Sustainability</w:t>
                      </w:r>
                    </w:p>
                  </w:txbxContent>
                </v:textbox>
              </v:rect>
            </w:pict>
          </mc:Fallback>
        </mc:AlternateContent>
      </w:r>
    </w:p>
    <w:p w:rsidR="003E1F50" w:rsidRPr="00955C8C" w:rsidRDefault="008168AF" w:rsidP="003E1F50">
      <w:pPr>
        <w:ind w:left="360"/>
        <w:jc w:val="both"/>
        <w:rPr>
          <w:rFonts w:ascii="CG Omega" w:hAnsi="CG Omega"/>
          <w:sz w:val="22"/>
          <w:szCs w:val="22"/>
          <w:highlight w:val="yellow"/>
        </w:rPr>
      </w:pPr>
      <w:r>
        <w:rPr>
          <w:noProof/>
        </w:rPr>
        <mc:AlternateContent>
          <mc:Choice Requires="wps">
            <w:drawing>
              <wp:anchor distT="0" distB="0" distL="114300" distR="114300" simplePos="0" relativeHeight="251659264" behindDoc="0" locked="0" layoutInCell="1" allowOverlap="1" wp14:anchorId="2D5094EC" wp14:editId="076DDF54">
                <wp:simplePos x="0" y="0"/>
                <wp:positionH relativeFrom="column">
                  <wp:posOffset>2800350</wp:posOffset>
                </wp:positionH>
                <wp:positionV relativeFrom="paragraph">
                  <wp:posOffset>113665</wp:posOffset>
                </wp:positionV>
                <wp:extent cx="114300" cy="0"/>
                <wp:effectExtent l="9525" t="8890" r="9525" b="10160"/>
                <wp:wrapNone/>
                <wp:docPr id="225" name="Line 1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1E8B26" id="Line 127"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5pt,8.95pt" to="229.5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"/>
            </w:pict>
          </mc:Fallback>
        </mc:AlternateContent>
      </w:r>
      <w:r>
        <w:rPr>
          <w:rFonts w:ascii="CG Omega" w:hAnsi="CG Omega"/>
          <w:noProof/>
          <w:sz w:val="22"/>
          <w:szCs w:val="22"/>
        </w:rPr>
        <mc:AlternateContent>
          <mc:Choice Requires="wps">
            <w:drawing>
              <wp:anchor distT="0" distB="0" distL="114300" distR="114300" simplePos="0" relativeHeight="251654144" behindDoc="0" locked="0" layoutInCell="1" allowOverlap="1" wp14:anchorId="1D1D58D5" wp14:editId="09E5A984">
                <wp:simplePos x="0" y="0"/>
                <wp:positionH relativeFrom="column">
                  <wp:posOffset>685800</wp:posOffset>
                </wp:positionH>
                <wp:positionV relativeFrom="paragraph">
                  <wp:posOffset>123190</wp:posOffset>
                </wp:positionV>
                <wp:extent cx="114300" cy="0"/>
                <wp:effectExtent l="9525" t="8890" r="9525" b="10160"/>
                <wp:wrapNone/>
                <wp:docPr id="224" name="Line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64A916" id="Line 122" o:spid="_x0000_s1026" style="position:absolute;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9.7pt" to="63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"/>
            </w:pict>
          </mc:Fallback>
        </mc:AlternateContent>
      </w:r>
      <w:r>
        <w:rPr>
          <w:noProof/>
          <w:sz w:val="20"/>
        </w:rPr>
        <mc:AlternateContent>
          <mc:Choice Requires="wps">
            <w:drawing>
              <wp:anchor distT="0" distB="0" distL="114300" distR="114300" simplePos="0" relativeHeight="251643904" behindDoc="0" locked="0" layoutInCell="1" allowOverlap="1" wp14:anchorId="4AA4E107" wp14:editId="3259AC99">
                <wp:simplePos x="0" y="0"/>
                <wp:positionH relativeFrom="column">
                  <wp:posOffset>800100</wp:posOffset>
                </wp:positionH>
                <wp:positionV relativeFrom="paragraph">
                  <wp:posOffset>8890</wp:posOffset>
                </wp:positionV>
                <wp:extent cx="1028700" cy="342900"/>
                <wp:effectExtent l="9525" t="8890" r="9525" b="10160"/>
                <wp:wrapNone/>
                <wp:docPr id="14"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342900"/>
                        </a:xfrm>
                        <a:prstGeom prst="rect">
                          <a:avLst/>
                        </a:prstGeom>
                        <a:solidFill>
                          <a:srgbClr val="FFFFFF"/>
                        </a:solidFill>
                        <a:ln w="9525">
                          <a:solidFill>
                            <a:srgbClr val="000000"/>
                          </a:solidFill>
                          <a:miter lim="800000"/>
                          <a:headEnd/>
                          <a:tailEnd/>
                        </a:ln>
                      </wps:spPr>
                      <wps:txbx>
                        <w:txbxContent>
                          <w:p w:rsidR="00000555" w:rsidRPr="005632B7" w:rsidRDefault="00000555" w:rsidP="003E1F50">
                            <w:pPr>
                              <w:jc w:val="center"/>
                              <w:rPr>
                                <w:rFonts w:ascii="CG Omega" w:hAnsi="CG Omega"/>
                                <w:sz w:val="22"/>
                                <w:szCs w:val="22"/>
                              </w:rPr>
                            </w:pPr>
                            <w:r>
                              <w:rPr>
                                <w:rFonts w:ascii="CG Omega" w:hAnsi="CG Omega"/>
                                <w:sz w:val="22"/>
                                <w:szCs w:val="22"/>
                              </w:rPr>
                              <w:t>Sustainability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A4E107" id="Rectangle 112" o:spid="_x0000_s1040" style="position:absolute;left:0;text-align:left;margin-left:63pt;margin-top:.7pt;width:81pt;height:27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">
                <v:textbox>
                  <w:txbxContent>
                    <w:p w:rsidR="00000555" w:rsidRPr="005632B7" w:rsidRDefault="00000555" w:rsidP="003E1F50">
                      <w:pPr>
                        <w:jc w:val="center"/>
                        <w:rPr>
                          <w:rFonts w:ascii="CG Omega" w:hAnsi="CG Omega"/>
                          <w:sz w:val="22"/>
                          <w:szCs w:val="22"/>
                        </w:rPr>
                      </w:pPr>
                      <w:r>
                        <w:rPr>
                          <w:rFonts w:ascii="CG Omega" w:hAnsi="CG Omega"/>
                          <w:sz w:val="22"/>
                          <w:szCs w:val="22"/>
                        </w:rPr>
                        <w:t>Sustainability</w:t>
                      </w:r>
                    </w:p>
                  </w:txbxContent>
                </v:textbox>
              </v:rect>
            </w:pict>
          </mc:Fallback>
        </mc:AlternateContent>
      </w:r>
    </w:p>
    <w:p w:rsidR="00B02B1C" w:rsidRPr="00955C8C" w:rsidRDefault="00B02B1C" w:rsidP="00B02B1C">
      <w:pPr>
        <w:pStyle w:val="BodyTextIndent"/>
        <w:ind w:left="0"/>
        <w:rPr>
          <w:rFonts w:ascii="CG Omega" w:hAnsi="CG Omega"/>
          <w:szCs w:val="24"/>
          <w:highlight w:val="yellow"/>
        </w:rPr>
      </w:pPr>
    </w:p>
    <w:p w:rsidR="00B72571" w:rsidRPr="00955C8C" w:rsidRDefault="00B72571" w:rsidP="00B72571">
      <w:pPr>
        <w:tabs>
          <w:tab w:val="left" w:pos="0"/>
          <w:tab w:val="left" w:pos="481"/>
          <w:tab w:val="left" w:pos="962"/>
          <w:tab w:val="left" w:pos="1443"/>
          <w:tab w:val="left" w:pos="1924"/>
          <w:tab w:val="left" w:pos="2405"/>
          <w:tab w:val="left" w:pos="2886"/>
          <w:tab w:val="left" w:pos="3367"/>
          <w:tab w:val="left" w:pos="3848"/>
          <w:tab w:val="left" w:pos="4329"/>
          <w:tab w:val="left" w:pos="4810"/>
          <w:tab w:val="left" w:pos="5291"/>
          <w:tab w:val="left" w:pos="5772"/>
          <w:tab w:val="left" w:pos="6253"/>
          <w:tab w:val="left" w:pos="6734"/>
          <w:tab w:val="left" w:pos="7215"/>
          <w:tab w:val="left" w:pos="7696"/>
          <w:tab w:val="left" w:pos="8177"/>
          <w:tab w:val="left" w:pos="8658"/>
          <w:tab w:val="left" w:pos="9139"/>
        </w:tabs>
        <w:jc w:val="both"/>
        <w:rPr>
          <w:rFonts w:ascii="CG Omega" w:hAnsi="CG Omega"/>
          <w:sz w:val="22"/>
          <w:szCs w:val="22"/>
          <w:highlight w:val="yellow"/>
        </w:rPr>
      </w:pPr>
    </w:p>
    <w:p w:rsidR="00457C92" w:rsidRPr="00955C8C" w:rsidRDefault="00457C92" w:rsidP="00B72571">
      <w:pPr>
        <w:tabs>
          <w:tab w:val="left" w:pos="0"/>
          <w:tab w:val="left" w:pos="481"/>
          <w:tab w:val="left" w:pos="962"/>
          <w:tab w:val="left" w:pos="1443"/>
          <w:tab w:val="left" w:pos="1924"/>
          <w:tab w:val="left" w:pos="2405"/>
          <w:tab w:val="left" w:pos="2886"/>
          <w:tab w:val="left" w:pos="3367"/>
          <w:tab w:val="left" w:pos="3848"/>
          <w:tab w:val="left" w:pos="4329"/>
          <w:tab w:val="left" w:pos="4810"/>
          <w:tab w:val="left" w:pos="5291"/>
          <w:tab w:val="left" w:pos="5772"/>
          <w:tab w:val="left" w:pos="6253"/>
          <w:tab w:val="left" w:pos="6734"/>
          <w:tab w:val="left" w:pos="7215"/>
          <w:tab w:val="left" w:pos="7696"/>
          <w:tab w:val="left" w:pos="8177"/>
          <w:tab w:val="left" w:pos="8658"/>
          <w:tab w:val="left" w:pos="9139"/>
        </w:tabs>
        <w:jc w:val="both"/>
        <w:rPr>
          <w:rFonts w:ascii="CG Omega" w:hAnsi="CG Omega"/>
          <w:sz w:val="22"/>
          <w:szCs w:val="22"/>
          <w:highlight w:val="yellow"/>
        </w:rPr>
      </w:pPr>
    </w:p>
    <w:p w:rsidR="00B32A7D" w:rsidRDefault="00B32A7D" w:rsidP="00B72571">
      <w:pPr>
        <w:tabs>
          <w:tab w:val="left" w:pos="0"/>
          <w:tab w:val="left" w:pos="481"/>
          <w:tab w:val="left" w:pos="962"/>
          <w:tab w:val="left" w:pos="1443"/>
          <w:tab w:val="left" w:pos="1924"/>
          <w:tab w:val="left" w:pos="2405"/>
          <w:tab w:val="left" w:pos="2886"/>
          <w:tab w:val="left" w:pos="3367"/>
          <w:tab w:val="left" w:pos="3848"/>
          <w:tab w:val="left" w:pos="4329"/>
          <w:tab w:val="left" w:pos="4810"/>
          <w:tab w:val="left" w:pos="5291"/>
          <w:tab w:val="left" w:pos="5772"/>
          <w:tab w:val="left" w:pos="6253"/>
          <w:tab w:val="left" w:pos="6734"/>
          <w:tab w:val="left" w:pos="7215"/>
          <w:tab w:val="left" w:pos="7696"/>
          <w:tab w:val="left" w:pos="8177"/>
          <w:tab w:val="left" w:pos="8658"/>
          <w:tab w:val="left" w:pos="9139"/>
        </w:tabs>
        <w:jc w:val="both"/>
        <w:rPr>
          <w:rFonts w:ascii="CG Omega" w:hAnsi="CG Omega"/>
          <w:sz w:val="22"/>
          <w:szCs w:val="22"/>
          <w:highlight w:val="yellow"/>
        </w:rPr>
      </w:pPr>
    </w:p>
    <w:p w:rsidR="00F05A24" w:rsidRDefault="00F05A24" w:rsidP="00B72571">
      <w:pPr>
        <w:tabs>
          <w:tab w:val="left" w:pos="0"/>
          <w:tab w:val="left" w:pos="481"/>
          <w:tab w:val="left" w:pos="962"/>
          <w:tab w:val="left" w:pos="1443"/>
          <w:tab w:val="left" w:pos="1924"/>
          <w:tab w:val="left" w:pos="2405"/>
          <w:tab w:val="left" w:pos="2886"/>
          <w:tab w:val="left" w:pos="3367"/>
          <w:tab w:val="left" w:pos="3848"/>
          <w:tab w:val="left" w:pos="4329"/>
          <w:tab w:val="left" w:pos="4810"/>
          <w:tab w:val="left" w:pos="5291"/>
          <w:tab w:val="left" w:pos="5772"/>
          <w:tab w:val="left" w:pos="6253"/>
          <w:tab w:val="left" w:pos="6734"/>
          <w:tab w:val="left" w:pos="7215"/>
          <w:tab w:val="left" w:pos="7696"/>
          <w:tab w:val="left" w:pos="8177"/>
          <w:tab w:val="left" w:pos="8658"/>
          <w:tab w:val="left" w:pos="9139"/>
        </w:tabs>
        <w:jc w:val="both"/>
        <w:rPr>
          <w:rFonts w:ascii="CG Omega" w:hAnsi="CG Omega"/>
          <w:sz w:val="22"/>
          <w:szCs w:val="22"/>
          <w:highlight w:val="yellow"/>
        </w:rPr>
      </w:pPr>
    </w:p>
    <w:p w:rsidR="00B32A7D" w:rsidRPr="00BE3680" w:rsidRDefault="00B32A7D" w:rsidP="00B32A7D">
      <w:pPr>
        <w:jc w:val="both"/>
        <w:rPr>
          <w:rFonts w:ascii="CG Omega" w:hAnsi="CG Omega"/>
          <w:b/>
          <w:smallCaps/>
        </w:rPr>
      </w:pPr>
      <w:r w:rsidRPr="00BE3680">
        <w:rPr>
          <w:rFonts w:ascii="CG Omega" w:hAnsi="CG Omega"/>
          <w:b/>
          <w:smallCaps/>
        </w:rPr>
        <w:t>Obstacles to Meeting Needs</w:t>
      </w:r>
    </w:p>
    <w:p w:rsidR="00B32A7D" w:rsidRPr="00925169" w:rsidRDefault="00B32A7D" w:rsidP="00B32A7D">
      <w:pPr>
        <w:jc w:val="both"/>
        <w:rPr>
          <w:rFonts w:ascii="CG Omega" w:hAnsi="CG Omega"/>
          <w:highlight w:val="yellow"/>
        </w:rPr>
      </w:pPr>
    </w:p>
    <w:p w:rsidR="00B32A7D" w:rsidRPr="00B92D9A" w:rsidRDefault="00B32A7D" w:rsidP="00B32A7D">
      <w:pPr>
        <w:jc w:val="both"/>
        <w:rPr>
          <w:rFonts w:ascii="CG Omega" w:hAnsi="CG Omega"/>
        </w:rPr>
      </w:pPr>
      <w:r w:rsidRPr="00B92D9A">
        <w:rPr>
          <w:rFonts w:ascii="CG Omega" w:hAnsi="CG Omega"/>
        </w:rPr>
        <w:t>Lack of sufficient funding is the primary ob</w:t>
      </w:r>
      <w:r w:rsidR="009155AB" w:rsidRPr="00B92D9A">
        <w:rPr>
          <w:rFonts w:ascii="CG Omega" w:hAnsi="CG Omega"/>
        </w:rPr>
        <w:t>stacle to meeting needs in the s</w:t>
      </w:r>
      <w:r w:rsidR="00B05793" w:rsidRPr="00B92D9A">
        <w:rPr>
          <w:rFonts w:ascii="CG Omega" w:hAnsi="CG Omega"/>
        </w:rPr>
        <w:t>tate of New Mexico.  The s</w:t>
      </w:r>
      <w:r w:rsidRPr="00B92D9A">
        <w:rPr>
          <w:rFonts w:ascii="CG Omega" w:hAnsi="CG Omega"/>
        </w:rPr>
        <w:t>tate has many high-poverty, low-employment areas with aging and substandard housing st</w:t>
      </w:r>
      <w:r w:rsidR="009155AB" w:rsidRPr="00B92D9A">
        <w:rPr>
          <w:rFonts w:ascii="CG Omega" w:hAnsi="CG Omega"/>
        </w:rPr>
        <w:t>ock.  Meeting the needs in the c</w:t>
      </w:r>
      <w:r w:rsidRPr="00B92D9A">
        <w:rPr>
          <w:rFonts w:ascii="CG Omega" w:hAnsi="CG Omega"/>
        </w:rPr>
        <w:t>olonias, in particular, is di</w:t>
      </w:r>
      <w:r w:rsidR="009155AB" w:rsidRPr="00B92D9A">
        <w:rPr>
          <w:rFonts w:ascii="CG Omega" w:hAnsi="CG Omega"/>
        </w:rPr>
        <w:t>fficult because so many of the c</w:t>
      </w:r>
      <w:r w:rsidRPr="00B92D9A">
        <w:rPr>
          <w:rFonts w:ascii="CG Omega" w:hAnsi="CG Omega"/>
        </w:rPr>
        <w:t>olonias are not designated units of local government and, therefore, are ineligible to apply for funds from a variety of funding sources including CDBG.  Finally, the lack of capacity or distribution network in many rural New Mexico communities makes it difficult to deliver services where they are needed.</w:t>
      </w:r>
    </w:p>
    <w:p w:rsidR="00457C92" w:rsidRPr="00925169" w:rsidRDefault="00457C92" w:rsidP="00B72571">
      <w:pPr>
        <w:tabs>
          <w:tab w:val="left" w:pos="0"/>
          <w:tab w:val="left" w:pos="481"/>
          <w:tab w:val="left" w:pos="962"/>
          <w:tab w:val="left" w:pos="1443"/>
          <w:tab w:val="left" w:pos="1924"/>
          <w:tab w:val="left" w:pos="2405"/>
          <w:tab w:val="left" w:pos="2886"/>
          <w:tab w:val="left" w:pos="3367"/>
          <w:tab w:val="left" w:pos="3848"/>
          <w:tab w:val="left" w:pos="4329"/>
          <w:tab w:val="left" w:pos="4810"/>
          <w:tab w:val="left" w:pos="5291"/>
          <w:tab w:val="left" w:pos="5772"/>
          <w:tab w:val="left" w:pos="6253"/>
          <w:tab w:val="left" w:pos="6734"/>
          <w:tab w:val="left" w:pos="7215"/>
          <w:tab w:val="left" w:pos="7696"/>
          <w:tab w:val="left" w:pos="8177"/>
          <w:tab w:val="left" w:pos="8658"/>
          <w:tab w:val="left" w:pos="9139"/>
        </w:tabs>
        <w:jc w:val="both"/>
        <w:rPr>
          <w:rFonts w:ascii="CG Omega" w:hAnsi="CG Omega"/>
        </w:rPr>
      </w:pPr>
    </w:p>
    <w:p w:rsidR="00103561" w:rsidRPr="00B92D9A" w:rsidRDefault="00103561" w:rsidP="00BB666B">
      <w:pPr>
        <w:pStyle w:val="FirstHead"/>
      </w:pPr>
      <w:bookmarkStart w:id="138" w:name="_Toc399834593"/>
      <w:r w:rsidRPr="00B92D9A">
        <w:t>C. St</w:t>
      </w:r>
      <w:r w:rsidR="00E11F4A" w:rsidRPr="00B92D9A">
        <w:t>rategic Goals of the New Mexico</w:t>
      </w:r>
      <w:r w:rsidRPr="00B92D9A">
        <w:t xml:space="preserve"> Consolidated Plan</w:t>
      </w:r>
      <w:bookmarkEnd w:id="138"/>
    </w:p>
    <w:p w:rsidR="00CF127B" w:rsidRPr="00925169" w:rsidRDefault="00CF127B" w:rsidP="00CF127B">
      <w:pPr>
        <w:jc w:val="both"/>
        <w:rPr>
          <w:rFonts w:ascii="CG Omega" w:hAnsi="CG Omega" w:cs="Arial"/>
          <w:b/>
          <w:bCs/>
        </w:rPr>
      </w:pPr>
    </w:p>
    <w:p w:rsidR="00CF127B" w:rsidRPr="00377958" w:rsidRDefault="00CF127B" w:rsidP="00CF127B">
      <w:pPr>
        <w:jc w:val="both"/>
        <w:rPr>
          <w:rFonts w:ascii="CG Omega" w:hAnsi="CG Omega" w:cs="Arial"/>
          <w:bCs/>
          <w:szCs w:val="28"/>
        </w:rPr>
      </w:pPr>
      <w:r w:rsidRPr="00377958">
        <w:rPr>
          <w:rFonts w:ascii="CG Omega" w:hAnsi="CG Omega" w:cs="Arial"/>
          <w:bCs/>
          <w:szCs w:val="28"/>
        </w:rPr>
        <w:t>The following list presents the overriding strategies and goals of the New Mexico Five-Year Consolidated Plan for Housing and Community Development, including selected performance criteria associated with each strategy and goal.  Furthermore, there may be a need to direct such housing resources by use of project selection criteria, which may be updated annually, based upon year-to-year need and local circumstances.</w:t>
      </w:r>
    </w:p>
    <w:p w:rsidR="00CF127B" w:rsidRPr="00A9532E" w:rsidRDefault="00CF127B" w:rsidP="00CF127B">
      <w:pPr>
        <w:tabs>
          <w:tab w:val="left" w:pos="-1440"/>
          <w:tab w:val="left" w:pos="-720"/>
          <w:tab w:val="left" w:pos="0"/>
          <w:tab w:val="left" w:pos="2160"/>
          <w:tab w:val="left" w:pos="2556"/>
          <w:tab w:val="left" w:pos="2880"/>
          <w:tab w:val="left" w:pos="3600"/>
          <w:tab w:val="left" w:pos="4320"/>
          <w:tab w:val="left" w:pos="5040"/>
          <w:tab w:val="left" w:pos="5760"/>
          <w:tab w:val="left" w:pos="6480"/>
          <w:tab w:val="left" w:pos="7200"/>
          <w:tab w:val="left" w:pos="7920"/>
          <w:tab w:val="left" w:pos="8640"/>
        </w:tabs>
        <w:spacing w:line="1" w:lineRule="atLeast"/>
        <w:jc w:val="both"/>
        <w:rPr>
          <w:rFonts w:ascii="CG Omega" w:eastAsia="MS Mincho" w:hAnsi="CG Omega" w:cs="Arial"/>
        </w:rPr>
      </w:pPr>
    </w:p>
    <w:p w:rsidR="0049477B" w:rsidRPr="000E3CCA" w:rsidRDefault="0049477B" w:rsidP="0049477B">
      <w:pPr>
        <w:jc w:val="both"/>
        <w:rPr>
          <w:rFonts w:ascii="CG Omega" w:hAnsi="CG Omega" w:cs="Arial"/>
        </w:rPr>
      </w:pPr>
      <w:r w:rsidRPr="000E3CCA">
        <w:rPr>
          <w:rFonts w:ascii="CG Omega" w:hAnsi="CG Omega" w:cs="Arial"/>
        </w:rPr>
        <w:t>The strategies the state will pursue over the next five years are as follows:</w:t>
      </w:r>
    </w:p>
    <w:p w:rsidR="0049477B" w:rsidRPr="00925169" w:rsidRDefault="0049477B" w:rsidP="0049477B">
      <w:pPr>
        <w:jc w:val="both"/>
        <w:rPr>
          <w:rFonts w:ascii="CG Omega" w:hAnsi="CG Omega" w:cs="Arial"/>
        </w:rPr>
      </w:pPr>
    </w:p>
    <w:p w:rsidR="0049477B" w:rsidRPr="00925169" w:rsidRDefault="0049477B" w:rsidP="00A9532E">
      <w:pPr>
        <w:numPr>
          <w:ilvl w:val="0"/>
          <w:numId w:val="55"/>
        </w:numPr>
        <w:ind w:left="360" w:hanging="360"/>
        <w:jc w:val="both"/>
        <w:rPr>
          <w:rFonts w:ascii="CG Omega" w:hAnsi="CG Omega" w:cs="Arial"/>
        </w:rPr>
      </w:pPr>
      <w:r w:rsidRPr="00925169">
        <w:rPr>
          <w:rFonts w:ascii="CG Omega" w:hAnsi="CG Omega" w:cs="Arial"/>
        </w:rPr>
        <w:t>Expand the supply of quality affordable housing</w:t>
      </w:r>
      <w:r w:rsidR="00A9532E">
        <w:rPr>
          <w:rFonts w:ascii="CG Omega" w:hAnsi="CG Omega" w:cs="Arial"/>
        </w:rPr>
        <w:t>.</w:t>
      </w:r>
    </w:p>
    <w:p w:rsidR="0049477B" w:rsidRPr="00925169" w:rsidRDefault="0049477B" w:rsidP="0049477B">
      <w:pPr>
        <w:numPr>
          <w:ilvl w:val="1"/>
          <w:numId w:val="55"/>
        </w:numPr>
        <w:spacing w:after="120"/>
        <w:jc w:val="both"/>
        <w:rPr>
          <w:rFonts w:ascii="CG Omega" w:hAnsi="CG Omega" w:cs="Arial"/>
        </w:rPr>
      </w:pPr>
      <w:r w:rsidRPr="00925169">
        <w:rPr>
          <w:rFonts w:ascii="CG Omega" w:hAnsi="CG Omega" w:cs="Arial"/>
        </w:rPr>
        <w:t>Finance multifamily rental new construction</w:t>
      </w:r>
      <w:r w:rsidR="00A9532E">
        <w:rPr>
          <w:rFonts w:ascii="CG Omega" w:hAnsi="CG Omega" w:cs="Arial"/>
        </w:rPr>
        <w:t>.</w:t>
      </w:r>
    </w:p>
    <w:p w:rsidR="0049477B" w:rsidRPr="00925169" w:rsidRDefault="00A9532E" w:rsidP="00A9532E">
      <w:pPr>
        <w:jc w:val="both"/>
        <w:rPr>
          <w:rFonts w:ascii="CG Omega" w:hAnsi="CG Omega" w:cs="Arial"/>
        </w:rPr>
      </w:pPr>
      <w:r>
        <w:rPr>
          <w:rFonts w:ascii="CG Omega" w:hAnsi="CG Omega" w:cs="Arial"/>
        </w:rPr>
        <w:t>2.</w:t>
      </w:r>
      <w:r>
        <w:rPr>
          <w:rFonts w:ascii="CG Omega" w:hAnsi="CG Omega" w:cs="Arial"/>
        </w:rPr>
        <w:tab/>
      </w:r>
      <w:r w:rsidR="0049477B" w:rsidRPr="00925169">
        <w:rPr>
          <w:rFonts w:ascii="CG Omega" w:hAnsi="CG Omega" w:cs="Arial"/>
        </w:rPr>
        <w:t>Increase opportunities for homeownership</w:t>
      </w:r>
      <w:r>
        <w:rPr>
          <w:rFonts w:ascii="CG Omega" w:hAnsi="CG Omega" w:cs="Arial"/>
        </w:rPr>
        <w:t>.</w:t>
      </w:r>
    </w:p>
    <w:p w:rsidR="0049477B" w:rsidRPr="00925169" w:rsidRDefault="00F917EE" w:rsidP="00A9532E">
      <w:pPr>
        <w:spacing w:after="120"/>
        <w:ind w:left="360" w:firstLine="360"/>
        <w:jc w:val="both"/>
        <w:rPr>
          <w:rFonts w:ascii="CG Omega" w:hAnsi="CG Omega" w:cs="Arial"/>
        </w:rPr>
      </w:pPr>
      <w:r w:rsidRPr="00925169">
        <w:rPr>
          <w:rFonts w:ascii="CG Omega" w:hAnsi="CG Omega" w:cs="Arial"/>
        </w:rPr>
        <w:t>a.</w:t>
      </w:r>
      <w:r w:rsidRPr="00925169">
        <w:rPr>
          <w:rFonts w:ascii="CG Omega" w:hAnsi="CG Omega" w:cs="Arial"/>
        </w:rPr>
        <w:tab/>
      </w:r>
      <w:r w:rsidR="0049477B" w:rsidRPr="00925169">
        <w:rPr>
          <w:rFonts w:ascii="CG Omega" w:hAnsi="CG Omega" w:cs="Arial"/>
        </w:rPr>
        <w:t>Provide financial assistance to prospective homeowners</w:t>
      </w:r>
      <w:r w:rsidR="00A9532E">
        <w:rPr>
          <w:rFonts w:ascii="CG Omega" w:hAnsi="CG Omega" w:cs="Arial"/>
        </w:rPr>
        <w:t>.</w:t>
      </w:r>
    </w:p>
    <w:p w:rsidR="0049477B" w:rsidRPr="00925169" w:rsidRDefault="00A9532E" w:rsidP="00A9532E">
      <w:pPr>
        <w:jc w:val="both"/>
        <w:rPr>
          <w:rFonts w:ascii="CG Omega" w:hAnsi="CG Omega" w:cs="Arial"/>
        </w:rPr>
      </w:pPr>
      <w:r>
        <w:rPr>
          <w:rFonts w:ascii="CG Omega" w:hAnsi="CG Omega" w:cs="Arial"/>
        </w:rPr>
        <w:t>3.</w:t>
      </w:r>
      <w:r>
        <w:rPr>
          <w:rFonts w:ascii="CG Omega" w:hAnsi="CG Omega" w:cs="Arial"/>
        </w:rPr>
        <w:tab/>
      </w:r>
      <w:r w:rsidR="0049477B" w:rsidRPr="00925169">
        <w:rPr>
          <w:rFonts w:ascii="CG Omega" w:hAnsi="CG Omega" w:cs="Arial"/>
        </w:rPr>
        <w:t>Preserve the state’s existing affordable housing stock</w:t>
      </w:r>
      <w:r>
        <w:rPr>
          <w:rFonts w:ascii="CG Omega" w:hAnsi="CG Omega" w:cs="Arial"/>
        </w:rPr>
        <w:t>.</w:t>
      </w:r>
    </w:p>
    <w:p w:rsidR="0049477B" w:rsidRPr="00925169" w:rsidRDefault="00F917EE" w:rsidP="00A9532E">
      <w:pPr>
        <w:ind w:left="720"/>
        <w:jc w:val="both"/>
        <w:rPr>
          <w:rFonts w:ascii="CG Omega" w:hAnsi="CG Omega" w:cs="Arial"/>
        </w:rPr>
      </w:pPr>
      <w:r w:rsidRPr="00925169">
        <w:rPr>
          <w:rFonts w:ascii="CG Omega" w:hAnsi="CG Omega" w:cs="Arial"/>
        </w:rPr>
        <w:t>a.</w:t>
      </w:r>
      <w:r w:rsidRPr="00925169">
        <w:rPr>
          <w:rFonts w:ascii="CG Omega" w:hAnsi="CG Omega" w:cs="Arial"/>
        </w:rPr>
        <w:tab/>
      </w:r>
      <w:r w:rsidR="0049477B" w:rsidRPr="00925169">
        <w:rPr>
          <w:rFonts w:ascii="CG Omega" w:hAnsi="CG Omega" w:cs="Arial"/>
        </w:rPr>
        <w:t xml:space="preserve">Provide resources for </w:t>
      </w:r>
      <w:r w:rsidR="00B71DBB" w:rsidRPr="00925169">
        <w:rPr>
          <w:rFonts w:ascii="CG Omega" w:hAnsi="CG Omega" w:cs="Arial"/>
        </w:rPr>
        <w:t>owner occupied</w:t>
      </w:r>
      <w:r w:rsidR="0049477B" w:rsidRPr="00925169">
        <w:rPr>
          <w:rFonts w:ascii="CG Omega" w:hAnsi="CG Omega" w:cs="Arial"/>
        </w:rPr>
        <w:t xml:space="preserve"> homeowner housing rehabilitation</w:t>
      </w:r>
      <w:r w:rsidR="00A9532E">
        <w:rPr>
          <w:rFonts w:ascii="CG Omega" w:hAnsi="CG Omega" w:cs="Arial"/>
        </w:rPr>
        <w:t>.</w:t>
      </w:r>
    </w:p>
    <w:p w:rsidR="0049477B" w:rsidRPr="00925169" w:rsidRDefault="0049477B" w:rsidP="0049477B">
      <w:pPr>
        <w:numPr>
          <w:ilvl w:val="1"/>
          <w:numId w:val="55"/>
        </w:numPr>
        <w:spacing w:after="120"/>
        <w:jc w:val="both"/>
        <w:rPr>
          <w:rFonts w:ascii="CG Omega" w:hAnsi="CG Omega" w:cs="Arial"/>
        </w:rPr>
      </w:pPr>
      <w:r w:rsidRPr="00925169">
        <w:rPr>
          <w:rFonts w:ascii="CG Omega" w:hAnsi="CG Omega" w:cs="Arial"/>
        </w:rPr>
        <w:t>Finance multifamily rental acquisition and rehabilitation</w:t>
      </w:r>
      <w:r w:rsidR="00A9532E">
        <w:rPr>
          <w:rFonts w:ascii="CG Omega" w:hAnsi="CG Omega" w:cs="Arial"/>
        </w:rPr>
        <w:t>.</w:t>
      </w:r>
    </w:p>
    <w:p w:rsidR="0049477B" w:rsidRPr="00925169" w:rsidRDefault="00A9532E" w:rsidP="00A9532E">
      <w:pPr>
        <w:jc w:val="both"/>
        <w:rPr>
          <w:rFonts w:ascii="CG Omega" w:hAnsi="CG Omega" w:cs="Arial"/>
        </w:rPr>
      </w:pPr>
      <w:r>
        <w:rPr>
          <w:rFonts w:ascii="CG Omega" w:hAnsi="CG Omega" w:cs="Arial"/>
        </w:rPr>
        <w:t>4.</w:t>
      </w:r>
      <w:r>
        <w:rPr>
          <w:rFonts w:ascii="CG Omega" w:hAnsi="CG Omega" w:cs="Arial"/>
        </w:rPr>
        <w:tab/>
      </w:r>
      <w:r w:rsidR="0049477B" w:rsidRPr="00925169">
        <w:rPr>
          <w:rFonts w:ascii="CG Omega" w:hAnsi="CG Omega" w:cs="Arial"/>
        </w:rPr>
        <w:t>Provide housing for special needs populations, including HIV/AIDS</w:t>
      </w:r>
      <w:r>
        <w:rPr>
          <w:rFonts w:ascii="CG Omega" w:hAnsi="CG Omega" w:cs="Arial"/>
        </w:rPr>
        <w:t>.</w:t>
      </w:r>
    </w:p>
    <w:p w:rsidR="0049477B" w:rsidRPr="00925169" w:rsidRDefault="00F917EE" w:rsidP="00A9532E">
      <w:pPr>
        <w:ind w:left="720"/>
        <w:jc w:val="both"/>
        <w:rPr>
          <w:rFonts w:ascii="CG Omega" w:hAnsi="CG Omega" w:cs="Arial"/>
        </w:rPr>
      </w:pPr>
      <w:r w:rsidRPr="00925169">
        <w:rPr>
          <w:rFonts w:ascii="CG Omega" w:hAnsi="CG Omega" w:cs="Arial"/>
        </w:rPr>
        <w:t>a.</w:t>
      </w:r>
      <w:r w:rsidRPr="00925169">
        <w:rPr>
          <w:rFonts w:ascii="CG Omega" w:hAnsi="CG Omega" w:cs="Arial"/>
        </w:rPr>
        <w:tab/>
      </w:r>
      <w:r w:rsidR="0049477B" w:rsidRPr="00925169">
        <w:rPr>
          <w:rFonts w:ascii="CG Omega" w:hAnsi="CG Omega" w:cs="Arial"/>
        </w:rPr>
        <w:t>Encourage the development of spec</w:t>
      </w:r>
      <w:r w:rsidR="00A9532E">
        <w:rPr>
          <w:rFonts w:ascii="CG Omega" w:hAnsi="CG Omega" w:cs="Arial"/>
        </w:rPr>
        <w:t>ial needs housing with services.</w:t>
      </w:r>
    </w:p>
    <w:p w:rsidR="0049477B" w:rsidRPr="00925169" w:rsidRDefault="00F917EE" w:rsidP="00A9532E">
      <w:pPr>
        <w:ind w:left="720"/>
        <w:jc w:val="both"/>
        <w:rPr>
          <w:rFonts w:ascii="CG Omega" w:hAnsi="CG Omega" w:cs="Arial"/>
        </w:rPr>
      </w:pPr>
      <w:r w:rsidRPr="00925169">
        <w:rPr>
          <w:rFonts w:ascii="CG Omega" w:hAnsi="CG Omega" w:cs="Arial"/>
        </w:rPr>
        <w:t>b.</w:t>
      </w:r>
      <w:r w:rsidRPr="00925169">
        <w:rPr>
          <w:rFonts w:ascii="CG Omega" w:hAnsi="CG Omega" w:cs="Arial"/>
        </w:rPr>
        <w:tab/>
      </w:r>
      <w:r w:rsidR="0049477B" w:rsidRPr="00925169">
        <w:rPr>
          <w:rFonts w:ascii="CG Omega" w:hAnsi="CG Omega" w:cs="Arial"/>
        </w:rPr>
        <w:t>Expand housing opportunities and access for special needs populations</w:t>
      </w:r>
      <w:r w:rsidR="00A9532E">
        <w:rPr>
          <w:rFonts w:ascii="CG Omega" w:hAnsi="CG Omega" w:cs="Arial"/>
        </w:rPr>
        <w:t>.</w:t>
      </w:r>
    </w:p>
    <w:p w:rsidR="0049477B" w:rsidRPr="00925169" w:rsidRDefault="0049477B" w:rsidP="0049477B">
      <w:pPr>
        <w:numPr>
          <w:ilvl w:val="1"/>
          <w:numId w:val="55"/>
        </w:numPr>
        <w:spacing w:after="120"/>
        <w:jc w:val="both"/>
        <w:rPr>
          <w:rFonts w:ascii="CG Omega" w:hAnsi="CG Omega" w:cs="Arial"/>
        </w:rPr>
      </w:pPr>
      <w:r w:rsidRPr="00925169">
        <w:rPr>
          <w:rFonts w:ascii="CG Omega" w:hAnsi="CG Omega" w:cs="Arial"/>
        </w:rPr>
        <w:t xml:space="preserve">Fund </w:t>
      </w:r>
      <w:r w:rsidR="00CC3344" w:rsidRPr="00925169">
        <w:rPr>
          <w:rFonts w:ascii="CG Omega" w:hAnsi="CG Omega" w:cs="Arial"/>
        </w:rPr>
        <w:t>nonprofit</w:t>
      </w:r>
      <w:r w:rsidRPr="00925169">
        <w:rPr>
          <w:rFonts w:ascii="CG Omega" w:hAnsi="CG Omega" w:cs="Arial"/>
        </w:rPr>
        <w:t xml:space="preserve"> entities providing housing and related services for persons living with HIV/AIDS</w:t>
      </w:r>
      <w:r w:rsidR="00A9532E">
        <w:rPr>
          <w:rFonts w:ascii="CG Omega" w:hAnsi="CG Omega" w:cs="Arial"/>
        </w:rPr>
        <w:t>.</w:t>
      </w:r>
      <w:r w:rsidRPr="00925169">
        <w:rPr>
          <w:rFonts w:ascii="CG Omega" w:hAnsi="CG Omega" w:cs="Arial"/>
        </w:rPr>
        <w:t xml:space="preserve">  </w:t>
      </w:r>
    </w:p>
    <w:p w:rsidR="0049477B" w:rsidRPr="00925169" w:rsidRDefault="00A9532E" w:rsidP="00A9532E">
      <w:pPr>
        <w:jc w:val="both"/>
        <w:rPr>
          <w:rFonts w:ascii="CG Omega" w:hAnsi="CG Omega" w:cs="Arial"/>
        </w:rPr>
      </w:pPr>
      <w:r>
        <w:rPr>
          <w:rFonts w:ascii="CG Omega" w:hAnsi="CG Omega" w:cs="Arial"/>
        </w:rPr>
        <w:t>5.</w:t>
      </w:r>
      <w:r>
        <w:rPr>
          <w:rFonts w:ascii="CG Omega" w:hAnsi="CG Omega" w:cs="Arial"/>
        </w:rPr>
        <w:tab/>
      </w:r>
      <w:r w:rsidR="0049477B" w:rsidRPr="00925169">
        <w:rPr>
          <w:rFonts w:ascii="CG Omega" w:hAnsi="CG Omega" w:cs="Arial"/>
        </w:rPr>
        <w:t>Reduce the incidence of homelessness</w:t>
      </w:r>
      <w:r>
        <w:rPr>
          <w:rFonts w:ascii="CG Omega" w:hAnsi="CG Omega" w:cs="Arial"/>
        </w:rPr>
        <w:t>.</w:t>
      </w:r>
    </w:p>
    <w:p w:rsidR="0049477B" w:rsidRPr="00925169" w:rsidRDefault="00F917EE" w:rsidP="00A9532E">
      <w:pPr>
        <w:ind w:left="1080" w:hanging="360"/>
        <w:jc w:val="both"/>
        <w:rPr>
          <w:rFonts w:ascii="CG Omega" w:hAnsi="CG Omega" w:cs="Arial"/>
        </w:rPr>
      </w:pPr>
      <w:r w:rsidRPr="00925169">
        <w:rPr>
          <w:rFonts w:ascii="CG Omega" w:hAnsi="CG Omega" w:cs="Arial"/>
        </w:rPr>
        <w:t>a.</w:t>
      </w:r>
      <w:r w:rsidRPr="00925169">
        <w:rPr>
          <w:rFonts w:ascii="CG Omega" w:hAnsi="CG Omega" w:cs="Arial"/>
        </w:rPr>
        <w:tab/>
      </w:r>
      <w:r w:rsidR="0049477B" w:rsidRPr="00925169">
        <w:rPr>
          <w:rFonts w:ascii="CG Omega" w:hAnsi="CG Omega" w:cs="Arial"/>
        </w:rPr>
        <w:t>Increase the level and range of services provided to the homeless and persons at risk of homelessness</w:t>
      </w:r>
      <w:r w:rsidR="00A9532E">
        <w:rPr>
          <w:rFonts w:ascii="CG Omega" w:hAnsi="CG Omega" w:cs="Arial"/>
        </w:rPr>
        <w:t>.</w:t>
      </w:r>
    </w:p>
    <w:p w:rsidR="0049477B" w:rsidRPr="00925169" w:rsidRDefault="00F917EE" w:rsidP="00A9532E">
      <w:pPr>
        <w:spacing w:after="120"/>
        <w:ind w:left="1080" w:hanging="360"/>
        <w:jc w:val="both"/>
        <w:rPr>
          <w:rFonts w:ascii="CG Omega" w:hAnsi="CG Omega" w:cs="Arial"/>
        </w:rPr>
      </w:pPr>
      <w:r w:rsidRPr="00925169">
        <w:rPr>
          <w:rFonts w:ascii="CG Omega" w:hAnsi="CG Omega" w:cs="Arial"/>
        </w:rPr>
        <w:t>b.</w:t>
      </w:r>
      <w:r w:rsidRPr="00925169">
        <w:rPr>
          <w:rFonts w:ascii="CG Omega" w:hAnsi="CG Omega" w:cs="Arial"/>
        </w:rPr>
        <w:tab/>
      </w:r>
      <w:r w:rsidR="0049477B" w:rsidRPr="00925169">
        <w:rPr>
          <w:rFonts w:ascii="CG Omega" w:hAnsi="CG Omega" w:cs="Arial"/>
        </w:rPr>
        <w:t>Increase the number of available living environments, especially permanent housing situations for persons who have been homeless or are at risk of homelessness.</w:t>
      </w:r>
    </w:p>
    <w:p w:rsidR="00AB5735" w:rsidRPr="00925169" w:rsidRDefault="00941552" w:rsidP="00A9532E">
      <w:pPr>
        <w:jc w:val="both"/>
        <w:rPr>
          <w:rFonts w:ascii="CG Omega" w:hAnsi="CG Omega" w:cs="Arial"/>
        </w:rPr>
      </w:pPr>
      <w:r w:rsidRPr="00925169">
        <w:rPr>
          <w:rFonts w:ascii="CG Omega" w:hAnsi="CG Omega" w:cs="Arial"/>
        </w:rPr>
        <w:t>6.</w:t>
      </w:r>
      <w:r w:rsidR="00A9532E">
        <w:rPr>
          <w:rFonts w:ascii="CG Omega" w:hAnsi="CG Omega" w:cs="Arial"/>
        </w:rPr>
        <w:tab/>
      </w:r>
      <w:r w:rsidR="00AB5735" w:rsidRPr="00925169">
        <w:rPr>
          <w:rFonts w:ascii="CG Omega" w:hAnsi="CG Omega" w:cs="Arial"/>
        </w:rPr>
        <w:t>Enhance the quality of New Mexico’s community development activities.</w:t>
      </w:r>
    </w:p>
    <w:p w:rsidR="00AB5735" w:rsidRPr="00925169" w:rsidRDefault="00941552" w:rsidP="00A9532E">
      <w:pPr>
        <w:ind w:left="1080" w:hanging="360"/>
        <w:jc w:val="both"/>
        <w:rPr>
          <w:rFonts w:ascii="CG Omega" w:hAnsi="CG Omega" w:cs="Arial"/>
        </w:rPr>
      </w:pPr>
      <w:r w:rsidRPr="00925169">
        <w:rPr>
          <w:rFonts w:ascii="CG Omega" w:hAnsi="CG Omega" w:cs="Arial"/>
        </w:rPr>
        <w:t>a.</w:t>
      </w:r>
      <w:r w:rsidRPr="00925169">
        <w:rPr>
          <w:rFonts w:ascii="CG Omega" w:hAnsi="CG Omega" w:cs="Arial"/>
        </w:rPr>
        <w:tab/>
      </w:r>
      <w:r w:rsidR="00AB5735" w:rsidRPr="00925169">
        <w:rPr>
          <w:rFonts w:ascii="CG Omega" w:hAnsi="CG Omega" w:cs="Arial"/>
        </w:rPr>
        <w:t>Fund improvements to CDBG non-entitlement area water and sewer facilities</w:t>
      </w:r>
      <w:r w:rsidR="00A9532E">
        <w:rPr>
          <w:rFonts w:ascii="CG Omega" w:hAnsi="CG Omega" w:cs="Arial"/>
        </w:rPr>
        <w:t>.</w:t>
      </w:r>
    </w:p>
    <w:p w:rsidR="00AB5735" w:rsidRPr="00925169" w:rsidRDefault="00941552" w:rsidP="00A9532E">
      <w:pPr>
        <w:ind w:left="1080" w:hanging="360"/>
        <w:jc w:val="both"/>
        <w:rPr>
          <w:rFonts w:ascii="CG Omega" w:hAnsi="CG Omega" w:cs="Arial"/>
        </w:rPr>
      </w:pPr>
      <w:r w:rsidRPr="00925169">
        <w:rPr>
          <w:rFonts w:ascii="CG Omega" w:hAnsi="CG Omega" w:cs="Arial"/>
        </w:rPr>
        <w:t>b.</w:t>
      </w:r>
      <w:r w:rsidRPr="00925169">
        <w:rPr>
          <w:rFonts w:ascii="CG Omega" w:hAnsi="CG Omega" w:cs="Arial"/>
        </w:rPr>
        <w:tab/>
      </w:r>
      <w:r w:rsidR="00AB5735" w:rsidRPr="00925169">
        <w:rPr>
          <w:rFonts w:ascii="CG Omega" w:hAnsi="CG Omega" w:cs="Arial"/>
        </w:rPr>
        <w:t>Fund improvements to CDBG non-entitlement area streets and storm sewers.</w:t>
      </w:r>
    </w:p>
    <w:p w:rsidR="00AB5735" w:rsidRPr="00925169" w:rsidRDefault="00941552" w:rsidP="00A9532E">
      <w:pPr>
        <w:ind w:left="720"/>
        <w:jc w:val="both"/>
        <w:rPr>
          <w:rFonts w:ascii="CG Omega" w:hAnsi="CG Omega" w:cs="Arial"/>
        </w:rPr>
      </w:pPr>
      <w:r w:rsidRPr="00925169">
        <w:rPr>
          <w:rFonts w:ascii="CG Omega" w:hAnsi="CG Omega" w:cs="Arial"/>
        </w:rPr>
        <w:t>c.</w:t>
      </w:r>
      <w:r w:rsidRPr="00925169">
        <w:rPr>
          <w:rFonts w:ascii="CG Omega" w:hAnsi="CG Omega" w:cs="Arial"/>
        </w:rPr>
        <w:tab/>
      </w:r>
      <w:r w:rsidR="00AB5735" w:rsidRPr="00925169">
        <w:rPr>
          <w:rFonts w:ascii="CG Omega" w:hAnsi="CG Omega" w:cs="Arial"/>
        </w:rPr>
        <w:t>Fund infrastructure CDBG improvements in the colonias</w:t>
      </w:r>
      <w:r w:rsidR="00A9532E">
        <w:rPr>
          <w:rFonts w:ascii="CG Omega" w:hAnsi="CG Omega" w:cs="Arial"/>
        </w:rPr>
        <w:t>.</w:t>
      </w:r>
    </w:p>
    <w:p w:rsidR="0049477B" w:rsidRPr="00925169" w:rsidRDefault="00941552" w:rsidP="00A9532E">
      <w:pPr>
        <w:spacing w:after="120"/>
        <w:ind w:left="1080" w:hanging="360"/>
        <w:jc w:val="both"/>
        <w:rPr>
          <w:rFonts w:ascii="CG Omega" w:hAnsi="CG Omega" w:cs="Arial"/>
        </w:rPr>
      </w:pPr>
      <w:r w:rsidRPr="00925169">
        <w:rPr>
          <w:rFonts w:ascii="CG Omega" w:hAnsi="CG Omega" w:cs="Arial"/>
        </w:rPr>
        <w:t>d.</w:t>
      </w:r>
      <w:r w:rsidRPr="00925169">
        <w:rPr>
          <w:rFonts w:ascii="CG Omega" w:hAnsi="CG Omega" w:cs="Arial"/>
        </w:rPr>
        <w:tab/>
      </w:r>
      <w:r w:rsidR="00AB5735" w:rsidRPr="00925169">
        <w:rPr>
          <w:rFonts w:ascii="CG Omega" w:hAnsi="CG Omega" w:cs="Arial"/>
        </w:rPr>
        <w:t>Continue set</w:t>
      </w:r>
      <w:r w:rsidR="00A9532E">
        <w:rPr>
          <w:rFonts w:ascii="CG Omega" w:hAnsi="CG Omega" w:cs="Arial"/>
        </w:rPr>
        <w:t xml:space="preserve"> </w:t>
      </w:r>
      <w:r w:rsidR="00AB5735" w:rsidRPr="00925169">
        <w:rPr>
          <w:rFonts w:ascii="CG Omega" w:hAnsi="CG Omega" w:cs="Arial"/>
        </w:rPr>
        <w:t>aside for planning that includes comprehensive planning, asset management, preliminary engineering reports and any other studies or plans listed in CDBG rules and regulations</w:t>
      </w:r>
      <w:r w:rsidR="00A9532E">
        <w:rPr>
          <w:rFonts w:ascii="CG Omega" w:hAnsi="CG Omega" w:cs="Arial"/>
        </w:rPr>
        <w:t>.</w:t>
      </w:r>
    </w:p>
    <w:p w:rsidR="0049477B" w:rsidRPr="00925169" w:rsidRDefault="0049477B" w:rsidP="0049477B">
      <w:pPr>
        <w:jc w:val="both"/>
        <w:rPr>
          <w:rFonts w:ascii="CG Omega" w:hAnsi="CG Omega" w:cs="Arial"/>
        </w:rPr>
      </w:pPr>
      <w:r w:rsidRPr="00925169">
        <w:rPr>
          <w:rFonts w:ascii="CG Omega" w:hAnsi="CG Omega" w:cs="Arial"/>
        </w:rPr>
        <w:t>Each of the strategies identified above, as well as the objectives consistent with each strategy are discussed in greater detail below. Performance measurement criteria are presented at the end of each strategy narrative.</w:t>
      </w:r>
    </w:p>
    <w:p w:rsidR="0049477B" w:rsidRPr="00925169" w:rsidRDefault="0049477B" w:rsidP="0049477B">
      <w:pPr>
        <w:jc w:val="both"/>
        <w:rPr>
          <w:rFonts w:ascii="CG Omega" w:hAnsi="CG Omega" w:cs="Arial"/>
          <w:highlight w:val="yellow"/>
        </w:rPr>
      </w:pPr>
    </w:p>
    <w:p w:rsidR="0049477B" w:rsidRPr="000E3CCA" w:rsidRDefault="0049477B" w:rsidP="0049477B">
      <w:pPr>
        <w:keepNext/>
        <w:pBdr>
          <w:bottom w:val="double" w:sz="4" w:space="1" w:color="008000"/>
        </w:pBdr>
        <w:outlineLvl w:val="0"/>
        <w:rPr>
          <w:rFonts w:ascii="CG Omega" w:hAnsi="CG Omega"/>
          <w:b/>
          <w:color w:val="008000"/>
          <w:spacing w:val="-2"/>
          <w:sz w:val="26"/>
          <w:szCs w:val="20"/>
          <w:u w:val="single"/>
        </w:rPr>
      </w:pPr>
      <w:r w:rsidRPr="000E3CCA">
        <w:rPr>
          <w:rFonts w:ascii="CG Omega" w:hAnsi="CG Omega"/>
          <w:b/>
          <w:smallCaps/>
          <w:color w:val="008000"/>
          <w:sz w:val="26"/>
          <w:szCs w:val="20"/>
        </w:rPr>
        <w:t>Strategy 1: Expand the Supply of Quality Affordable Housing</w:t>
      </w:r>
    </w:p>
    <w:p w:rsidR="0049477B" w:rsidRPr="00A9532E" w:rsidRDefault="0049477B" w:rsidP="0049477B">
      <w:pPr>
        <w:jc w:val="both"/>
        <w:rPr>
          <w:rFonts w:ascii="CG Omega" w:hAnsi="CG Omega" w:cs="Arial"/>
          <w:b/>
          <w:u w:val="single"/>
        </w:rPr>
      </w:pPr>
    </w:p>
    <w:p w:rsidR="0049477B" w:rsidRPr="000E3CCA" w:rsidRDefault="0049477B" w:rsidP="0049477B">
      <w:pPr>
        <w:jc w:val="both"/>
        <w:rPr>
          <w:rFonts w:ascii="CG Omega" w:hAnsi="CG Omega" w:cs="Arial"/>
        </w:rPr>
      </w:pPr>
      <w:r w:rsidRPr="000E3CCA">
        <w:rPr>
          <w:rFonts w:ascii="CG Omega" w:hAnsi="CG Omega" w:cs="Arial"/>
        </w:rPr>
        <w:t xml:space="preserve">The population throughout New Mexico continues to increase, and this growth is occurring more quickly in the urban areas and declining in the rural areas of the state.  The demand for quality affordable housing will continue to rise along with population, but at different rates depending on the local community’s economic, demographic and housing market conditions.  The goal of </w:t>
      </w:r>
      <w:r w:rsidR="00CC3344">
        <w:rPr>
          <w:rFonts w:ascii="CG Omega" w:hAnsi="CG Omega" w:cs="Arial"/>
        </w:rPr>
        <w:t>MFA</w:t>
      </w:r>
      <w:r w:rsidRPr="000E3CCA">
        <w:rPr>
          <w:rFonts w:ascii="CG Omega" w:hAnsi="CG Omega" w:cs="Arial"/>
        </w:rPr>
        <w:t xml:space="preserve">’s housing programs is, as stated in MFA’s mandate, “to finance the acquisition, construction, rehabilitation, and improvement of residential housing for persons and families of low or moderate income within the state.”  MFA wishes to distribute program resources equitably and in response to specific needs around the state.  MFA will continue to work with CHDOs, for-profits, </w:t>
      </w:r>
      <w:r w:rsidR="005347C1">
        <w:rPr>
          <w:rFonts w:ascii="CG Omega" w:hAnsi="CG Omega" w:cs="Arial"/>
        </w:rPr>
        <w:t>nonprofit</w:t>
      </w:r>
      <w:r w:rsidRPr="000E3CCA">
        <w:rPr>
          <w:rFonts w:ascii="CG Omega" w:hAnsi="CG Omega" w:cs="Arial"/>
        </w:rPr>
        <w:t xml:space="preserve">s, regional and local housing authorities, tribal housing entities, lenders, </w:t>
      </w:r>
      <w:r>
        <w:rPr>
          <w:rFonts w:ascii="CG Omega" w:hAnsi="CG Omega" w:cs="Arial"/>
        </w:rPr>
        <w:t>local and tribal governments</w:t>
      </w:r>
      <w:r w:rsidRPr="000E3CCA">
        <w:rPr>
          <w:rFonts w:ascii="CG Omega" w:hAnsi="CG Omega" w:cs="Arial"/>
        </w:rPr>
        <w:t xml:space="preserve"> and other agencies to facilitate the production of additional suitable affordable housing choices.</w:t>
      </w:r>
    </w:p>
    <w:p w:rsidR="0049477B" w:rsidRPr="000E3CCA" w:rsidRDefault="0049477B" w:rsidP="0049477B">
      <w:pPr>
        <w:jc w:val="both"/>
        <w:rPr>
          <w:rFonts w:ascii="CG Omega" w:hAnsi="CG Omega" w:cs="Arial"/>
          <w:sz w:val="16"/>
          <w:szCs w:val="16"/>
        </w:rPr>
      </w:pPr>
    </w:p>
    <w:p w:rsidR="0049477B" w:rsidRPr="000E3CCA" w:rsidRDefault="0049477B" w:rsidP="0049477B">
      <w:pPr>
        <w:jc w:val="both"/>
        <w:rPr>
          <w:rFonts w:ascii="CG Omega" w:hAnsi="CG Omega" w:cs="Arial"/>
          <w:b/>
          <w:smallCaps/>
        </w:rPr>
      </w:pPr>
      <w:r w:rsidRPr="000E3CCA">
        <w:rPr>
          <w:rFonts w:ascii="CG Omega" w:hAnsi="CG Omega" w:cs="Arial"/>
          <w:b/>
          <w:smallCaps/>
        </w:rPr>
        <w:t>Objectives</w:t>
      </w:r>
    </w:p>
    <w:p w:rsidR="0049477B" w:rsidRPr="000E3CCA" w:rsidRDefault="0049477B" w:rsidP="0049477B">
      <w:pPr>
        <w:jc w:val="both"/>
        <w:rPr>
          <w:rFonts w:ascii="CG Omega" w:hAnsi="CG Omega" w:cs="Arial"/>
          <w:b/>
          <w:sz w:val="16"/>
          <w:szCs w:val="16"/>
        </w:rPr>
      </w:pPr>
    </w:p>
    <w:p w:rsidR="0049477B" w:rsidRPr="000E3CCA" w:rsidRDefault="0049477B" w:rsidP="0049477B">
      <w:pPr>
        <w:jc w:val="both"/>
        <w:rPr>
          <w:rFonts w:ascii="CG Omega" w:hAnsi="CG Omega" w:cs="Arial"/>
          <w:b/>
        </w:rPr>
      </w:pPr>
      <w:r w:rsidRPr="000E3CCA">
        <w:rPr>
          <w:rFonts w:ascii="CG Omega" w:hAnsi="CG Omega" w:cs="Arial"/>
          <w:b/>
        </w:rPr>
        <w:t>Finance Multifamily Rental Housing New Construction</w:t>
      </w:r>
    </w:p>
    <w:p w:rsidR="0049477B" w:rsidRPr="000E3CCA" w:rsidRDefault="0049477B" w:rsidP="0049477B">
      <w:pPr>
        <w:jc w:val="both"/>
        <w:rPr>
          <w:rFonts w:ascii="CG Omega" w:hAnsi="CG Omega" w:cs="Arial"/>
          <w:b/>
          <w:sz w:val="16"/>
          <w:szCs w:val="16"/>
        </w:rPr>
      </w:pPr>
    </w:p>
    <w:p w:rsidR="0049477B" w:rsidRPr="000E3CCA" w:rsidRDefault="0049477B" w:rsidP="0049477B">
      <w:pPr>
        <w:jc w:val="both"/>
        <w:rPr>
          <w:rFonts w:ascii="CG Omega" w:hAnsi="CG Omega" w:cs="Arial"/>
        </w:rPr>
      </w:pPr>
      <w:r w:rsidRPr="000E3CCA">
        <w:rPr>
          <w:rFonts w:ascii="CG Omega" w:hAnsi="CG Omega" w:cs="Arial"/>
        </w:rPr>
        <w:t xml:space="preserve">Because New Mexico’s population is expanding in the more urban areas and a portion of this population may not be ready for homeownership, there remains a need to provide affordable new construction rental opportunities.  Furthermore, in areas of </w:t>
      </w:r>
      <w:r w:rsidR="00A9532E" w:rsidRPr="000E3CCA">
        <w:rPr>
          <w:rFonts w:ascii="CG Omega" w:hAnsi="CG Omega" w:cs="Arial"/>
        </w:rPr>
        <w:t>static</w:t>
      </w:r>
      <w:r w:rsidRPr="000E3CCA">
        <w:rPr>
          <w:rFonts w:ascii="CG Omega" w:hAnsi="CG Omega" w:cs="Arial"/>
        </w:rPr>
        <w:t xml:space="preserve"> or potentially declining populations, there remain opportunities to redevelop sites with desirable rental housing, thereby assisting to resuscitate communities in New Mexico.  The new construction must be handled in a thoughtful manner that takes into consideration the issues and the long term viability of the entire community.  </w:t>
      </w:r>
    </w:p>
    <w:p w:rsidR="0049477B" w:rsidRPr="000E3CCA" w:rsidRDefault="0049477B" w:rsidP="0049477B">
      <w:pPr>
        <w:jc w:val="both"/>
        <w:rPr>
          <w:rFonts w:ascii="CG Omega" w:hAnsi="CG Omega" w:cs="Arial"/>
        </w:rPr>
      </w:pPr>
    </w:p>
    <w:p w:rsidR="0049477B" w:rsidRPr="000E3CCA" w:rsidRDefault="0049477B" w:rsidP="0049477B">
      <w:pPr>
        <w:jc w:val="both"/>
        <w:rPr>
          <w:rFonts w:ascii="CG Omega" w:hAnsi="CG Omega" w:cs="Arial"/>
        </w:rPr>
      </w:pPr>
      <w:r w:rsidRPr="000E3CCA">
        <w:rPr>
          <w:rFonts w:ascii="CG Omega" w:hAnsi="CG Omega" w:cs="Arial"/>
        </w:rPr>
        <w:t xml:space="preserve">This objective can be accomplished through the following goals: </w:t>
      </w:r>
    </w:p>
    <w:p w:rsidR="0049477B" w:rsidRPr="000E3CCA" w:rsidRDefault="0049477B" w:rsidP="0049477B">
      <w:pPr>
        <w:numPr>
          <w:ilvl w:val="0"/>
          <w:numId w:val="56"/>
        </w:numPr>
        <w:jc w:val="both"/>
        <w:rPr>
          <w:rFonts w:ascii="CG Omega" w:hAnsi="CG Omega" w:cs="Arial"/>
          <w:b/>
        </w:rPr>
      </w:pPr>
      <w:r w:rsidRPr="000E3CCA">
        <w:rPr>
          <w:rFonts w:ascii="CG Omega" w:hAnsi="CG Omega" w:cs="Arial"/>
        </w:rPr>
        <w:t xml:space="preserve">Encouraging leveraging of federal resources to generate </w:t>
      </w:r>
      <w:r w:rsidR="00CC3344">
        <w:rPr>
          <w:rFonts w:ascii="CG Omega" w:hAnsi="CG Omega" w:cs="Arial"/>
        </w:rPr>
        <w:t>multifamily</w:t>
      </w:r>
      <w:r w:rsidRPr="000E3CCA">
        <w:rPr>
          <w:rFonts w:ascii="CG Omega" w:hAnsi="CG Omega" w:cs="Arial"/>
        </w:rPr>
        <w:t xml:space="preserve"> rental housing new construction</w:t>
      </w:r>
      <w:r w:rsidR="00A9532E">
        <w:rPr>
          <w:rFonts w:ascii="CG Omega" w:hAnsi="CG Omega" w:cs="Arial"/>
        </w:rPr>
        <w:t>.</w:t>
      </w:r>
    </w:p>
    <w:p w:rsidR="0049477B" w:rsidRPr="000E3CCA" w:rsidRDefault="0049477B" w:rsidP="0049477B">
      <w:pPr>
        <w:numPr>
          <w:ilvl w:val="0"/>
          <w:numId w:val="56"/>
        </w:numPr>
        <w:jc w:val="both"/>
        <w:rPr>
          <w:rFonts w:ascii="CG Omega" w:hAnsi="CG Omega" w:cs="Arial"/>
          <w:b/>
        </w:rPr>
      </w:pPr>
      <w:r w:rsidRPr="000E3CCA">
        <w:rPr>
          <w:rFonts w:ascii="CG Omega" w:hAnsi="CG Omega" w:cs="Arial"/>
        </w:rPr>
        <w:t xml:space="preserve">Facilitating CHDO set aside resources for </w:t>
      </w:r>
      <w:r w:rsidR="00CC3344">
        <w:rPr>
          <w:rFonts w:ascii="CG Omega" w:hAnsi="CG Omega" w:cs="Arial"/>
        </w:rPr>
        <w:t>multifamily</w:t>
      </w:r>
      <w:r w:rsidRPr="000E3CCA">
        <w:rPr>
          <w:rFonts w:ascii="CG Omega" w:hAnsi="CG Omega" w:cs="Arial"/>
        </w:rPr>
        <w:t xml:space="preserve"> new construction</w:t>
      </w:r>
      <w:r w:rsidR="00A9532E">
        <w:rPr>
          <w:rFonts w:ascii="CG Omega" w:hAnsi="CG Omega" w:cs="Arial"/>
        </w:rPr>
        <w:t>.</w:t>
      </w:r>
    </w:p>
    <w:p w:rsidR="0049477B" w:rsidRPr="000E3CCA" w:rsidRDefault="0049477B" w:rsidP="0049477B">
      <w:pPr>
        <w:numPr>
          <w:ilvl w:val="0"/>
          <w:numId w:val="56"/>
        </w:numPr>
        <w:jc w:val="both"/>
        <w:rPr>
          <w:rFonts w:ascii="CG Omega" w:hAnsi="CG Omega" w:cs="Arial"/>
        </w:rPr>
      </w:pPr>
      <w:r w:rsidRPr="000E3CCA">
        <w:rPr>
          <w:rFonts w:ascii="CG Omega" w:hAnsi="CG Omega" w:cs="Arial"/>
        </w:rPr>
        <w:t>Funding rental redevelopment opportunities as opportunities are identified.</w:t>
      </w:r>
    </w:p>
    <w:p w:rsidR="00346C29" w:rsidRDefault="00346C29">
      <w:pPr>
        <w:rPr>
          <w:rFonts w:ascii="CG Omega" w:hAnsi="CG Omega" w:cs="Arial"/>
          <w:b/>
          <w:smallCaps/>
          <w:color w:val="0000FF"/>
        </w:rPr>
      </w:pPr>
    </w:p>
    <w:p w:rsidR="0049477B" w:rsidRPr="000E3CCA" w:rsidRDefault="0049477B" w:rsidP="0049477B">
      <w:pPr>
        <w:pBdr>
          <w:bottom w:val="double" w:sz="4" w:space="1" w:color="0000FF"/>
        </w:pBdr>
        <w:jc w:val="both"/>
        <w:rPr>
          <w:rFonts w:ascii="CG Omega" w:hAnsi="CG Omega" w:cs="Arial"/>
          <w:b/>
          <w:color w:val="0000FF"/>
          <w:spacing w:val="3"/>
        </w:rPr>
      </w:pPr>
      <w:r w:rsidRPr="000E3CCA">
        <w:rPr>
          <w:rFonts w:ascii="CG Omega" w:hAnsi="CG Omega" w:cs="Arial"/>
          <w:b/>
          <w:smallCaps/>
          <w:color w:val="0000FF"/>
        </w:rPr>
        <w:t>Performance Measurement Criteria</w:t>
      </w:r>
    </w:p>
    <w:p w:rsidR="0049477B" w:rsidRPr="000E3CCA" w:rsidRDefault="0049477B" w:rsidP="0049477B">
      <w:pPr>
        <w:rPr>
          <w:rFonts w:ascii="CG Omega" w:hAnsi="CG Omega"/>
          <w:sz w:val="16"/>
          <w:szCs w:val="16"/>
        </w:rPr>
      </w:pPr>
    </w:p>
    <w:p w:rsidR="0049477B" w:rsidRPr="000E3CCA" w:rsidRDefault="0049477B" w:rsidP="0049477B">
      <w:pPr>
        <w:jc w:val="both"/>
        <w:rPr>
          <w:rFonts w:ascii="CG Omega" w:hAnsi="CG Omega" w:cs="Arial"/>
          <w:b/>
        </w:rPr>
      </w:pPr>
      <w:r w:rsidRPr="000E3CCA">
        <w:rPr>
          <w:rFonts w:ascii="CG Omega" w:hAnsi="CG Omega" w:cs="Arial"/>
          <w:b/>
        </w:rPr>
        <w:t xml:space="preserve">Finance </w:t>
      </w:r>
      <w:r w:rsidR="00CC3344">
        <w:rPr>
          <w:rFonts w:ascii="CG Omega" w:hAnsi="CG Omega" w:cs="Arial"/>
          <w:b/>
        </w:rPr>
        <w:t>Multifamily</w:t>
      </w:r>
      <w:r w:rsidRPr="000E3CCA">
        <w:rPr>
          <w:rFonts w:ascii="CG Omega" w:hAnsi="CG Omega" w:cs="Arial"/>
          <w:b/>
        </w:rPr>
        <w:t xml:space="preserve"> Rental Housing New Construction</w:t>
      </w:r>
    </w:p>
    <w:p w:rsidR="0049477B" w:rsidRPr="000E3CCA" w:rsidRDefault="0049477B" w:rsidP="0049477B">
      <w:pPr>
        <w:ind w:left="360"/>
        <w:jc w:val="both"/>
        <w:rPr>
          <w:rFonts w:ascii="CG Omega" w:hAnsi="CG Omega" w:cs="Arial"/>
          <w:i/>
          <w:sz w:val="16"/>
          <w:szCs w:val="16"/>
        </w:rPr>
      </w:pPr>
    </w:p>
    <w:p w:rsidR="0049477B" w:rsidRPr="000E3CCA" w:rsidRDefault="0049477B" w:rsidP="0049477B">
      <w:pPr>
        <w:ind w:left="720" w:hanging="360"/>
        <w:jc w:val="both"/>
        <w:rPr>
          <w:rFonts w:ascii="CG Omega" w:hAnsi="CG Omega" w:cs="Arial"/>
        </w:rPr>
      </w:pPr>
      <w:r w:rsidRPr="000E3CCA">
        <w:rPr>
          <w:rFonts w:ascii="CG Omega" w:hAnsi="CG Omega" w:cs="Arial"/>
          <w:i/>
        </w:rPr>
        <w:t>Availability/Accessibility</w:t>
      </w:r>
      <w:r w:rsidRPr="000E3CCA">
        <w:rPr>
          <w:rFonts w:ascii="CG Omega" w:hAnsi="CG Omega" w:cs="Arial"/>
        </w:rPr>
        <w:t>: The number of eligible households that benefit from new rental construction</w:t>
      </w:r>
      <w:r w:rsidR="00A9532E">
        <w:rPr>
          <w:rFonts w:ascii="CG Omega" w:hAnsi="CG Omega" w:cs="Arial"/>
        </w:rPr>
        <w:t>.</w:t>
      </w:r>
    </w:p>
    <w:p w:rsidR="0049477B" w:rsidRPr="000E3CCA" w:rsidRDefault="0049477B" w:rsidP="0049477B">
      <w:pPr>
        <w:ind w:left="720" w:hanging="360"/>
        <w:jc w:val="both"/>
        <w:rPr>
          <w:rFonts w:ascii="CG Omega" w:hAnsi="CG Omega" w:cs="Arial"/>
        </w:rPr>
      </w:pPr>
      <w:r w:rsidRPr="000E3CCA">
        <w:rPr>
          <w:rFonts w:ascii="CG Omega" w:hAnsi="CG Omega" w:cs="Arial"/>
          <w:i/>
        </w:rPr>
        <w:t>Affordability</w:t>
      </w:r>
      <w:r w:rsidRPr="000E3CCA">
        <w:rPr>
          <w:rFonts w:ascii="CG Omega" w:hAnsi="CG Omega" w:cs="Arial"/>
        </w:rPr>
        <w:t xml:space="preserve">: The number of affordable rental housing units that have been </w:t>
      </w:r>
      <w:r>
        <w:rPr>
          <w:rFonts w:ascii="CG Omega" w:hAnsi="CG Omega" w:cs="Arial"/>
        </w:rPr>
        <w:t>financed</w:t>
      </w:r>
      <w:r w:rsidR="00A9532E">
        <w:rPr>
          <w:rFonts w:ascii="CG Omega" w:hAnsi="CG Omega" w:cs="Arial"/>
        </w:rPr>
        <w:t>.</w:t>
      </w:r>
    </w:p>
    <w:p w:rsidR="0049477B" w:rsidRPr="000E3CCA" w:rsidRDefault="0049477B" w:rsidP="0049477B">
      <w:pPr>
        <w:ind w:left="720" w:hanging="360"/>
        <w:jc w:val="both"/>
        <w:rPr>
          <w:rFonts w:ascii="CG Omega" w:hAnsi="CG Omega" w:cs="Arial"/>
        </w:rPr>
      </w:pPr>
      <w:r w:rsidRPr="000E3CCA">
        <w:rPr>
          <w:rFonts w:ascii="CG Omega" w:hAnsi="CG Omega" w:cs="Arial"/>
          <w:i/>
        </w:rPr>
        <w:t>Sustainability</w:t>
      </w:r>
      <w:r w:rsidRPr="000E3CCA">
        <w:rPr>
          <w:rFonts w:ascii="CG Omega" w:hAnsi="CG Omega" w:cs="Arial"/>
        </w:rPr>
        <w:t>: The number of affordable rental housing units that have been added to the affordable rental housing stock</w:t>
      </w:r>
      <w:r w:rsidR="00A9532E">
        <w:rPr>
          <w:rFonts w:ascii="CG Omega" w:hAnsi="CG Omega" w:cs="Arial"/>
        </w:rPr>
        <w:t>.</w:t>
      </w:r>
    </w:p>
    <w:p w:rsidR="0049477B" w:rsidRPr="00A9532E" w:rsidRDefault="0049477B" w:rsidP="0049477B">
      <w:pPr>
        <w:jc w:val="both"/>
        <w:rPr>
          <w:rFonts w:ascii="CG Omega" w:hAnsi="CG Omega" w:cs="Arial"/>
        </w:rPr>
      </w:pPr>
    </w:p>
    <w:p w:rsidR="0049477B" w:rsidRPr="000E3CCA" w:rsidRDefault="0049477B" w:rsidP="0049477B">
      <w:pPr>
        <w:keepNext/>
        <w:pBdr>
          <w:bottom w:val="double" w:sz="4" w:space="1" w:color="008000"/>
        </w:pBdr>
        <w:outlineLvl w:val="0"/>
        <w:rPr>
          <w:rFonts w:ascii="CG Omega" w:hAnsi="CG Omega"/>
          <w:b/>
          <w:color w:val="008000"/>
          <w:spacing w:val="-2"/>
          <w:sz w:val="26"/>
          <w:szCs w:val="20"/>
          <w:u w:val="single"/>
        </w:rPr>
      </w:pPr>
      <w:r w:rsidRPr="000E3CCA">
        <w:rPr>
          <w:rFonts w:ascii="CG Omega" w:hAnsi="CG Omega"/>
          <w:b/>
          <w:smallCaps/>
          <w:color w:val="008000"/>
          <w:sz w:val="26"/>
          <w:szCs w:val="20"/>
        </w:rPr>
        <w:t>Strategy 2: Increase Opportunities for Homeownership</w:t>
      </w:r>
    </w:p>
    <w:p w:rsidR="0049477B" w:rsidRPr="000E3CCA" w:rsidRDefault="0049477B" w:rsidP="0049477B">
      <w:pPr>
        <w:jc w:val="both"/>
        <w:rPr>
          <w:rFonts w:ascii="CG Omega" w:hAnsi="CG Omega" w:cs="Arial"/>
          <w:b/>
          <w:sz w:val="16"/>
          <w:szCs w:val="16"/>
        </w:rPr>
      </w:pPr>
    </w:p>
    <w:p w:rsidR="0049477B" w:rsidRPr="000E3CCA" w:rsidRDefault="0049477B" w:rsidP="0049477B">
      <w:pPr>
        <w:jc w:val="both"/>
        <w:rPr>
          <w:rFonts w:ascii="CG Omega" w:hAnsi="CG Omega" w:cs="Arial"/>
        </w:rPr>
      </w:pPr>
      <w:r w:rsidRPr="000E3CCA">
        <w:rPr>
          <w:rFonts w:ascii="CG Omega" w:hAnsi="CG Omega" w:cs="Arial"/>
        </w:rPr>
        <w:t xml:space="preserve">MFA and its service providers are committed to enhancing opportunities for homeownership to eligible low-income citizens.  </w:t>
      </w:r>
    </w:p>
    <w:p w:rsidR="0049477B" w:rsidRPr="000E3CCA" w:rsidRDefault="0049477B" w:rsidP="0049477B">
      <w:pPr>
        <w:jc w:val="both"/>
        <w:rPr>
          <w:rFonts w:ascii="CG Omega" w:hAnsi="CG Omega" w:cs="Arial"/>
          <w:sz w:val="16"/>
          <w:szCs w:val="16"/>
        </w:rPr>
      </w:pPr>
    </w:p>
    <w:p w:rsidR="0049477B" w:rsidRPr="000E3CCA" w:rsidRDefault="0049477B" w:rsidP="0049477B">
      <w:pPr>
        <w:jc w:val="both"/>
        <w:rPr>
          <w:rFonts w:ascii="CG Omega" w:hAnsi="CG Omega" w:cs="Arial"/>
          <w:b/>
          <w:smallCaps/>
        </w:rPr>
      </w:pPr>
      <w:r w:rsidRPr="000E3CCA">
        <w:rPr>
          <w:rFonts w:ascii="CG Omega" w:hAnsi="CG Omega" w:cs="Arial"/>
          <w:b/>
          <w:smallCaps/>
        </w:rPr>
        <w:t>Objectives</w:t>
      </w:r>
    </w:p>
    <w:p w:rsidR="0049477B" w:rsidRPr="000E3CCA" w:rsidRDefault="0049477B" w:rsidP="0049477B">
      <w:pPr>
        <w:jc w:val="both"/>
        <w:rPr>
          <w:rFonts w:ascii="CG Omega" w:hAnsi="CG Omega" w:cs="Arial"/>
          <w:b/>
          <w:sz w:val="16"/>
          <w:szCs w:val="16"/>
        </w:rPr>
      </w:pPr>
    </w:p>
    <w:p w:rsidR="0049477B" w:rsidRPr="000E3CCA" w:rsidRDefault="0049477B" w:rsidP="0049477B">
      <w:pPr>
        <w:jc w:val="both"/>
        <w:rPr>
          <w:rFonts w:ascii="CG Omega" w:hAnsi="CG Omega" w:cs="Arial"/>
          <w:b/>
        </w:rPr>
      </w:pPr>
      <w:r w:rsidRPr="000E3CCA">
        <w:rPr>
          <w:rFonts w:ascii="CG Omega" w:hAnsi="CG Omega" w:cs="Arial"/>
          <w:b/>
        </w:rPr>
        <w:t>Provide Financial Assistance to First-Time Homebuyers</w:t>
      </w:r>
    </w:p>
    <w:p w:rsidR="0049477B" w:rsidRPr="000E3CCA" w:rsidRDefault="0049477B" w:rsidP="0049477B">
      <w:pPr>
        <w:jc w:val="both"/>
        <w:rPr>
          <w:rFonts w:ascii="CG Omega" w:hAnsi="CG Omega" w:cs="Arial"/>
          <w:b/>
          <w:sz w:val="16"/>
          <w:szCs w:val="16"/>
        </w:rPr>
      </w:pPr>
    </w:p>
    <w:p w:rsidR="0049477B" w:rsidRPr="000E3CCA" w:rsidRDefault="0049477B" w:rsidP="0049477B">
      <w:pPr>
        <w:jc w:val="both"/>
        <w:rPr>
          <w:rFonts w:ascii="CG Omega" w:hAnsi="CG Omega" w:cs="Arial"/>
        </w:rPr>
      </w:pPr>
      <w:r w:rsidRPr="000E3CCA">
        <w:rPr>
          <w:rFonts w:ascii="CG Omega" w:hAnsi="CG Omega" w:cs="Arial"/>
        </w:rPr>
        <w:t xml:space="preserve">This objective can be accomplished through the following goals: </w:t>
      </w:r>
    </w:p>
    <w:p w:rsidR="0049477B" w:rsidRPr="000E3CCA" w:rsidRDefault="0049477B" w:rsidP="0049477B">
      <w:pPr>
        <w:numPr>
          <w:ilvl w:val="0"/>
          <w:numId w:val="57"/>
        </w:numPr>
        <w:jc w:val="both"/>
        <w:rPr>
          <w:rFonts w:ascii="CG Omega" w:hAnsi="CG Omega" w:cs="Arial"/>
        </w:rPr>
      </w:pPr>
      <w:r w:rsidRPr="000E3CCA">
        <w:rPr>
          <w:rFonts w:ascii="CG Omega" w:hAnsi="CG Omega" w:cs="Arial"/>
        </w:rPr>
        <w:t>Furnishing homebuyer education classes, financial counseling and post-purchase educational opportunities</w:t>
      </w:r>
      <w:r w:rsidR="00A9532E">
        <w:rPr>
          <w:rFonts w:ascii="CG Omega" w:hAnsi="CG Omega" w:cs="Arial"/>
        </w:rPr>
        <w:t>.</w:t>
      </w:r>
    </w:p>
    <w:p w:rsidR="0049477B" w:rsidRPr="000E3CCA" w:rsidRDefault="0049477B" w:rsidP="0049477B">
      <w:pPr>
        <w:numPr>
          <w:ilvl w:val="0"/>
          <w:numId w:val="57"/>
        </w:numPr>
        <w:jc w:val="both"/>
        <w:rPr>
          <w:rFonts w:ascii="CG Omega" w:hAnsi="CG Omega" w:cs="Arial"/>
        </w:rPr>
      </w:pPr>
      <w:r w:rsidRPr="000E3CCA">
        <w:rPr>
          <w:rFonts w:ascii="CG Omega" w:hAnsi="CG Omega" w:cs="Arial"/>
        </w:rPr>
        <w:t>Providing loans, financing and access to credit to qualified low-income buyers</w:t>
      </w:r>
      <w:r w:rsidR="00A9532E">
        <w:rPr>
          <w:rFonts w:ascii="CG Omega" w:hAnsi="CG Omega" w:cs="Arial"/>
        </w:rPr>
        <w:t>.</w:t>
      </w:r>
    </w:p>
    <w:p w:rsidR="0049477B" w:rsidRPr="000E3CCA" w:rsidRDefault="0049477B" w:rsidP="00912D9C">
      <w:pPr>
        <w:numPr>
          <w:ilvl w:val="0"/>
          <w:numId w:val="57"/>
        </w:numPr>
        <w:jc w:val="both"/>
        <w:rPr>
          <w:rFonts w:ascii="CG Omega" w:hAnsi="CG Omega" w:cs="Arial"/>
        </w:rPr>
      </w:pPr>
      <w:r w:rsidRPr="000E3CCA">
        <w:rPr>
          <w:rFonts w:ascii="CG Omega" w:hAnsi="CG Omega" w:cs="Arial"/>
        </w:rPr>
        <w:t>Providing down payment assistance, providing closing cost assistance, reducing the principal loan amount, or buying down the interest rate</w:t>
      </w:r>
      <w:r w:rsidR="00A9532E">
        <w:rPr>
          <w:rFonts w:ascii="CG Omega" w:hAnsi="CG Omega" w:cs="Arial"/>
        </w:rPr>
        <w:t>.</w:t>
      </w:r>
    </w:p>
    <w:p w:rsidR="0049477B" w:rsidRPr="00912D9C" w:rsidRDefault="0049477B" w:rsidP="00A9532E">
      <w:pPr>
        <w:jc w:val="both"/>
        <w:rPr>
          <w:rFonts w:ascii="CG Omega" w:hAnsi="CG Omega" w:cs="Arial"/>
          <w:sz w:val="20"/>
          <w:szCs w:val="20"/>
        </w:rPr>
      </w:pPr>
    </w:p>
    <w:p w:rsidR="0049477B" w:rsidRPr="000E3CCA" w:rsidRDefault="0049477B" w:rsidP="0049477B">
      <w:pPr>
        <w:pBdr>
          <w:bottom w:val="double" w:sz="4" w:space="1" w:color="0000FF"/>
        </w:pBdr>
        <w:jc w:val="both"/>
        <w:rPr>
          <w:rFonts w:ascii="CG Omega" w:hAnsi="CG Omega" w:cs="Arial"/>
          <w:b/>
          <w:color w:val="0000FF"/>
          <w:spacing w:val="3"/>
        </w:rPr>
      </w:pPr>
      <w:r w:rsidRPr="000E3CCA">
        <w:rPr>
          <w:rFonts w:ascii="CG Omega" w:hAnsi="CG Omega" w:cs="Arial"/>
          <w:b/>
          <w:smallCaps/>
          <w:color w:val="0000FF"/>
        </w:rPr>
        <w:t>Performance Measurement Criteria</w:t>
      </w:r>
    </w:p>
    <w:p w:rsidR="0049477B" w:rsidRPr="000E3CCA" w:rsidRDefault="0049477B" w:rsidP="0049477B">
      <w:pPr>
        <w:jc w:val="both"/>
        <w:rPr>
          <w:rFonts w:ascii="CG Omega" w:hAnsi="CG Omega" w:cs="Arial"/>
          <w:b/>
          <w:sz w:val="16"/>
          <w:szCs w:val="16"/>
        </w:rPr>
      </w:pPr>
    </w:p>
    <w:p w:rsidR="0049477B" w:rsidRPr="000E3CCA" w:rsidRDefault="0049477B" w:rsidP="0049477B">
      <w:pPr>
        <w:jc w:val="both"/>
        <w:rPr>
          <w:rFonts w:ascii="CG Omega" w:hAnsi="CG Omega" w:cs="Arial"/>
          <w:b/>
        </w:rPr>
      </w:pPr>
      <w:r w:rsidRPr="000E3CCA">
        <w:rPr>
          <w:rFonts w:ascii="CG Omega" w:hAnsi="CG Omega" w:cs="Arial"/>
          <w:b/>
        </w:rPr>
        <w:t>Provide Financial Assistance to First-Time Homebuyers:</w:t>
      </w:r>
    </w:p>
    <w:p w:rsidR="0049477B" w:rsidRPr="000E3CCA" w:rsidRDefault="0049477B" w:rsidP="0049477B">
      <w:pPr>
        <w:ind w:left="360"/>
        <w:jc w:val="both"/>
        <w:rPr>
          <w:rFonts w:ascii="CG Omega" w:hAnsi="CG Omega" w:cs="Arial"/>
          <w:i/>
          <w:sz w:val="16"/>
          <w:szCs w:val="16"/>
        </w:rPr>
      </w:pPr>
    </w:p>
    <w:p w:rsidR="0049477B" w:rsidRPr="000E3CCA" w:rsidRDefault="0049477B" w:rsidP="0049477B">
      <w:pPr>
        <w:ind w:left="720" w:hanging="360"/>
        <w:jc w:val="both"/>
        <w:rPr>
          <w:rFonts w:ascii="CG Omega" w:hAnsi="CG Omega" w:cs="Arial"/>
        </w:rPr>
      </w:pPr>
      <w:r w:rsidRPr="000E3CCA">
        <w:rPr>
          <w:rFonts w:ascii="CG Omega" w:hAnsi="CG Omega" w:cs="Arial"/>
          <w:i/>
        </w:rPr>
        <w:t>Availability/Accessibility</w:t>
      </w:r>
      <w:r w:rsidRPr="000E3CCA">
        <w:rPr>
          <w:rFonts w:ascii="CG Omega" w:hAnsi="CG Omega" w:cs="Arial"/>
        </w:rPr>
        <w:t>: The number of eligible households that have received educational training, financial counseling or post-purchase educational opportunities</w:t>
      </w:r>
      <w:r w:rsidR="00A9532E">
        <w:rPr>
          <w:rFonts w:ascii="CG Omega" w:hAnsi="CG Omega" w:cs="Arial"/>
        </w:rPr>
        <w:t>.</w:t>
      </w:r>
      <w:r w:rsidRPr="000E3CCA">
        <w:rPr>
          <w:rFonts w:ascii="CG Omega" w:hAnsi="CG Omega" w:cs="Arial"/>
        </w:rPr>
        <w:t xml:space="preserve"> </w:t>
      </w:r>
    </w:p>
    <w:p w:rsidR="0049477B" w:rsidRPr="000E3CCA" w:rsidRDefault="0049477B" w:rsidP="0049477B">
      <w:pPr>
        <w:ind w:left="720" w:hanging="360"/>
        <w:jc w:val="both"/>
        <w:rPr>
          <w:rFonts w:ascii="CG Omega" w:hAnsi="CG Omega" w:cs="Arial"/>
        </w:rPr>
      </w:pPr>
      <w:r w:rsidRPr="000E3CCA">
        <w:rPr>
          <w:rFonts w:ascii="CG Omega" w:hAnsi="CG Omega" w:cs="Arial"/>
          <w:i/>
        </w:rPr>
        <w:t>Affordability</w:t>
      </w:r>
      <w:r w:rsidRPr="000E3CCA">
        <w:rPr>
          <w:rFonts w:ascii="CG Omega" w:hAnsi="CG Omega" w:cs="Arial"/>
        </w:rPr>
        <w:t>:  The number of eligible households that have been able to purchase their first home</w:t>
      </w:r>
      <w:r w:rsidR="00A9532E">
        <w:rPr>
          <w:rFonts w:ascii="CG Omega" w:hAnsi="CG Omega" w:cs="Arial"/>
        </w:rPr>
        <w:t>.</w:t>
      </w:r>
    </w:p>
    <w:p w:rsidR="0049477B" w:rsidRPr="000E3CCA" w:rsidRDefault="0049477B" w:rsidP="0049477B">
      <w:pPr>
        <w:ind w:left="720" w:hanging="360"/>
        <w:jc w:val="both"/>
        <w:rPr>
          <w:rFonts w:ascii="CG Omega" w:hAnsi="CG Omega" w:cs="Arial"/>
        </w:rPr>
      </w:pPr>
      <w:r w:rsidRPr="000E3CCA">
        <w:rPr>
          <w:rFonts w:ascii="CG Omega" w:hAnsi="CG Omega" w:cs="Arial"/>
          <w:i/>
        </w:rPr>
        <w:t>Sustainability</w:t>
      </w:r>
      <w:r w:rsidRPr="000E3CCA">
        <w:rPr>
          <w:rFonts w:ascii="CG Omega" w:hAnsi="CG Omega" w:cs="Arial"/>
        </w:rPr>
        <w:t>:  The number of affordable units that have been acquired by first-time homebuyers through MFA assistance</w:t>
      </w:r>
      <w:r w:rsidR="00A9532E">
        <w:rPr>
          <w:rFonts w:ascii="CG Omega" w:hAnsi="CG Omega" w:cs="Arial"/>
        </w:rPr>
        <w:t>.</w:t>
      </w:r>
    </w:p>
    <w:p w:rsidR="0049477B" w:rsidRPr="00A9532E" w:rsidRDefault="0049477B" w:rsidP="0049477B">
      <w:pPr>
        <w:jc w:val="both"/>
        <w:rPr>
          <w:rFonts w:ascii="CG Omega" w:hAnsi="CG Omega" w:cs="Arial"/>
        </w:rPr>
      </w:pPr>
    </w:p>
    <w:p w:rsidR="0049477B" w:rsidRPr="000E3CCA" w:rsidRDefault="0049477B" w:rsidP="0049477B">
      <w:pPr>
        <w:keepNext/>
        <w:pBdr>
          <w:bottom w:val="double" w:sz="4" w:space="1" w:color="008000"/>
        </w:pBdr>
        <w:outlineLvl w:val="0"/>
        <w:rPr>
          <w:rFonts w:ascii="CG Omega" w:hAnsi="CG Omega"/>
          <w:b/>
          <w:color w:val="008000"/>
          <w:spacing w:val="-2"/>
          <w:sz w:val="26"/>
          <w:szCs w:val="20"/>
          <w:u w:val="single"/>
        </w:rPr>
      </w:pPr>
      <w:r w:rsidRPr="000E3CCA">
        <w:rPr>
          <w:rFonts w:ascii="CG Omega" w:hAnsi="CG Omega"/>
          <w:b/>
          <w:smallCaps/>
          <w:color w:val="008000"/>
          <w:sz w:val="26"/>
          <w:szCs w:val="20"/>
        </w:rPr>
        <w:t>Strategy 3: Preserve the State’s Affordable Housing Stock</w:t>
      </w:r>
    </w:p>
    <w:p w:rsidR="0049477B" w:rsidRPr="000E3CCA" w:rsidRDefault="0049477B" w:rsidP="0049477B">
      <w:pPr>
        <w:jc w:val="both"/>
        <w:rPr>
          <w:rFonts w:ascii="CG Omega" w:hAnsi="CG Omega" w:cs="Arial"/>
          <w:sz w:val="16"/>
          <w:szCs w:val="16"/>
        </w:rPr>
      </w:pPr>
    </w:p>
    <w:p w:rsidR="0049477B" w:rsidRPr="000E3CCA" w:rsidRDefault="0049477B" w:rsidP="0049477B">
      <w:pPr>
        <w:jc w:val="both"/>
        <w:rPr>
          <w:rFonts w:ascii="CG Omega" w:hAnsi="CG Omega" w:cs="Arial"/>
        </w:rPr>
      </w:pPr>
      <w:r w:rsidRPr="000E3CCA">
        <w:rPr>
          <w:rFonts w:ascii="CG Omega" w:hAnsi="CG Omega" w:cs="Arial"/>
        </w:rPr>
        <w:t xml:space="preserve">The state of New Mexico has many housing units that are indicative of key cultural and societal values, but at the same time these units are in need of repair and maintenance.  Furthermore, some areas of the state are growing slowly, thereby affecting demand for existing structures in need of upkeep.  It is the position of </w:t>
      </w:r>
      <w:r w:rsidR="00CC3344">
        <w:rPr>
          <w:rFonts w:ascii="CG Omega" w:hAnsi="CG Omega" w:cs="Arial"/>
        </w:rPr>
        <w:t>MFA</w:t>
      </w:r>
      <w:r w:rsidRPr="000E3CCA">
        <w:rPr>
          <w:rFonts w:ascii="CG Omega" w:hAnsi="CG Omega" w:cs="Arial"/>
        </w:rPr>
        <w:t xml:space="preserve"> that for those homes that are suitable for rehabilitation, efforts need to be taken to preserve properties suitable for repair as well as those properties with historic, architectural or cultural value for future generations.</w:t>
      </w:r>
    </w:p>
    <w:p w:rsidR="00A9532E" w:rsidRDefault="00A9532E" w:rsidP="00912D9C">
      <w:pPr>
        <w:jc w:val="both"/>
        <w:rPr>
          <w:rFonts w:ascii="CG Omega" w:hAnsi="CG Omega" w:cs="Arial"/>
          <w:b/>
        </w:rPr>
      </w:pPr>
    </w:p>
    <w:p w:rsidR="0049477B" w:rsidRPr="000E3CCA" w:rsidRDefault="0049477B" w:rsidP="0049477B">
      <w:pPr>
        <w:spacing w:after="120"/>
        <w:jc w:val="both"/>
        <w:rPr>
          <w:rFonts w:ascii="CG Omega" w:hAnsi="CG Omega" w:cs="Arial"/>
          <w:b/>
        </w:rPr>
      </w:pPr>
      <w:r w:rsidRPr="000E3CCA">
        <w:rPr>
          <w:rFonts w:ascii="CG Omega" w:hAnsi="CG Omega" w:cs="Arial"/>
          <w:b/>
        </w:rPr>
        <w:t xml:space="preserve">Provide Resources for </w:t>
      </w:r>
      <w:r w:rsidR="00B71DBB">
        <w:rPr>
          <w:rFonts w:ascii="CG Omega" w:hAnsi="CG Omega" w:cs="Arial"/>
          <w:b/>
        </w:rPr>
        <w:t>Owner occupied</w:t>
      </w:r>
      <w:r w:rsidRPr="000E3CCA">
        <w:rPr>
          <w:rFonts w:ascii="CG Omega" w:hAnsi="CG Omega" w:cs="Arial"/>
          <w:b/>
        </w:rPr>
        <w:t xml:space="preserve"> Homeowner Housing Rehabilitation</w:t>
      </w:r>
    </w:p>
    <w:p w:rsidR="0049477B" w:rsidRPr="000E3CCA" w:rsidRDefault="0049477B" w:rsidP="0049477B">
      <w:pPr>
        <w:spacing w:after="120"/>
        <w:jc w:val="both"/>
        <w:rPr>
          <w:rFonts w:ascii="CG Omega" w:hAnsi="CG Omega" w:cs="Arial"/>
        </w:rPr>
      </w:pPr>
      <w:r w:rsidRPr="000E3CCA">
        <w:rPr>
          <w:rFonts w:ascii="CG Omega" w:hAnsi="CG Omega" w:cs="Arial"/>
        </w:rPr>
        <w:t xml:space="preserve">This objective can be accomplished through the following goals: </w:t>
      </w:r>
    </w:p>
    <w:p w:rsidR="0049477B" w:rsidRPr="000E3CCA" w:rsidRDefault="0049477B" w:rsidP="0049477B">
      <w:pPr>
        <w:numPr>
          <w:ilvl w:val="0"/>
          <w:numId w:val="58"/>
        </w:numPr>
        <w:jc w:val="both"/>
        <w:rPr>
          <w:rFonts w:ascii="CG Omega" w:hAnsi="CG Omega" w:cs="Arial"/>
        </w:rPr>
      </w:pPr>
      <w:r w:rsidRPr="000E3CCA">
        <w:rPr>
          <w:rFonts w:ascii="CG Omega" w:hAnsi="CG Omega" w:cs="Arial"/>
        </w:rPr>
        <w:t xml:space="preserve">Facilitating </w:t>
      </w:r>
      <w:r w:rsidR="00B71DBB">
        <w:rPr>
          <w:rFonts w:ascii="CG Omega" w:hAnsi="CG Omega" w:cs="Arial"/>
        </w:rPr>
        <w:t>owner occupied</w:t>
      </w:r>
      <w:r w:rsidRPr="000E3CCA">
        <w:rPr>
          <w:rFonts w:ascii="CG Omega" w:hAnsi="CG Omega" w:cs="Arial"/>
        </w:rPr>
        <w:t xml:space="preserve"> housing rehabilitation</w:t>
      </w:r>
      <w:r w:rsidR="00912D9C">
        <w:rPr>
          <w:rFonts w:ascii="CG Omega" w:hAnsi="CG Omega" w:cs="Arial"/>
        </w:rPr>
        <w:t>.</w:t>
      </w:r>
    </w:p>
    <w:p w:rsidR="0049477B" w:rsidRPr="000E3CCA" w:rsidRDefault="0049477B" w:rsidP="0049477B">
      <w:pPr>
        <w:numPr>
          <w:ilvl w:val="0"/>
          <w:numId w:val="58"/>
        </w:numPr>
        <w:jc w:val="both"/>
        <w:rPr>
          <w:rFonts w:ascii="CG Omega" w:hAnsi="CG Omega" w:cs="Arial"/>
        </w:rPr>
      </w:pPr>
      <w:r>
        <w:rPr>
          <w:rFonts w:ascii="CG Omega" w:hAnsi="CG Omega" w:cs="Arial"/>
        </w:rPr>
        <w:t xml:space="preserve">Explore funding for </w:t>
      </w:r>
      <w:r w:rsidRPr="000E3CCA">
        <w:rPr>
          <w:rFonts w:ascii="CG Omega" w:hAnsi="CG Omega" w:cs="Arial"/>
        </w:rPr>
        <w:t xml:space="preserve">emergency repair, weatherization or accessibility improvements to </w:t>
      </w:r>
      <w:r w:rsidR="00B71DBB">
        <w:rPr>
          <w:rFonts w:ascii="CG Omega" w:hAnsi="CG Omega" w:cs="Arial"/>
        </w:rPr>
        <w:t>owner occupied</w:t>
      </w:r>
      <w:r w:rsidRPr="000E3CCA">
        <w:rPr>
          <w:rFonts w:ascii="CG Omega" w:hAnsi="CG Omega" w:cs="Arial"/>
        </w:rPr>
        <w:t xml:space="preserve"> units</w:t>
      </w:r>
      <w:r w:rsidR="00912D9C">
        <w:rPr>
          <w:rFonts w:ascii="CG Omega" w:hAnsi="CG Omega" w:cs="Arial"/>
        </w:rPr>
        <w:t>.</w:t>
      </w:r>
    </w:p>
    <w:p w:rsidR="0049477B" w:rsidRPr="000E3CCA" w:rsidRDefault="0049477B" w:rsidP="0049477B">
      <w:pPr>
        <w:jc w:val="both"/>
        <w:rPr>
          <w:rFonts w:ascii="CG Omega" w:hAnsi="CG Omega" w:cs="Arial"/>
          <w:sz w:val="16"/>
          <w:szCs w:val="16"/>
        </w:rPr>
      </w:pPr>
    </w:p>
    <w:p w:rsidR="0049477B" w:rsidRPr="000E3CCA" w:rsidRDefault="0049477B" w:rsidP="0049477B">
      <w:pPr>
        <w:spacing w:after="120"/>
        <w:jc w:val="both"/>
        <w:rPr>
          <w:rFonts w:ascii="CG Omega" w:hAnsi="CG Omega" w:cs="Arial"/>
          <w:b/>
        </w:rPr>
      </w:pPr>
      <w:r w:rsidRPr="000E3CCA">
        <w:rPr>
          <w:rFonts w:ascii="CG Omega" w:hAnsi="CG Omega" w:cs="Arial"/>
          <w:b/>
        </w:rPr>
        <w:t>Finance Multifamily Rental Acquisition and Rehabilitation</w:t>
      </w:r>
    </w:p>
    <w:p w:rsidR="0049477B" w:rsidRDefault="0049477B" w:rsidP="0049477B">
      <w:pPr>
        <w:jc w:val="both"/>
        <w:rPr>
          <w:rFonts w:ascii="CG Omega" w:hAnsi="CG Omega" w:cs="Arial"/>
        </w:rPr>
      </w:pPr>
      <w:r w:rsidRPr="000E3CCA">
        <w:rPr>
          <w:rFonts w:ascii="CG Omega" w:hAnsi="CG Omega" w:cs="Arial"/>
        </w:rPr>
        <w:t>This objective can be accomplished through the following goals:</w:t>
      </w:r>
    </w:p>
    <w:p w:rsidR="00912D9C" w:rsidRPr="000E3CCA" w:rsidRDefault="00912D9C" w:rsidP="0049477B">
      <w:pPr>
        <w:jc w:val="both"/>
        <w:rPr>
          <w:rFonts w:ascii="CG Omega" w:hAnsi="CG Omega" w:cs="Arial"/>
        </w:rPr>
      </w:pPr>
    </w:p>
    <w:p w:rsidR="0049477B" w:rsidRPr="000E3CCA" w:rsidRDefault="0049477B" w:rsidP="0049477B">
      <w:pPr>
        <w:numPr>
          <w:ilvl w:val="0"/>
          <w:numId w:val="59"/>
        </w:numPr>
        <w:jc w:val="both"/>
        <w:rPr>
          <w:rFonts w:ascii="CG Omega" w:hAnsi="CG Omega" w:cs="Arial"/>
          <w:b/>
        </w:rPr>
      </w:pPr>
      <w:r w:rsidRPr="000E3CCA">
        <w:rPr>
          <w:rFonts w:ascii="CG Omega" w:hAnsi="CG Omega" w:cs="Arial"/>
        </w:rPr>
        <w:t>Encouraging leveraging of federal resources to stimulate rental housing acquisition and rehabilitation</w:t>
      </w:r>
      <w:r w:rsidR="00912D9C">
        <w:rPr>
          <w:rFonts w:ascii="CG Omega" w:hAnsi="CG Omega" w:cs="Arial"/>
        </w:rPr>
        <w:t>.</w:t>
      </w:r>
    </w:p>
    <w:p w:rsidR="0049477B" w:rsidRPr="000E3CCA" w:rsidRDefault="0049477B" w:rsidP="0049477B">
      <w:pPr>
        <w:numPr>
          <w:ilvl w:val="0"/>
          <w:numId w:val="59"/>
        </w:numPr>
        <w:jc w:val="both"/>
        <w:rPr>
          <w:rFonts w:ascii="CG Omega" w:hAnsi="CG Omega" w:cs="Arial"/>
          <w:b/>
        </w:rPr>
      </w:pPr>
      <w:r w:rsidRPr="000E3CCA">
        <w:rPr>
          <w:rFonts w:ascii="CG Omega" w:hAnsi="CG Omega" w:cs="Arial"/>
        </w:rPr>
        <w:t xml:space="preserve">Facilitating CHDO set aside resources for rental </w:t>
      </w:r>
      <w:r>
        <w:rPr>
          <w:rFonts w:ascii="CG Omega" w:hAnsi="CG Omega" w:cs="Arial"/>
        </w:rPr>
        <w:t>acquisition and rehabilitation</w:t>
      </w:r>
      <w:r w:rsidR="00912D9C">
        <w:rPr>
          <w:rFonts w:ascii="CG Omega" w:hAnsi="CG Omega" w:cs="Arial"/>
        </w:rPr>
        <w:t>.</w:t>
      </w:r>
    </w:p>
    <w:p w:rsidR="0049477B" w:rsidRPr="00912D9C" w:rsidRDefault="0049477B" w:rsidP="0049477B">
      <w:pPr>
        <w:jc w:val="both"/>
        <w:rPr>
          <w:rFonts w:ascii="CG Omega" w:hAnsi="CG Omega" w:cs="Arial"/>
          <w:b/>
          <w:sz w:val="20"/>
          <w:szCs w:val="20"/>
        </w:rPr>
      </w:pPr>
    </w:p>
    <w:p w:rsidR="0049477B" w:rsidRPr="000E3CCA" w:rsidRDefault="0049477B" w:rsidP="0049477B">
      <w:pPr>
        <w:pBdr>
          <w:bottom w:val="double" w:sz="4" w:space="1" w:color="0000FF"/>
        </w:pBdr>
        <w:jc w:val="both"/>
        <w:rPr>
          <w:rFonts w:ascii="CG Omega" w:hAnsi="CG Omega" w:cs="Arial"/>
          <w:b/>
          <w:color w:val="0000FF"/>
          <w:spacing w:val="3"/>
        </w:rPr>
      </w:pPr>
      <w:r w:rsidRPr="000E3CCA">
        <w:rPr>
          <w:rFonts w:ascii="CG Omega" w:hAnsi="CG Omega" w:cs="Arial"/>
          <w:b/>
          <w:smallCaps/>
          <w:color w:val="0000FF"/>
        </w:rPr>
        <w:t>Performance Measurement Criteria</w:t>
      </w:r>
    </w:p>
    <w:p w:rsidR="0049477B" w:rsidRPr="00912D9C" w:rsidRDefault="0049477B" w:rsidP="0049477B">
      <w:pPr>
        <w:jc w:val="both"/>
        <w:rPr>
          <w:rFonts w:ascii="CG Omega" w:hAnsi="CG Omega" w:cs="Arial"/>
          <w:b/>
          <w:sz w:val="20"/>
          <w:szCs w:val="20"/>
        </w:rPr>
      </w:pPr>
    </w:p>
    <w:p w:rsidR="0049477B" w:rsidRPr="000E3CCA" w:rsidRDefault="0049477B" w:rsidP="0049477B">
      <w:pPr>
        <w:spacing w:after="120"/>
        <w:jc w:val="both"/>
        <w:rPr>
          <w:rFonts w:ascii="CG Omega" w:hAnsi="CG Omega" w:cs="Arial"/>
          <w:b/>
        </w:rPr>
      </w:pPr>
      <w:r w:rsidRPr="000E3CCA">
        <w:rPr>
          <w:rFonts w:ascii="CG Omega" w:hAnsi="CG Omega" w:cs="Arial"/>
          <w:b/>
        </w:rPr>
        <w:t xml:space="preserve">Provide Resources for </w:t>
      </w:r>
      <w:r w:rsidR="00B71DBB">
        <w:rPr>
          <w:rFonts w:ascii="CG Omega" w:hAnsi="CG Omega" w:cs="Arial"/>
          <w:b/>
        </w:rPr>
        <w:t>Owner occupied</w:t>
      </w:r>
      <w:r w:rsidRPr="000E3CCA">
        <w:rPr>
          <w:rFonts w:ascii="CG Omega" w:hAnsi="CG Omega" w:cs="Arial"/>
          <w:b/>
        </w:rPr>
        <w:t xml:space="preserve"> Homeowner Housing Rehabilitation:</w:t>
      </w:r>
    </w:p>
    <w:p w:rsidR="0049477B" w:rsidRPr="000E3CCA" w:rsidRDefault="0049477B" w:rsidP="0049477B">
      <w:pPr>
        <w:ind w:left="720" w:hanging="360"/>
        <w:jc w:val="both"/>
        <w:rPr>
          <w:rFonts w:ascii="CG Omega" w:hAnsi="CG Omega" w:cs="Arial"/>
        </w:rPr>
      </w:pPr>
      <w:r w:rsidRPr="000E3CCA">
        <w:rPr>
          <w:rFonts w:ascii="CG Omega" w:hAnsi="CG Omega" w:cs="Arial"/>
          <w:i/>
        </w:rPr>
        <w:t>Availability/Accessibility</w:t>
      </w:r>
      <w:r w:rsidRPr="000E3CCA">
        <w:rPr>
          <w:rFonts w:ascii="CG Omega" w:hAnsi="CG Omega" w:cs="Arial"/>
        </w:rPr>
        <w:t xml:space="preserve">:  The number of eligible homeowner households that have received such </w:t>
      </w:r>
      <w:r w:rsidR="000F42FA">
        <w:rPr>
          <w:rFonts w:ascii="CG Omega" w:hAnsi="CG Omega" w:cs="Arial"/>
        </w:rPr>
        <w:t>rehabilitation</w:t>
      </w:r>
      <w:r w:rsidR="00912D9C">
        <w:rPr>
          <w:rFonts w:ascii="CG Omega" w:hAnsi="CG Omega" w:cs="Arial"/>
        </w:rPr>
        <w:t>.</w:t>
      </w:r>
    </w:p>
    <w:p w:rsidR="0049477B" w:rsidRPr="000E3CCA" w:rsidRDefault="0049477B" w:rsidP="0049477B">
      <w:pPr>
        <w:ind w:left="720" w:hanging="360"/>
        <w:jc w:val="both"/>
        <w:rPr>
          <w:rFonts w:ascii="CG Omega" w:hAnsi="CG Omega" w:cs="Arial"/>
        </w:rPr>
      </w:pPr>
      <w:r w:rsidRPr="000E3CCA">
        <w:rPr>
          <w:rFonts w:ascii="CG Omega" w:hAnsi="CG Omega" w:cs="Arial"/>
          <w:i/>
        </w:rPr>
        <w:t>Affordability</w:t>
      </w:r>
      <w:r w:rsidRPr="000E3CCA">
        <w:rPr>
          <w:rFonts w:ascii="CG Omega" w:hAnsi="CG Omega" w:cs="Arial"/>
        </w:rPr>
        <w:t xml:space="preserve">: The number of affordable housing units that have been </w:t>
      </w:r>
      <w:r>
        <w:rPr>
          <w:rFonts w:ascii="CG Omega" w:hAnsi="CG Omega" w:cs="Arial"/>
        </w:rPr>
        <w:t>rehabilitated</w:t>
      </w:r>
      <w:r w:rsidR="00912D9C">
        <w:rPr>
          <w:rFonts w:ascii="CG Omega" w:hAnsi="CG Omega" w:cs="Arial"/>
        </w:rPr>
        <w:t>.</w:t>
      </w:r>
    </w:p>
    <w:p w:rsidR="0049477B" w:rsidRPr="000E3CCA" w:rsidRDefault="0049477B" w:rsidP="0049477B">
      <w:pPr>
        <w:ind w:left="720" w:hanging="360"/>
        <w:jc w:val="both"/>
        <w:rPr>
          <w:rFonts w:ascii="CG Omega" w:hAnsi="CG Omega" w:cs="Arial"/>
        </w:rPr>
      </w:pPr>
      <w:r w:rsidRPr="000E3CCA">
        <w:rPr>
          <w:rFonts w:ascii="CG Omega" w:hAnsi="CG Omega" w:cs="Arial"/>
          <w:i/>
        </w:rPr>
        <w:t>Sustainability</w:t>
      </w:r>
      <w:r w:rsidRPr="000E3CCA">
        <w:rPr>
          <w:rFonts w:ascii="CG Omega" w:hAnsi="CG Omega" w:cs="Arial"/>
        </w:rPr>
        <w:t>: The number of affordable homeowner units that have been rehabilitated and remain affordable</w:t>
      </w:r>
      <w:r w:rsidR="00912D9C">
        <w:rPr>
          <w:rFonts w:ascii="CG Omega" w:hAnsi="CG Omega" w:cs="Arial"/>
        </w:rPr>
        <w:t>.</w:t>
      </w:r>
    </w:p>
    <w:p w:rsidR="0049477B" w:rsidRPr="000E3CCA" w:rsidRDefault="0049477B" w:rsidP="0049477B">
      <w:pPr>
        <w:jc w:val="both"/>
        <w:rPr>
          <w:rFonts w:ascii="CG Omega" w:hAnsi="CG Omega" w:cs="Arial"/>
          <w:b/>
          <w:sz w:val="16"/>
          <w:szCs w:val="16"/>
        </w:rPr>
      </w:pPr>
    </w:p>
    <w:p w:rsidR="0049477B" w:rsidRPr="000E3CCA" w:rsidRDefault="0049477B" w:rsidP="0049477B">
      <w:pPr>
        <w:spacing w:after="120"/>
        <w:jc w:val="both"/>
        <w:rPr>
          <w:rFonts w:ascii="CG Omega" w:hAnsi="CG Omega" w:cs="Arial"/>
          <w:b/>
        </w:rPr>
      </w:pPr>
      <w:r w:rsidRPr="000E3CCA">
        <w:rPr>
          <w:rFonts w:ascii="CG Omega" w:hAnsi="CG Omega" w:cs="Arial"/>
          <w:b/>
        </w:rPr>
        <w:t xml:space="preserve">Finance </w:t>
      </w:r>
      <w:r w:rsidR="00CC3344">
        <w:rPr>
          <w:rFonts w:ascii="CG Omega" w:hAnsi="CG Omega" w:cs="Arial"/>
          <w:b/>
        </w:rPr>
        <w:t>Multifamily</w:t>
      </w:r>
      <w:r w:rsidRPr="000E3CCA">
        <w:rPr>
          <w:rFonts w:ascii="CG Omega" w:hAnsi="CG Omega" w:cs="Arial"/>
          <w:b/>
        </w:rPr>
        <w:t xml:space="preserve"> Rental Acquisition and Rehabilitation:</w:t>
      </w:r>
    </w:p>
    <w:p w:rsidR="0049477B" w:rsidRPr="000E3CCA" w:rsidRDefault="0049477B" w:rsidP="0049477B">
      <w:pPr>
        <w:ind w:left="720" w:hanging="360"/>
        <w:jc w:val="both"/>
        <w:rPr>
          <w:rFonts w:ascii="CG Omega" w:hAnsi="CG Omega" w:cs="Arial"/>
        </w:rPr>
      </w:pPr>
      <w:r w:rsidRPr="000E3CCA">
        <w:rPr>
          <w:rFonts w:ascii="CG Omega" w:hAnsi="CG Omega" w:cs="Arial"/>
          <w:i/>
        </w:rPr>
        <w:t>Availability/Accessibility</w:t>
      </w:r>
      <w:r w:rsidRPr="000E3CCA">
        <w:rPr>
          <w:rFonts w:ascii="CG Omega" w:hAnsi="CG Omega" w:cs="Arial"/>
        </w:rPr>
        <w:t xml:space="preserve">: The number of eligible </w:t>
      </w:r>
      <w:r>
        <w:rPr>
          <w:rFonts w:ascii="CG Omega" w:hAnsi="CG Omega" w:cs="Arial"/>
        </w:rPr>
        <w:t>units</w:t>
      </w:r>
      <w:r w:rsidRPr="000E3CCA">
        <w:rPr>
          <w:rFonts w:ascii="CG Omega" w:hAnsi="CG Omega" w:cs="Arial"/>
        </w:rPr>
        <w:t xml:space="preserve"> that have benefited from rental rehabilitation</w:t>
      </w:r>
      <w:r w:rsidR="00912D9C">
        <w:rPr>
          <w:rFonts w:ascii="CG Omega" w:hAnsi="CG Omega" w:cs="Arial"/>
        </w:rPr>
        <w:t>.</w:t>
      </w:r>
      <w:r>
        <w:rPr>
          <w:rFonts w:ascii="CG Omega" w:hAnsi="CG Omega" w:cs="Arial"/>
        </w:rPr>
        <w:t xml:space="preserve"> </w:t>
      </w:r>
    </w:p>
    <w:p w:rsidR="0049477B" w:rsidRPr="000E3CCA" w:rsidRDefault="0049477B" w:rsidP="0049477B">
      <w:pPr>
        <w:ind w:left="720" w:hanging="360"/>
        <w:jc w:val="both"/>
        <w:rPr>
          <w:rFonts w:ascii="CG Omega" w:hAnsi="CG Omega" w:cs="Arial"/>
        </w:rPr>
      </w:pPr>
      <w:r w:rsidRPr="000E3CCA">
        <w:rPr>
          <w:rFonts w:ascii="CG Omega" w:hAnsi="CG Omega" w:cs="Arial"/>
          <w:i/>
        </w:rPr>
        <w:t>Affordability</w:t>
      </w:r>
      <w:r w:rsidRPr="000E3CCA">
        <w:rPr>
          <w:rFonts w:ascii="CG Omega" w:hAnsi="CG Omega" w:cs="Arial"/>
        </w:rPr>
        <w:t>:  The number of rental units that have undergone rehabilitation and remain affordable</w:t>
      </w:r>
      <w:r w:rsidR="00912D9C">
        <w:rPr>
          <w:rFonts w:ascii="CG Omega" w:hAnsi="CG Omega" w:cs="Arial"/>
        </w:rPr>
        <w:t>.</w:t>
      </w:r>
    </w:p>
    <w:p w:rsidR="0049477B" w:rsidRPr="000E3CCA" w:rsidRDefault="0049477B" w:rsidP="0049477B">
      <w:pPr>
        <w:ind w:left="720" w:hanging="360"/>
        <w:jc w:val="both"/>
        <w:rPr>
          <w:rFonts w:ascii="CG Omega" w:hAnsi="CG Omega" w:cs="Arial"/>
        </w:rPr>
      </w:pPr>
      <w:r w:rsidRPr="000E3CCA">
        <w:rPr>
          <w:rFonts w:ascii="CG Omega" w:hAnsi="CG Omega" w:cs="Arial"/>
          <w:i/>
        </w:rPr>
        <w:t>Sustainability</w:t>
      </w:r>
      <w:r w:rsidRPr="000E3CCA">
        <w:rPr>
          <w:rFonts w:ascii="CG Omega" w:hAnsi="CG Omega" w:cs="Arial"/>
        </w:rPr>
        <w:t>: The number of units that have been rehabilitated and become additions to the affordable rental housing stock</w:t>
      </w:r>
      <w:r w:rsidR="00912D9C">
        <w:rPr>
          <w:rFonts w:ascii="CG Omega" w:hAnsi="CG Omega" w:cs="Arial"/>
        </w:rPr>
        <w:t>.</w:t>
      </w:r>
    </w:p>
    <w:p w:rsidR="0049477B" w:rsidRPr="000E3CCA" w:rsidRDefault="0049477B" w:rsidP="0049477B">
      <w:pPr>
        <w:ind w:left="360" w:firstLine="360"/>
        <w:jc w:val="both"/>
        <w:rPr>
          <w:rFonts w:ascii="CG Omega" w:hAnsi="CG Omega" w:cs="Arial"/>
          <w:sz w:val="16"/>
          <w:szCs w:val="16"/>
        </w:rPr>
      </w:pPr>
    </w:p>
    <w:p w:rsidR="0049477B" w:rsidRPr="000E3CCA" w:rsidRDefault="0049477B" w:rsidP="0049477B">
      <w:pPr>
        <w:keepNext/>
        <w:pBdr>
          <w:bottom w:val="double" w:sz="4" w:space="1" w:color="008000"/>
        </w:pBdr>
        <w:jc w:val="both"/>
        <w:outlineLvl w:val="0"/>
        <w:rPr>
          <w:rFonts w:ascii="CG Omega" w:hAnsi="CG Omega"/>
          <w:b/>
          <w:color w:val="008000"/>
          <w:spacing w:val="-2"/>
          <w:sz w:val="26"/>
          <w:szCs w:val="20"/>
          <w:u w:val="single"/>
        </w:rPr>
      </w:pPr>
      <w:r w:rsidRPr="000E3CCA">
        <w:rPr>
          <w:rFonts w:ascii="CG Omega" w:hAnsi="CG Omega"/>
          <w:b/>
          <w:smallCaps/>
          <w:color w:val="008000"/>
          <w:sz w:val="26"/>
          <w:szCs w:val="20"/>
        </w:rPr>
        <w:t>Strategy 4: Provide Housing for Special Needs Populations, Including HIV/AIDS</w:t>
      </w:r>
    </w:p>
    <w:p w:rsidR="0049477B" w:rsidRPr="000E3CCA" w:rsidRDefault="0049477B" w:rsidP="0049477B">
      <w:pPr>
        <w:jc w:val="both"/>
        <w:rPr>
          <w:rFonts w:ascii="CG Omega" w:hAnsi="CG Omega" w:cs="Arial"/>
          <w:sz w:val="16"/>
          <w:szCs w:val="16"/>
        </w:rPr>
      </w:pPr>
    </w:p>
    <w:p w:rsidR="00912D9C" w:rsidRDefault="0049477B" w:rsidP="00912D9C">
      <w:pPr>
        <w:jc w:val="both"/>
        <w:rPr>
          <w:rFonts w:ascii="CG Omega" w:hAnsi="CG Omega" w:cs="Arial"/>
        </w:rPr>
      </w:pPr>
      <w:r w:rsidRPr="000E3CCA">
        <w:rPr>
          <w:rFonts w:ascii="CG Omega" w:hAnsi="CG Omega" w:cs="Arial"/>
        </w:rPr>
        <w:t xml:space="preserve">Throughout the state of New Mexico, there remain a number of groups with developmental, physical and other disabilities that are in need of housing and housing related services, including persons living with HIV or AIDS.  Furthermore, areas of the state have these needs in varying degrees. </w:t>
      </w:r>
    </w:p>
    <w:p w:rsidR="0049477B" w:rsidRPr="000E3CCA" w:rsidRDefault="0049477B" w:rsidP="00912D9C">
      <w:pPr>
        <w:jc w:val="both"/>
        <w:rPr>
          <w:rFonts w:ascii="CG Omega" w:hAnsi="CG Omega" w:cs="Arial"/>
        </w:rPr>
      </w:pPr>
      <w:r w:rsidRPr="000E3CCA">
        <w:rPr>
          <w:rFonts w:ascii="CG Omega" w:hAnsi="CG Omega" w:cs="Arial"/>
        </w:rPr>
        <w:t xml:space="preserve"> </w:t>
      </w:r>
    </w:p>
    <w:p w:rsidR="0049477B" w:rsidRPr="00912D9C" w:rsidRDefault="0049477B" w:rsidP="00912D9C">
      <w:pPr>
        <w:spacing w:after="120"/>
        <w:jc w:val="both"/>
        <w:rPr>
          <w:rFonts w:ascii="CG Omega" w:hAnsi="CG Omega" w:cs="Arial"/>
          <w:b/>
          <w:i/>
        </w:rPr>
      </w:pPr>
      <w:r w:rsidRPr="00912D9C">
        <w:rPr>
          <w:rFonts w:ascii="CG Omega" w:hAnsi="CG Omega" w:cs="Arial"/>
          <w:b/>
          <w:i/>
        </w:rPr>
        <w:t>Encourage the development of special needs housing with services</w:t>
      </w:r>
    </w:p>
    <w:p w:rsidR="0049477B" w:rsidRPr="00912D9C" w:rsidRDefault="0049477B" w:rsidP="00912D9C">
      <w:pPr>
        <w:spacing w:after="120"/>
        <w:jc w:val="both"/>
        <w:rPr>
          <w:rFonts w:ascii="CG Omega" w:hAnsi="CG Omega" w:cs="Arial"/>
          <w:i/>
        </w:rPr>
      </w:pPr>
      <w:r w:rsidRPr="00912D9C">
        <w:rPr>
          <w:rFonts w:ascii="CG Omega" w:hAnsi="CG Omega" w:cs="Arial"/>
          <w:i/>
        </w:rPr>
        <w:t xml:space="preserve">This objective can be accomplished through the following goals: </w:t>
      </w:r>
    </w:p>
    <w:p w:rsidR="0049477B" w:rsidRPr="000E3CCA" w:rsidRDefault="0049477B" w:rsidP="00912D9C">
      <w:pPr>
        <w:numPr>
          <w:ilvl w:val="0"/>
          <w:numId w:val="60"/>
        </w:numPr>
        <w:jc w:val="both"/>
        <w:rPr>
          <w:rFonts w:ascii="CG Omega" w:hAnsi="CG Omega" w:cs="Arial"/>
        </w:rPr>
      </w:pPr>
      <w:r w:rsidRPr="000E3CCA">
        <w:rPr>
          <w:rFonts w:ascii="CG Omega" w:hAnsi="CG Omega" w:cs="Arial"/>
        </w:rPr>
        <w:t>Providing grants for pre-development costs for special needs housing development</w:t>
      </w:r>
      <w:r w:rsidR="00912D9C">
        <w:rPr>
          <w:rFonts w:ascii="CG Omega" w:hAnsi="CG Omega" w:cs="Arial"/>
        </w:rPr>
        <w:t>.</w:t>
      </w:r>
    </w:p>
    <w:p w:rsidR="0049477B" w:rsidRPr="000E3CCA" w:rsidRDefault="0049477B" w:rsidP="00912D9C">
      <w:pPr>
        <w:numPr>
          <w:ilvl w:val="0"/>
          <w:numId w:val="60"/>
        </w:numPr>
        <w:jc w:val="both"/>
        <w:rPr>
          <w:rFonts w:ascii="CG Omega" w:hAnsi="CG Omega" w:cs="Arial"/>
        </w:rPr>
      </w:pPr>
      <w:r w:rsidRPr="000E3CCA">
        <w:rPr>
          <w:rFonts w:ascii="CG Omega" w:hAnsi="CG Omega" w:cs="Arial"/>
        </w:rPr>
        <w:t>Providing low-interest loans to make accessibility improvements to for people with disabilities</w:t>
      </w:r>
      <w:r w:rsidR="00912D9C">
        <w:rPr>
          <w:rFonts w:ascii="CG Omega" w:hAnsi="CG Omega" w:cs="Arial"/>
        </w:rPr>
        <w:t>.</w:t>
      </w:r>
    </w:p>
    <w:p w:rsidR="0049477B" w:rsidRDefault="0049477B" w:rsidP="00912D9C">
      <w:pPr>
        <w:numPr>
          <w:ilvl w:val="0"/>
          <w:numId w:val="60"/>
        </w:numPr>
        <w:jc w:val="both"/>
        <w:rPr>
          <w:rFonts w:ascii="CG Omega" w:hAnsi="CG Omega" w:cs="Arial"/>
        </w:rPr>
      </w:pPr>
      <w:r w:rsidRPr="000E3CCA">
        <w:rPr>
          <w:rFonts w:ascii="CG Omega" w:hAnsi="CG Omega" w:cs="Arial"/>
        </w:rPr>
        <w:t>Providing financial incentives for housing supportive services for the elderly, persons with physical or mental disability, and other special needs populations</w:t>
      </w:r>
      <w:r w:rsidR="00912D9C">
        <w:rPr>
          <w:rFonts w:ascii="CG Omega" w:hAnsi="CG Omega" w:cs="Arial"/>
        </w:rPr>
        <w:t>.</w:t>
      </w:r>
    </w:p>
    <w:p w:rsidR="00912D9C" w:rsidRPr="000E3CCA" w:rsidRDefault="00912D9C" w:rsidP="00912D9C">
      <w:pPr>
        <w:jc w:val="both"/>
        <w:rPr>
          <w:rFonts w:ascii="CG Omega" w:hAnsi="CG Omega" w:cs="Arial"/>
        </w:rPr>
      </w:pPr>
    </w:p>
    <w:p w:rsidR="00912D9C" w:rsidRDefault="00912D9C">
      <w:pPr>
        <w:rPr>
          <w:rFonts w:ascii="CG Omega" w:hAnsi="CG Omega" w:cs="Arial"/>
          <w:b/>
        </w:rPr>
      </w:pPr>
      <w:r>
        <w:rPr>
          <w:rFonts w:ascii="CG Omega" w:hAnsi="CG Omega" w:cs="Arial"/>
          <w:b/>
        </w:rPr>
        <w:br w:type="page"/>
      </w:r>
    </w:p>
    <w:p w:rsidR="0049477B" w:rsidRPr="000E3CCA" w:rsidRDefault="0049477B" w:rsidP="00912D9C">
      <w:pPr>
        <w:spacing w:after="120"/>
        <w:jc w:val="both"/>
        <w:rPr>
          <w:rFonts w:ascii="CG Omega" w:hAnsi="CG Omega" w:cs="Arial"/>
          <w:b/>
        </w:rPr>
      </w:pPr>
      <w:r w:rsidRPr="000E3CCA">
        <w:rPr>
          <w:rFonts w:ascii="CG Omega" w:hAnsi="CG Omega" w:cs="Arial"/>
          <w:b/>
        </w:rPr>
        <w:t>Expand housing opportunities and access for special</w:t>
      </w:r>
      <w:r>
        <w:rPr>
          <w:rFonts w:ascii="CG Omega" w:hAnsi="CG Omega" w:cs="Arial"/>
          <w:b/>
        </w:rPr>
        <w:t xml:space="preserve"> needs</w:t>
      </w:r>
      <w:r w:rsidRPr="000E3CCA">
        <w:rPr>
          <w:rFonts w:ascii="CG Omega" w:hAnsi="CG Omega" w:cs="Arial"/>
          <w:b/>
        </w:rPr>
        <w:t xml:space="preserve"> populations</w:t>
      </w:r>
    </w:p>
    <w:p w:rsidR="0049477B" w:rsidRPr="000E3CCA" w:rsidRDefault="0049477B" w:rsidP="00912D9C">
      <w:pPr>
        <w:spacing w:after="120"/>
        <w:jc w:val="both"/>
        <w:rPr>
          <w:rFonts w:ascii="CG Omega" w:hAnsi="CG Omega" w:cs="Arial"/>
        </w:rPr>
      </w:pPr>
      <w:r w:rsidRPr="000E3CCA">
        <w:rPr>
          <w:rFonts w:ascii="CG Omega" w:hAnsi="CG Omega" w:cs="Arial"/>
        </w:rPr>
        <w:t xml:space="preserve">This objective can be accomplished through the following goals: </w:t>
      </w:r>
    </w:p>
    <w:p w:rsidR="0049477B" w:rsidRPr="000E3CCA" w:rsidRDefault="0049477B" w:rsidP="00912D9C">
      <w:pPr>
        <w:numPr>
          <w:ilvl w:val="0"/>
          <w:numId w:val="61"/>
        </w:numPr>
        <w:jc w:val="both"/>
        <w:rPr>
          <w:rFonts w:ascii="CG Omega" w:hAnsi="CG Omega" w:cs="Arial"/>
        </w:rPr>
      </w:pPr>
      <w:r>
        <w:rPr>
          <w:rFonts w:ascii="CG Omega" w:hAnsi="CG Omega" w:cs="Arial"/>
        </w:rPr>
        <w:t xml:space="preserve">Explore the provision of </w:t>
      </w:r>
      <w:r w:rsidRPr="000E3CCA">
        <w:rPr>
          <w:rFonts w:ascii="CG Omega" w:hAnsi="CG Omega" w:cs="Arial"/>
        </w:rPr>
        <w:t>funds to make accessibility improvements to existing rental housing for people with disabilities</w:t>
      </w:r>
      <w:r w:rsidR="00912D9C">
        <w:rPr>
          <w:rFonts w:ascii="CG Omega" w:hAnsi="CG Omega" w:cs="Arial"/>
        </w:rPr>
        <w:t>.</w:t>
      </w:r>
    </w:p>
    <w:p w:rsidR="0049477B" w:rsidRPr="000E3CCA" w:rsidRDefault="0049477B" w:rsidP="0049477B">
      <w:pPr>
        <w:numPr>
          <w:ilvl w:val="0"/>
          <w:numId w:val="61"/>
        </w:numPr>
        <w:jc w:val="both"/>
        <w:rPr>
          <w:rFonts w:ascii="CG Omega" w:hAnsi="CG Omega" w:cs="Arial"/>
        </w:rPr>
      </w:pPr>
      <w:r w:rsidRPr="000E3CCA">
        <w:rPr>
          <w:rFonts w:ascii="CG Omega" w:hAnsi="CG Omega" w:cs="Arial"/>
        </w:rPr>
        <w:t>Providing financial incentives for the development of rental housing supportive services for the elderly, persons with physical or mental disability and other special needs with services</w:t>
      </w:r>
      <w:r w:rsidR="00912D9C">
        <w:rPr>
          <w:rFonts w:ascii="CG Omega" w:hAnsi="CG Omega" w:cs="Arial"/>
        </w:rPr>
        <w:t>.</w:t>
      </w:r>
    </w:p>
    <w:p w:rsidR="0049477B" w:rsidRPr="000E3CCA" w:rsidRDefault="0049477B" w:rsidP="00912D9C">
      <w:pPr>
        <w:numPr>
          <w:ilvl w:val="0"/>
          <w:numId w:val="61"/>
        </w:numPr>
        <w:jc w:val="both"/>
        <w:rPr>
          <w:rFonts w:ascii="CG Omega" w:hAnsi="CG Omega" w:cs="Arial"/>
        </w:rPr>
      </w:pPr>
      <w:r w:rsidRPr="000E3CCA">
        <w:rPr>
          <w:rFonts w:ascii="CG Omega" w:hAnsi="CG Omega" w:cs="Arial"/>
        </w:rPr>
        <w:t>Provide rental assistance for persons with special needs</w:t>
      </w:r>
      <w:r w:rsidR="00912D9C">
        <w:rPr>
          <w:rFonts w:ascii="CG Omega" w:hAnsi="CG Omega" w:cs="Arial"/>
        </w:rPr>
        <w:t>.</w:t>
      </w:r>
    </w:p>
    <w:p w:rsidR="00912D9C" w:rsidRDefault="00912D9C" w:rsidP="0049477B">
      <w:pPr>
        <w:spacing w:after="120"/>
        <w:jc w:val="both"/>
        <w:rPr>
          <w:rFonts w:ascii="CG Omega" w:hAnsi="CG Omega" w:cs="Arial"/>
          <w:b/>
        </w:rPr>
      </w:pPr>
    </w:p>
    <w:p w:rsidR="0049477B" w:rsidRPr="000E3CCA" w:rsidRDefault="0049477B" w:rsidP="0049477B">
      <w:pPr>
        <w:spacing w:after="120"/>
        <w:jc w:val="both"/>
        <w:rPr>
          <w:rFonts w:ascii="CG Omega" w:hAnsi="CG Omega" w:cs="Arial"/>
          <w:b/>
        </w:rPr>
      </w:pPr>
      <w:r w:rsidRPr="000E3CCA">
        <w:rPr>
          <w:rFonts w:ascii="CG Omega" w:hAnsi="CG Omega" w:cs="Arial"/>
          <w:b/>
        </w:rPr>
        <w:t xml:space="preserve">Fund </w:t>
      </w:r>
      <w:r w:rsidR="005347C1">
        <w:rPr>
          <w:rFonts w:ascii="CG Omega" w:hAnsi="CG Omega" w:cs="Arial"/>
          <w:b/>
        </w:rPr>
        <w:t>nonprofit</w:t>
      </w:r>
      <w:r>
        <w:rPr>
          <w:rFonts w:ascii="CG Omega" w:hAnsi="CG Omega" w:cs="Arial"/>
          <w:b/>
        </w:rPr>
        <w:t xml:space="preserve"> </w:t>
      </w:r>
      <w:r w:rsidRPr="000E3CCA">
        <w:rPr>
          <w:rFonts w:ascii="CG Omega" w:hAnsi="CG Omega" w:cs="Arial"/>
          <w:b/>
        </w:rPr>
        <w:t xml:space="preserve">entities providing housing and related services for and persons living with </w:t>
      </w:r>
      <w:r>
        <w:rPr>
          <w:rFonts w:ascii="CG Omega" w:hAnsi="CG Omega" w:cs="Arial"/>
          <w:b/>
        </w:rPr>
        <w:t>HIV/</w:t>
      </w:r>
      <w:r w:rsidRPr="000E3CCA">
        <w:rPr>
          <w:rFonts w:ascii="CG Omega" w:hAnsi="CG Omega" w:cs="Arial"/>
          <w:b/>
        </w:rPr>
        <w:t>AIDS</w:t>
      </w:r>
    </w:p>
    <w:p w:rsidR="0049477B" w:rsidRPr="000E3CCA" w:rsidRDefault="0049477B" w:rsidP="00912D9C">
      <w:pPr>
        <w:spacing w:after="120"/>
        <w:jc w:val="both"/>
        <w:rPr>
          <w:rFonts w:ascii="CG Omega" w:hAnsi="CG Omega" w:cs="Arial"/>
        </w:rPr>
      </w:pPr>
      <w:r w:rsidRPr="000E3CCA">
        <w:rPr>
          <w:rFonts w:ascii="CG Omega" w:hAnsi="CG Omega" w:cs="Arial"/>
        </w:rPr>
        <w:t>This objective can be accomplished through the following goal:</w:t>
      </w:r>
    </w:p>
    <w:p w:rsidR="0049477B" w:rsidRPr="000E3CCA" w:rsidRDefault="0049477B" w:rsidP="0049477B">
      <w:pPr>
        <w:numPr>
          <w:ilvl w:val="0"/>
          <w:numId w:val="62"/>
        </w:numPr>
        <w:jc w:val="both"/>
        <w:rPr>
          <w:rFonts w:ascii="CG Omega" w:hAnsi="CG Omega" w:cs="Arial"/>
        </w:rPr>
      </w:pPr>
      <w:r w:rsidRPr="000E3CCA">
        <w:rPr>
          <w:rFonts w:ascii="CG Omega" w:hAnsi="CG Omega" w:cs="Arial"/>
        </w:rPr>
        <w:t xml:space="preserve">Providing funds to </w:t>
      </w:r>
      <w:r w:rsidR="005347C1">
        <w:rPr>
          <w:rFonts w:ascii="CG Omega" w:hAnsi="CG Omega" w:cs="Arial"/>
        </w:rPr>
        <w:t>nonprofit</w:t>
      </w:r>
      <w:r w:rsidRPr="000E3CCA">
        <w:rPr>
          <w:rFonts w:ascii="CG Omega" w:hAnsi="CG Omega" w:cs="Arial"/>
        </w:rPr>
        <w:t xml:space="preserve"> organizations that serve people with special needs including those who are HIV-positive and/or are living with AIDS, such as short term rent, mortgage and utility payments, continued rental assistance for low-income households, and related supportive services</w:t>
      </w:r>
      <w:r w:rsidR="00912D9C">
        <w:rPr>
          <w:rFonts w:ascii="CG Omega" w:hAnsi="CG Omega" w:cs="Arial"/>
        </w:rPr>
        <w:t>.</w:t>
      </w:r>
    </w:p>
    <w:p w:rsidR="0049477B" w:rsidRPr="000E3CCA" w:rsidRDefault="0049477B" w:rsidP="0049477B">
      <w:pPr>
        <w:numPr>
          <w:ilvl w:val="0"/>
          <w:numId w:val="62"/>
        </w:numPr>
        <w:jc w:val="both"/>
        <w:rPr>
          <w:rFonts w:ascii="CG Omega" w:hAnsi="CG Omega" w:cs="Arial"/>
        </w:rPr>
      </w:pPr>
      <w:r w:rsidRPr="000E3CCA">
        <w:rPr>
          <w:rFonts w:ascii="CG Omega" w:hAnsi="CG Omega" w:cs="Arial"/>
        </w:rPr>
        <w:t>Promote the leveraging of CDBG, ESG, HOME, McKinney-Vento Continuum of Care, HUD’s special voucher programs, state Housing and Services funds with new funding sources</w:t>
      </w:r>
      <w:r w:rsidR="00912D9C">
        <w:rPr>
          <w:rFonts w:ascii="CG Omega" w:hAnsi="CG Omega" w:cs="Arial"/>
        </w:rPr>
        <w:t>.</w:t>
      </w:r>
    </w:p>
    <w:p w:rsidR="0049477B" w:rsidRPr="000E3CCA" w:rsidRDefault="0049477B" w:rsidP="0049477B">
      <w:pPr>
        <w:numPr>
          <w:ilvl w:val="0"/>
          <w:numId w:val="62"/>
        </w:numPr>
        <w:jc w:val="both"/>
        <w:rPr>
          <w:rFonts w:ascii="CG Omega" w:hAnsi="CG Omega" w:cs="Arial"/>
        </w:rPr>
      </w:pPr>
      <w:r>
        <w:rPr>
          <w:rFonts w:ascii="CG Omega" w:hAnsi="CG Omega" w:cs="Arial"/>
        </w:rPr>
        <w:t>Providing funds for facility-based housing assistance</w:t>
      </w:r>
      <w:r w:rsidR="00912D9C">
        <w:rPr>
          <w:rFonts w:ascii="CG Omega" w:hAnsi="CG Omega" w:cs="Arial"/>
        </w:rPr>
        <w:t>.</w:t>
      </w:r>
    </w:p>
    <w:p w:rsidR="0049477B" w:rsidRPr="000E3CCA" w:rsidRDefault="0049477B" w:rsidP="0049477B">
      <w:pPr>
        <w:jc w:val="both"/>
        <w:rPr>
          <w:rFonts w:ascii="CG Omega" w:hAnsi="CG Omega" w:cs="Arial"/>
          <w:sz w:val="16"/>
          <w:szCs w:val="16"/>
        </w:rPr>
      </w:pPr>
    </w:p>
    <w:p w:rsidR="0049477B" w:rsidRPr="000E3CCA" w:rsidRDefault="0049477B" w:rsidP="0049477B">
      <w:pPr>
        <w:pBdr>
          <w:bottom w:val="double" w:sz="4" w:space="1" w:color="0000FF"/>
        </w:pBdr>
        <w:jc w:val="both"/>
        <w:rPr>
          <w:rFonts w:ascii="CG Omega" w:hAnsi="CG Omega" w:cs="Arial"/>
          <w:b/>
          <w:color w:val="0000FF"/>
          <w:spacing w:val="3"/>
        </w:rPr>
      </w:pPr>
      <w:r w:rsidRPr="000E3CCA">
        <w:rPr>
          <w:rFonts w:ascii="CG Omega" w:hAnsi="CG Omega" w:cs="Arial"/>
          <w:b/>
          <w:smallCaps/>
          <w:color w:val="0000FF"/>
        </w:rPr>
        <w:t>Performance Measurement Criteria</w:t>
      </w:r>
    </w:p>
    <w:p w:rsidR="0049477B" w:rsidRPr="000E3CCA" w:rsidRDefault="0049477B" w:rsidP="0049477B">
      <w:pPr>
        <w:jc w:val="both"/>
        <w:rPr>
          <w:rFonts w:ascii="CG Omega" w:hAnsi="CG Omega" w:cs="Arial"/>
          <w:b/>
          <w:sz w:val="16"/>
          <w:szCs w:val="16"/>
        </w:rPr>
      </w:pPr>
    </w:p>
    <w:p w:rsidR="0049477B" w:rsidRPr="000E3CCA" w:rsidRDefault="0049477B" w:rsidP="0049477B">
      <w:pPr>
        <w:jc w:val="both"/>
        <w:rPr>
          <w:rFonts w:ascii="CG Omega" w:hAnsi="CG Omega" w:cs="Arial"/>
          <w:b/>
        </w:rPr>
      </w:pPr>
      <w:r w:rsidRPr="000E3CCA">
        <w:rPr>
          <w:rFonts w:ascii="CG Omega" w:hAnsi="CG Omega" w:cs="Arial"/>
          <w:b/>
        </w:rPr>
        <w:t>Encourage the development of special needs housing with supportive services:</w:t>
      </w:r>
    </w:p>
    <w:p w:rsidR="0049477B" w:rsidRPr="000E3CCA" w:rsidRDefault="0049477B" w:rsidP="0049477B">
      <w:pPr>
        <w:ind w:left="360"/>
        <w:jc w:val="both"/>
        <w:rPr>
          <w:rFonts w:ascii="CG Omega" w:hAnsi="CG Omega" w:cs="Arial"/>
          <w:i/>
          <w:sz w:val="16"/>
          <w:szCs w:val="16"/>
        </w:rPr>
      </w:pPr>
    </w:p>
    <w:p w:rsidR="0049477B" w:rsidRPr="000E3CCA" w:rsidRDefault="0049477B" w:rsidP="0049477B">
      <w:pPr>
        <w:ind w:left="720" w:hanging="360"/>
        <w:jc w:val="both"/>
        <w:rPr>
          <w:rFonts w:ascii="CG Omega" w:hAnsi="CG Omega" w:cs="Arial"/>
        </w:rPr>
      </w:pPr>
      <w:r w:rsidRPr="000E3CCA">
        <w:rPr>
          <w:rFonts w:ascii="CG Omega" w:hAnsi="CG Omega" w:cs="Arial"/>
          <w:i/>
        </w:rPr>
        <w:t>Availability/Accessibility</w:t>
      </w:r>
      <w:r w:rsidRPr="000E3CCA">
        <w:rPr>
          <w:rFonts w:ascii="CG Omega" w:hAnsi="CG Omega" w:cs="Arial"/>
        </w:rPr>
        <w:t>: The number of persons served with housing or with related services; the number of households served with housing or with related services</w:t>
      </w:r>
      <w:r w:rsidR="00912D9C">
        <w:rPr>
          <w:rFonts w:ascii="CG Omega" w:hAnsi="CG Omega" w:cs="Arial"/>
        </w:rPr>
        <w:t>.</w:t>
      </w:r>
    </w:p>
    <w:p w:rsidR="0049477B" w:rsidRPr="000E3CCA" w:rsidRDefault="0049477B" w:rsidP="0049477B">
      <w:pPr>
        <w:ind w:left="720" w:hanging="360"/>
        <w:jc w:val="both"/>
        <w:rPr>
          <w:rFonts w:ascii="CG Omega" w:hAnsi="CG Omega" w:cs="Arial"/>
        </w:rPr>
      </w:pPr>
      <w:r w:rsidRPr="000E3CCA">
        <w:rPr>
          <w:rFonts w:ascii="CG Omega" w:hAnsi="CG Omega" w:cs="Arial"/>
          <w:i/>
        </w:rPr>
        <w:t>Affordability</w:t>
      </w:r>
      <w:r w:rsidRPr="000E3CCA">
        <w:rPr>
          <w:rFonts w:ascii="CG Omega" w:hAnsi="CG Omega" w:cs="Arial"/>
        </w:rPr>
        <w:t>: The number of housing units that have been made available for special needs populations</w:t>
      </w:r>
      <w:r w:rsidR="00912D9C">
        <w:rPr>
          <w:rFonts w:ascii="CG Omega" w:hAnsi="CG Omega" w:cs="Arial"/>
        </w:rPr>
        <w:t>.</w:t>
      </w:r>
    </w:p>
    <w:p w:rsidR="0049477B" w:rsidRPr="000E3CCA" w:rsidRDefault="0049477B" w:rsidP="0049477B">
      <w:pPr>
        <w:ind w:left="720" w:hanging="360"/>
        <w:jc w:val="both"/>
        <w:rPr>
          <w:rFonts w:ascii="CG Omega" w:hAnsi="CG Omega" w:cs="Arial"/>
        </w:rPr>
      </w:pPr>
      <w:r w:rsidRPr="000E3CCA">
        <w:rPr>
          <w:rFonts w:ascii="CG Omega" w:hAnsi="CG Omega" w:cs="Arial"/>
          <w:i/>
        </w:rPr>
        <w:t>Sustainability</w:t>
      </w:r>
      <w:r w:rsidRPr="000E3CCA">
        <w:rPr>
          <w:rFonts w:ascii="CG Omega" w:hAnsi="CG Omega" w:cs="Arial"/>
        </w:rPr>
        <w:t>: The number of units that have been made available for special needs populations and added to the affordable housing stock</w:t>
      </w:r>
      <w:r w:rsidR="00912D9C">
        <w:rPr>
          <w:rFonts w:ascii="CG Omega" w:hAnsi="CG Omega" w:cs="Arial"/>
        </w:rPr>
        <w:t>.</w:t>
      </w:r>
    </w:p>
    <w:p w:rsidR="0049477B" w:rsidRPr="000E3CCA" w:rsidRDefault="0049477B" w:rsidP="0049477B">
      <w:pPr>
        <w:ind w:left="1080" w:hanging="360"/>
        <w:jc w:val="both"/>
        <w:rPr>
          <w:rFonts w:ascii="CG Omega" w:hAnsi="CG Omega" w:cs="Arial"/>
          <w:sz w:val="16"/>
          <w:szCs w:val="16"/>
        </w:rPr>
      </w:pPr>
    </w:p>
    <w:p w:rsidR="0049477B" w:rsidRPr="000E3CCA" w:rsidRDefault="0049477B" w:rsidP="0049477B">
      <w:pPr>
        <w:jc w:val="both"/>
        <w:rPr>
          <w:rFonts w:ascii="CG Omega" w:hAnsi="CG Omega" w:cs="Arial"/>
          <w:b/>
        </w:rPr>
      </w:pPr>
      <w:r w:rsidRPr="000E3CCA">
        <w:rPr>
          <w:rFonts w:ascii="CG Omega" w:hAnsi="CG Omega" w:cs="Arial"/>
          <w:b/>
        </w:rPr>
        <w:t>Expand housing opportunities and access for special needs populations:</w:t>
      </w:r>
    </w:p>
    <w:p w:rsidR="0049477B" w:rsidRPr="000E3CCA" w:rsidRDefault="0049477B" w:rsidP="0049477B">
      <w:pPr>
        <w:ind w:left="360"/>
        <w:jc w:val="both"/>
        <w:rPr>
          <w:rFonts w:ascii="CG Omega" w:hAnsi="CG Omega" w:cs="Arial"/>
          <w:i/>
          <w:sz w:val="16"/>
          <w:szCs w:val="16"/>
        </w:rPr>
      </w:pPr>
    </w:p>
    <w:p w:rsidR="0049477B" w:rsidRPr="000E3CCA" w:rsidRDefault="0049477B" w:rsidP="0049477B">
      <w:pPr>
        <w:ind w:left="720" w:hanging="360"/>
        <w:jc w:val="both"/>
        <w:rPr>
          <w:rFonts w:ascii="CG Omega" w:hAnsi="CG Omega" w:cs="Arial"/>
        </w:rPr>
      </w:pPr>
      <w:r w:rsidRPr="000E3CCA">
        <w:rPr>
          <w:rFonts w:ascii="CG Omega" w:hAnsi="CG Omega" w:cs="Arial"/>
          <w:i/>
        </w:rPr>
        <w:t>Availability/Accessibility</w:t>
      </w:r>
      <w:r w:rsidRPr="000E3CCA">
        <w:rPr>
          <w:rFonts w:ascii="CG Omega" w:hAnsi="CG Omega" w:cs="Arial"/>
        </w:rPr>
        <w:t>: The number of special needs persons served; the number of households served with housing or with housing related services; the number of affordable rental units that have been made accessible for special needs populations</w:t>
      </w:r>
      <w:r w:rsidR="00912D9C">
        <w:rPr>
          <w:rFonts w:ascii="CG Omega" w:hAnsi="CG Omega" w:cs="Arial"/>
        </w:rPr>
        <w:t>.</w:t>
      </w:r>
    </w:p>
    <w:p w:rsidR="0049477B" w:rsidRPr="000E3CCA" w:rsidRDefault="0049477B" w:rsidP="0049477B">
      <w:pPr>
        <w:ind w:left="720" w:hanging="360"/>
        <w:jc w:val="both"/>
        <w:rPr>
          <w:rFonts w:ascii="CG Omega" w:hAnsi="CG Omega" w:cs="Arial"/>
        </w:rPr>
      </w:pPr>
      <w:r w:rsidRPr="000E3CCA">
        <w:rPr>
          <w:rFonts w:ascii="CG Omega" w:hAnsi="CG Omega" w:cs="Arial"/>
          <w:i/>
        </w:rPr>
        <w:t>Affordability</w:t>
      </w:r>
      <w:r w:rsidRPr="000E3CCA">
        <w:rPr>
          <w:rFonts w:ascii="CG Omega" w:hAnsi="CG Omega" w:cs="Arial"/>
        </w:rPr>
        <w:t>: The number of rental units that have been created or modified for accessibility and that remain affordable</w:t>
      </w:r>
      <w:r w:rsidR="00912D9C">
        <w:rPr>
          <w:rFonts w:ascii="CG Omega" w:hAnsi="CG Omega" w:cs="Arial"/>
        </w:rPr>
        <w:t>.</w:t>
      </w:r>
    </w:p>
    <w:p w:rsidR="0049477B" w:rsidRPr="000E3CCA" w:rsidRDefault="0049477B" w:rsidP="0049477B">
      <w:pPr>
        <w:ind w:left="720" w:hanging="360"/>
        <w:jc w:val="both"/>
        <w:rPr>
          <w:rFonts w:ascii="CG Omega" w:hAnsi="CG Omega" w:cs="Arial"/>
        </w:rPr>
      </w:pPr>
      <w:r w:rsidRPr="000E3CCA">
        <w:rPr>
          <w:rFonts w:ascii="CG Omega" w:hAnsi="CG Omega" w:cs="Arial"/>
          <w:i/>
        </w:rPr>
        <w:t>Sustainability</w:t>
      </w:r>
      <w:r w:rsidRPr="000E3CCA">
        <w:rPr>
          <w:rFonts w:ascii="CG Omega" w:hAnsi="CG Omega" w:cs="Arial"/>
        </w:rPr>
        <w:t xml:space="preserve">: The number of units that have been made accessible </w:t>
      </w:r>
      <w:r>
        <w:rPr>
          <w:rFonts w:ascii="CG Omega" w:hAnsi="CG Omega" w:cs="Arial"/>
        </w:rPr>
        <w:t>and added or rehabilitated</w:t>
      </w:r>
      <w:r w:rsidR="00912D9C">
        <w:rPr>
          <w:rFonts w:ascii="CG Omega" w:hAnsi="CG Omega" w:cs="Arial"/>
        </w:rPr>
        <w:t>.</w:t>
      </w:r>
    </w:p>
    <w:p w:rsidR="0049477B" w:rsidRPr="000E3CCA" w:rsidRDefault="0049477B" w:rsidP="0049477B">
      <w:pPr>
        <w:jc w:val="both"/>
        <w:rPr>
          <w:rFonts w:ascii="CG Omega" w:hAnsi="CG Omega" w:cs="Arial"/>
          <w:b/>
          <w:sz w:val="16"/>
          <w:szCs w:val="16"/>
        </w:rPr>
      </w:pPr>
    </w:p>
    <w:p w:rsidR="0049477B" w:rsidRPr="000E3CCA" w:rsidRDefault="0049477B" w:rsidP="0049477B">
      <w:pPr>
        <w:jc w:val="both"/>
        <w:rPr>
          <w:rFonts w:ascii="CG Omega" w:hAnsi="CG Omega" w:cs="Arial"/>
          <w:b/>
          <w:sz w:val="16"/>
          <w:szCs w:val="16"/>
        </w:rPr>
      </w:pPr>
    </w:p>
    <w:p w:rsidR="00346C29" w:rsidRDefault="00346C29">
      <w:pPr>
        <w:rPr>
          <w:rFonts w:ascii="CG Omega" w:hAnsi="CG Omega" w:cs="Arial"/>
          <w:b/>
        </w:rPr>
      </w:pPr>
      <w:r>
        <w:rPr>
          <w:rFonts w:ascii="CG Omega" w:hAnsi="CG Omega" w:cs="Arial"/>
          <w:b/>
        </w:rPr>
        <w:br w:type="page"/>
      </w:r>
    </w:p>
    <w:p w:rsidR="0049477B" w:rsidRPr="000E3CCA" w:rsidRDefault="0049477B" w:rsidP="0049477B">
      <w:pPr>
        <w:jc w:val="both"/>
        <w:rPr>
          <w:rFonts w:ascii="CG Omega" w:hAnsi="CG Omega" w:cs="Arial"/>
          <w:b/>
        </w:rPr>
      </w:pPr>
      <w:r w:rsidRPr="000E3CCA">
        <w:rPr>
          <w:rFonts w:ascii="CG Omega" w:hAnsi="CG Omega" w:cs="Arial"/>
          <w:b/>
        </w:rPr>
        <w:t>Fund entities providing housing and related services for HIV-positive persons and persons living with AIDS.</w:t>
      </w:r>
    </w:p>
    <w:p w:rsidR="0049477B" w:rsidRPr="000E3CCA" w:rsidRDefault="0049477B" w:rsidP="0049477B">
      <w:pPr>
        <w:jc w:val="both"/>
        <w:rPr>
          <w:rFonts w:ascii="CG Omega" w:hAnsi="CG Omega" w:cs="Arial"/>
          <w:b/>
          <w:sz w:val="16"/>
          <w:szCs w:val="16"/>
        </w:rPr>
      </w:pPr>
    </w:p>
    <w:p w:rsidR="0049477B" w:rsidRPr="000E3CCA" w:rsidRDefault="0049477B" w:rsidP="0049477B">
      <w:pPr>
        <w:ind w:left="720" w:hanging="360"/>
        <w:jc w:val="both"/>
        <w:rPr>
          <w:rFonts w:ascii="CG Omega" w:hAnsi="CG Omega" w:cs="Arial"/>
        </w:rPr>
      </w:pPr>
      <w:r w:rsidRPr="000E3CCA">
        <w:rPr>
          <w:rFonts w:ascii="CG Omega" w:hAnsi="CG Omega" w:cs="Arial"/>
          <w:i/>
        </w:rPr>
        <w:t>Availability/Accessibility</w:t>
      </w:r>
      <w:r w:rsidRPr="000E3CCA">
        <w:rPr>
          <w:rFonts w:ascii="CG Omega" w:hAnsi="CG Omega" w:cs="Arial"/>
        </w:rPr>
        <w:t>: The number of HIV/AIDS households served with housing without related services; the number of HIV/AIDS households served with housing and related services</w:t>
      </w:r>
      <w:r w:rsidR="00912D9C">
        <w:rPr>
          <w:rFonts w:ascii="CG Omega" w:hAnsi="CG Omega" w:cs="Arial"/>
        </w:rPr>
        <w:t>.</w:t>
      </w:r>
    </w:p>
    <w:p w:rsidR="0049477B" w:rsidRPr="000E3CCA" w:rsidRDefault="0049477B" w:rsidP="0049477B">
      <w:pPr>
        <w:ind w:left="720" w:hanging="360"/>
        <w:jc w:val="both"/>
        <w:rPr>
          <w:rFonts w:ascii="CG Omega" w:hAnsi="CG Omega" w:cs="Arial"/>
        </w:rPr>
      </w:pPr>
      <w:r w:rsidRPr="000E3CCA">
        <w:rPr>
          <w:rFonts w:ascii="CG Omega" w:hAnsi="CG Omega" w:cs="Arial"/>
          <w:i/>
        </w:rPr>
        <w:t>Affordability</w:t>
      </w:r>
      <w:r w:rsidRPr="000E3CCA">
        <w:rPr>
          <w:rFonts w:ascii="CG Omega" w:hAnsi="CG Omega" w:cs="Arial"/>
        </w:rPr>
        <w:t>:  The number of HIV/AIDS households that were assisted without services; the number of HIV/AIDS households that were assisted with services</w:t>
      </w:r>
      <w:r w:rsidR="00912D9C">
        <w:rPr>
          <w:rFonts w:ascii="CG Omega" w:hAnsi="CG Omega" w:cs="Arial"/>
        </w:rPr>
        <w:t>.</w:t>
      </w:r>
    </w:p>
    <w:p w:rsidR="0049477B" w:rsidRPr="000E3CCA" w:rsidRDefault="0049477B" w:rsidP="0049477B">
      <w:pPr>
        <w:ind w:left="720" w:hanging="360"/>
        <w:jc w:val="both"/>
        <w:rPr>
          <w:rFonts w:ascii="CG Omega" w:hAnsi="CG Omega" w:cs="Arial"/>
        </w:rPr>
      </w:pPr>
      <w:r w:rsidRPr="000E3CCA">
        <w:rPr>
          <w:rFonts w:ascii="CG Omega" w:hAnsi="CG Omega" w:cs="Arial"/>
          <w:i/>
        </w:rPr>
        <w:t>Sustainability</w:t>
      </w:r>
      <w:r w:rsidRPr="000E3CCA">
        <w:rPr>
          <w:rFonts w:ascii="CG Omega" w:hAnsi="CG Omega" w:cs="Arial"/>
        </w:rPr>
        <w:t xml:space="preserve">: The number </w:t>
      </w:r>
      <w:r>
        <w:rPr>
          <w:rFonts w:ascii="CG Omega" w:hAnsi="CG Omega" w:cs="Arial"/>
        </w:rPr>
        <w:t>units</w:t>
      </w:r>
      <w:r w:rsidRPr="000E3CCA">
        <w:rPr>
          <w:rFonts w:ascii="CG Omega" w:hAnsi="CG Omega" w:cs="Arial"/>
        </w:rPr>
        <w:t xml:space="preserve"> </w:t>
      </w:r>
      <w:r>
        <w:rPr>
          <w:rFonts w:ascii="CG Omega" w:hAnsi="CG Omega" w:cs="Arial"/>
        </w:rPr>
        <w:t xml:space="preserve">rehabilitated and/or </w:t>
      </w:r>
      <w:r w:rsidRPr="000E3CCA">
        <w:rPr>
          <w:rFonts w:ascii="CG Omega" w:hAnsi="CG Omega" w:cs="Arial"/>
        </w:rPr>
        <w:t>added to the HIV/AIDS available stock of units</w:t>
      </w:r>
      <w:r w:rsidR="00912D9C">
        <w:rPr>
          <w:rFonts w:ascii="CG Omega" w:hAnsi="CG Omega" w:cs="Arial"/>
        </w:rPr>
        <w:t>.</w:t>
      </w:r>
    </w:p>
    <w:p w:rsidR="0049477B" w:rsidRPr="000E3CCA" w:rsidRDefault="0049477B" w:rsidP="0049477B">
      <w:pPr>
        <w:jc w:val="both"/>
        <w:rPr>
          <w:rFonts w:ascii="CG Omega" w:hAnsi="CG Omega" w:cs="Arial"/>
          <w:b/>
          <w:sz w:val="16"/>
          <w:szCs w:val="16"/>
        </w:rPr>
      </w:pPr>
    </w:p>
    <w:p w:rsidR="0049477B" w:rsidRPr="000E3CCA" w:rsidRDefault="0049477B" w:rsidP="0049477B">
      <w:pPr>
        <w:keepNext/>
        <w:pBdr>
          <w:bottom w:val="double" w:sz="4" w:space="1" w:color="008000"/>
        </w:pBdr>
        <w:outlineLvl w:val="0"/>
        <w:rPr>
          <w:rFonts w:ascii="CG Omega" w:hAnsi="CG Omega"/>
          <w:b/>
          <w:color w:val="008000"/>
          <w:spacing w:val="-2"/>
          <w:sz w:val="26"/>
          <w:szCs w:val="20"/>
          <w:u w:val="single"/>
        </w:rPr>
      </w:pPr>
      <w:r w:rsidRPr="000E3CCA">
        <w:rPr>
          <w:rFonts w:ascii="CG Omega" w:hAnsi="CG Omega"/>
          <w:b/>
          <w:smallCaps/>
          <w:color w:val="008000"/>
          <w:sz w:val="26"/>
          <w:szCs w:val="20"/>
        </w:rPr>
        <w:t>Strategy 5: Reduce the Incidence of Homelessness</w:t>
      </w:r>
    </w:p>
    <w:p w:rsidR="0049477B" w:rsidRPr="000E3CCA" w:rsidRDefault="0049477B" w:rsidP="0049477B">
      <w:pPr>
        <w:jc w:val="both"/>
        <w:rPr>
          <w:rFonts w:ascii="CG Omega" w:hAnsi="CG Omega" w:cs="Arial"/>
          <w:sz w:val="16"/>
          <w:szCs w:val="16"/>
        </w:rPr>
      </w:pPr>
    </w:p>
    <w:p w:rsidR="0049477B" w:rsidRPr="000E3CCA" w:rsidRDefault="0049477B" w:rsidP="0049477B">
      <w:pPr>
        <w:spacing w:after="120"/>
        <w:jc w:val="both"/>
        <w:rPr>
          <w:rFonts w:ascii="CG Omega" w:hAnsi="CG Omega" w:cs="Arial"/>
        </w:rPr>
      </w:pPr>
      <w:r w:rsidRPr="000E3CCA">
        <w:rPr>
          <w:rFonts w:ascii="CG Omega" w:hAnsi="CG Omega" w:cs="Arial"/>
        </w:rPr>
        <w:t xml:space="preserve">While the population is continuing to grow, the incidence of homelessness remains a difficulty for the state.  </w:t>
      </w:r>
      <w:r w:rsidR="00CC3344">
        <w:rPr>
          <w:rFonts w:ascii="CG Omega" w:hAnsi="CG Omega" w:cs="Arial"/>
        </w:rPr>
        <w:t>MFA</w:t>
      </w:r>
      <w:r w:rsidRPr="000E3CCA">
        <w:rPr>
          <w:rFonts w:ascii="CG Omega" w:hAnsi="CG Omega" w:cs="Arial"/>
        </w:rPr>
        <w:t xml:space="preserve"> is committed to reducing the incidence of homelessness and the risk of homelessness throughout New Mexico.  </w:t>
      </w:r>
    </w:p>
    <w:p w:rsidR="0049477B" w:rsidRPr="000E3CCA" w:rsidRDefault="0049477B" w:rsidP="0049477B">
      <w:pPr>
        <w:spacing w:after="120"/>
        <w:jc w:val="both"/>
        <w:rPr>
          <w:rFonts w:ascii="CG Omega" w:hAnsi="CG Omega" w:cs="Arial"/>
          <w:b/>
        </w:rPr>
      </w:pPr>
      <w:r w:rsidRPr="000E3CCA">
        <w:rPr>
          <w:rFonts w:ascii="CG Omega" w:hAnsi="CG Omega" w:cs="Arial"/>
          <w:b/>
        </w:rPr>
        <w:t>Increase the level and range of services provided to people experiencing homelessness:</w:t>
      </w:r>
    </w:p>
    <w:p w:rsidR="0049477B" w:rsidRPr="000E3CCA" w:rsidRDefault="0049477B" w:rsidP="00912D9C">
      <w:pPr>
        <w:spacing w:after="120"/>
        <w:jc w:val="both"/>
        <w:rPr>
          <w:rFonts w:ascii="CG Omega" w:hAnsi="CG Omega" w:cs="Arial"/>
        </w:rPr>
      </w:pPr>
      <w:r w:rsidRPr="000E3CCA">
        <w:rPr>
          <w:rFonts w:ascii="CG Omega" w:hAnsi="CG Omega" w:cs="Arial"/>
        </w:rPr>
        <w:t xml:space="preserve">This objective can be accomplished through the following goals: </w:t>
      </w:r>
    </w:p>
    <w:p w:rsidR="0049477B" w:rsidRPr="000E3CCA" w:rsidRDefault="0049477B" w:rsidP="0049477B">
      <w:pPr>
        <w:numPr>
          <w:ilvl w:val="0"/>
          <w:numId w:val="63"/>
        </w:numPr>
        <w:jc w:val="both"/>
        <w:rPr>
          <w:rFonts w:ascii="CG Omega" w:hAnsi="CG Omega" w:cs="Arial"/>
        </w:rPr>
      </w:pPr>
      <w:r w:rsidRPr="000E3CCA">
        <w:rPr>
          <w:rFonts w:ascii="CG Omega" w:hAnsi="CG Omega" w:cs="Arial"/>
        </w:rPr>
        <w:t>Improving the data collection methods for determining homeless populations, particularly in rural areas</w:t>
      </w:r>
      <w:r w:rsidR="00912D9C">
        <w:rPr>
          <w:rFonts w:ascii="CG Omega" w:hAnsi="CG Omega" w:cs="Arial"/>
        </w:rPr>
        <w:t>.</w:t>
      </w:r>
    </w:p>
    <w:p w:rsidR="0049477B" w:rsidRPr="000E3CCA" w:rsidRDefault="0049477B" w:rsidP="0049477B">
      <w:pPr>
        <w:numPr>
          <w:ilvl w:val="0"/>
          <w:numId w:val="63"/>
        </w:numPr>
        <w:jc w:val="both"/>
        <w:rPr>
          <w:rFonts w:ascii="CG Omega" w:hAnsi="CG Omega" w:cs="Arial"/>
        </w:rPr>
      </w:pPr>
      <w:r w:rsidRPr="000E3CCA">
        <w:rPr>
          <w:rFonts w:ascii="CG Omega" w:hAnsi="CG Omega" w:cs="Arial"/>
        </w:rPr>
        <w:t xml:space="preserve">Enhancing homelessness prevention activities, to include </w:t>
      </w:r>
      <w:r>
        <w:rPr>
          <w:rFonts w:ascii="CG Omega" w:hAnsi="CG Omega" w:cs="Arial"/>
        </w:rPr>
        <w:t xml:space="preserve">rental assistance, </w:t>
      </w:r>
      <w:r w:rsidRPr="000E3CCA">
        <w:rPr>
          <w:rFonts w:ascii="CG Omega" w:hAnsi="CG Omega" w:cs="Arial"/>
        </w:rPr>
        <w:t>counseling and other training opportunities</w:t>
      </w:r>
      <w:r w:rsidR="00912D9C">
        <w:rPr>
          <w:rFonts w:ascii="CG Omega" w:hAnsi="CG Omega" w:cs="Arial"/>
        </w:rPr>
        <w:t>.</w:t>
      </w:r>
    </w:p>
    <w:p w:rsidR="0049477B" w:rsidRPr="000E3CCA" w:rsidRDefault="0049477B" w:rsidP="0049477B">
      <w:pPr>
        <w:numPr>
          <w:ilvl w:val="0"/>
          <w:numId w:val="63"/>
        </w:numPr>
        <w:spacing w:after="120"/>
        <w:jc w:val="both"/>
        <w:rPr>
          <w:rFonts w:ascii="CG Omega" w:hAnsi="CG Omega" w:cs="Arial"/>
        </w:rPr>
      </w:pPr>
      <w:r w:rsidRPr="000E3CCA">
        <w:rPr>
          <w:rFonts w:ascii="CG Omega" w:hAnsi="CG Omega" w:cs="Arial"/>
        </w:rPr>
        <w:t xml:space="preserve">Expanding </w:t>
      </w:r>
      <w:r>
        <w:rPr>
          <w:rFonts w:ascii="CG Omega" w:hAnsi="CG Omega" w:cs="Arial"/>
        </w:rPr>
        <w:t>rapid rehousing including rental assistance and support services</w:t>
      </w:r>
      <w:r w:rsidR="00912D9C">
        <w:rPr>
          <w:rFonts w:ascii="CG Omega" w:hAnsi="CG Omega" w:cs="Arial"/>
        </w:rPr>
        <w:t>.</w:t>
      </w:r>
    </w:p>
    <w:p w:rsidR="0049477B" w:rsidRPr="000E3CCA" w:rsidRDefault="0049477B" w:rsidP="0049477B">
      <w:pPr>
        <w:spacing w:after="120"/>
        <w:jc w:val="both"/>
        <w:rPr>
          <w:rFonts w:ascii="CG Omega" w:hAnsi="CG Omega" w:cs="Arial"/>
          <w:b/>
        </w:rPr>
      </w:pPr>
      <w:r w:rsidRPr="000E3CCA">
        <w:rPr>
          <w:rFonts w:ascii="CG Omega" w:hAnsi="CG Omega" w:cs="Arial"/>
          <w:b/>
        </w:rPr>
        <w:t>Increase the number of available living environments</w:t>
      </w:r>
    </w:p>
    <w:p w:rsidR="0049477B" w:rsidRPr="000E3CCA" w:rsidRDefault="0049477B" w:rsidP="0049477B">
      <w:pPr>
        <w:spacing w:after="120"/>
        <w:jc w:val="both"/>
        <w:rPr>
          <w:rFonts w:ascii="CG Omega" w:hAnsi="CG Omega" w:cs="Arial"/>
        </w:rPr>
      </w:pPr>
      <w:r w:rsidRPr="000E3CCA">
        <w:rPr>
          <w:rFonts w:ascii="CG Omega" w:hAnsi="CG Omega" w:cs="Arial"/>
        </w:rPr>
        <w:t xml:space="preserve">This objective can be accomplished through the following goals: </w:t>
      </w:r>
    </w:p>
    <w:p w:rsidR="0049477B" w:rsidRDefault="0049477B" w:rsidP="00912D9C">
      <w:pPr>
        <w:numPr>
          <w:ilvl w:val="0"/>
          <w:numId w:val="64"/>
        </w:numPr>
        <w:jc w:val="both"/>
        <w:rPr>
          <w:rFonts w:ascii="CG Omega" w:hAnsi="CG Omega" w:cs="Arial"/>
        </w:rPr>
      </w:pPr>
      <w:r w:rsidRPr="000E3CCA">
        <w:rPr>
          <w:rFonts w:ascii="CG Omega" w:hAnsi="CG Omega" w:cs="Arial"/>
        </w:rPr>
        <w:t>Expanding the supply of permanent and permanent supportive housing for people experiencing homelessness</w:t>
      </w:r>
      <w:r w:rsidR="00912D9C">
        <w:rPr>
          <w:rFonts w:ascii="CG Omega" w:hAnsi="CG Omega" w:cs="Arial"/>
        </w:rPr>
        <w:t>.</w:t>
      </w:r>
    </w:p>
    <w:p w:rsidR="0049477B" w:rsidRPr="000E3CCA" w:rsidRDefault="0049477B" w:rsidP="00912D9C">
      <w:pPr>
        <w:numPr>
          <w:ilvl w:val="0"/>
          <w:numId w:val="64"/>
        </w:numPr>
        <w:jc w:val="both"/>
        <w:rPr>
          <w:rFonts w:ascii="CG Omega" w:hAnsi="CG Omega" w:cs="Arial"/>
        </w:rPr>
      </w:pPr>
      <w:r>
        <w:rPr>
          <w:rFonts w:ascii="CG Omega" w:hAnsi="CG Omega" w:cs="Arial"/>
        </w:rPr>
        <w:t>Expand transitional housing for homeless youth and victims of domestic violence.</w:t>
      </w:r>
    </w:p>
    <w:p w:rsidR="0049477B" w:rsidRPr="00912D9C" w:rsidRDefault="0049477B" w:rsidP="0049477B">
      <w:pPr>
        <w:ind w:left="360"/>
        <w:jc w:val="both"/>
        <w:rPr>
          <w:rFonts w:ascii="CG Omega" w:hAnsi="CG Omega" w:cs="Arial"/>
        </w:rPr>
      </w:pPr>
    </w:p>
    <w:p w:rsidR="0049477B" w:rsidRPr="000E3CCA" w:rsidRDefault="0049477B" w:rsidP="0049477B">
      <w:pPr>
        <w:pBdr>
          <w:bottom w:val="double" w:sz="4" w:space="1" w:color="0000FF"/>
        </w:pBdr>
        <w:jc w:val="both"/>
        <w:rPr>
          <w:rFonts w:ascii="CG Omega" w:hAnsi="CG Omega" w:cs="Arial"/>
          <w:b/>
          <w:color w:val="0000FF"/>
          <w:spacing w:val="3"/>
        </w:rPr>
      </w:pPr>
      <w:r w:rsidRPr="000E3CCA">
        <w:rPr>
          <w:rFonts w:ascii="CG Omega" w:hAnsi="CG Omega" w:cs="Arial"/>
          <w:b/>
          <w:smallCaps/>
          <w:color w:val="0000FF"/>
        </w:rPr>
        <w:t>Performance Measurement Criteria</w:t>
      </w:r>
    </w:p>
    <w:p w:rsidR="0049477B" w:rsidRPr="000E3CCA" w:rsidRDefault="0049477B" w:rsidP="0049477B">
      <w:pPr>
        <w:jc w:val="both"/>
        <w:rPr>
          <w:rFonts w:ascii="CG Omega" w:hAnsi="CG Omega" w:cs="Arial"/>
          <w:b/>
          <w:sz w:val="16"/>
          <w:szCs w:val="16"/>
        </w:rPr>
      </w:pPr>
    </w:p>
    <w:p w:rsidR="0049477B" w:rsidRPr="000E3CCA" w:rsidRDefault="0049477B" w:rsidP="0049477B">
      <w:pPr>
        <w:jc w:val="both"/>
        <w:rPr>
          <w:rFonts w:ascii="CG Omega" w:hAnsi="CG Omega" w:cs="Arial"/>
          <w:b/>
        </w:rPr>
      </w:pPr>
      <w:r w:rsidRPr="000E3CCA">
        <w:rPr>
          <w:rFonts w:ascii="CG Omega" w:hAnsi="CG Omega" w:cs="Arial"/>
          <w:b/>
        </w:rPr>
        <w:t>Increase the level and range of services provided to people experiencing homelessness:</w:t>
      </w:r>
    </w:p>
    <w:p w:rsidR="0049477B" w:rsidRPr="000E3CCA" w:rsidRDefault="0049477B" w:rsidP="0049477B">
      <w:pPr>
        <w:ind w:left="360"/>
        <w:jc w:val="both"/>
        <w:rPr>
          <w:rFonts w:ascii="CG Omega" w:hAnsi="CG Omega" w:cs="Arial"/>
          <w:i/>
          <w:sz w:val="16"/>
          <w:szCs w:val="16"/>
        </w:rPr>
      </w:pPr>
    </w:p>
    <w:p w:rsidR="0049477B" w:rsidRPr="000E3CCA" w:rsidRDefault="0049477B" w:rsidP="0049477B">
      <w:pPr>
        <w:ind w:left="720" w:hanging="360"/>
        <w:jc w:val="both"/>
        <w:rPr>
          <w:rFonts w:ascii="CG Omega" w:hAnsi="CG Omega" w:cs="Arial"/>
        </w:rPr>
      </w:pPr>
      <w:r w:rsidRPr="000E3CCA">
        <w:rPr>
          <w:rFonts w:ascii="CG Omega" w:hAnsi="CG Omega" w:cs="Arial"/>
          <w:i/>
        </w:rPr>
        <w:t>Availability/Accessibility</w:t>
      </w:r>
      <w:r w:rsidRPr="000E3CCA">
        <w:rPr>
          <w:rFonts w:ascii="CG Omega" w:hAnsi="CG Omega" w:cs="Arial"/>
        </w:rPr>
        <w:t>: The number of homeless persons provided with services; the number and types of services provided to persons experiencing homelessness</w:t>
      </w:r>
      <w:r w:rsidR="00912D9C">
        <w:rPr>
          <w:rFonts w:ascii="CG Omega" w:hAnsi="CG Omega" w:cs="Arial"/>
        </w:rPr>
        <w:t>.</w:t>
      </w:r>
    </w:p>
    <w:p w:rsidR="0049477B" w:rsidRPr="000E3CCA" w:rsidRDefault="0049477B" w:rsidP="0049477B">
      <w:pPr>
        <w:ind w:left="720" w:hanging="360"/>
        <w:jc w:val="both"/>
        <w:rPr>
          <w:rFonts w:ascii="CG Omega" w:hAnsi="CG Omega" w:cs="Arial"/>
        </w:rPr>
      </w:pPr>
      <w:r w:rsidRPr="000E3CCA">
        <w:rPr>
          <w:rFonts w:ascii="CG Omega" w:hAnsi="CG Omega" w:cs="Arial"/>
          <w:i/>
        </w:rPr>
        <w:t>Affordability</w:t>
      </w:r>
      <w:r w:rsidRPr="000E3CCA">
        <w:rPr>
          <w:rFonts w:ascii="CG Omega" w:hAnsi="CG Omega" w:cs="Arial"/>
        </w:rPr>
        <w:t>: The number of persons who gained a stable transitional or permanent housing situation</w:t>
      </w:r>
      <w:r w:rsidR="00912D9C">
        <w:rPr>
          <w:rFonts w:ascii="CG Omega" w:hAnsi="CG Omega" w:cs="Arial"/>
        </w:rPr>
        <w:t>.</w:t>
      </w:r>
    </w:p>
    <w:p w:rsidR="0049477B" w:rsidRPr="000E3CCA" w:rsidRDefault="0049477B" w:rsidP="0049477B">
      <w:pPr>
        <w:rPr>
          <w:sz w:val="16"/>
          <w:szCs w:val="16"/>
        </w:rPr>
      </w:pPr>
    </w:p>
    <w:p w:rsidR="0049477B" w:rsidRPr="000E3CCA" w:rsidRDefault="0049477B" w:rsidP="0049477B">
      <w:pPr>
        <w:jc w:val="both"/>
        <w:rPr>
          <w:rFonts w:ascii="CG Omega" w:hAnsi="CG Omega" w:cs="Arial"/>
          <w:b/>
        </w:rPr>
      </w:pPr>
      <w:r w:rsidRPr="000E3CCA">
        <w:rPr>
          <w:rFonts w:ascii="CG Omega" w:hAnsi="CG Omega" w:cs="Arial"/>
          <w:b/>
        </w:rPr>
        <w:t>Increase the number of available living environments:</w:t>
      </w:r>
    </w:p>
    <w:p w:rsidR="0049477B" w:rsidRPr="000E3CCA" w:rsidRDefault="0049477B" w:rsidP="0049477B">
      <w:pPr>
        <w:ind w:left="360"/>
        <w:jc w:val="both"/>
        <w:rPr>
          <w:rFonts w:ascii="CG Omega" w:hAnsi="CG Omega" w:cs="Arial"/>
          <w:i/>
          <w:sz w:val="16"/>
          <w:szCs w:val="16"/>
        </w:rPr>
      </w:pPr>
    </w:p>
    <w:p w:rsidR="0049477B" w:rsidRPr="000E3CCA" w:rsidRDefault="0049477B" w:rsidP="0049477B">
      <w:pPr>
        <w:ind w:left="720" w:hanging="360"/>
        <w:jc w:val="both"/>
        <w:rPr>
          <w:rFonts w:ascii="CG Omega" w:hAnsi="CG Omega" w:cs="Arial"/>
        </w:rPr>
      </w:pPr>
      <w:r w:rsidRPr="000E3CCA">
        <w:rPr>
          <w:rFonts w:ascii="CG Omega" w:hAnsi="CG Omega" w:cs="Arial"/>
          <w:i/>
        </w:rPr>
        <w:t>Availability/Accessibility</w:t>
      </w:r>
      <w:r w:rsidRPr="000E3CCA">
        <w:rPr>
          <w:rFonts w:ascii="CG Omega" w:hAnsi="CG Omega" w:cs="Arial"/>
        </w:rPr>
        <w:t xml:space="preserve">: The number of homeless persons </w:t>
      </w:r>
      <w:r>
        <w:rPr>
          <w:rFonts w:ascii="CG Omega" w:hAnsi="CG Omega" w:cs="Arial"/>
        </w:rPr>
        <w:t>going from</w:t>
      </w:r>
      <w:r w:rsidRPr="000E3CCA">
        <w:rPr>
          <w:rFonts w:ascii="CG Omega" w:hAnsi="CG Omega" w:cs="Arial"/>
        </w:rPr>
        <w:t xml:space="preserve"> transitional housing </w:t>
      </w:r>
      <w:r>
        <w:rPr>
          <w:rFonts w:ascii="CG Omega" w:hAnsi="CG Omega" w:cs="Arial"/>
        </w:rPr>
        <w:t>to permanent housing</w:t>
      </w:r>
      <w:r w:rsidRPr="000E3CCA">
        <w:rPr>
          <w:rFonts w:ascii="CG Omega" w:hAnsi="CG Omega" w:cs="Arial"/>
        </w:rPr>
        <w:t>; the number of homeless persons placed in permanent supportive housing units</w:t>
      </w:r>
      <w:r>
        <w:rPr>
          <w:rFonts w:ascii="CG Omega" w:hAnsi="CG Omega" w:cs="Arial"/>
        </w:rPr>
        <w:t xml:space="preserve"> who stay at least 6 months</w:t>
      </w:r>
      <w:r w:rsidR="00912D9C">
        <w:rPr>
          <w:rFonts w:ascii="CG Omega" w:hAnsi="CG Omega" w:cs="Arial"/>
        </w:rPr>
        <w:t>.</w:t>
      </w:r>
    </w:p>
    <w:p w:rsidR="0049477B" w:rsidRPr="000E3CCA" w:rsidRDefault="0049477B" w:rsidP="0049477B">
      <w:pPr>
        <w:ind w:left="720" w:hanging="360"/>
        <w:jc w:val="both"/>
        <w:rPr>
          <w:rFonts w:ascii="CG Omega" w:hAnsi="CG Omega" w:cs="Arial"/>
        </w:rPr>
      </w:pPr>
      <w:r w:rsidRPr="000E3CCA">
        <w:rPr>
          <w:rFonts w:ascii="CG Omega" w:hAnsi="CG Omega" w:cs="Arial"/>
          <w:i/>
        </w:rPr>
        <w:t>Affordability</w:t>
      </w:r>
      <w:r w:rsidRPr="000E3CCA">
        <w:rPr>
          <w:rFonts w:ascii="CG Omega" w:hAnsi="CG Omega" w:cs="Arial"/>
        </w:rPr>
        <w:t>: The number of transitional housing units created; the number of permanent supportive housing units created</w:t>
      </w:r>
      <w:r w:rsidR="00912D9C">
        <w:rPr>
          <w:rFonts w:ascii="CG Omega" w:hAnsi="CG Omega" w:cs="Arial"/>
        </w:rPr>
        <w:t>.</w:t>
      </w:r>
    </w:p>
    <w:p w:rsidR="0049477B" w:rsidRDefault="0049477B" w:rsidP="0049477B">
      <w:pPr>
        <w:ind w:left="720" w:hanging="360"/>
        <w:jc w:val="both"/>
        <w:rPr>
          <w:rFonts w:ascii="CG Omega" w:hAnsi="CG Omega" w:cs="Arial"/>
        </w:rPr>
      </w:pPr>
      <w:r w:rsidRPr="000E3CCA">
        <w:rPr>
          <w:rFonts w:ascii="CG Omega" w:hAnsi="CG Omega" w:cs="Arial"/>
          <w:i/>
        </w:rPr>
        <w:t>Sustainability</w:t>
      </w:r>
      <w:r w:rsidRPr="000E3CCA">
        <w:rPr>
          <w:rFonts w:ascii="CG Omega" w:hAnsi="CG Omega" w:cs="Arial"/>
        </w:rPr>
        <w:t>: The number of previously homeless persons in transitional housing; the number of previously homeless persons placed in permanent supportive housing</w:t>
      </w:r>
      <w:r w:rsidR="00912D9C">
        <w:rPr>
          <w:rFonts w:ascii="CG Omega" w:hAnsi="CG Omega" w:cs="Arial"/>
        </w:rPr>
        <w:t>.</w:t>
      </w:r>
    </w:p>
    <w:p w:rsidR="00346C29" w:rsidRPr="000E3CCA" w:rsidRDefault="00346C29" w:rsidP="0049477B">
      <w:pPr>
        <w:ind w:left="720" w:hanging="360"/>
        <w:jc w:val="both"/>
        <w:rPr>
          <w:rFonts w:ascii="CG Omega" w:hAnsi="CG Omega" w:cs="Arial"/>
        </w:rPr>
      </w:pPr>
    </w:p>
    <w:p w:rsidR="0049477B" w:rsidRPr="000E3CCA" w:rsidRDefault="0049477B" w:rsidP="0049477B">
      <w:pPr>
        <w:keepNext/>
        <w:pBdr>
          <w:bottom w:val="double" w:sz="4" w:space="1" w:color="008000"/>
        </w:pBdr>
        <w:outlineLvl w:val="0"/>
        <w:rPr>
          <w:rFonts w:ascii="CG Omega" w:hAnsi="CG Omega"/>
          <w:b/>
          <w:color w:val="008000"/>
          <w:spacing w:val="-4"/>
          <w:sz w:val="26"/>
          <w:szCs w:val="20"/>
          <w:u w:val="single"/>
        </w:rPr>
      </w:pPr>
      <w:r w:rsidRPr="000E3CCA">
        <w:rPr>
          <w:rFonts w:ascii="CG Omega" w:hAnsi="CG Omega"/>
          <w:b/>
          <w:smallCaps/>
          <w:color w:val="008000"/>
          <w:spacing w:val="-4"/>
          <w:sz w:val="26"/>
          <w:szCs w:val="20"/>
        </w:rPr>
        <w:t>Strategy 6: Enhance the Quality of Infrastructure, Public Facilities and Housing</w:t>
      </w:r>
    </w:p>
    <w:p w:rsidR="0049477B" w:rsidRPr="000E3CCA" w:rsidRDefault="0049477B" w:rsidP="0049477B">
      <w:pPr>
        <w:jc w:val="both"/>
        <w:rPr>
          <w:rFonts w:ascii="CG Omega" w:hAnsi="CG Omega" w:cs="Arial"/>
          <w:sz w:val="16"/>
          <w:szCs w:val="16"/>
        </w:rPr>
      </w:pPr>
    </w:p>
    <w:p w:rsidR="003B6F0A" w:rsidRPr="000E3CCA" w:rsidRDefault="003B6F0A" w:rsidP="003B6F0A">
      <w:pPr>
        <w:jc w:val="both"/>
        <w:rPr>
          <w:rFonts w:ascii="CG Omega" w:hAnsi="CG Omega" w:cs="Arial"/>
        </w:rPr>
      </w:pPr>
      <w:r w:rsidRPr="000E3CCA">
        <w:rPr>
          <w:rFonts w:ascii="CG Omega" w:hAnsi="CG Omega" w:cs="Arial"/>
        </w:rPr>
        <w:t>The New Mexico Department of Finance and Administration, Local Government Division, has the responsibility of administering the state’s Community Development Block Grant (CDBG) Program</w:t>
      </w:r>
      <w:r>
        <w:rPr>
          <w:rFonts w:ascii="CG Omega" w:hAnsi="CG Omega" w:cs="Arial"/>
        </w:rPr>
        <w:t xml:space="preserve"> for non-entitlement</w:t>
      </w:r>
      <w:r w:rsidRPr="000E3CCA">
        <w:rPr>
          <w:rFonts w:ascii="CG Omega" w:hAnsi="CG Omega" w:cs="Arial"/>
        </w:rPr>
        <w:t xml:space="preserve"> communities.</w:t>
      </w:r>
    </w:p>
    <w:p w:rsidR="003B6F0A" w:rsidRDefault="003B6F0A" w:rsidP="003B6F0A">
      <w:pPr>
        <w:jc w:val="both"/>
        <w:rPr>
          <w:rFonts w:ascii="CG Omega" w:hAnsi="CG Omega" w:cs="Arial"/>
        </w:rPr>
      </w:pPr>
    </w:p>
    <w:p w:rsidR="003B6F0A" w:rsidRPr="000E3CCA" w:rsidRDefault="003B6F0A" w:rsidP="003B6F0A">
      <w:pPr>
        <w:spacing w:after="120"/>
        <w:jc w:val="both"/>
        <w:rPr>
          <w:rFonts w:ascii="CG Omega" w:hAnsi="CG Omega" w:cs="Arial"/>
        </w:rPr>
      </w:pPr>
      <w:r w:rsidRPr="000E3CCA">
        <w:rPr>
          <w:rFonts w:ascii="CG Omega" w:hAnsi="CG Omega" w:cs="Arial"/>
        </w:rPr>
        <w:t>This strategy will include a focus on providing a suitable living environment through</w:t>
      </w:r>
      <w:r>
        <w:rPr>
          <w:rFonts w:ascii="CG Omega" w:hAnsi="CG Omega" w:cs="Arial"/>
        </w:rPr>
        <w:t>, but not limited to the following</w:t>
      </w:r>
      <w:r w:rsidRPr="000E3CCA">
        <w:rPr>
          <w:rFonts w:ascii="CG Omega" w:hAnsi="CG Omega" w:cs="Arial"/>
        </w:rPr>
        <w:t>:</w:t>
      </w:r>
    </w:p>
    <w:p w:rsidR="003B6F0A" w:rsidRPr="000E3CCA" w:rsidRDefault="003B6F0A" w:rsidP="00912D9C">
      <w:pPr>
        <w:numPr>
          <w:ilvl w:val="0"/>
          <w:numId w:val="38"/>
        </w:numPr>
        <w:tabs>
          <w:tab w:val="num" w:pos="720"/>
        </w:tabs>
        <w:ind w:left="720"/>
        <w:jc w:val="both"/>
        <w:rPr>
          <w:rFonts w:ascii="CG Omega" w:hAnsi="CG Omega" w:cs="Arial"/>
        </w:rPr>
      </w:pPr>
      <w:r w:rsidRPr="000E3CCA">
        <w:rPr>
          <w:rFonts w:ascii="CG Omega" w:hAnsi="CG Omega" w:cs="Arial"/>
        </w:rPr>
        <w:t>Water, wastewater</w:t>
      </w:r>
      <w:r>
        <w:rPr>
          <w:rFonts w:ascii="CG Omega" w:hAnsi="CG Omega" w:cs="Arial"/>
        </w:rPr>
        <w:t>, storm sewers</w:t>
      </w:r>
      <w:r w:rsidRPr="000E3CCA">
        <w:rPr>
          <w:rFonts w:ascii="CG Omega" w:hAnsi="CG Omega" w:cs="Arial"/>
        </w:rPr>
        <w:t xml:space="preserve"> and streets: Funds will be allocated to improve the infrastructure for low and moderate income persons and priority will be given to those </w:t>
      </w:r>
      <w:r>
        <w:rPr>
          <w:rFonts w:ascii="CG Omega" w:hAnsi="CG Omega" w:cs="Arial"/>
        </w:rPr>
        <w:t xml:space="preserve">projects </w:t>
      </w:r>
      <w:r w:rsidRPr="000E3CCA">
        <w:rPr>
          <w:rFonts w:ascii="CG Omega" w:hAnsi="CG Omega" w:cs="Arial"/>
        </w:rPr>
        <w:t xml:space="preserve">that are </w:t>
      </w:r>
      <w:r>
        <w:rPr>
          <w:rFonts w:ascii="CG Omega" w:hAnsi="CG Omega" w:cs="Arial"/>
        </w:rPr>
        <w:t>ready to proceed</w:t>
      </w:r>
      <w:r w:rsidRPr="000E3CCA">
        <w:rPr>
          <w:rFonts w:ascii="CG Omega" w:hAnsi="CG Omega" w:cs="Arial"/>
        </w:rPr>
        <w:t>.</w:t>
      </w:r>
    </w:p>
    <w:p w:rsidR="003B6F0A" w:rsidRPr="000E3CCA" w:rsidRDefault="003B6F0A" w:rsidP="00912D9C">
      <w:pPr>
        <w:numPr>
          <w:ilvl w:val="0"/>
          <w:numId w:val="38"/>
        </w:numPr>
        <w:tabs>
          <w:tab w:val="num" w:pos="720"/>
        </w:tabs>
        <w:ind w:left="720"/>
        <w:jc w:val="both"/>
        <w:rPr>
          <w:rFonts w:ascii="CG Omega" w:hAnsi="CG Omega" w:cs="Arial"/>
        </w:rPr>
      </w:pPr>
      <w:r w:rsidRPr="000E3CCA">
        <w:rPr>
          <w:rFonts w:ascii="CG Omega" w:hAnsi="CG Omega" w:cs="Arial"/>
        </w:rPr>
        <w:t>Colonia</w:t>
      </w:r>
      <w:r>
        <w:rPr>
          <w:rFonts w:ascii="CG Omega" w:hAnsi="CG Omega" w:cs="Arial"/>
        </w:rPr>
        <w:t>s</w:t>
      </w:r>
      <w:r w:rsidRPr="000E3CCA">
        <w:rPr>
          <w:rFonts w:ascii="CG Omega" w:hAnsi="CG Omega" w:cs="Arial"/>
        </w:rPr>
        <w:t>: Funds will be allocated to improve the infrastructure and housing needs in the colonias and priority will be given to those</w:t>
      </w:r>
      <w:r>
        <w:rPr>
          <w:rFonts w:ascii="CG Omega" w:hAnsi="CG Omega" w:cs="Arial"/>
        </w:rPr>
        <w:t xml:space="preserve"> projects</w:t>
      </w:r>
      <w:r w:rsidRPr="000E3CCA">
        <w:rPr>
          <w:rFonts w:ascii="CG Omega" w:hAnsi="CG Omega" w:cs="Arial"/>
        </w:rPr>
        <w:t xml:space="preserve"> that are </w:t>
      </w:r>
      <w:r>
        <w:rPr>
          <w:rFonts w:ascii="CG Omega" w:hAnsi="CG Omega" w:cs="Arial"/>
        </w:rPr>
        <w:t>ready to proceed</w:t>
      </w:r>
      <w:r w:rsidRPr="000E3CCA">
        <w:rPr>
          <w:rFonts w:ascii="CG Omega" w:hAnsi="CG Omega" w:cs="Arial"/>
        </w:rPr>
        <w:t>.</w:t>
      </w:r>
    </w:p>
    <w:p w:rsidR="003B6F0A" w:rsidRDefault="003B6F0A" w:rsidP="00912D9C">
      <w:pPr>
        <w:numPr>
          <w:ilvl w:val="0"/>
          <w:numId w:val="38"/>
        </w:numPr>
        <w:tabs>
          <w:tab w:val="num" w:pos="720"/>
        </w:tabs>
        <w:ind w:left="720"/>
        <w:jc w:val="both"/>
        <w:rPr>
          <w:rFonts w:ascii="CG Omega" w:hAnsi="CG Omega" w:cs="Arial"/>
        </w:rPr>
      </w:pPr>
      <w:r w:rsidRPr="000E3CCA">
        <w:rPr>
          <w:rFonts w:ascii="CG Omega" w:hAnsi="CG Omega" w:cs="Arial"/>
        </w:rPr>
        <w:t xml:space="preserve">Planning:  Funds will be allocated to </w:t>
      </w:r>
      <w:r>
        <w:rPr>
          <w:rFonts w:ascii="CG Omega" w:hAnsi="CG Omega" w:cs="Arial"/>
        </w:rPr>
        <w:t>projects that update their</w:t>
      </w:r>
      <w:r w:rsidRPr="000E3CCA">
        <w:rPr>
          <w:rFonts w:ascii="CG Omega" w:hAnsi="CG Omega" w:cs="Arial"/>
        </w:rPr>
        <w:t xml:space="preserve"> comprehensive plans, asset management plans, preliminary engineering reports, and other plans and studies identified in rules and regulations.</w:t>
      </w:r>
    </w:p>
    <w:p w:rsidR="003B6F0A" w:rsidRDefault="003B6F0A" w:rsidP="00912D9C">
      <w:pPr>
        <w:numPr>
          <w:ilvl w:val="0"/>
          <w:numId w:val="38"/>
        </w:numPr>
        <w:tabs>
          <w:tab w:val="num" w:pos="720"/>
        </w:tabs>
        <w:ind w:left="720"/>
        <w:jc w:val="both"/>
        <w:rPr>
          <w:rFonts w:ascii="CG Omega" w:hAnsi="CG Omega" w:cs="Arial"/>
        </w:rPr>
      </w:pPr>
      <w:r>
        <w:rPr>
          <w:rFonts w:ascii="CG Omega" w:hAnsi="CG Omega" w:cs="Arial"/>
        </w:rPr>
        <w:t>Housing: Funds will focus on providing</w:t>
      </w:r>
      <w:r w:rsidRPr="00D36462">
        <w:rPr>
          <w:rFonts w:ascii="CG Omega" w:hAnsi="CG Omega" w:cs="Arial"/>
        </w:rPr>
        <w:t xml:space="preserve"> decent housing through allocating funding to projects related to housing activities for low</w:t>
      </w:r>
      <w:r w:rsidRPr="00B37E50">
        <w:rPr>
          <w:rFonts w:ascii="CG Omega" w:hAnsi="CG Omega" w:cs="Arial"/>
        </w:rPr>
        <w:t xml:space="preserve"> to moderate income persons and priority will be given to housing rehabilitation projects.</w:t>
      </w:r>
    </w:p>
    <w:p w:rsidR="003B6F0A" w:rsidRDefault="003B6F0A" w:rsidP="00912D9C">
      <w:pPr>
        <w:numPr>
          <w:ilvl w:val="0"/>
          <w:numId w:val="38"/>
        </w:numPr>
        <w:tabs>
          <w:tab w:val="num" w:pos="720"/>
        </w:tabs>
        <w:ind w:left="720"/>
        <w:jc w:val="both"/>
        <w:rPr>
          <w:rFonts w:ascii="CG Omega" w:hAnsi="CG Omega" w:cs="Arial"/>
        </w:rPr>
      </w:pPr>
      <w:r>
        <w:rPr>
          <w:rFonts w:ascii="CG Omega" w:hAnsi="CG Omega" w:cs="Arial"/>
        </w:rPr>
        <w:t>Economic Impact: Expanding economic opportunities will be given to projects that create and/or retain jobs for low and moderate income persons.</w:t>
      </w:r>
    </w:p>
    <w:p w:rsidR="00912D9C" w:rsidRPr="007E2BF2" w:rsidRDefault="00912D9C" w:rsidP="00912D9C">
      <w:pPr>
        <w:numPr>
          <w:ilvl w:val="0"/>
          <w:numId w:val="38"/>
        </w:numPr>
        <w:tabs>
          <w:tab w:val="num" w:pos="720"/>
        </w:tabs>
        <w:ind w:left="720"/>
        <w:jc w:val="both"/>
        <w:rPr>
          <w:rFonts w:ascii="CG Omega" w:hAnsi="CG Omega" w:cs="Arial"/>
        </w:rPr>
      </w:pPr>
    </w:p>
    <w:p w:rsidR="003B6F0A" w:rsidRPr="000E3CCA" w:rsidRDefault="003B6F0A" w:rsidP="003B6F0A">
      <w:pPr>
        <w:spacing w:after="100" w:afterAutospacing="1"/>
        <w:jc w:val="both"/>
        <w:rPr>
          <w:rFonts w:ascii="CG Omega" w:hAnsi="CG Omega" w:cs="Arial"/>
          <w:b/>
        </w:rPr>
      </w:pPr>
      <w:r w:rsidRPr="000E3CCA">
        <w:rPr>
          <w:rFonts w:ascii="CG Omega" w:hAnsi="CG Omega" w:cs="Arial"/>
          <w:b/>
        </w:rPr>
        <w:t>Enhance the quality of New Mexico’s infrastructure</w:t>
      </w:r>
    </w:p>
    <w:p w:rsidR="003B6F0A" w:rsidRPr="000E3CCA" w:rsidRDefault="003B6F0A" w:rsidP="003B6F0A">
      <w:pPr>
        <w:spacing w:after="120"/>
        <w:jc w:val="both"/>
        <w:rPr>
          <w:rFonts w:ascii="CG Omega" w:hAnsi="CG Omega" w:cs="Arial"/>
        </w:rPr>
      </w:pPr>
      <w:r w:rsidRPr="000E3CCA">
        <w:rPr>
          <w:rFonts w:ascii="CG Omega" w:hAnsi="CG Omega" w:cs="Arial"/>
        </w:rPr>
        <w:t xml:space="preserve">This objective can be accomplished through the following goals: </w:t>
      </w:r>
    </w:p>
    <w:p w:rsidR="003B6F0A" w:rsidRPr="000E3CCA" w:rsidRDefault="003B6F0A" w:rsidP="00912D9C">
      <w:pPr>
        <w:numPr>
          <w:ilvl w:val="0"/>
          <w:numId w:val="68"/>
        </w:numPr>
        <w:jc w:val="both"/>
        <w:rPr>
          <w:rFonts w:ascii="CG Omega" w:hAnsi="CG Omega" w:cs="Arial"/>
        </w:rPr>
      </w:pPr>
      <w:r w:rsidRPr="000E3CCA">
        <w:rPr>
          <w:rFonts w:ascii="CG Omega" w:hAnsi="CG Omega" w:cs="Arial"/>
        </w:rPr>
        <w:t xml:space="preserve">Funding improvements to CDBG </w:t>
      </w:r>
      <w:r>
        <w:rPr>
          <w:rFonts w:ascii="CG Omega" w:hAnsi="CG Omega" w:cs="Arial"/>
        </w:rPr>
        <w:t>non-</w:t>
      </w:r>
      <w:r w:rsidRPr="000E3CCA">
        <w:rPr>
          <w:rFonts w:ascii="CG Omega" w:hAnsi="CG Omega" w:cs="Arial"/>
        </w:rPr>
        <w:t>entitlement area water/wastewater systems and streets</w:t>
      </w:r>
      <w:r w:rsidR="00912D9C">
        <w:rPr>
          <w:rFonts w:ascii="CG Omega" w:hAnsi="CG Omega" w:cs="Arial"/>
        </w:rPr>
        <w:t>.</w:t>
      </w:r>
    </w:p>
    <w:p w:rsidR="003B6F0A" w:rsidRPr="000E3CCA" w:rsidRDefault="003B6F0A" w:rsidP="00912D9C">
      <w:pPr>
        <w:numPr>
          <w:ilvl w:val="0"/>
          <w:numId w:val="68"/>
        </w:numPr>
        <w:jc w:val="both"/>
        <w:rPr>
          <w:rFonts w:ascii="CG Omega" w:hAnsi="CG Omega" w:cs="Arial"/>
        </w:rPr>
      </w:pPr>
      <w:r w:rsidRPr="000E3CCA">
        <w:rPr>
          <w:rFonts w:ascii="CG Omega" w:hAnsi="CG Omega" w:cs="Arial"/>
        </w:rPr>
        <w:t xml:space="preserve">Funding infrastructure improvements in the </w:t>
      </w:r>
      <w:r>
        <w:rPr>
          <w:rFonts w:ascii="CG Omega" w:hAnsi="CG Omega" w:cs="Arial"/>
        </w:rPr>
        <w:t>designated colonia areas</w:t>
      </w:r>
      <w:r w:rsidR="00912D9C">
        <w:rPr>
          <w:rFonts w:ascii="CG Omega" w:hAnsi="CG Omega" w:cs="Arial"/>
        </w:rPr>
        <w:t>.</w:t>
      </w:r>
    </w:p>
    <w:p w:rsidR="003B6F0A" w:rsidRPr="000E3CCA" w:rsidRDefault="003B6F0A" w:rsidP="00912D9C">
      <w:pPr>
        <w:numPr>
          <w:ilvl w:val="0"/>
          <w:numId w:val="68"/>
        </w:numPr>
        <w:jc w:val="both"/>
        <w:rPr>
          <w:rFonts w:ascii="CG Omega" w:hAnsi="CG Omega" w:cs="Arial"/>
        </w:rPr>
      </w:pPr>
      <w:r w:rsidRPr="000E3CCA">
        <w:rPr>
          <w:rFonts w:ascii="CG Omega" w:hAnsi="CG Omega" w:cs="Arial"/>
        </w:rPr>
        <w:t xml:space="preserve">Encourage planning that includes </w:t>
      </w:r>
      <w:r>
        <w:rPr>
          <w:rFonts w:ascii="CG Omega" w:hAnsi="CG Omega" w:cs="Arial"/>
        </w:rPr>
        <w:t xml:space="preserve">the entities </w:t>
      </w:r>
      <w:r w:rsidRPr="000E3CCA">
        <w:rPr>
          <w:rFonts w:ascii="CG Omega" w:hAnsi="CG Omega" w:cs="Arial"/>
        </w:rPr>
        <w:t>comprehensive plan, asset management, preliminary engineering reports, and any other studies</w:t>
      </w:r>
      <w:r w:rsidR="00912D9C">
        <w:rPr>
          <w:rFonts w:ascii="CG Omega" w:hAnsi="CG Omega" w:cs="Arial"/>
        </w:rPr>
        <w:t>.</w:t>
      </w:r>
    </w:p>
    <w:p w:rsidR="003B6F0A" w:rsidRPr="00912D9C" w:rsidRDefault="003B6F0A" w:rsidP="003B6F0A">
      <w:pPr>
        <w:jc w:val="both"/>
        <w:rPr>
          <w:rFonts w:ascii="CG Omega" w:hAnsi="CG Omega" w:cs="Arial"/>
          <w:sz w:val="22"/>
          <w:szCs w:val="22"/>
        </w:rPr>
      </w:pPr>
    </w:p>
    <w:p w:rsidR="003B6F0A" w:rsidRPr="000E3CCA" w:rsidRDefault="003B6F0A" w:rsidP="003B6F0A">
      <w:pPr>
        <w:pBdr>
          <w:bottom w:val="double" w:sz="4" w:space="1" w:color="0000FF"/>
        </w:pBdr>
        <w:jc w:val="both"/>
        <w:rPr>
          <w:rFonts w:ascii="CG Omega" w:hAnsi="CG Omega" w:cs="Arial"/>
          <w:b/>
          <w:color w:val="0000FF"/>
          <w:spacing w:val="3"/>
        </w:rPr>
      </w:pPr>
      <w:r w:rsidRPr="000E3CCA">
        <w:rPr>
          <w:rFonts w:ascii="CG Omega" w:hAnsi="CG Omega" w:cs="Arial"/>
          <w:b/>
          <w:smallCaps/>
          <w:color w:val="0000FF"/>
        </w:rPr>
        <w:t>Performance Measurement Criteria</w:t>
      </w:r>
    </w:p>
    <w:p w:rsidR="003B6F0A" w:rsidRPr="000E3CCA" w:rsidRDefault="003B6F0A" w:rsidP="003B6F0A">
      <w:pPr>
        <w:jc w:val="both"/>
        <w:rPr>
          <w:rFonts w:ascii="CG Omega" w:hAnsi="CG Omega" w:cs="Arial"/>
          <w:b/>
          <w:sz w:val="18"/>
          <w:szCs w:val="18"/>
        </w:rPr>
      </w:pPr>
    </w:p>
    <w:p w:rsidR="003B6F0A" w:rsidRPr="000E3CCA" w:rsidRDefault="003B6F0A" w:rsidP="003B6F0A">
      <w:pPr>
        <w:jc w:val="both"/>
        <w:rPr>
          <w:rFonts w:ascii="CG Omega" w:hAnsi="CG Omega" w:cs="Arial"/>
          <w:b/>
        </w:rPr>
      </w:pPr>
      <w:r w:rsidRPr="000E3CCA">
        <w:rPr>
          <w:rFonts w:ascii="CG Omega" w:hAnsi="CG Omega" w:cs="Arial"/>
          <w:b/>
        </w:rPr>
        <w:t>Enhance the quality of New Mexico’s infrastructure:</w:t>
      </w:r>
    </w:p>
    <w:p w:rsidR="003B6F0A" w:rsidRPr="000E3CCA" w:rsidRDefault="003B6F0A" w:rsidP="003B6F0A">
      <w:pPr>
        <w:jc w:val="both"/>
        <w:rPr>
          <w:rFonts w:ascii="CG Omega" w:hAnsi="CG Omega" w:cs="Arial"/>
          <w:b/>
          <w:sz w:val="16"/>
          <w:szCs w:val="16"/>
        </w:rPr>
      </w:pPr>
    </w:p>
    <w:p w:rsidR="00DD72DB" w:rsidRPr="000E3CCA" w:rsidRDefault="00DD72DB" w:rsidP="00DD72DB">
      <w:pPr>
        <w:ind w:left="720" w:hanging="360"/>
        <w:jc w:val="both"/>
        <w:rPr>
          <w:rFonts w:ascii="CG Omega" w:hAnsi="CG Omega" w:cs="Arial"/>
        </w:rPr>
      </w:pPr>
      <w:r w:rsidRPr="000E3CCA">
        <w:rPr>
          <w:rFonts w:ascii="CG Omega" w:hAnsi="CG Omega" w:cs="Arial"/>
          <w:i/>
        </w:rPr>
        <w:t>Availability/Accessibility</w:t>
      </w:r>
      <w:r w:rsidRPr="000E3CCA">
        <w:rPr>
          <w:rFonts w:ascii="CG Omega" w:hAnsi="CG Omega" w:cs="Arial"/>
        </w:rPr>
        <w:t>: The number of water or wastewater projects and streets completed; the number of colonias projects completed, by type of project; the number of planning projects that will provide readiness; the number of housing units rehabilitated and/or produced</w:t>
      </w:r>
      <w:r w:rsidR="00912D9C">
        <w:rPr>
          <w:rFonts w:ascii="CG Omega" w:hAnsi="CG Omega" w:cs="Arial"/>
        </w:rPr>
        <w:t>.</w:t>
      </w:r>
    </w:p>
    <w:p w:rsidR="00DD72DB" w:rsidRPr="000E3CCA" w:rsidRDefault="00DD72DB" w:rsidP="00DD72DB">
      <w:pPr>
        <w:ind w:left="720" w:hanging="360"/>
        <w:jc w:val="both"/>
        <w:rPr>
          <w:rFonts w:ascii="CG Omega" w:hAnsi="CG Omega" w:cs="Arial"/>
        </w:rPr>
      </w:pPr>
      <w:r w:rsidRPr="000E3CCA">
        <w:rPr>
          <w:rFonts w:ascii="CG Omega" w:hAnsi="CG Omega" w:cs="Arial"/>
          <w:i/>
        </w:rPr>
        <w:t>Affordability</w:t>
      </w:r>
      <w:r w:rsidRPr="000E3CCA">
        <w:rPr>
          <w:rFonts w:ascii="CG Omega" w:hAnsi="CG Omega" w:cs="Arial"/>
        </w:rPr>
        <w:t>: The number of eligible persons assisted with new water or wastewater systems; the number of persons within colonias assisted with water/wastewater or other infrastructure projects; the number of eligible persons who the improved facilities will serve; the number of persons assisted with housing rehabilitation</w:t>
      </w:r>
      <w:r w:rsidR="00912D9C">
        <w:rPr>
          <w:rFonts w:ascii="CG Omega" w:hAnsi="CG Omega" w:cs="Arial"/>
        </w:rPr>
        <w:t>.</w:t>
      </w:r>
    </w:p>
    <w:p w:rsidR="00DD72DB" w:rsidRPr="000E3CCA" w:rsidRDefault="00DD72DB" w:rsidP="00DD72DB">
      <w:pPr>
        <w:ind w:left="720" w:hanging="360"/>
        <w:jc w:val="both"/>
        <w:rPr>
          <w:rFonts w:ascii="CG Omega" w:hAnsi="CG Omega" w:cs="Arial"/>
        </w:rPr>
      </w:pPr>
      <w:r w:rsidRPr="000E3CCA">
        <w:rPr>
          <w:rFonts w:ascii="CG Omega" w:hAnsi="CG Omega" w:cs="Arial"/>
          <w:i/>
        </w:rPr>
        <w:t>Sustainability</w:t>
      </w:r>
      <w:r w:rsidRPr="000E3CCA">
        <w:rPr>
          <w:rFonts w:ascii="CG Omega" w:hAnsi="CG Omega" w:cs="Arial"/>
        </w:rPr>
        <w:t>: The economic development benefits imparted to each community receiving the enhanced infrastructure investments, including the colonias; the economic development benefits imparted to each community whose public facilities have been improved</w:t>
      </w:r>
      <w:r w:rsidR="00912D9C">
        <w:rPr>
          <w:rFonts w:ascii="CG Omega" w:hAnsi="CG Omega" w:cs="Arial"/>
        </w:rPr>
        <w:t>.</w:t>
      </w:r>
    </w:p>
    <w:p w:rsidR="0050648C" w:rsidRDefault="0050648C">
      <w:pPr>
        <w:rPr>
          <w:rFonts w:ascii="CG Omega" w:hAnsi="CG Omega"/>
          <w:b/>
          <w:bCs/>
          <w:sz w:val="22"/>
          <w:szCs w:val="22"/>
          <w:highlight w:val="yellow"/>
        </w:rPr>
      </w:pPr>
    </w:p>
    <w:p w:rsidR="005C5016" w:rsidRPr="00955C8C" w:rsidRDefault="005C5016" w:rsidP="00547C3B">
      <w:pPr>
        <w:rPr>
          <w:rFonts w:ascii="CG Omega" w:hAnsi="CG Omega"/>
          <w:b/>
          <w:bCs/>
          <w:sz w:val="22"/>
          <w:szCs w:val="22"/>
          <w:highlight w:val="yellow"/>
        </w:rPr>
        <w:sectPr w:rsidR="005C5016" w:rsidRPr="00955C8C" w:rsidSect="00B03A03">
          <w:headerReference w:type="default" r:id="rId61"/>
          <w:type w:val="continuous"/>
          <w:pgSz w:w="12240" w:h="15840" w:code="1"/>
          <w:pgMar w:top="1267" w:right="1440" w:bottom="1267" w:left="1440" w:header="720" w:footer="490" w:gutter="0"/>
          <w:cols w:space="720"/>
        </w:sectPr>
      </w:pPr>
    </w:p>
    <w:p w:rsidR="00754A91" w:rsidRPr="00955C8C" w:rsidRDefault="00754A91" w:rsidP="00754A91">
      <w:pPr>
        <w:jc w:val="both"/>
        <w:rPr>
          <w:rFonts w:ascii="CG Omega" w:hAnsi="CG Omega"/>
          <w:b/>
          <w:smallCaps/>
          <w:sz w:val="10"/>
          <w:szCs w:val="10"/>
          <w:highlight w:val="yellow"/>
        </w:rPr>
      </w:pPr>
      <w:r w:rsidRPr="00955C8C">
        <w:rPr>
          <w:sz w:val="10"/>
          <w:szCs w:val="10"/>
          <w:highlight w:val="yellow"/>
        </w:rPr>
        <w:fldChar w:fldCharType="begin"/>
      </w:r>
      <w:r w:rsidRPr="00955C8C">
        <w:rPr>
          <w:sz w:val="10"/>
          <w:szCs w:val="10"/>
          <w:highlight w:val="yellow"/>
        </w:rPr>
        <w:instrText xml:space="preserve"> TC  "</w:instrText>
      </w:r>
      <w:bookmarkStart w:id="139" w:name="_Toc399834594"/>
      <w:r w:rsidRPr="00955C8C">
        <w:rPr>
          <w:sz w:val="10"/>
          <w:szCs w:val="10"/>
          <w:highlight w:val="yellow"/>
        </w:rPr>
        <w:instrText xml:space="preserve">Appendix </w:instrText>
      </w:r>
      <w:r>
        <w:rPr>
          <w:sz w:val="10"/>
          <w:szCs w:val="10"/>
          <w:highlight w:val="yellow"/>
        </w:rPr>
        <w:instrText>A</w:instrText>
      </w:r>
      <w:r w:rsidRPr="00955C8C">
        <w:rPr>
          <w:sz w:val="10"/>
          <w:szCs w:val="10"/>
          <w:highlight w:val="yellow"/>
        </w:rPr>
        <w:instrText xml:space="preserve">: </w:instrText>
      </w:r>
      <w:r>
        <w:rPr>
          <w:sz w:val="10"/>
          <w:szCs w:val="10"/>
          <w:highlight w:val="yellow"/>
        </w:rPr>
        <w:instrText>Citizen Participation Plan</w:instrText>
      </w:r>
      <w:bookmarkEnd w:id="139"/>
      <w:r w:rsidRPr="00955C8C">
        <w:rPr>
          <w:sz w:val="10"/>
          <w:szCs w:val="10"/>
          <w:highlight w:val="yellow"/>
        </w:rPr>
        <w:instrText xml:space="preserve">" </w:instrText>
      </w:r>
      <w:r w:rsidRPr="00955C8C">
        <w:rPr>
          <w:sz w:val="10"/>
          <w:szCs w:val="10"/>
          <w:highlight w:val="yellow"/>
        </w:rPr>
        <w:fldChar w:fldCharType="end"/>
      </w:r>
    </w:p>
    <w:p w:rsidR="00754A91" w:rsidRDefault="00754A91" w:rsidP="00000555">
      <w:pPr>
        <w:widowControl w:val="0"/>
        <w:tabs>
          <w:tab w:val="left" w:pos="990"/>
        </w:tabs>
        <w:rPr>
          <w:rFonts w:asciiTheme="minorHAnsi" w:hAnsiTheme="minorHAnsi" w:cstheme="minorHAnsi"/>
          <w:b/>
          <w:snapToGrid w:val="0"/>
        </w:rPr>
      </w:pPr>
    </w:p>
    <w:p w:rsidR="00000555" w:rsidRPr="003E32DB" w:rsidRDefault="00000555" w:rsidP="00000555">
      <w:pPr>
        <w:widowControl w:val="0"/>
        <w:tabs>
          <w:tab w:val="left" w:pos="990"/>
        </w:tabs>
        <w:rPr>
          <w:rFonts w:asciiTheme="minorHAnsi" w:hAnsiTheme="minorHAnsi" w:cstheme="minorHAnsi"/>
          <w:b/>
          <w:snapToGrid w:val="0"/>
        </w:rPr>
      </w:pPr>
      <w:r w:rsidRPr="003E32DB">
        <w:rPr>
          <w:rFonts w:asciiTheme="minorHAnsi" w:hAnsiTheme="minorHAnsi" w:cstheme="minorHAnsi"/>
          <w:b/>
          <w:snapToGrid w:val="0"/>
        </w:rPr>
        <w:t>NEW MEXICO CITIZEN PARTICIPATION PLAN</w:t>
      </w:r>
    </w:p>
    <w:p w:rsidR="00000555" w:rsidRPr="003E32DB" w:rsidRDefault="00000555" w:rsidP="00000555">
      <w:pPr>
        <w:rPr>
          <w:rFonts w:asciiTheme="minorHAnsi" w:hAnsiTheme="minorHAnsi" w:cstheme="minorHAnsi"/>
          <w:b/>
          <w:bCs/>
        </w:rPr>
      </w:pPr>
      <w:r w:rsidRPr="003E32DB">
        <w:rPr>
          <w:rFonts w:asciiTheme="minorHAnsi" w:hAnsiTheme="minorHAnsi" w:cstheme="minorHAnsi"/>
          <w:b/>
          <w:bCs/>
        </w:rPr>
        <w:t>Consolidated Plan for Housing and Community Development</w:t>
      </w:r>
    </w:p>
    <w:p w:rsidR="00000555" w:rsidRPr="003E32DB" w:rsidRDefault="00000555" w:rsidP="00000555">
      <w:pPr>
        <w:rPr>
          <w:rFonts w:asciiTheme="minorHAnsi" w:hAnsiTheme="minorHAnsi" w:cstheme="minorHAnsi"/>
          <w:b/>
          <w:bCs/>
        </w:rPr>
      </w:pPr>
    </w:p>
    <w:p w:rsidR="00000555" w:rsidRPr="003E32DB" w:rsidRDefault="00000555" w:rsidP="00754A91">
      <w:pPr>
        <w:tabs>
          <w:tab w:val="left" w:pos="2031"/>
        </w:tabs>
        <w:rPr>
          <w:rFonts w:asciiTheme="minorHAnsi" w:hAnsiTheme="minorHAnsi" w:cstheme="minorHAnsi"/>
          <w:b/>
          <w:bCs/>
        </w:rPr>
      </w:pPr>
      <w:r w:rsidRPr="003E32DB">
        <w:rPr>
          <w:rFonts w:asciiTheme="minorHAnsi" w:hAnsiTheme="minorHAnsi" w:cstheme="minorHAnsi"/>
          <w:b/>
          <w:bCs/>
        </w:rPr>
        <w:t>Introduction</w:t>
      </w:r>
      <w:r w:rsidR="00754A91">
        <w:rPr>
          <w:rFonts w:asciiTheme="minorHAnsi" w:hAnsiTheme="minorHAnsi" w:cstheme="minorHAnsi"/>
          <w:b/>
          <w:bCs/>
        </w:rPr>
        <w:tab/>
      </w:r>
    </w:p>
    <w:p w:rsidR="00000555" w:rsidRPr="003E32DB" w:rsidRDefault="00000555" w:rsidP="00000555">
      <w:pPr>
        <w:rPr>
          <w:rFonts w:asciiTheme="minorHAnsi" w:hAnsiTheme="minorHAnsi" w:cstheme="minorHAnsi"/>
          <w:b/>
          <w:bCs/>
        </w:rPr>
      </w:pPr>
    </w:p>
    <w:p w:rsidR="00000555" w:rsidRPr="003E32DB" w:rsidRDefault="00000555" w:rsidP="00000555">
      <w:pPr>
        <w:jc w:val="both"/>
        <w:rPr>
          <w:rFonts w:asciiTheme="minorHAnsi" w:hAnsiTheme="minorHAnsi" w:cstheme="minorHAnsi"/>
        </w:rPr>
      </w:pPr>
      <w:r w:rsidRPr="003E32DB">
        <w:rPr>
          <w:rFonts w:asciiTheme="minorHAnsi" w:hAnsiTheme="minorHAnsi" w:cstheme="minorHAnsi"/>
        </w:rPr>
        <w:t xml:space="preserve">In 1994, the US Department of Housing and Urban Development issued new rules consolidating the planning, application, reporting, and citizen participation processes of four formula grant programs: Community Development Block Grants (CDBG), Home Investment Partnerships (HOME), Emergency Solutions Grants (ESG) and Housing Opportunities for Persons with AIDS (HOPWA). The new planning process was intended to more comprehensively fulfill three basic goals: to provide decent housing, to provide a suitable living environment and to expand economic opportunities.  </w:t>
      </w:r>
    </w:p>
    <w:p w:rsidR="00000555" w:rsidRPr="003E32DB" w:rsidRDefault="00000555" w:rsidP="00000555">
      <w:pPr>
        <w:jc w:val="both"/>
        <w:rPr>
          <w:rFonts w:asciiTheme="minorHAnsi" w:hAnsiTheme="minorHAnsi"/>
        </w:rPr>
      </w:pPr>
    </w:p>
    <w:p w:rsidR="00000555" w:rsidRPr="003E32DB" w:rsidRDefault="00000555" w:rsidP="00000555">
      <w:pPr>
        <w:jc w:val="both"/>
        <w:rPr>
          <w:rFonts w:asciiTheme="minorHAnsi" w:hAnsiTheme="minorHAnsi" w:cstheme="minorHAnsi"/>
          <w:dstrike/>
        </w:rPr>
      </w:pPr>
      <w:r w:rsidRPr="003E32DB">
        <w:rPr>
          <w:rFonts w:asciiTheme="minorHAnsi" w:hAnsiTheme="minorHAnsi" w:cstheme="minorHAnsi"/>
        </w:rPr>
        <w:t>Provision of decent housing may involve assisting homeless persons in obtaining appropriate housing, retaining the affordable housing stock, increasing the availability of permanent affordable housing for low</w:t>
      </w:r>
      <w:r>
        <w:rPr>
          <w:rFonts w:asciiTheme="minorHAnsi" w:hAnsiTheme="minorHAnsi" w:cstheme="minorHAnsi"/>
        </w:rPr>
        <w:t xml:space="preserve"> </w:t>
      </w:r>
      <w:r w:rsidRPr="003E32DB">
        <w:rPr>
          <w:rFonts w:asciiTheme="minorHAnsi" w:hAnsiTheme="minorHAnsi" w:cstheme="minorHAnsi"/>
        </w:rPr>
        <w:t xml:space="preserve">income households without discrimination or increasing supportive housing to assist persons with special needs. Providing a suitable living environment might entail improving the safety and livability of neighborhoods, including the provision of adequate public facilities; deconcentration of housing opportunities and revitalizing neighborhoods; restoring and preserving natural and physical features with historic, architectural, and aesthetic value; and conserving energy resources. Expanding economic opportunities can involve creation of accessible jobs, providing access resources for community development, and assisting low income persons to achieve self-sufficiency. </w:t>
      </w:r>
    </w:p>
    <w:p w:rsidR="00000555" w:rsidRPr="003E32DB" w:rsidRDefault="00000555" w:rsidP="00000555">
      <w:pPr>
        <w:jc w:val="both"/>
        <w:rPr>
          <w:rFonts w:asciiTheme="minorHAnsi" w:hAnsiTheme="minorHAnsi" w:cstheme="minorHAnsi"/>
        </w:rPr>
      </w:pPr>
    </w:p>
    <w:p w:rsidR="00000555" w:rsidRPr="003E32DB" w:rsidRDefault="00000555" w:rsidP="00000555">
      <w:pPr>
        <w:jc w:val="both"/>
        <w:rPr>
          <w:rFonts w:asciiTheme="minorHAnsi" w:hAnsiTheme="minorHAnsi" w:cstheme="minorHAnsi"/>
        </w:rPr>
      </w:pPr>
      <w:r w:rsidRPr="003E32DB">
        <w:rPr>
          <w:rFonts w:asciiTheme="minorHAnsi" w:hAnsiTheme="minorHAnsi" w:cstheme="minorHAnsi"/>
        </w:rPr>
        <w:t>The Consolidated Plan is actually a three-part planning process required by HUD. It comprises developing a five-year strategic plan, preparing annual action plans and submitting annual performance reports. These three parts are intended to furnish the framework whereby New Mexico can identify its housing, homeless, community, and economic development needs, identify resources that will be tapped and actions to be taken to address the needs, as well as look back and evaluate the state's progress toward achieving its strategic goals. Completing these documents on time and in a manner that is acceptable to HUD ensures program funding.</w:t>
      </w:r>
    </w:p>
    <w:p w:rsidR="00000555" w:rsidRPr="003E32DB" w:rsidRDefault="00000555" w:rsidP="00000555">
      <w:pPr>
        <w:jc w:val="both"/>
        <w:rPr>
          <w:rFonts w:asciiTheme="minorHAnsi" w:hAnsiTheme="minorHAnsi"/>
        </w:rPr>
      </w:pPr>
    </w:p>
    <w:p w:rsidR="00000555" w:rsidRPr="003E32DB" w:rsidRDefault="00000555" w:rsidP="00000555">
      <w:pPr>
        <w:jc w:val="both"/>
        <w:rPr>
          <w:rFonts w:asciiTheme="minorHAnsi" w:hAnsiTheme="minorHAnsi" w:cstheme="minorHAnsi"/>
        </w:rPr>
      </w:pPr>
      <w:r w:rsidRPr="003E32DB">
        <w:rPr>
          <w:rFonts w:asciiTheme="minorHAnsi" w:hAnsiTheme="minorHAnsi" w:cstheme="minorHAnsi"/>
        </w:rPr>
        <w:t xml:space="preserve">The precursor to the Consolidated Plan is the Citizen Participation Plan (CPP). The objectives of the CPP are to ensure that the citizens of New Mexico, particularly persons of low and moderate income, persons living in slum and blight areas, units of local government, housing agencies and other interested parties, are provided with the opportunity to participate in the planning and preparation of the Consolidated Plan, including amendments to the Consolidated Plan and the Annual Performance Report. In doing so, the CPP sets forth general policies and procedures for implementing and carrying out the consolidated planning process, such as how the Consolidated Plan will be developed, dates and milestones along which the process will proceed and methods for citizens to offer the state assistance and guidance in the formulation of the Plan.  Furthermore, the provisions of the CPP fulfill statutory and regulatory requirements for citizen participation specified in </w:t>
      </w:r>
      <w:r>
        <w:rPr>
          <w:rFonts w:asciiTheme="minorHAnsi" w:hAnsiTheme="minorHAnsi" w:cstheme="minorHAnsi"/>
        </w:rPr>
        <w:t>HUD</w:t>
      </w:r>
      <w:r w:rsidRPr="003E32DB">
        <w:rPr>
          <w:rFonts w:asciiTheme="minorHAnsi" w:hAnsiTheme="minorHAnsi" w:cstheme="minorHAnsi"/>
        </w:rPr>
        <w:t xml:space="preserve">'s rules for the Consolidated Plan, </w:t>
      </w:r>
      <w:r>
        <w:rPr>
          <w:rFonts w:asciiTheme="minorHAnsi" w:hAnsiTheme="minorHAnsi" w:cstheme="minorHAnsi"/>
        </w:rPr>
        <w:t xml:space="preserve">the </w:t>
      </w:r>
      <w:r w:rsidRPr="003E32DB">
        <w:rPr>
          <w:rFonts w:asciiTheme="minorHAnsi" w:hAnsiTheme="minorHAnsi" w:cstheme="minorHAnsi"/>
        </w:rPr>
        <w:t>HOME</w:t>
      </w:r>
      <w:r>
        <w:rPr>
          <w:rFonts w:asciiTheme="minorHAnsi" w:hAnsiTheme="minorHAnsi" w:cstheme="minorHAnsi"/>
        </w:rPr>
        <w:t xml:space="preserve"> program, </w:t>
      </w:r>
      <w:r w:rsidRPr="003E32DB">
        <w:rPr>
          <w:rFonts w:asciiTheme="minorHAnsi" w:hAnsiTheme="minorHAnsi" w:cstheme="minorHAnsi"/>
        </w:rPr>
        <w:t xml:space="preserve">the CDBG </w:t>
      </w:r>
      <w:r>
        <w:rPr>
          <w:rFonts w:asciiTheme="minorHAnsi" w:hAnsiTheme="minorHAnsi" w:cstheme="minorHAnsi"/>
        </w:rPr>
        <w:t>p</w:t>
      </w:r>
      <w:r w:rsidRPr="003E32DB">
        <w:rPr>
          <w:rFonts w:asciiTheme="minorHAnsi" w:hAnsiTheme="minorHAnsi" w:cstheme="minorHAnsi"/>
        </w:rPr>
        <w:t>rogram, the ESG</w:t>
      </w:r>
      <w:r>
        <w:rPr>
          <w:rFonts w:asciiTheme="minorHAnsi" w:hAnsiTheme="minorHAnsi" w:cstheme="minorHAnsi"/>
        </w:rPr>
        <w:t xml:space="preserve"> p</w:t>
      </w:r>
      <w:r w:rsidRPr="003E32DB">
        <w:rPr>
          <w:rFonts w:asciiTheme="minorHAnsi" w:hAnsiTheme="minorHAnsi" w:cstheme="minorHAnsi"/>
        </w:rPr>
        <w:t xml:space="preserve">rogram and the HOPWA </w:t>
      </w:r>
      <w:r>
        <w:rPr>
          <w:rFonts w:asciiTheme="minorHAnsi" w:hAnsiTheme="minorHAnsi" w:cstheme="minorHAnsi"/>
        </w:rPr>
        <w:t>p</w:t>
      </w:r>
      <w:r w:rsidRPr="003E32DB">
        <w:rPr>
          <w:rFonts w:asciiTheme="minorHAnsi" w:hAnsiTheme="minorHAnsi" w:cstheme="minorHAnsi"/>
        </w:rPr>
        <w:t xml:space="preserve">rogram.  In New Mexico, the New Mexico Mortgage Finance Authority </w:t>
      </w:r>
      <w:r>
        <w:rPr>
          <w:rFonts w:asciiTheme="minorHAnsi" w:hAnsiTheme="minorHAnsi" w:cstheme="minorHAnsi"/>
        </w:rPr>
        <w:t xml:space="preserve">(MFA) </w:t>
      </w:r>
      <w:r w:rsidRPr="003E32DB">
        <w:rPr>
          <w:rFonts w:asciiTheme="minorHAnsi" w:hAnsiTheme="minorHAnsi" w:cstheme="minorHAnsi"/>
        </w:rPr>
        <w:t xml:space="preserve">administers the HOME, ESG and HOPWA funds and the Local Government Division, Community Development Bureau within the Department of Finance and Administration (DFA) administers the CDBG resources.  </w:t>
      </w:r>
      <w:r>
        <w:rPr>
          <w:rFonts w:asciiTheme="minorHAnsi" w:hAnsiTheme="minorHAnsi" w:cstheme="minorHAnsi"/>
        </w:rPr>
        <w:t>MFA</w:t>
      </w:r>
      <w:r w:rsidRPr="003E32DB">
        <w:rPr>
          <w:rFonts w:asciiTheme="minorHAnsi" w:hAnsiTheme="minorHAnsi" w:cstheme="minorHAnsi"/>
        </w:rPr>
        <w:t xml:space="preserve"> is the lead agency for developing the Consolidated Plan.</w:t>
      </w:r>
    </w:p>
    <w:p w:rsidR="00000555" w:rsidRPr="003E32DB" w:rsidRDefault="00000555" w:rsidP="00000555">
      <w:pPr>
        <w:jc w:val="both"/>
        <w:rPr>
          <w:rFonts w:asciiTheme="minorHAnsi" w:hAnsiTheme="minorHAnsi" w:cstheme="minorHAnsi"/>
        </w:rPr>
      </w:pPr>
    </w:p>
    <w:p w:rsidR="00000555" w:rsidRPr="003E32DB" w:rsidRDefault="00000555" w:rsidP="00000555">
      <w:pPr>
        <w:jc w:val="both"/>
        <w:rPr>
          <w:rFonts w:asciiTheme="minorHAnsi" w:hAnsiTheme="minorHAnsi" w:cstheme="minorHAnsi"/>
        </w:rPr>
      </w:pPr>
      <w:r w:rsidRPr="003E32DB">
        <w:rPr>
          <w:rFonts w:asciiTheme="minorHAnsi" w:hAnsiTheme="minorHAnsi" w:cstheme="minorHAnsi"/>
        </w:rPr>
        <w:t xml:space="preserve">In order to ensure maximum participation in the Consolidated Plan process among all populations and needs groups, and in order to ensure that their issues and concerns are adequately addressed, </w:t>
      </w:r>
      <w:r>
        <w:rPr>
          <w:rFonts w:asciiTheme="minorHAnsi" w:hAnsiTheme="minorHAnsi" w:cstheme="minorHAnsi"/>
        </w:rPr>
        <w:t>MFA</w:t>
      </w:r>
      <w:r w:rsidRPr="003E32DB">
        <w:rPr>
          <w:rFonts w:asciiTheme="minorHAnsi" w:hAnsiTheme="minorHAnsi" w:cstheme="minorHAnsi"/>
        </w:rPr>
        <w:t xml:space="preserve"> and DFA will follow the standards set forth in its adopted Citizen Participation Plan during development of its Consolidated Plan, Action Plan and Annual Performance Report.</w:t>
      </w:r>
    </w:p>
    <w:p w:rsidR="00000555" w:rsidRPr="003E32DB" w:rsidRDefault="00000555" w:rsidP="00000555">
      <w:pPr>
        <w:jc w:val="both"/>
        <w:rPr>
          <w:rFonts w:asciiTheme="minorHAnsi" w:hAnsiTheme="minorHAnsi" w:cstheme="minorHAnsi"/>
        </w:rPr>
      </w:pPr>
    </w:p>
    <w:p w:rsidR="00000555" w:rsidRPr="003E32DB" w:rsidRDefault="00000555" w:rsidP="00000555">
      <w:pPr>
        <w:jc w:val="both"/>
        <w:rPr>
          <w:rFonts w:asciiTheme="minorHAnsi" w:hAnsiTheme="minorHAnsi" w:cstheme="minorHAnsi"/>
        </w:rPr>
      </w:pPr>
      <w:r w:rsidRPr="003E32DB">
        <w:rPr>
          <w:rFonts w:asciiTheme="minorHAnsi" w:hAnsiTheme="minorHAnsi" w:cstheme="minorHAnsi"/>
        </w:rPr>
        <w:t>The term “entitlement area” refers to cities and counties that, because of their size, are able to receive federal funding directly.  These areas must complete a Consolidated Plan separately from the state’s to receive funding.  For purposes of this report, non-entitlement refers to cities and towns that do not file Consolidated Plans individually and are not able to receive funding from the HUD programs directly.  Entitlements not covered by the New Mexico Consolidated Plan are City of Albuquerque, City of Las Cruces, City of Santa Fe, City of Farmington, and the City of Rio Rancho. Individuals wishing to contribute to the consolidated planning process in these areas should contact housing and community development specialists in these cities.</w:t>
      </w:r>
    </w:p>
    <w:p w:rsidR="00000555" w:rsidRPr="003E32DB" w:rsidRDefault="00000555" w:rsidP="00000555">
      <w:pPr>
        <w:jc w:val="both"/>
        <w:rPr>
          <w:rFonts w:asciiTheme="minorHAnsi" w:hAnsiTheme="minorHAnsi" w:cstheme="minorHAnsi"/>
        </w:rPr>
      </w:pPr>
    </w:p>
    <w:p w:rsidR="00000555" w:rsidRPr="003E32DB" w:rsidRDefault="00000555" w:rsidP="00000555">
      <w:pPr>
        <w:jc w:val="both"/>
        <w:rPr>
          <w:rFonts w:asciiTheme="minorHAnsi" w:hAnsiTheme="minorHAnsi"/>
          <w:b/>
        </w:rPr>
      </w:pPr>
      <w:r w:rsidRPr="003E32DB">
        <w:rPr>
          <w:rFonts w:asciiTheme="minorHAnsi" w:hAnsiTheme="minorHAnsi"/>
          <w:b/>
        </w:rPr>
        <w:t>Encouraging Citizen Participation</w:t>
      </w:r>
    </w:p>
    <w:p w:rsidR="00000555" w:rsidRPr="003E32DB" w:rsidRDefault="00000555" w:rsidP="00000555">
      <w:pPr>
        <w:jc w:val="both"/>
        <w:rPr>
          <w:rFonts w:asciiTheme="minorHAnsi" w:hAnsiTheme="minorHAnsi" w:cstheme="minorHAnsi"/>
        </w:rPr>
      </w:pPr>
    </w:p>
    <w:p w:rsidR="00000555" w:rsidRPr="003E32DB" w:rsidRDefault="00000555" w:rsidP="00000555">
      <w:pPr>
        <w:jc w:val="both"/>
        <w:rPr>
          <w:rFonts w:asciiTheme="minorHAnsi" w:hAnsiTheme="minorHAnsi" w:cstheme="minorHAnsi"/>
        </w:rPr>
      </w:pPr>
      <w:r w:rsidRPr="003E32DB">
        <w:rPr>
          <w:rFonts w:asciiTheme="minorHAnsi" w:hAnsiTheme="minorHAnsi" w:cstheme="minorHAnsi"/>
        </w:rPr>
        <w:t>The Consolidated Plan is designed to enumerate New Mexico's overall strategy for coordinating federal and other housing and community development resources to provide decent housing, establish and maintain a suitable living environment, and expand economic opportunities, particularly for low and moderate income persons.</w:t>
      </w:r>
    </w:p>
    <w:p w:rsidR="00000555" w:rsidRPr="003E32DB" w:rsidRDefault="00000555" w:rsidP="00000555">
      <w:pPr>
        <w:jc w:val="both"/>
        <w:rPr>
          <w:rFonts w:asciiTheme="minorHAnsi" w:hAnsiTheme="minorHAnsi" w:cstheme="minorHAnsi"/>
        </w:rPr>
      </w:pPr>
    </w:p>
    <w:p w:rsidR="00000555" w:rsidRPr="003E32DB" w:rsidRDefault="00000555" w:rsidP="00000555">
      <w:pPr>
        <w:jc w:val="both"/>
        <w:rPr>
          <w:rFonts w:asciiTheme="minorHAnsi" w:hAnsiTheme="minorHAnsi" w:cstheme="minorHAnsi"/>
        </w:rPr>
      </w:pPr>
      <w:r w:rsidRPr="003E32DB">
        <w:rPr>
          <w:rFonts w:asciiTheme="minorHAnsi" w:hAnsiTheme="minorHAnsi" w:cstheme="minorHAnsi"/>
        </w:rPr>
        <w:t>Interested groups and individuals are encouraged to provide input into all aspects of New Mexico's consolidated planning activities, from assessing needs to setting priorities through performance evaluation. By following the CPP, there will be numerous opportunities for citizens to contribute information, ideas and opinions about ways to improve our neighborhoods, promote housing affordability and enhance the delivery of public services to local residents.</w:t>
      </w:r>
    </w:p>
    <w:p w:rsidR="00000555" w:rsidRPr="003E32DB" w:rsidRDefault="00000555" w:rsidP="00000555">
      <w:pPr>
        <w:autoSpaceDE w:val="0"/>
        <w:autoSpaceDN w:val="0"/>
        <w:adjustRightInd w:val="0"/>
        <w:spacing w:before="100" w:beforeAutospacing="1" w:after="100" w:afterAutospacing="1"/>
        <w:jc w:val="both"/>
        <w:rPr>
          <w:rFonts w:asciiTheme="minorHAnsi" w:hAnsiTheme="minorHAnsi" w:cstheme="minorHAnsi"/>
        </w:rPr>
      </w:pPr>
      <w:r w:rsidRPr="003E32DB">
        <w:rPr>
          <w:rFonts w:asciiTheme="minorHAnsi" w:hAnsiTheme="minorHAnsi" w:cstheme="minorHAnsi"/>
        </w:rPr>
        <w:t xml:space="preserve">It is the policy of MFA to provide language access services to populations of persons with Limited English Proficiency (LEP) who are eligible to be served or likely to be directly affected by MFA programs. Such services will be focused on providing meaningful access to our programs, services and/or benefits.  MFA, at no cost to the LEP individuals or </w:t>
      </w:r>
      <w:r w:rsidRPr="003E32DB">
        <w:rPr>
          <w:rFonts w:asciiTheme="minorHAnsi" w:hAnsiTheme="minorHAnsi" w:cstheme="minorHAnsi"/>
          <w:spacing w:val="-1"/>
        </w:rPr>
        <w:t>f</w:t>
      </w:r>
      <w:r w:rsidRPr="003E32DB">
        <w:rPr>
          <w:rFonts w:asciiTheme="minorHAnsi" w:hAnsiTheme="minorHAnsi" w:cstheme="minorHAnsi"/>
          <w:spacing w:val="1"/>
        </w:rPr>
        <w:t>a</w:t>
      </w:r>
      <w:r w:rsidRPr="003E32DB">
        <w:rPr>
          <w:rFonts w:asciiTheme="minorHAnsi" w:hAnsiTheme="minorHAnsi" w:cstheme="minorHAnsi"/>
          <w:spacing w:val="-2"/>
        </w:rPr>
        <w:t>m</w:t>
      </w:r>
      <w:r w:rsidRPr="003E32DB">
        <w:rPr>
          <w:rFonts w:asciiTheme="minorHAnsi" w:hAnsiTheme="minorHAnsi" w:cstheme="minorHAnsi"/>
        </w:rPr>
        <w:t>ilies, pr</w:t>
      </w:r>
      <w:r w:rsidRPr="003E32DB">
        <w:rPr>
          <w:rFonts w:asciiTheme="minorHAnsi" w:hAnsiTheme="minorHAnsi" w:cstheme="minorHAnsi"/>
          <w:spacing w:val="-1"/>
        </w:rPr>
        <w:t>o</w:t>
      </w:r>
      <w:r w:rsidRPr="003E32DB">
        <w:rPr>
          <w:rFonts w:asciiTheme="minorHAnsi" w:hAnsiTheme="minorHAnsi" w:cstheme="minorHAnsi"/>
        </w:rPr>
        <w:t>vides i</w:t>
      </w:r>
      <w:r w:rsidRPr="003E32DB">
        <w:rPr>
          <w:rFonts w:asciiTheme="minorHAnsi" w:hAnsiTheme="minorHAnsi" w:cstheme="minorHAnsi"/>
          <w:spacing w:val="-1"/>
        </w:rPr>
        <w:t>n</w:t>
      </w:r>
      <w:r w:rsidRPr="003E32DB">
        <w:rPr>
          <w:rFonts w:asciiTheme="minorHAnsi" w:hAnsiTheme="minorHAnsi" w:cstheme="minorHAnsi"/>
        </w:rPr>
        <w:t>ter</w:t>
      </w:r>
      <w:r w:rsidRPr="003E32DB">
        <w:rPr>
          <w:rFonts w:asciiTheme="minorHAnsi" w:hAnsiTheme="minorHAnsi" w:cstheme="minorHAnsi"/>
          <w:spacing w:val="-1"/>
        </w:rPr>
        <w:t>pr</w:t>
      </w:r>
      <w:r w:rsidRPr="003E32DB">
        <w:rPr>
          <w:rFonts w:asciiTheme="minorHAnsi" w:hAnsiTheme="minorHAnsi" w:cstheme="minorHAnsi"/>
        </w:rPr>
        <w:t xml:space="preserve">eter </w:t>
      </w:r>
      <w:r w:rsidRPr="003E32DB">
        <w:rPr>
          <w:rFonts w:asciiTheme="minorHAnsi" w:hAnsiTheme="minorHAnsi" w:cstheme="minorHAnsi"/>
          <w:spacing w:val="-1"/>
        </w:rPr>
        <w:t>s</w:t>
      </w:r>
      <w:r w:rsidRPr="003E32DB">
        <w:rPr>
          <w:rFonts w:asciiTheme="minorHAnsi" w:hAnsiTheme="minorHAnsi" w:cstheme="minorHAnsi"/>
        </w:rPr>
        <w:t>er</w:t>
      </w:r>
      <w:r w:rsidRPr="003E32DB">
        <w:rPr>
          <w:rFonts w:asciiTheme="minorHAnsi" w:hAnsiTheme="minorHAnsi" w:cstheme="minorHAnsi"/>
          <w:spacing w:val="-1"/>
        </w:rPr>
        <w:t>v</w:t>
      </w:r>
      <w:r w:rsidRPr="003E32DB">
        <w:rPr>
          <w:rFonts w:asciiTheme="minorHAnsi" w:hAnsiTheme="minorHAnsi" w:cstheme="minorHAnsi"/>
        </w:rPr>
        <w:t>ices</w:t>
      </w:r>
      <w:r w:rsidRPr="003E32DB">
        <w:rPr>
          <w:rFonts w:asciiTheme="minorHAnsi" w:hAnsiTheme="minorHAnsi" w:cstheme="minorHAnsi"/>
          <w:spacing w:val="-1"/>
        </w:rPr>
        <w:t xml:space="preserve"> </w:t>
      </w:r>
      <w:r w:rsidRPr="003E32DB">
        <w:rPr>
          <w:rFonts w:asciiTheme="minorHAnsi" w:hAnsiTheme="minorHAnsi" w:cstheme="minorHAnsi"/>
        </w:rPr>
        <w:t>to all LEP individu</w:t>
      </w:r>
      <w:r w:rsidRPr="003E32DB">
        <w:rPr>
          <w:rFonts w:asciiTheme="minorHAnsi" w:hAnsiTheme="minorHAnsi" w:cstheme="minorHAnsi"/>
          <w:spacing w:val="-1"/>
        </w:rPr>
        <w:t>a</w:t>
      </w:r>
      <w:r w:rsidRPr="003E32DB">
        <w:rPr>
          <w:rFonts w:asciiTheme="minorHAnsi" w:hAnsiTheme="minorHAnsi" w:cstheme="minorHAnsi"/>
        </w:rPr>
        <w:t xml:space="preserve">ls </w:t>
      </w:r>
      <w:r w:rsidRPr="003E32DB">
        <w:rPr>
          <w:rFonts w:asciiTheme="minorHAnsi" w:hAnsiTheme="minorHAnsi" w:cstheme="minorHAnsi"/>
          <w:spacing w:val="-1"/>
        </w:rPr>
        <w:t>o</w:t>
      </w:r>
      <w:r w:rsidRPr="003E32DB">
        <w:rPr>
          <w:rFonts w:asciiTheme="minorHAnsi" w:hAnsiTheme="minorHAnsi" w:cstheme="minorHAnsi"/>
        </w:rPr>
        <w:t xml:space="preserve">r </w:t>
      </w:r>
      <w:r w:rsidRPr="003E32DB">
        <w:rPr>
          <w:rFonts w:asciiTheme="minorHAnsi" w:hAnsiTheme="minorHAnsi" w:cstheme="minorHAnsi"/>
          <w:spacing w:val="-1"/>
        </w:rPr>
        <w:t>f</w:t>
      </w:r>
      <w:r w:rsidRPr="003E32DB">
        <w:rPr>
          <w:rFonts w:asciiTheme="minorHAnsi" w:hAnsiTheme="minorHAnsi" w:cstheme="minorHAnsi"/>
          <w:spacing w:val="1"/>
        </w:rPr>
        <w:t>a</w:t>
      </w:r>
      <w:r w:rsidRPr="003E32DB">
        <w:rPr>
          <w:rFonts w:asciiTheme="minorHAnsi" w:hAnsiTheme="minorHAnsi" w:cstheme="minorHAnsi"/>
          <w:spacing w:val="-2"/>
        </w:rPr>
        <w:t>m</w:t>
      </w:r>
      <w:r w:rsidRPr="003E32DB">
        <w:rPr>
          <w:rFonts w:asciiTheme="minorHAnsi" w:hAnsiTheme="minorHAnsi" w:cstheme="minorHAnsi"/>
        </w:rPr>
        <w:t>ilies a</w:t>
      </w:r>
      <w:r w:rsidRPr="003E32DB">
        <w:rPr>
          <w:rFonts w:asciiTheme="minorHAnsi" w:hAnsiTheme="minorHAnsi" w:cstheme="minorHAnsi"/>
          <w:spacing w:val="-1"/>
        </w:rPr>
        <w:t>p</w:t>
      </w:r>
      <w:r w:rsidRPr="003E32DB">
        <w:rPr>
          <w:rFonts w:asciiTheme="minorHAnsi" w:hAnsiTheme="minorHAnsi" w:cstheme="minorHAnsi"/>
        </w:rPr>
        <w:t xml:space="preserve">plying </w:t>
      </w:r>
      <w:r w:rsidRPr="003E32DB">
        <w:rPr>
          <w:rFonts w:asciiTheme="minorHAnsi" w:hAnsiTheme="minorHAnsi" w:cstheme="minorHAnsi"/>
          <w:spacing w:val="-1"/>
        </w:rPr>
        <w:t>f</w:t>
      </w:r>
      <w:r w:rsidRPr="003E32DB">
        <w:rPr>
          <w:rFonts w:asciiTheme="minorHAnsi" w:hAnsiTheme="minorHAnsi" w:cstheme="minorHAnsi"/>
        </w:rPr>
        <w:t>or or particip</w:t>
      </w:r>
      <w:r w:rsidRPr="003E32DB">
        <w:rPr>
          <w:rFonts w:asciiTheme="minorHAnsi" w:hAnsiTheme="minorHAnsi" w:cstheme="minorHAnsi"/>
          <w:spacing w:val="-1"/>
        </w:rPr>
        <w:t>a</w:t>
      </w:r>
      <w:r w:rsidRPr="003E32DB">
        <w:rPr>
          <w:rFonts w:asciiTheme="minorHAnsi" w:hAnsiTheme="minorHAnsi" w:cstheme="minorHAnsi"/>
        </w:rPr>
        <w:t>ting</w:t>
      </w:r>
      <w:r w:rsidRPr="003E32DB">
        <w:rPr>
          <w:rFonts w:asciiTheme="minorHAnsi" w:hAnsiTheme="minorHAnsi" w:cstheme="minorHAnsi"/>
          <w:spacing w:val="-1"/>
        </w:rPr>
        <w:t xml:space="preserve"> </w:t>
      </w:r>
      <w:r w:rsidRPr="003E32DB">
        <w:rPr>
          <w:rFonts w:asciiTheme="minorHAnsi" w:hAnsiTheme="minorHAnsi" w:cstheme="minorHAnsi"/>
        </w:rPr>
        <w:t>in progra</w:t>
      </w:r>
      <w:r w:rsidRPr="003E32DB">
        <w:rPr>
          <w:rFonts w:asciiTheme="minorHAnsi" w:hAnsiTheme="minorHAnsi" w:cstheme="minorHAnsi"/>
          <w:spacing w:val="-2"/>
        </w:rPr>
        <w:t>m</w:t>
      </w:r>
      <w:r w:rsidRPr="003E32DB">
        <w:rPr>
          <w:rFonts w:asciiTheme="minorHAnsi" w:hAnsiTheme="minorHAnsi" w:cstheme="minorHAnsi"/>
        </w:rPr>
        <w:t>s or re</w:t>
      </w:r>
      <w:r w:rsidRPr="003E32DB">
        <w:rPr>
          <w:rFonts w:asciiTheme="minorHAnsi" w:hAnsiTheme="minorHAnsi" w:cstheme="minorHAnsi"/>
          <w:spacing w:val="-1"/>
        </w:rPr>
        <w:t>c</w:t>
      </w:r>
      <w:r w:rsidRPr="003E32DB">
        <w:rPr>
          <w:rFonts w:asciiTheme="minorHAnsi" w:hAnsiTheme="minorHAnsi" w:cstheme="minorHAnsi"/>
        </w:rPr>
        <w:t>eiving</w:t>
      </w:r>
      <w:r w:rsidRPr="003E32DB">
        <w:rPr>
          <w:rFonts w:asciiTheme="minorHAnsi" w:hAnsiTheme="minorHAnsi" w:cstheme="minorHAnsi"/>
          <w:spacing w:val="-1"/>
        </w:rPr>
        <w:t xml:space="preserve"> </w:t>
      </w:r>
      <w:r w:rsidRPr="003E32DB">
        <w:rPr>
          <w:rFonts w:asciiTheme="minorHAnsi" w:hAnsiTheme="minorHAnsi" w:cstheme="minorHAnsi"/>
        </w:rPr>
        <w:t>servi</w:t>
      </w:r>
      <w:r w:rsidRPr="003E32DB">
        <w:rPr>
          <w:rFonts w:asciiTheme="minorHAnsi" w:hAnsiTheme="minorHAnsi" w:cstheme="minorHAnsi"/>
          <w:spacing w:val="-1"/>
        </w:rPr>
        <w:t>c</w:t>
      </w:r>
      <w:r w:rsidRPr="003E32DB">
        <w:rPr>
          <w:rFonts w:asciiTheme="minorHAnsi" w:hAnsiTheme="minorHAnsi" w:cstheme="minorHAnsi"/>
        </w:rPr>
        <w:t>es/</w:t>
      </w:r>
      <w:r w:rsidRPr="003E32DB">
        <w:rPr>
          <w:rFonts w:asciiTheme="minorHAnsi" w:hAnsiTheme="minorHAnsi" w:cstheme="minorHAnsi"/>
          <w:spacing w:val="-1"/>
        </w:rPr>
        <w:t>be</w:t>
      </w:r>
      <w:r w:rsidRPr="003E32DB">
        <w:rPr>
          <w:rFonts w:asciiTheme="minorHAnsi" w:hAnsiTheme="minorHAnsi" w:cstheme="minorHAnsi"/>
        </w:rPr>
        <w:t>ne</w:t>
      </w:r>
      <w:r w:rsidRPr="003E32DB">
        <w:rPr>
          <w:rFonts w:asciiTheme="minorHAnsi" w:hAnsiTheme="minorHAnsi" w:cstheme="minorHAnsi"/>
          <w:spacing w:val="-1"/>
        </w:rPr>
        <w:t>f</w:t>
      </w:r>
      <w:r w:rsidRPr="003E32DB">
        <w:rPr>
          <w:rFonts w:asciiTheme="minorHAnsi" w:hAnsiTheme="minorHAnsi" w:cstheme="minorHAnsi"/>
        </w:rPr>
        <w:t>its t</w:t>
      </w:r>
      <w:r w:rsidRPr="003E32DB">
        <w:rPr>
          <w:rFonts w:asciiTheme="minorHAnsi" w:hAnsiTheme="minorHAnsi" w:cstheme="minorHAnsi"/>
          <w:spacing w:val="-1"/>
        </w:rPr>
        <w:t>h</w:t>
      </w:r>
      <w:r w:rsidRPr="003E32DB">
        <w:rPr>
          <w:rFonts w:asciiTheme="minorHAnsi" w:hAnsiTheme="minorHAnsi" w:cstheme="minorHAnsi"/>
        </w:rPr>
        <w:t>rou</w:t>
      </w:r>
      <w:r w:rsidRPr="003E32DB">
        <w:rPr>
          <w:rFonts w:asciiTheme="minorHAnsi" w:hAnsiTheme="minorHAnsi" w:cstheme="minorHAnsi"/>
          <w:spacing w:val="-1"/>
        </w:rPr>
        <w:t>g</w:t>
      </w:r>
      <w:r w:rsidRPr="003E32DB">
        <w:rPr>
          <w:rFonts w:asciiTheme="minorHAnsi" w:hAnsiTheme="minorHAnsi" w:cstheme="minorHAnsi"/>
        </w:rPr>
        <w:t>h MFA.  The int</w:t>
      </w:r>
      <w:r w:rsidRPr="003E32DB">
        <w:rPr>
          <w:rFonts w:asciiTheme="minorHAnsi" w:hAnsiTheme="minorHAnsi" w:cstheme="minorHAnsi"/>
          <w:spacing w:val="-1"/>
        </w:rPr>
        <w:t>e</w:t>
      </w:r>
      <w:r w:rsidRPr="003E32DB">
        <w:rPr>
          <w:rFonts w:asciiTheme="minorHAnsi" w:hAnsiTheme="minorHAnsi" w:cstheme="minorHAnsi"/>
        </w:rPr>
        <w:t>rpr</w:t>
      </w:r>
      <w:r w:rsidRPr="003E32DB">
        <w:rPr>
          <w:rFonts w:asciiTheme="minorHAnsi" w:hAnsiTheme="minorHAnsi" w:cstheme="minorHAnsi"/>
          <w:spacing w:val="-1"/>
        </w:rPr>
        <w:t>e</w:t>
      </w:r>
      <w:r w:rsidRPr="003E32DB">
        <w:rPr>
          <w:rFonts w:asciiTheme="minorHAnsi" w:hAnsiTheme="minorHAnsi" w:cstheme="minorHAnsi"/>
        </w:rPr>
        <w:t>ter services are provided in an efficient and ti</w:t>
      </w:r>
      <w:r w:rsidRPr="003E32DB">
        <w:rPr>
          <w:rFonts w:asciiTheme="minorHAnsi" w:hAnsiTheme="minorHAnsi" w:cstheme="minorHAnsi"/>
          <w:spacing w:val="-2"/>
        </w:rPr>
        <w:t>m</w:t>
      </w:r>
      <w:r w:rsidRPr="003E32DB">
        <w:rPr>
          <w:rFonts w:asciiTheme="minorHAnsi" w:hAnsiTheme="minorHAnsi" w:cstheme="minorHAnsi"/>
        </w:rPr>
        <w:t>e</w:t>
      </w:r>
      <w:r w:rsidRPr="003E32DB">
        <w:rPr>
          <w:rFonts w:asciiTheme="minorHAnsi" w:hAnsiTheme="minorHAnsi" w:cstheme="minorHAnsi"/>
          <w:spacing w:val="1"/>
        </w:rPr>
        <w:t>l</w:t>
      </w:r>
      <w:r w:rsidRPr="003E32DB">
        <w:rPr>
          <w:rFonts w:asciiTheme="minorHAnsi" w:hAnsiTheme="minorHAnsi" w:cstheme="minorHAnsi"/>
        </w:rPr>
        <w:t xml:space="preserve">y </w:t>
      </w:r>
      <w:r w:rsidRPr="003E32DB">
        <w:rPr>
          <w:rFonts w:asciiTheme="minorHAnsi" w:hAnsiTheme="minorHAnsi" w:cstheme="minorHAnsi"/>
          <w:spacing w:val="-2"/>
        </w:rPr>
        <w:t>m</w:t>
      </w:r>
      <w:r w:rsidRPr="003E32DB">
        <w:rPr>
          <w:rFonts w:asciiTheme="minorHAnsi" w:hAnsiTheme="minorHAnsi" w:cstheme="minorHAnsi"/>
        </w:rPr>
        <w:t>anner so as not to delay a deter</w:t>
      </w:r>
      <w:r w:rsidRPr="003E32DB">
        <w:rPr>
          <w:rFonts w:asciiTheme="minorHAnsi" w:hAnsiTheme="minorHAnsi" w:cstheme="minorHAnsi"/>
          <w:spacing w:val="-2"/>
        </w:rPr>
        <w:t>m</w:t>
      </w:r>
      <w:r w:rsidRPr="003E32DB">
        <w:rPr>
          <w:rFonts w:asciiTheme="minorHAnsi" w:hAnsiTheme="minorHAnsi" w:cstheme="minorHAnsi"/>
        </w:rPr>
        <w:t>ination of eligibility</w:t>
      </w:r>
      <w:r w:rsidRPr="003E32DB">
        <w:rPr>
          <w:rFonts w:asciiTheme="minorHAnsi" w:hAnsiTheme="minorHAnsi" w:cstheme="minorHAnsi"/>
          <w:spacing w:val="-1"/>
        </w:rPr>
        <w:t xml:space="preserve"> </w:t>
      </w:r>
      <w:r w:rsidRPr="003E32DB">
        <w:rPr>
          <w:rFonts w:asciiTheme="minorHAnsi" w:hAnsiTheme="minorHAnsi" w:cstheme="minorHAnsi"/>
        </w:rPr>
        <w:t>for an indi</w:t>
      </w:r>
      <w:r w:rsidRPr="003E32DB">
        <w:rPr>
          <w:rFonts w:asciiTheme="minorHAnsi" w:hAnsiTheme="minorHAnsi" w:cstheme="minorHAnsi"/>
          <w:spacing w:val="-1"/>
        </w:rPr>
        <w:t>v</w:t>
      </w:r>
      <w:r w:rsidRPr="003E32DB">
        <w:rPr>
          <w:rFonts w:asciiTheme="minorHAnsi" w:hAnsiTheme="minorHAnsi" w:cstheme="minorHAnsi"/>
          <w:spacing w:val="1"/>
        </w:rPr>
        <w:t>i</w:t>
      </w:r>
      <w:r w:rsidRPr="003E32DB">
        <w:rPr>
          <w:rFonts w:asciiTheme="minorHAnsi" w:hAnsiTheme="minorHAnsi" w:cstheme="minorHAnsi"/>
        </w:rPr>
        <w:t xml:space="preserve">dual </w:t>
      </w:r>
      <w:r w:rsidRPr="003E32DB">
        <w:rPr>
          <w:rFonts w:asciiTheme="minorHAnsi" w:hAnsiTheme="minorHAnsi" w:cstheme="minorHAnsi"/>
          <w:spacing w:val="-1"/>
        </w:rPr>
        <w:t>o</w:t>
      </w:r>
      <w:r w:rsidRPr="003E32DB">
        <w:rPr>
          <w:rFonts w:asciiTheme="minorHAnsi" w:hAnsiTheme="minorHAnsi" w:cstheme="minorHAnsi"/>
        </w:rPr>
        <w:t>r family,</w:t>
      </w:r>
      <w:r w:rsidRPr="003E32DB">
        <w:rPr>
          <w:rFonts w:asciiTheme="minorHAnsi" w:hAnsiTheme="minorHAnsi" w:cstheme="minorHAnsi"/>
          <w:spacing w:val="-1"/>
        </w:rPr>
        <w:t xml:space="preserve"> </w:t>
      </w:r>
      <w:r w:rsidRPr="003E32DB">
        <w:rPr>
          <w:rFonts w:asciiTheme="minorHAnsi" w:hAnsiTheme="minorHAnsi" w:cstheme="minorHAnsi"/>
        </w:rPr>
        <w:t>recei</w:t>
      </w:r>
      <w:r w:rsidRPr="003E32DB">
        <w:rPr>
          <w:rFonts w:asciiTheme="minorHAnsi" w:hAnsiTheme="minorHAnsi" w:cstheme="minorHAnsi"/>
          <w:spacing w:val="-1"/>
        </w:rPr>
        <w:t>p</w:t>
      </w:r>
      <w:r w:rsidRPr="003E32DB">
        <w:rPr>
          <w:rFonts w:asciiTheme="minorHAnsi" w:hAnsiTheme="minorHAnsi" w:cstheme="minorHAnsi"/>
        </w:rPr>
        <w:t xml:space="preserve">t </w:t>
      </w:r>
      <w:r w:rsidRPr="003E32DB">
        <w:rPr>
          <w:rFonts w:asciiTheme="minorHAnsi" w:hAnsiTheme="minorHAnsi" w:cstheme="minorHAnsi"/>
          <w:spacing w:val="-1"/>
        </w:rPr>
        <w:t>o</w:t>
      </w:r>
      <w:r w:rsidRPr="003E32DB">
        <w:rPr>
          <w:rFonts w:asciiTheme="minorHAnsi" w:hAnsiTheme="minorHAnsi" w:cstheme="minorHAnsi"/>
        </w:rPr>
        <w:t>f</w:t>
      </w:r>
      <w:r w:rsidRPr="003E32DB">
        <w:rPr>
          <w:rFonts w:asciiTheme="minorHAnsi" w:hAnsiTheme="minorHAnsi" w:cstheme="minorHAnsi"/>
          <w:spacing w:val="-1"/>
        </w:rPr>
        <w:t xml:space="preserve"> </w:t>
      </w:r>
      <w:r w:rsidRPr="003E32DB">
        <w:rPr>
          <w:rFonts w:asciiTheme="minorHAnsi" w:hAnsiTheme="minorHAnsi" w:cstheme="minorHAnsi"/>
        </w:rPr>
        <w:t>eligible service</w:t>
      </w:r>
      <w:r w:rsidRPr="003E32DB">
        <w:rPr>
          <w:rFonts w:asciiTheme="minorHAnsi" w:hAnsiTheme="minorHAnsi" w:cstheme="minorHAnsi"/>
          <w:spacing w:val="-1"/>
        </w:rPr>
        <w:t>s</w:t>
      </w:r>
      <w:r w:rsidRPr="003E32DB">
        <w:rPr>
          <w:rFonts w:asciiTheme="minorHAnsi" w:hAnsiTheme="minorHAnsi" w:cstheme="minorHAnsi"/>
        </w:rPr>
        <w:t>/benefits or participation in a MFA-run prog</w:t>
      </w:r>
      <w:r w:rsidRPr="003E32DB">
        <w:rPr>
          <w:rFonts w:asciiTheme="minorHAnsi" w:hAnsiTheme="minorHAnsi" w:cstheme="minorHAnsi"/>
          <w:spacing w:val="1"/>
        </w:rPr>
        <w:t>r</w:t>
      </w:r>
      <w:r w:rsidRPr="003E32DB">
        <w:rPr>
          <w:rFonts w:asciiTheme="minorHAnsi" w:hAnsiTheme="minorHAnsi" w:cstheme="minorHAnsi"/>
        </w:rPr>
        <w:t>am</w:t>
      </w:r>
      <w:r w:rsidRPr="003E32DB">
        <w:rPr>
          <w:rFonts w:asciiTheme="minorHAnsi" w:hAnsiTheme="minorHAnsi" w:cstheme="minorHAnsi"/>
          <w:spacing w:val="-2"/>
        </w:rPr>
        <w:t xml:space="preserve"> </w:t>
      </w:r>
      <w:r w:rsidRPr="003E32DB">
        <w:rPr>
          <w:rFonts w:asciiTheme="minorHAnsi" w:hAnsiTheme="minorHAnsi" w:cstheme="minorHAnsi"/>
        </w:rPr>
        <w:t>beyond that of an English speaking individual</w:t>
      </w:r>
      <w:r w:rsidRPr="003E32DB">
        <w:rPr>
          <w:rFonts w:asciiTheme="minorHAnsi" w:hAnsiTheme="minorHAnsi" w:cstheme="minorHAnsi"/>
          <w:spacing w:val="-10"/>
        </w:rPr>
        <w:t xml:space="preserve"> </w:t>
      </w:r>
      <w:r w:rsidRPr="003E32DB">
        <w:rPr>
          <w:rFonts w:asciiTheme="minorHAnsi" w:hAnsiTheme="minorHAnsi" w:cstheme="minorHAnsi"/>
        </w:rPr>
        <w:t>or f</w:t>
      </w:r>
      <w:r w:rsidRPr="003E32DB">
        <w:rPr>
          <w:rFonts w:asciiTheme="minorHAnsi" w:hAnsiTheme="minorHAnsi" w:cstheme="minorHAnsi"/>
          <w:spacing w:val="1"/>
        </w:rPr>
        <w:t>a</w:t>
      </w:r>
      <w:r w:rsidRPr="003E32DB">
        <w:rPr>
          <w:rFonts w:asciiTheme="minorHAnsi" w:hAnsiTheme="minorHAnsi" w:cstheme="minorHAnsi"/>
          <w:spacing w:val="-2"/>
        </w:rPr>
        <w:t>m</w:t>
      </w:r>
      <w:r w:rsidRPr="003E32DB">
        <w:rPr>
          <w:rFonts w:asciiTheme="minorHAnsi" w:hAnsiTheme="minorHAnsi" w:cstheme="minorHAnsi"/>
        </w:rPr>
        <w:t>ily.  English and Spanish appli</w:t>
      </w:r>
      <w:r w:rsidRPr="003E32DB">
        <w:rPr>
          <w:rFonts w:asciiTheme="minorHAnsi" w:hAnsiTheme="minorHAnsi" w:cstheme="minorHAnsi"/>
          <w:spacing w:val="-1"/>
        </w:rPr>
        <w:t>c</w:t>
      </w:r>
      <w:r w:rsidRPr="003E32DB">
        <w:rPr>
          <w:rFonts w:asciiTheme="minorHAnsi" w:hAnsiTheme="minorHAnsi" w:cstheme="minorHAnsi"/>
        </w:rPr>
        <w:t xml:space="preserve">ations and </w:t>
      </w:r>
      <w:r w:rsidRPr="003E32DB">
        <w:rPr>
          <w:rFonts w:asciiTheme="minorHAnsi" w:hAnsiTheme="minorHAnsi" w:cstheme="minorHAnsi"/>
          <w:spacing w:val="-1"/>
        </w:rPr>
        <w:t>o</w:t>
      </w:r>
      <w:r w:rsidRPr="003E32DB">
        <w:rPr>
          <w:rFonts w:asciiTheme="minorHAnsi" w:hAnsiTheme="minorHAnsi" w:cstheme="minorHAnsi"/>
        </w:rPr>
        <w:t>utre</w:t>
      </w:r>
      <w:r w:rsidRPr="003E32DB">
        <w:rPr>
          <w:rFonts w:asciiTheme="minorHAnsi" w:hAnsiTheme="minorHAnsi" w:cstheme="minorHAnsi"/>
          <w:spacing w:val="-1"/>
        </w:rPr>
        <w:t>a</w:t>
      </w:r>
      <w:r w:rsidRPr="003E32DB">
        <w:rPr>
          <w:rFonts w:asciiTheme="minorHAnsi" w:hAnsiTheme="minorHAnsi" w:cstheme="minorHAnsi"/>
        </w:rPr>
        <w:t xml:space="preserve">ch </w:t>
      </w:r>
      <w:r w:rsidRPr="003E32DB">
        <w:rPr>
          <w:rFonts w:asciiTheme="minorHAnsi" w:hAnsiTheme="minorHAnsi" w:cstheme="minorHAnsi"/>
          <w:spacing w:val="-2"/>
        </w:rPr>
        <w:t>m</w:t>
      </w:r>
      <w:r w:rsidRPr="003E32DB">
        <w:rPr>
          <w:rFonts w:asciiTheme="minorHAnsi" w:hAnsiTheme="minorHAnsi" w:cstheme="minorHAnsi"/>
        </w:rPr>
        <w:t>ateri</w:t>
      </w:r>
      <w:r w:rsidRPr="003E32DB">
        <w:rPr>
          <w:rFonts w:asciiTheme="minorHAnsi" w:hAnsiTheme="minorHAnsi" w:cstheme="minorHAnsi"/>
          <w:spacing w:val="-1"/>
        </w:rPr>
        <w:t>a</w:t>
      </w:r>
      <w:r w:rsidRPr="003E32DB">
        <w:rPr>
          <w:rFonts w:asciiTheme="minorHAnsi" w:hAnsiTheme="minorHAnsi" w:cstheme="minorHAnsi"/>
        </w:rPr>
        <w:t>l a</w:t>
      </w:r>
      <w:r w:rsidRPr="003E32DB">
        <w:rPr>
          <w:rFonts w:asciiTheme="minorHAnsi" w:hAnsiTheme="minorHAnsi" w:cstheme="minorHAnsi"/>
          <w:spacing w:val="-1"/>
        </w:rPr>
        <w:t>r</w:t>
      </w:r>
      <w:r w:rsidRPr="003E32DB">
        <w:rPr>
          <w:rFonts w:asciiTheme="minorHAnsi" w:hAnsiTheme="minorHAnsi" w:cstheme="minorHAnsi"/>
        </w:rPr>
        <w:t>e av</w:t>
      </w:r>
      <w:r w:rsidRPr="003E32DB">
        <w:rPr>
          <w:rFonts w:asciiTheme="minorHAnsi" w:hAnsiTheme="minorHAnsi" w:cstheme="minorHAnsi"/>
          <w:spacing w:val="-1"/>
        </w:rPr>
        <w:t>a</w:t>
      </w:r>
      <w:r w:rsidRPr="003E32DB">
        <w:rPr>
          <w:rFonts w:asciiTheme="minorHAnsi" w:hAnsiTheme="minorHAnsi" w:cstheme="minorHAnsi"/>
        </w:rPr>
        <w:t>ila</w:t>
      </w:r>
      <w:r w:rsidRPr="003E32DB">
        <w:rPr>
          <w:rFonts w:asciiTheme="minorHAnsi" w:hAnsiTheme="minorHAnsi" w:cstheme="minorHAnsi"/>
          <w:spacing w:val="-1"/>
        </w:rPr>
        <w:t>b</w:t>
      </w:r>
      <w:r w:rsidRPr="003E32DB">
        <w:rPr>
          <w:rFonts w:asciiTheme="minorHAnsi" w:hAnsiTheme="minorHAnsi" w:cstheme="minorHAnsi"/>
          <w:spacing w:val="1"/>
        </w:rPr>
        <w:t>l</w:t>
      </w:r>
      <w:r w:rsidRPr="003E32DB">
        <w:rPr>
          <w:rFonts w:asciiTheme="minorHAnsi" w:hAnsiTheme="minorHAnsi" w:cstheme="minorHAnsi"/>
        </w:rPr>
        <w:t>e.  Additionally, English</w:t>
      </w:r>
      <w:r w:rsidRPr="003E32DB">
        <w:rPr>
          <w:rFonts w:asciiTheme="minorHAnsi" w:hAnsiTheme="minorHAnsi" w:cstheme="minorHAnsi"/>
          <w:spacing w:val="-1"/>
        </w:rPr>
        <w:t xml:space="preserve"> </w:t>
      </w:r>
      <w:r w:rsidRPr="003E32DB">
        <w:rPr>
          <w:rFonts w:asciiTheme="minorHAnsi" w:hAnsiTheme="minorHAnsi" w:cstheme="minorHAnsi"/>
        </w:rPr>
        <w:t>and</w:t>
      </w:r>
      <w:r w:rsidRPr="003E32DB">
        <w:rPr>
          <w:rFonts w:asciiTheme="minorHAnsi" w:hAnsiTheme="minorHAnsi" w:cstheme="minorHAnsi"/>
          <w:spacing w:val="-1"/>
        </w:rPr>
        <w:t xml:space="preserve"> </w:t>
      </w:r>
      <w:r w:rsidRPr="003E32DB">
        <w:rPr>
          <w:rFonts w:asciiTheme="minorHAnsi" w:hAnsiTheme="minorHAnsi" w:cstheme="minorHAnsi"/>
        </w:rPr>
        <w:t>Spanish</w:t>
      </w:r>
      <w:r w:rsidRPr="003E32DB">
        <w:rPr>
          <w:rFonts w:asciiTheme="minorHAnsi" w:hAnsiTheme="minorHAnsi" w:cstheme="minorHAnsi"/>
          <w:spacing w:val="-1"/>
        </w:rPr>
        <w:t xml:space="preserve"> </w:t>
      </w:r>
      <w:r w:rsidRPr="003E32DB">
        <w:rPr>
          <w:rFonts w:asciiTheme="minorHAnsi" w:hAnsiTheme="minorHAnsi" w:cstheme="minorHAnsi"/>
        </w:rPr>
        <w:t>brochures describing services are available at MFA and at vario</w:t>
      </w:r>
      <w:r w:rsidRPr="003E32DB">
        <w:rPr>
          <w:rFonts w:asciiTheme="minorHAnsi" w:hAnsiTheme="minorHAnsi" w:cstheme="minorHAnsi"/>
          <w:spacing w:val="-1"/>
        </w:rPr>
        <w:t>u</w:t>
      </w:r>
      <w:r w:rsidRPr="003E32DB">
        <w:rPr>
          <w:rFonts w:asciiTheme="minorHAnsi" w:hAnsiTheme="minorHAnsi" w:cstheme="minorHAnsi"/>
        </w:rPr>
        <w:t>s community events, fairs and spea</w:t>
      </w:r>
      <w:r w:rsidRPr="003E32DB">
        <w:rPr>
          <w:rFonts w:asciiTheme="minorHAnsi" w:hAnsiTheme="minorHAnsi" w:cstheme="minorHAnsi"/>
          <w:spacing w:val="-1"/>
        </w:rPr>
        <w:t>k</w:t>
      </w:r>
      <w:r w:rsidRPr="003E32DB">
        <w:rPr>
          <w:rFonts w:asciiTheme="minorHAnsi" w:hAnsiTheme="minorHAnsi" w:cstheme="minorHAnsi"/>
        </w:rPr>
        <w:t>ing engage</w:t>
      </w:r>
      <w:r w:rsidRPr="003E32DB">
        <w:rPr>
          <w:rFonts w:asciiTheme="minorHAnsi" w:hAnsiTheme="minorHAnsi" w:cstheme="minorHAnsi"/>
          <w:spacing w:val="-2"/>
        </w:rPr>
        <w:t>m</w:t>
      </w:r>
      <w:r w:rsidRPr="003E32DB">
        <w:rPr>
          <w:rFonts w:asciiTheme="minorHAnsi" w:hAnsiTheme="minorHAnsi" w:cstheme="minorHAnsi"/>
        </w:rPr>
        <w:t>ents.</w:t>
      </w:r>
    </w:p>
    <w:p w:rsidR="00000555" w:rsidRPr="003E32DB" w:rsidRDefault="00000555" w:rsidP="00000555">
      <w:pPr>
        <w:jc w:val="both"/>
        <w:rPr>
          <w:rFonts w:asciiTheme="minorHAnsi" w:hAnsiTheme="minorHAnsi" w:cstheme="minorHAnsi"/>
        </w:rPr>
      </w:pPr>
      <w:r w:rsidRPr="003E32DB">
        <w:rPr>
          <w:rFonts w:asciiTheme="minorHAnsi" w:hAnsiTheme="minorHAnsi" w:cstheme="minorHAnsi"/>
        </w:rPr>
        <w:t>The state of New Mexico is committed to keeping all interested groups and individuals informed of each phase of the consolidated planning process and of activities being proposed or undertaken under HUD formula grant programs. Opportunities to comment on or participate in planning community development and affordable housing activities and projects will be publicized and disseminated throughout the state.</w:t>
      </w:r>
    </w:p>
    <w:p w:rsidR="00000555" w:rsidRPr="003E32DB" w:rsidRDefault="00000555" w:rsidP="00000555">
      <w:pPr>
        <w:jc w:val="both"/>
        <w:rPr>
          <w:rFonts w:asciiTheme="minorHAnsi" w:hAnsiTheme="minorHAnsi"/>
        </w:rPr>
      </w:pPr>
    </w:p>
    <w:p w:rsidR="00000555" w:rsidRPr="003E32DB" w:rsidRDefault="00000555" w:rsidP="00000555">
      <w:pPr>
        <w:jc w:val="both"/>
        <w:rPr>
          <w:rFonts w:asciiTheme="minorHAnsi" w:hAnsiTheme="minorHAnsi"/>
          <w:b/>
        </w:rPr>
      </w:pPr>
      <w:r w:rsidRPr="003E32DB">
        <w:rPr>
          <w:rFonts w:asciiTheme="minorHAnsi" w:hAnsiTheme="minorHAnsi"/>
          <w:b/>
        </w:rPr>
        <w:t>Public Hearings and Meetings</w:t>
      </w:r>
    </w:p>
    <w:p w:rsidR="00000555" w:rsidRPr="003E32DB" w:rsidRDefault="00000555" w:rsidP="00000555">
      <w:pPr>
        <w:jc w:val="both"/>
        <w:rPr>
          <w:rFonts w:asciiTheme="minorHAnsi" w:hAnsiTheme="minorHAnsi"/>
        </w:rPr>
      </w:pPr>
    </w:p>
    <w:p w:rsidR="00000555" w:rsidRPr="003E32DB" w:rsidRDefault="00000555" w:rsidP="00000555">
      <w:pPr>
        <w:jc w:val="both"/>
        <w:rPr>
          <w:rFonts w:asciiTheme="minorHAnsi" w:hAnsiTheme="minorHAnsi" w:cstheme="minorHAnsi"/>
        </w:rPr>
      </w:pPr>
      <w:r w:rsidRPr="003E32DB">
        <w:rPr>
          <w:rFonts w:asciiTheme="minorHAnsi" w:hAnsiTheme="minorHAnsi" w:cstheme="minorHAnsi"/>
        </w:rPr>
        <w:t xml:space="preserve">DFA and MFA will conduct a minimum of two public hearings to obtain citizens' views and to respond to proposals and questions. The hearings will take place at different stages of the consolidated planning process. At least one will occur prior to development of the Draft Plan and will be intended to solicit public input regarding distinct issues, thereby aiding policy formation.  At least one hearing will occur after the Draft Plan has been released for public review, allowing interested parties an opportunity to review the strategies and how they were developed, designed and presented. </w:t>
      </w:r>
    </w:p>
    <w:p w:rsidR="00000555" w:rsidRPr="003E32DB" w:rsidRDefault="00000555" w:rsidP="00000555">
      <w:pPr>
        <w:jc w:val="both"/>
        <w:rPr>
          <w:rFonts w:asciiTheme="minorHAnsi" w:hAnsiTheme="minorHAnsi" w:cstheme="minorHAnsi"/>
        </w:rPr>
      </w:pPr>
    </w:p>
    <w:p w:rsidR="00000555" w:rsidRPr="003E32DB" w:rsidRDefault="00000555" w:rsidP="00000555">
      <w:pPr>
        <w:jc w:val="both"/>
        <w:rPr>
          <w:rFonts w:asciiTheme="minorHAnsi" w:hAnsiTheme="minorHAnsi" w:cstheme="minorHAnsi"/>
        </w:rPr>
      </w:pPr>
      <w:r w:rsidRPr="003E32DB">
        <w:rPr>
          <w:rFonts w:asciiTheme="minorHAnsi" w:hAnsiTheme="minorHAnsi" w:cstheme="minorHAnsi"/>
        </w:rPr>
        <w:t xml:space="preserve">Information about the time, location and subject of each hearing will be provided to citizens at least 14 calendar days in advance through adopted public notice and outreach procedures. This notification will be disseminated to local governments and other interested parties. Public notification of the hearings will be published in statewide newspapers of general circulation in hearing location cities or towns and on </w:t>
      </w:r>
      <w:r>
        <w:rPr>
          <w:rFonts w:asciiTheme="minorHAnsi" w:hAnsiTheme="minorHAnsi" w:cstheme="minorHAnsi"/>
        </w:rPr>
        <w:t>MFA</w:t>
      </w:r>
      <w:r w:rsidRPr="003E32DB">
        <w:rPr>
          <w:rFonts w:asciiTheme="minorHAnsi" w:hAnsiTheme="minorHAnsi" w:cstheme="minorHAnsi"/>
        </w:rPr>
        <w:t xml:space="preserve"> and DFA websites. MFA and DFA staff may also attend other meetings and conventions in New Mexico throughout the year, thereby providing an opportunity for additional public information on the Consolidated Plan.</w:t>
      </w:r>
    </w:p>
    <w:p w:rsidR="00000555" w:rsidRPr="003E32DB" w:rsidRDefault="00000555" w:rsidP="00000555">
      <w:pPr>
        <w:jc w:val="both"/>
        <w:rPr>
          <w:rFonts w:asciiTheme="minorHAnsi" w:hAnsiTheme="minorHAnsi" w:cstheme="minorHAnsi"/>
        </w:rPr>
      </w:pPr>
    </w:p>
    <w:p w:rsidR="00000555" w:rsidRPr="003E32DB" w:rsidRDefault="00000555" w:rsidP="00000555">
      <w:pPr>
        <w:jc w:val="both"/>
        <w:rPr>
          <w:rFonts w:asciiTheme="minorHAnsi" w:hAnsiTheme="minorHAnsi" w:cstheme="minorHAnsi"/>
        </w:rPr>
      </w:pPr>
      <w:r w:rsidRPr="003E32DB">
        <w:rPr>
          <w:rFonts w:asciiTheme="minorHAnsi" w:hAnsiTheme="minorHAnsi" w:cstheme="minorHAnsi"/>
        </w:rPr>
        <w:t xml:space="preserve">Every effort will be made to ensure that public hearings are inclusive. </w:t>
      </w:r>
      <w:r>
        <w:rPr>
          <w:rFonts w:asciiTheme="minorHAnsi" w:hAnsiTheme="minorHAnsi" w:cstheme="minorHAnsi"/>
        </w:rPr>
        <w:t xml:space="preserve"> </w:t>
      </w:r>
      <w:r w:rsidRPr="003E32DB">
        <w:rPr>
          <w:rFonts w:asciiTheme="minorHAnsi" w:hAnsiTheme="minorHAnsi" w:cstheme="minorHAnsi"/>
        </w:rPr>
        <w:t>Hearings will be held at</w:t>
      </w:r>
      <w:r>
        <w:rPr>
          <w:rFonts w:asciiTheme="minorHAnsi" w:hAnsiTheme="minorHAnsi" w:cstheme="minorHAnsi"/>
        </w:rPr>
        <w:t xml:space="preserve"> convenient times and </w:t>
      </w:r>
      <w:r w:rsidRPr="003E32DB">
        <w:rPr>
          <w:rFonts w:asciiTheme="minorHAnsi" w:hAnsiTheme="minorHAnsi" w:cstheme="minorHAnsi"/>
        </w:rPr>
        <w:t xml:space="preserve">locations and in places where people most affected by proposed activities can attend. </w:t>
      </w:r>
      <w:r>
        <w:rPr>
          <w:rFonts w:asciiTheme="minorHAnsi" w:hAnsiTheme="minorHAnsi" w:cstheme="minorHAnsi"/>
        </w:rPr>
        <w:t xml:space="preserve"> MFA</w:t>
      </w:r>
      <w:r w:rsidRPr="003E32DB">
        <w:rPr>
          <w:rFonts w:asciiTheme="minorHAnsi" w:hAnsiTheme="minorHAnsi" w:cstheme="minorHAnsi"/>
        </w:rPr>
        <w:t xml:space="preserve"> and DFA will utilize hearing facilities that are accessible to persons with mobility impairments. If written notice is given at least seven days before a hearing date, </w:t>
      </w:r>
      <w:r>
        <w:rPr>
          <w:rFonts w:asciiTheme="minorHAnsi" w:hAnsiTheme="minorHAnsi" w:cstheme="minorHAnsi"/>
        </w:rPr>
        <w:t>MFA</w:t>
      </w:r>
      <w:r w:rsidRPr="003E32DB">
        <w:rPr>
          <w:rFonts w:asciiTheme="minorHAnsi" w:hAnsiTheme="minorHAnsi" w:cstheme="minorHAnsi"/>
        </w:rPr>
        <w:t xml:space="preserve"> will provide appropriate materials, equipment and interpreting services to facilitate the participation of non-English speaking persons and persons with visual and/or hearing impairments. </w:t>
      </w:r>
      <w:r>
        <w:rPr>
          <w:rFonts w:asciiTheme="minorHAnsi" w:hAnsiTheme="minorHAnsi" w:cstheme="minorHAnsi"/>
        </w:rPr>
        <w:t xml:space="preserve"> </w:t>
      </w:r>
      <w:r w:rsidRPr="003E32DB">
        <w:rPr>
          <w:rFonts w:asciiTheme="minorHAnsi" w:hAnsiTheme="minorHAnsi" w:cstheme="minorHAnsi"/>
        </w:rPr>
        <w:t>Interpreters will be provided at public hearings where a significant number of non-English speaking residents can be reasonably expected to participate.  All public hearings and public meetings associated with the consolidated planning process will conform to applicable New Mexico open meetings laws.</w:t>
      </w:r>
      <w:r>
        <w:rPr>
          <w:rFonts w:asciiTheme="minorHAnsi" w:hAnsiTheme="minorHAnsi" w:cstheme="minorHAnsi"/>
        </w:rPr>
        <w:t xml:space="preserve">  </w:t>
      </w:r>
    </w:p>
    <w:p w:rsidR="00000555" w:rsidRDefault="00000555" w:rsidP="00000555">
      <w:pPr>
        <w:jc w:val="both"/>
        <w:rPr>
          <w:rFonts w:asciiTheme="minorHAnsi" w:hAnsiTheme="minorHAnsi" w:cstheme="minorHAnsi"/>
        </w:rPr>
      </w:pPr>
    </w:p>
    <w:p w:rsidR="00000555" w:rsidRPr="003E32DB" w:rsidRDefault="00000555" w:rsidP="00000555">
      <w:pPr>
        <w:jc w:val="both"/>
        <w:rPr>
          <w:rFonts w:asciiTheme="minorHAnsi" w:hAnsiTheme="minorHAnsi" w:cstheme="minorHAnsi"/>
        </w:rPr>
      </w:pPr>
      <w:r>
        <w:rPr>
          <w:rFonts w:asciiTheme="minorHAnsi" w:hAnsiTheme="minorHAnsi" w:cstheme="minorHAnsi"/>
        </w:rPr>
        <w:t>MFA</w:t>
      </w:r>
      <w:r w:rsidRPr="003E32DB">
        <w:rPr>
          <w:rFonts w:asciiTheme="minorHAnsi" w:hAnsiTheme="minorHAnsi" w:cstheme="minorHAnsi"/>
        </w:rPr>
        <w:t xml:space="preserve"> may, at its discretion, actively solicit input on housing and community development issues during the course of the year with regional forums, town hall meetings and other venues, as they may present themselves. </w:t>
      </w:r>
    </w:p>
    <w:p w:rsidR="00000555" w:rsidRPr="003E32DB" w:rsidRDefault="00000555" w:rsidP="00000555">
      <w:pPr>
        <w:jc w:val="both"/>
        <w:rPr>
          <w:rFonts w:asciiTheme="minorHAnsi" w:hAnsiTheme="minorHAnsi" w:cstheme="minorHAnsi"/>
        </w:rPr>
      </w:pPr>
    </w:p>
    <w:p w:rsidR="00000555" w:rsidRPr="003E32DB" w:rsidRDefault="00000555" w:rsidP="00000555">
      <w:pPr>
        <w:jc w:val="both"/>
        <w:rPr>
          <w:rFonts w:asciiTheme="minorHAnsi" w:hAnsiTheme="minorHAnsi" w:cstheme="minorHAnsi"/>
        </w:rPr>
      </w:pPr>
      <w:r w:rsidRPr="003E32DB">
        <w:rPr>
          <w:rFonts w:asciiTheme="minorHAnsi" w:hAnsiTheme="minorHAnsi" w:cstheme="minorHAnsi"/>
        </w:rPr>
        <w:t>Applicants must provide opportunities for public participation in the development of community development goals, objectives and applications for funding assistance by undertaking the following activities:</w:t>
      </w:r>
    </w:p>
    <w:p w:rsidR="00000555" w:rsidRPr="003E32DB" w:rsidRDefault="00000555" w:rsidP="00000555">
      <w:pPr>
        <w:jc w:val="both"/>
        <w:rPr>
          <w:rFonts w:asciiTheme="minorHAnsi" w:hAnsiTheme="minorHAnsi" w:cstheme="minorHAnsi"/>
        </w:rPr>
      </w:pPr>
    </w:p>
    <w:p w:rsidR="00000555" w:rsidRPr="003E32DB" w:rsidRDefault="00000555" w:rsidP="00000555">
      <w:pPr>
        <w:numPr>
          <w:ilvl w:val="0"/>
          <w:numId w:val="40"/>
        </w:numPr>
        <w:jc w:val="both"/>
        <w:rPr>
          <w:rFonts w:asciiTheme="minorHAnsi" w:hAnsiTheme="minorHAnsi" w:cstheme="minorHAnsi"/>
        </w:rPr>
      </w:pPr>
      <w:r w:rsidRPr="003E32DB">
        <w:rPr>
          <w:rFonts w:asciiTheme="minorHAnsi" w:hAnsiTheme="minorHAnsi" w:cstheme="minorHAnsi"/>
        </w:rPr>
        <w:t>Provide for and encourage citizen participation within their areas of jurisdiction with particular emphasis on participation by persons of low and moderate income</w:t>
      </w:r>
      <w:r>
        <w:rPr>
          <w:rFonts w:asciiTheme="minorHAnsi" w:hAnsiTheme="minorHAnsi" w:cstheme="minorHAnsi"/>
        </w:rPr>
        <w:t>.</w:t>
      </w:r>
    </w:p>
    <w:p w:rsidR="00000555" w:rsidRPr="003E32DB" w:rsidRDefault="00000555" w:rsidP="00000555">
      <w:pPr>
        <w:numPr>
          <w:ilvl w:val="0"/>
          <w:numId w:val="40"/>
        </w:numPr>
        <w:jc w:val="both"/>
        <w:rPr>
          <w:rFonts w:asciiTheme="minorHAnsi" w:hAnsiTheme="minorHAnsi" w:cstheme="minorHAnsi"/>
        </w:rPr>
      </w:pPr>
      <w:r w:rsidRPr="003E32DB">
        <w:rPr>
          <w:rFonts w:asciiTheme="minorHAnsi" w:hAnsiTheme="minorHAnsi" w:cstheme="minorHAnsi"/>
        </w:rPr>
        <w:t>Provide citizens with reasonable and timely access to local meetings, information, and records relating to proposed and actual use of funds</w:t>
      </w:r>
      <w:r>
        <w:rPr>
          <w:rFonts w:asciiTheme="minorHAnsi" w:hAnsiTheme="minorHAnsi" w:cstheme="minorHAnsi"/>
        </w:rPr>
        <w:t>.</w:t>
      </w:r>
    </w:p>
    <w:p w:rsidR="00000555" w:rsidRPr="003E32DB" w:rsidRDefault="00000555" w:rsidP="00000555">
      <w:pPr>
        <w:numPr>
          <w:ilvl w:val="0"/>
          <w:numId w:val="40"/>
        </w:numPr>
        <w:jc w:val="both"/>
        <w:rPr>
          <w:rFonts w:asciiTheme="minorHAnsi" w:hAnsiTheme="minorHAnsi" w:cstheme="minorHAnsi"/>
        </w:rPr>
      </w:pPr>
      <w:r w:rsidRPr="003E32DB">
        <w:rPr>
          <w:rFonts w:asciiTheme="minorHAnsi" w:hAnsiTheme="minorHAnsi" w:cstheme="minorHAnsi"/>
        </w:rPr>
        <w:t xml:space="preserve">Provide for </w:t>
      </w:r>
      <w:r>
        <w:rPr>
          <w:rFonts w:asciiTheme="minorHAnsi" w:hAnsiTheme="minorHAnsi" w:cstheme="minorHAnsi"/>
        </w:rPr>
        <w:t>TA</w:t>
      </w:r>
      <w:r w:rsidRPr="003E32DB">
        <w:rPr>
          <w:rFonts w:asciiTheme="minorHAnsi" w:hAnsiTheme="minorHAnsi" w:cstheme="minorHAnsi"/>
        </w:rPr>
        <w:t xml:space="preserve"> to groups and representatives of low and moderate income persons that request assistance in developing proposals.  The level and type of assistance is to be determined by the applicant</w:t>
      </w:r>
      <w:r>
        <w:rPr>
          <w:rFonts w:asciiTheme="minorHAnsi" w:hAnsiTheme="minorHAnsi" w:cstheme="minorHAnsi"/>
        </w:rPr>
        <w:t>.</w:t>
      </w:r>
    </w:p>
    <w:p w:rsidR="00000555" w:rsidRPr="003E32DB" w:rsidRDefault="00000555" w:rsidP="00000555">
      <w:pPr>
        <w:numPr>
          <w:ilvl w:val="0"/>
          <w:numId w:val="40"/>
        </w:numPr>
        <w:jc w:val="both"/>
        <w:rPr>
          <w:rFonts w:asciiTheme="minorHAnsi" w:hAnsiTheme="minorHAnsi" w:cstheme="minorHAnsi"/>
        </w:rPr>
      </w:pPr>
      <w:r w:rsidRPr="003E32DB">
        <w:rPr>
          <w:rFonts w:asciiTheme="minorHAnsi" w:hAnsiTheme="minorHAnsi" w:cstheme="minorHAnsi"/>
        </w:rPr>
        <w:t>Provide for public hearings to obtain citizen participation and respond to proposals and questions at all stages</w:t>
      </w:r>
      <w:r>
        <w:rPr>
          <w:rFonts w:asciiTheme="minorHAnsi" w:hAnsiTheme="minorHAnsi" w:cstheme="minorHAnsi"/>
        </w:rPr>
        <w:t>.</w:t>
      </w:r>
    </w:p>
    <w:p w:rsidR="00000555" w:rsidRPr="003E32DB" w:rsidRDefault="00000555" w:rsidP="00000555">
      <w:pPr>
        <w:jc w:val="both"/>
        <w:rPr>
          <w:rFonts w:asciiTheme="minorHAnsi" w:hAnsiTheme="minorHAnsi" w:cstheme="minorHAnsi"/>
        </w:rPr>
      </w:pPr>
    </w:p>
    <w:p w:rsidR="00000555" w:rsidRPr="00EF7AA6" w:rsidRDefault="00000555" w:rsidP="00000555">
      <w:pPr>
        <w:rPr>
          <w:rFonts w:asciiTheme="minorHAnsi" w:hAnsiTheme="minorHAnsi"/>
        </w:rPr>
      </w:pPr>
      <w:r w:rsidRPr="00EF7AA6">
        <w:rPr>
          <w:rFonts w:asciiTheme="minorHAnsi" w:hAnsiTheme="minorHAnsi"/>
        </w:rPr>
        <w:t>Prior to selecting a project and submitting an application for CDBG funding assistance, eligible applicants must conduct at least one public hearing for the following purposes:</w:t>
      </w:r>
    </w:p>
    <w:p w:rsidR="00000555" w:rsidRPr="003E32DB" w:rsidRDefault="00000555" w:rsidP="00000555"/>
    <w:p w:rsidR="00000555" w:rsidRPr="00EF7AA6" w:rsidRDefault="00000555" w:rsidP="00000555">
      <w:pPr>
        <w:pStyle w:val="ListParagraph"/>
        <w:numPr>
          <w:ilvl w:val="0"/>
          <w:numId w:val="69"/>
        </w:numPr>
        <w:rPr>
          <w:rFonts w:asciiTheme="minorHAnsi" w:hAnsiTheme="minorHAnsi"/>
          <w:sz w:val="24"/>
        </w:rPr>
      </w:pPr>
      <w:r w:rsidRPr="00EF7AA6">
        <w:rPr>
          <w:rFonts w:asciiTheme="minorHAnsi" w:hAnsiTheme="minorHAnsi"/>
          <w:sz w:val="24"/>
        </w:rPr>
        <w:t>To advise citizens of the amount of CDBG funds expected to be made available for the current fiscal year</w:t>
      </w:r>
      <w:r>
        <w:rPr>
          <w:rFonts w:asciiTheme="minorHAnsi" w:hAnsiTheme="minorHAnsi"/>
          <w:sz w:val="24"/>
        </w:rPr>
        <w:t>.</w:t>
      </w:r>
    </w:p>
    <w:p w:rsidR="00000555" w:rsidRPr="00EF7AA6" w:rsidRDefault="00000555" w:rsidP="00000555">
      <w:pPr>
        <w:pStyle w:val="ListParagraph"/>
        <w:numPr>
          <w:ilvl w:val="0"/>
          <w:numId w:val="69"/>
        </w:numPr>
        <w:rPr>
          <w:rFonts w:asciiTheme="minorHAnsi" w:hAnsiTheme="minorHAnsi"/>
          <w:sz w:val="24"/>
        </w:rPr>
      </w:pPr>
      <w:r w:rsidRPr="00EF7AA6">
        <w:rPr>
          <w:rFonts w:asciiTheme="minorHAnsi" w:hAnsiTheme="minorHAnsi"/>
          <w:sz w:val="24"/>
        </w:rPr>
        <w:t>To advise citizens of the range of activities that may be undertaken with CDBG funds</w:t>
      </w:r>
      <w:r>
        <w:rPr>
          <w:rFonts w:asciiTheme="minorHAnsi" w:hAnsiTheme="minorHAnsi"/>
          <w:sz w:val="24"/>
        </w:rPr>
        <w:t>.</w:t>
      </w:r>
    </w:p>
    <w:p w:rsidR="00000555" w:rsidRPr="003E32DB" w:rsidRDefault="00000555" w:rsidP="00000555">
      <w:pPr>
        <w:numPr>
          <w:ilvl w:val="0"/>
          <w:numId w:val="42"/>
        </w:numPr>
        <w:jc w:val="both"/>
        <w:rPr>
          <w:rFonts w:asciiTheme="minorHAnsi" w:hAnsiTheme="minorHAnsi" w:cstheme="minorHAnsi"/>
        </w:rPr>
      </w:pPr>
      <w:r w:rsidRPr="003E32DB">
        <w:rPr>
          <w:rFonts w:asciiTheme="minorHAnsi" w:hAnsiTheme="minorHAnsi" w:cstheme="minorHAnsi"/>
        </w:rPr>
        <w:t>To advise citizens of the estimated amount of CDBG funds proposed to be used for activities that will meet the national objective to benefit low and moderate income persons</w:t>
      </w:r>
      <w:r>
        <w:rPr>
          <w:rFonts w:asciiTheme="minorHAnsi" w:hAnsiTheme="minorHAnsi" w:cstheme="minorHAnsi"/>
        </w:rPr>
        <w:t>.</w:t>
      </w:r>
    </w:p>
    <w:p w:rsidR="00000555" w:rsidRPr="003E32DB" w:rsidRDefault="00000555" w:rsidP="00000555">
      <w:pPr>
        <w:numPr>
          <w:ilvl w:val="0"/>
          <w:numId w:val="42"/>
        </w:numPr>
        <w:jc w:val="both"/>
        <w:rPr>
          <w:rFonts w:asciiTheme="minorHAnsi" w:hAnsiTheme="minorHAnsi" w:cstheme="minorHAnsi"/>
        </w:rPr>
      </w:pPr>
      <w:r w:rsidRPr="003E32DB">
        <w:rPr>
          <w:rFonts w:asciiTheme="minorHAnsi" w:hAnsiTheme="minorHAnsi" w:cstheme="minorHAnsi"/>
        </w:rPr>
        <w:t>To advise citizens of the proposed CDBG activities likely to result in displacement and the unit of local government’s anti-displacement and relocations plans</w:t>
      </w:r>
      <w:r>
        <w:rPr>
          <w:rFonts w:asciiTheme="minorHAnsi" w:hAnsiTheme="minorHAnsi" w:cstheme="minorHAnsi"/>
        </w:rPr>
        <w:t>.</w:t>
      </w:r>
    </w:p>
    <w:p w:rsidR="00000555" w:rsidRPr="003E32DB" w:rsidRDefault="00000555" w:rsidP="00000555">
      <w:pPr>
        <w:numPr>
          <w:ilvl w:val="0"/>
          <w:numId w:val="42"/>
        </w:numPr>
        <w:jc w:val="both"/>
        <w:rPr>
          <w:rFonts w:asciiTheme="minorHAnsi" w:hAnsiTheme="minorHAnsi" w:cstheme="minorHAnsi"/>
        </w:rPr>
      </w:pPr>
      <w:r w:rsidRPr="003E32DB">
        <w:rPr>
          <w:rFonts w:asciiTheme="minorHAnsi" w:hAnsiTheme="minorHAnsi" w:cstheme="minorHAnsi"/>
        </w:rPr>
        <w:t>To obtain recommendations from citizens regarding the community development and housing needs of the community</w:t>
      </w:r>
      <w:r>
        <w:rPr>
          <w:rFonts w:asciiTheme="minorHAnsi" w:hAnsiTheme="minorHAnsi" w:cstheme="minorHAnsi"/>
        </w:rPr>
        <w:t>.</w:t>
      </w:r>
    </w:p>
    <w:p w:rsidR="00000555" w:rsidRPr="00EF7AA6" w:rsidRDefault="00000555" w:rsidP="00000555">
      <w:pPr>
        <w:pStyle w:val="ListParagraph"/>
        <w:widowControl/>
        <w:numPr>
          <w:ilvl w:val="1"/>
          <w:numId w:val="43"/>
        </w:numPr>
        <w:autoSpaceDE/>
        <w:autoSpaceDN/>
        <w:adjustRightInd/>
        <w:contextualSpacing/>
        <w:jc w:val="both"/>
        <w:rPr>
          <w:rFonts w:asciiTheme="minorHAnsi" w:hAnsiTheme="minorHAnsi" w:cstheme="minorHAnsi"/>
          <w:sz w:val="24"/>
        </w:rPr>
      </w:pPr>
      <w:r w:rsidRPr="00EF7AA6">
        <w:rPr>
          <w:rFonts w:asciiTheme="minorHAnsi" w:hAnsiTheme="minorHAnsi" w:cstheme="minorHAnsi"/>
          <w:sz w:val="24"/>
        </w:rPr>
        <w:t>After considering all recommendations and input provided at the public hearing(s), the county commission or city/town/village council must select one project for which to submit an application for funding assistance at an official public meeting</w:t>
      </w:r>
      <w:r>
        <w:rPr>
          <w:rFonts w:asciiTheme="minorHAnsi" w:hAnsiTheme="minorHAnsi" w:cstheme="minorHAnsi"/>
          <w:sz w:val="24"/>
        </w:rPr>
        <w:t>.</w:t>
      </w:r>
    </w:p>
    <w:p w:rsidR="00000555" w:rsidRPr="00EF7AA6" w:rsidRDefault="00000555" w:rsidP="00000555">
      <w:pPr>
        <w:pStyle w:val="ListParagraph"/>
        <w:widowControl/>
        <w:numPr>
          <w:ilvl w:val="1"/>
          <w:numId w:val="43"/>
        </w:numPr>
        <w:autoSpaceDE/>
        <w:autoSpaceDN/>
        <w:adjustRightInd/>
        <w:contextualSpacing/>
        <w:jc w:val="both"/>
        <w:rPr>
          <w:rFonts w:asciiTheme="minorHAnsi" w:hAnsiTheme="minorHAnsi" w:cstheme="minorHAnsi"/>
          <w:sz w:val="24"/>
        </w:rPr>
      </w:pPr>
      <w:r w:rsidRPr="00EF7AA6">
        <w:rPr>
          <w:rFonts w:asciiTheme="minorHAnsi" w:hAnsiTheme="minorHAnsi" w:cstheme="minorHAnsi"/>
          <w:sz w:val="24"/>
        </w:rPr>
        <w:t>The applicant must conduct a second public hearing to review program performance, past use of funds and make available to the public its community development and housing needs including the needs of low and moderate income families and the activities to be undertaken to meet such needs</w:t>
      </w:r>
      <w:r>
        <w:rPr>
          <w:rFonts w:asciiTheme="minorHAnsi" w:hAnsiTheme="minorHAnsi" w:cstheme="minorHAnsi"/>
          <w:sz w:val="24"/>
        </w:rPr>
        <w:t>.</w:t>
      </w:r>
    </w:p>
    <w:p w:rsidR="00000555" w:rsidRPr="00EF7AA6" w:rsidRDefault="00000555" w:rsidP="00000555">
      <w:pPr>
        <w:pStyle w:val="ListParagraph"/>
        <w:widowControl/>
        <w:numPr>
          <w:ilvl w:val="1"/>
          <w:numId w:val="43"/>
        </w:numPr>
        <w:autoSpaceDE/>
        <w:autoSpaceDN/>
        <w:adjustRightInd/>
        <w:contextualSpacing/>
        <w:jc w:val="both"/>
        <w:rPr>
          <w:rFonts w:asciiTheme="minorHAnsi" w:hAnsiTheme="minorHAnsi" w:cstheme="minorHAnsi"/>
          <w:sz w:val="24"/>
        </w:rPr>
      </w:pPr>
      <w:r w:rsidRPr="00EF7AA6">
        <w:rPr>
          <w:rFonts w:asciiTheme="minorHAnsi" w:hAnsiTheme="minorHAnsi" w:cstheme="minorHAnsi"/>
          <w:sz w:val="24"/>
        </w:rPr>
        <w:t>Public hearing notices must be published in the non-legal section of newspapers or posted in a minimum of three prominent places within the project area with reasonable time and public access</w:t>
      </w:r>
      <w:r>
        <w:rPr>
          <w:rFonts w:asciiTheme="minorHAnsi" w:hAnsiTheme="minorHAnsi" w:cstheme="minorHAnsi"/>
          <w:sz w:val="24"/>
        </w:rPr>
        <w:t>.</w:t>
      </w:r>
    </w:p>
    <w:p w:rsidR="00000555" w:rsidRPr="00EF7AA6" w:rsidRDefault="00000555" w:rsidP="00000555">
      <w:pPr>
        <w:pStyle w:val="ListParagraph"/>
        <w:widowControl/>
        <w:numPr>
          <w:ilvl w:val="1"/>
          <w:numId w:val="43"/>
        </w:numPr>
        <w:autoSpaceDE/>
        <w:autoSpaceDN/>
        <w:adjustRightInd/>
        <w:contextualSpacing/>
        <w:jc w:val="both"/>
        <w:rPr>
          <w:rFonts w:asciiTheme="minorHAnsi" w:hAnsiTheme="minorHAnsi" w:cstheme="minorHAnsi"/>
          <w:sz w:val="24"/>
        </w:rPr>
      </w:pPr>
      <w:r w:rsidRPr="00EF7AA6">
        <w:rPr>
          <w:rFonts w:asciiTheme="minorHAnsi" w:hAnsiTheme="minorHAnsi" w:cstheme="minorHAnsi"/>
          <w:sz w:val="24"/>
        </w:rPr>
        <w:t>Evidence of compliance with these regulations must be provided with each application, i.e. hearing notice, minutes of these meetings, list of needs, and activities to be undertaken</w:t>
      </w:r>
      <w:r>
        <w:rPr>
          <w:rFonts w:asciiTheme="minorHAnsi" w:hAnsiTheme="minorHAnsi" w:cstheme="minorHAnsi"/>
          <w:sz w:val="24"/>
        </w:rPr>
        <w:t>.</w:t>
      </w:r>
    </w:p>
    <w:p w:rsidR="00000555" w:rsidRPr="00EF7AA6" w:rsidRDefault="00000555" w:rsidP="00000555">
      <w:pPr>
        <w:pStyle w:val="ListParagraph"/>
        <w:widowControl/>
        <w:numPr>
          <w:ilvl w:val="1"/>
          <w:numId w:val="43"/>
        </w:numPr>
        <w:autoSpaceDE/>
        <w:autoSpaceDN/>
        <w:adjustRightInd/>
        <w:contextualSpacing/>
        <w:jc w:val="both"/>
        <w:rPr>
          <w:rFonts w:asciiTheme="minorHAnsi" w:hAnsiTheme="minorHAnsi" w:cstheme="minorHAnsi"/>
          <w:sz w:val="24"/>
        </w:rPr>
      </w:pPr>
      <w:r w:rsidRPr="00EF7AA6">
        <w:rPr>
          <w:rFonts w:asciiTheme="minorHAnsi" w:hAnsiTheme="minorHAnsi" w:cstheme="minorHAnsi"/>
          <w:sz w:val="24"/>
        </w:rPr>
        <w:t>Amendments to goals, objectives, and applications are also subject to public participation</w:t>
      </w:r>
      <w:r>
        <w:rPr>
          <w:rFonts w:asciiTheme="minorHAnsi" w:hAnsiTheme="minorHAnsi" w:cstheme="minorHAnsi"/>
          <w:sz w:val="24"/>
        </w:rPr>
        <w:t>.</w:t>
      </w:r>
    </w:p>
    <w:p w:rsidR="00000555" w:rsidRPr="00EF7AA6" w:rsidRDefault="00000555" w:rsidP="00000555">
      <w:pPr>
        <w:numPr>
          <w:ilvl w:val="0"/>
          <w:numId w:val="42"/>
        </w:numPr>
        <w:jc w:val="both"/>
        <w:rPr>
          <w:rFonts w:asciiTheme="minorHAnsi" w:hAnsiTheme="minorHAnsi" w:cstheme="minorHAnsi"/>
        </w:rPr>
      </w:pPr>
      <w:r w:rsidRPr="00EF7AA6">
        <w:rPr>
          <w:rFonts w:asciiTheme="minorHAnsi" w:hAnsiTheme="minorHAnsi" w:cstheme="minorHAnsi"/>
        </w:rPr>
        <w:t>Provide for timely written answers to written complaint and grievances within 15 working days where practicable</w:t>
      </w:r>
      <w:r>
        <w:rPr>
          <w:rFonts w:asciiTheme="minorHAnsi" w:hAnsiTheme="minorHAnsi" w:cstheme="minorHAnsi"/>
        </w:rPr>
        <w:t>.</w:t>
      </w:r>
    </w:p>
    <w:p w:rsidR="00000555" w:rsidRPr="003E32DB" w:rsidRDefault="00000555" w:rsidP="00000555">
      <w:pPr>
        <w:numPr>
          <w:ilvl w:val="0"/>
          <w:numId w:val="42"/>
        </w:numPr>
        <w:jc w:val="both"/>
        <w:rPr>
          <w:rFonts w:asciiTheme="minorHAnsi" w:hAnsiTheme="minorHAnsi" w:cstheme="minorHAnsi"/>
        </w:rPr>
      </w:pPr>
      <w:r w:rsidRPr="00EF7AA6">
        <w:rPr>
          <w:rFonts w:asciiTheme="minorHAnsi" w:hAnsiTheme="minorHAnsi" w:cstheme="minorHAnsi"/>
        </w:rPr>
        <w:t>Identify how needs of non-English speaking residents will be met in the case of public hearings where a significant number of residents can be reasonably expe</w:t>
      </w:r>
      <w:r w:rsidRPr="003E32DB">
        <w:rPr>
          <w:rFonts w:asciiTheme="minorHAnsi" w:hAnsiTheme="minorHAnsi" w:cstheme="minorHAnsi"/>
        </w:rPr>
        <w:t>cted to participate</w:t>
      </w:r>
      <w:r>
        <w:rPr>
          <w:rFonts w:asciiTheme="minorHAnsi" w:hAnsiTheme="minorHAnsi" w:cstheme="minorHAnsi"/>
        </w:rPr>
        <w:t>.</w:t>
      </w:r>
    </w:p>
    <w:p w:rsidR="00000555" w:rsidRPr="003E32DB" w:rsidRDefault="00000555" w:rsidP="00000555">
      <w:pPr>
        <w:jc w:val="both"/>
        <w:rPr>
          <w:rFonts w:asciiTheme="minorHAnsi" w:hAnsiTheme="minorHAnsi" w:cstheme="minorHAnsi"/>
        </w:rPr>
      </w:pPr>
    </w:p>
    <w:p w:rsidR="00000555" w:rsidRPr="003E32DB" w:rsidRDefault="00000555" w:rsidP="00000555">
      <w:pPr>
        <w:jc w:val="both"/>
        <w:rPr>
          <w:rFonts w:asciiTheme="minorHAnsi" w:hAnsiTheme="minorHAnsi"/>
          <w:b/>
        </w:rPr>
      </w:pPr>
      <w:r w:rsidRPr="003E32DB">
        <w:rPr>
          <w:rFonts w:asciiTheme="minorHAnsi" w:hAnsiTheme="minorHAnsi"/>
          <w:b/>
        </w:rPr>
        <w:t>Publication of Consolidated Plan Documents</w:t>
      </w:r>
    </w:p>
    <w:p w:rsidR="00000555" w:rsidRPr="003E32DB" w:rsidRDefault="00000555" w:rsidP="00000555">
      <w:pPr>
        <w:jc w:val="both"/>
        <w:rPr>
          <w:rFonts w:asciiTheme="minorHAnsi" w:hAnsiTheme="minorHAnsi" w:cstheme="minorHAnsi"/>
        </w:rPr>
      </w:pPr>
    </w:p>
    <w:p w:rsidR="00000555" w:rsidRPr="003E32DB" w:rsidRDefault="00000555" w:rsidP="00000555">
      <w:pPr>
        <w:jc w:val="both"/>
        <w:rPr>
          <w:rFonts w:asciiTheme="minorHAnsi" w:hAnsiTheme="minorHAnsi" w:cstheme="minorHAnsi"/>
        </w:rPr>
      </w:pPr>
      <w:r>
        <w:rPr>
          <w:rFonts w:asciiTheme="minorHAnsi" w:hAnsiTheme="minorHAnsi" w:cstheme="minorHAnsi"/>
        </w:rPr>
        <w:t>MFA</w:t>
      </w:r>
      <w:r w:rsidRPr="003E32DB">
        <w:rPr>
          <w:rFonts w:asciiTheme="minorHAnsi" w:hAnsiTheme="minorHAnsi" w:cstheme="minorHAnsi"/>
        </w:rPr>
        <w:t xml:space="preserve"> will publish the draft Consolidated Plan or Annual Action Plan for public review in a manner that affords citizens, public agencies and other interested parties a reasonable opportunity to examine its contents and submit comments. The Draft Plan will be a complete document and shall include:</w:t>
      </w:r>
    </w:p>
    <w:p w:rsidR="00000555" w:rsidRPr="003E32DB" w:rsidRDefault="00000555" w:rsidP="00000555">
      <w:pPr>
        <w:jc w:val="both"/>
        <w:rPr>
          <w:rFonts w:asciiTheme="minorHAnsi" w:hAnsiTheme="minorHAnsi" w:cstheme="minorHAnsi"/>
        </w:rPr>
      </w:pPr>
    </w:p>
    <w:p w:rsidR="00000555" w:rsidRPr="00EF7AA6" w:rsidRDefault="00000555" w:rsidP="00000555">
      <w:pPr>
        <w:pStyle w:val="ListParagraph"/>
        <w:widowControl/>
        <w:numPr>
          <w:ilvl w:val="0"/>
          <w:numId w:val="44"/>
        </w:numPr>
        <w:tabs>
          <w:tab w:val="num" w:pos="360"/>
        </w:tabs>
        <w:autoSpaceDE/>
        <w:autoSpaceDN/>
        <w:adjustRightInd/>
        <w:ind w:left="720"/>
        <w:contextualSpacing/>
        <w:jc w:val="both"/>
        <w:rPr>
          <w:rFonts w:asciiTheme="minorHAnsi" w:hAnsiTheme="minorHAnsi" w:cstheme="minorHAnsi"/>
          <w:sz w:val="24"/>
        </w:rPr>
      </w:pPr>
      <w:r w:rsidRPr="00EF7AA6">
        <w:rPr>
          <w:rFonts w:asciiTheme="minorHAnsi" w:hAnsiTheme="minorHAnsi" w:cstheme="minorHAnsi"/>
          <w:sz w:val="24"/>
        </w:rPr>
        <w:t xml:space="preserve">The amount of assistance the state agencies expect to receive and, </w:t>
      </w:r>
    </w:p>
    <w:p w:rsidR="00000555" w:rsidRPr="00EF7AA6" w:rsidRDefault="00000555" w:rsidP="00000555">
      <w:pPr>
        <w:pStyle w:val="ListParagraph"/>
        <w:widowControl/>
        <w:numPr>
          <w:ilvl w:val="0"/>
          <w:numId w:val="44"/>
        </w:numPr>
        <w:tabs>
          <w:tab w:val="num" w:pos="360"/>
        </w:tabs>
        <w:autoSpaceDE/>
        <w:autoSpaceDN/>
        <w:adjustRightInd/>
        <w:ind w:left="720"/>
        <w:contextualSpacing/>
        <w:jc w:val="both"/>
        <w:rPr>
          <w:rFonts w:asciiTheme="minorHAnsi" w:hAnsiTheme="minorHAnsi" w:cstheme="minorHAnsi"/>
          <w:sz w:val="24"/>
        </w:rPr>
      </w:pPr>
      <w:r w:rsidRPr="00EF7AA6">
        <w:rPr>
          <w:rFonts w:asciiTheme="minorHAnsi" w:hAnsiTheme="minorHAnsi" w:cstheme="minorHAnsi"/>
          <w:sz w:val="24"/>
        </w:rPr>
        <w:t>The range of activities that may be undertaken, including the estimated amount that will benefit persons of low and moderate income.</w:t>
      </w:r>
    </w:p>
    <w:p w:rsidR="00000555" w:rsidRPr="00EF7AA6" w:rsidRDefault="00000555" w:rsidP="00000555">
      <w:pPr>
        <w:jc w:val="both"/>
        <w:rPr>
          <w:rFonts w:asciiTheme="minorHAnsi" w:hAnsiTheme="minorHAnsi" w:cstheme="minorHAnsi"/>
        </w:rPr>
      </w:pPr>
    </w:p>
    <w:p w:rsidR="00000555" w:rsidRPr="003E32DB" w:rsidRDefault="00000555" w:rsidP="00000555">
      <w:pPr>
        <w:jc w:val="both"/>
        <w:rPr>
          <w:rFonts w:asciiTheme="minorHAnsi" w:hAnsiTheme="minorHAnsi" w:cstheme="minorHAnsi"/>
        </w:rPr>
      </w:pPr>
      <w:r w:rsidRPr="003E32DB">
        <w:rPr>
          <w:rFonts w:asciiTheme="minorHAnsi" w:hAnsiTheme="minorHAnsi" w:cstheme="minorHAnsi"/>
        </w:rPr>
        <w:t>A notice for the release of the Draft Plan will be published in several newspapers of general circulation at the beginning of the public comment period.  The release will include a list of the locations where copies of the entire proposed Consolidated Plan may be obtained or examined. The following are among the locations where copies of the public comment draft will be made available for inspection:</w:t>
      </w:r>
    </w:p>
    <w:p w:rsidR="00000555" w:rsidRPr="003E32DB" w:rsidRDefault="00000555" w:rsidP="00000555">
      <w:pPr>
        <w:jc w:val="both"/>
        <w:rPr>
          <w:rFonts w:asciiTheme="minorHAnsi" w:hAnsiTheme="minorHAnsi" w:cstheme="minorHAnsi"/>
        </w:rPr>
      </w:pPr>
    </w:p>
    <w:p w:rsidR="00000555" w:rsidRPr="003E32DB" w:rsidRDefault="00000555" w:rsidP="00000555">
      <w:pPr>
        <w:numPr>
          <w:ilvl w:val="0"/>
          <w:numId w:val="20"/>
        </w:numPr>
        <w:ind w:left="720"/>
        <w:jc w:val="both"/>
        <w:rPr>
          <w:rFonts w:asciiTheme="minorHAnsi" w:hAnsiTheme="minorHAnsi" w:cstheme="minorHAnsi"/>
        </w:rPr>
      </w:pPr>
      <w:r>
        <w:rPr>
          <w:rFonts w:asciiTheme="minorHAnsi" w:hAnsiTheme="minorHAnsi" w:cstheme="minorHAnsi"/>
        </w:rPr>
        <w:t>MFA and DFA offices</w:t>
      </w:r>
    </w:p>
    <w:p w:rsidR="00000555" w:rsidRPr="003E32DB" w:rsidRDefault="00000555" w:rsidP="00000555">
      <w:pPr>
        <w:numPr>
          <w:ilvl w:val="0"/>
          <w:numId w:val="20"/>
        </w:numPr>
        <w:ind w:left="720"/>
        <w:jc w:val="both"/>
        <w:rPr>
          <w:rFonts w:asciiTheme="minorHAnsi" w:hAnsiTheme="minorHAnsi" w:cstheme="minorHAnsi"/>
        </w:rPr>
      </w:pPr>
      <w:r w:rsidRPr="003E32DB">
        <w:rPr>
          <w:rFonts w:asciiTheme="minorHAnsi" w:hAnsiTheme="minorHAnsi" w:cstheme="minorHAnsi"/>
        </w:rPr>
        <w:t>MFA website www.housingnm.org</w:t>
      </w:r>
    </w:p>
    <w:p w:rsidR="00000555" w:rsidRPr="003E32DB" w:rsidRDefault="00000555" w:rsidP="00000555">
      <w:pPr>
        <w:numPr>
          <w:ilvl w:val="0"/>
          <w:numId w:val="20"/>
        </w:numPr>
        <w:ind w:left="720"/>
        <w:jc w:val="both"/>
        <w:rPr>
          <w:rFonts w:asciiTheme="minorHAnsi" w:hAnsiTheme="minorHAnsi" w:cstheme="minorHAnsi"/>
        </w:rPr>
      </w:pPr>
      <w:r w:rsidRPr="003E32DB">
        <w:rPr>
          <w:rFonts w:asciiTheme="minorHAnsi" w:hAnsiTheme="minorHAnsi" w:cstheme="minorHAnsi"/>
        </w:rPr>
        <w:t xml:space="preserve">DFA website </w:t>
      </w:r>
      <w:r>
        <w:rPr>
          <w:rFonts w:asciiTheme="minorHAnsi" w:hAnsiTheme="minorHAnsi" w:cstheme="minorHAnsi"/>
        </w:rPr>
        <w:t>http://nmdfa.state.nm.us/Local_Government.aspx</w:t>
      </w:r>
    </w:p>
    <w:p w:rsidR="00000555" w:rsidRPr="003E32DB" w:rsidRDefault="00000555" w:rsidP="00000555">
      <w:pPr>
        <w:ind w:left="720" w:hanging="360"/>
        <w:jc w:val="both"/>
        <w:rPr>
          <w:rFonts w:asciiTheme="minorHAnsi" w:hAnsiTheme="minorHAnsi" w:cstheme="minorHAnsi"/>
        </w:rPr>
      </w:pPr>
    </w:p>
    <w:p w:rsidR="00000555" w:rsidRPr="003E32DB" w:rsidRDefault="00000555" w:rsidP="00000555">
      <w:pPr>
        <w:jc w:val="both"/>
        <w:rPr>
          <w:rFonts w:asciiTheme="minorHAnsi" w:hAnsiTheme="minorHAnsi" w:cstheme="minorHAnsi"/>
        </w:rPr>
      </w:pPr>
      <w:r w:rsidRPr="003E32DB">
        <w:rPr>
          <w:rFonts w:asciiTheme="minorHAnsi" w:hAnsiTheme="minorHAnsi" w:cstheme="minorHAnsi"/>
        </w:rPr>
        <w:t xml:space="preserve">Citizens and groups may obtain a reasonable number of free copies of the proposed Consolidated Plan by contacting </w:t>
      </w:r>
      <w:r>
        <w:rPr>
          <w:rFonts w:asciiTheme="minorHAnsi" w:hAnsiTheme="minorHAnsi" w:cstheme="minorHAnsi"/>
        </w:rPr>
        <w:t>MFA</w:t>
      </w:r>
      <w:r w:rsidRPr="003E32DB">
        <w:rPr>
          <w:rFonts w:asciiTheme="minorHAnsi" w:hAnsiTheme="minorHAnsi" w:cstheme="minorHAnsi"/>
        </w:rPr>
        <w:t xml:space="preserve"> at 505-843-6880, or 1-800-444-6880 statewide toll free, or the document may be downloaded from </w:t>
      </w:r>
      <w:r>
        <w:rPr>
          <w:rFonts w:asciiTheme="minorHAnsi" w:hAnsiTheme="minorHAnsi" w:cstheme="minorHAnsi"/>
        </w:rPr>
        <w:t>MFA</w:t>
      </w:r>
      <w:r w:rsidRPr="003E32DB">
        <w:rPr>
          <w:rFonts w:asciiTheme="minorHAnsi" w:hAnsiTheme="minorHAnsi" w:cstheme="minorHAnsi"/>
        </w:rPr>
        <w:t xml:space="preserve"> website, located at </w:t>
      </w:r>
      <w:hyperlink r:id="rId62" w:history="1">
        <w:r w:rsidRPr="003E32DB">
          <w:rPr>
            <w:rFonts w:asciiTheme="minorHAnsi" w:hAnsiTheme="minorHAnsi" w:cstheme="minorHAnsi"/>
            <w:color w:val="0000FF"/>
            <w:u w:val="single"/>
          </w:rPr>
          <w:t>http://www.housingnm.org</w:t>
        </w:r>
      </w:hyperlink>
      <w:r w:rsidRPr="003E32DB">
        <w:rPr>
          <w:rFonts w:asciiTheme="minorHAnsi" w:hAnsiTheme="minorHAnsi" w:cstheme="minorHAnsi"/>
          <w:color w:val="0000FF"/>
          <w:u w:val="single"/>
        </w:rPr>
        <w:t>/publications</w:t>
      </w:r>
      <w:r w:rsidRPr="003E32DB">
        <w:rPr>
          <w:rFonts w:asciiTheme="minorHAnsi" w:hAnsiTheme="minorHAnsi" w:cstheme="minorHAnsi"/>
        </w:rPr>
        <w:t xml:space="preserve">.  </w:t>
      </w:r>
    </w:p>
    <w:p w:rsidR="00000555" w:rsidRPr="003E32DB" w:rsidRDefault="00000555" w:rsidP="00000555">
      <w:pPr>
        <w:jc w:val="both"/>
        <w:rPr>
          <w:rFonts w:asciiTheme="minorHAnsi" w:hAnsiTheme="minorHAnsi" w:cstheme="minorHAnsi"/>
        </w:rPr>
      </w:pPr>
    </w:p>
    <w:p w:rsidR="00000555" w:rsidRPr="003E32DB" w:rsidRDefault="00000555" w:rsidP="00000555">
      <w:pPr>
        <w:jc w:val="both"/>
        <w:rPr>
          <w:rFonts w:asciiTheme="minorHAnsi" w:hAnsiTheme="minorHAnsi"/>
          <w:b/>
        </w:rPr>
      </w:pPr>
      <w:r w:rsidRPr="003E32DB">
        <w:rPr>
          <w:rFonts w:asciiTheme="minorHAnsi" w:hAnsiTheme="minorHAnsi"/>
          <w:b/>
        </w:rPr>
        <w:t>Public Comments on the Draft Consolidated Plan and Annual Action Plans</w:t>
      </w:r>
    </w:p>
    <w:p w:rsidR="00000555" w:rsidRPr="003E32DB" w:rsidRDefault="00000555" w:rsidP="00000555">
      <w:pPr>
        <w:jc w:val="both"/>
        <w:rPr>
          <w:rFonts w:asciiTheme="minorHAnsi" w:hAnsiTheme="minorHAnsi" w:cstheme="minorHAnsi"/>
        </w:rPr>
      </w:pPr>
    </w:p>
    <w:p w:rsidR="00000555" w:rsidRPr="003E32DB" w:rsidRDefault="00000555" w:rsidP="00000555">
      <w:pPr>
        <w:jc w:val="both"/>
        <w:rPr>
          <w:rFonts w:asciiTheme="minorHAnsi" w:hAnsiTheme="minorHAnsi" w:cstheme="minorHAnsi"/>
        </w:rPr>
      </w:pPr>
      <w:r>
        <w:rPr>
          <w:rFonts w:asciiTheme="minorHAnsi" w:hAnsiTheme="minorHAnsi" w:cstheme="minorHAnsi"/>
        </w:rPr>
        <w:t>MFA</w:t>
      </w:r>
      <w:r w:rsidRPr="003E32DB">
        <w:rPr>
          <w:rFonts w:asciiTheme="minorHAnsi" w:hAnsiTheme="minorHAnsi" w:cstheme="minorHAnsi"/>
        </w:rPr>
        <w:t>, as lead agency, will receive comments from citizens on its draft plan for a period not less than 30 days prior to submission of the Consolidated Plan or Annual Action Plans to HUD. The drafts will be scheduled for release in early fall of each year.</w:t>
      </w:r>
    </w:p>
    <w:p w:rsidR="00000555" w:rsidRPr="003E32DB" w:rsidRDefault="00000555" w:rsidP="00000555">
      <w:pPr>
        <w:jc w:val="both"/>
        <w:rPr>
          <w:rFonts w:asciiTheme="minorHAnsi" w:hAnsiTheme="minorHAnsi" w:cstheme="minorHAnsi"/>
        </w:rPr>
      </w:pPr>
    </w:p>
    <w:p w:rsidR="00000555" w:rsidRPr="003E32DB" w:rsidRDefault="00000555" w:rsidP="00000555">
      <w:pPr>
        <w:jc w:val="both"/>
        <w:rPr>
          <w:rFonts w:asciiTheme="minorHAnsi" w:hAnsiTheme="minorHAnsi" w:cstheme="minorHAnsi"/>
        </w:rPr>
      </w:pPr>
      <w:r w:rsidRPr="003E32DB">
        <w:rPr>
          <w:rFonts w:asciiTheme="minorHAnsi" w:hAnsiTheme="minorHAnsi" w:cstheme="minorHAnsi"/>
        </w:rPr>
        <w:t>All comments or views of citizens received in writing during the 30-day comment period will be considered in preparing the final Consolidated Plan or Annual Action Plan.</w:t>
      </w:r>
      <w:r>
        <w:rPr>
          <w:rFonts w:asciiTheme="minorHAnsi" w:hAnsiTheme="minorHAnsi" w:cstheme="minorHAnsi"/>
        </w:rPr>
        <w:t xml:space="preserve"> </w:t>
      </w:r>
      <w:r w:rsidRPr="003E32DB">
        <w:rPr>
          <w:rFonts w:asciiTheme="minorHAnsi" w:hAnsiTheme="minorHAnsi" w:cstheme="minorHAnsi"/>
        </w:rPr>
        <w:t xml:space="preserve"> A summary of these comments or views and a summary of any comments or views not accepted and the reasons therefore shall be attached to the final Consolidated Plan</w:t>
      </w:r>
      <w:r w:rsidRPr="003E32DB">
        <w:rPr>
          <w:rFonts w:asciiTheme="minorHAnsi" w:hAnsiTheme="minorHAnsi"/>
        </w:rPr>
        <w:t xml:space="preserve"> </w:t>
      </w:r>
      <w:r w:rsidRPr="003E32DB">
        <w:rPr>
          <w:rFonts w:asciiTheme="minorHAnsi" w:hAnsiTheme="minorHAnsi" w:cstheme="minorHAnsi"/>
        </w:rPr>
        <w:t>or Annual Action Plan.</w:t>
      </w:r>
    </w:p>
    <w:p w:rsidR="00000555" w:rsidRPr="003E32DB" w:rsidRDefault="00000555" w:rsidP="00000555">
      <w:pPr>
        <w:jc w:val="both"/>
        <w:rPr>
          <w:rFonts w:asciiTheme="minorHAnsi" w:hAnsiTheme="minorHAnsi" w:cstheme="minorHAnsi"/>
        </w:rPr>
      </w:pPr>
    </w:p>
    <w:p w:rsidR="00000555" w:rsidRPr="003E32DB" w:rsidRDefault="00000555" w:rsidP="00000555">
      <w:pPr>
        <w:rPr>
          <w:rFonts w:asciiTheme="minorHAnsi" w:hAnsiTheme="minorHAnsi" w:cstheme="minorHAnsi"/>
          <w:b/>
        </w:rPr>
      </w:pPr>
      <w:r w:rsidRPr="003E32DB">
        <w:rPr>
          <w:rFonts w:asciiTheme="minorHAnsi" w:hAnsiTheme="minorHAnsi" w:cstheme="minorHAnsi"/>
          <w:b/>
        </w:rPr>
        <w:t>Public Notice and Outreach</w:t>
      </w:r>
    </w:p>
    <w:p w:rsidR="00000555" w:rsidRPr="003E32DB" w:rsidRDefault="00000555" w:rsidP="00000555">
      <w:pPr>
        <w:rPr>
          <w:rFonts w:asciiTheme="minorHAnsi" w:hAnsiTheme="minorHAnsi" w:cstheme="minorHAnsi"/>
          <w:b/>
        </w:rPr>
      </w:pPr>
    </w:p>
    <w:p w:rsidR="00000555" w:rsidRPr="003E32DB" w:rsidRDefault="00000555" w:rsidP="00000555">
      <w:pPr>
        <w:jc w:val="both"/>
        <w:rPr>
          <w:rFonts w:asciiTheme="minorHAnsi" w:hAnsiTheme="minorHAnsi" w:cstheme="minorHAnsi"/>
        </w:rPr>
      </w:pPr>
      <w:r w:rsidRPr="003E32DB">
        <w:rPr>
          <w:rFonts w:asciiTheme="minorHAnsi" w:hAnsiTheme="minorHAnsi" w:cstheme="minorHAnsi"/>
        </w:rPr>
        <w:t xml:space="preserve">An informed citizenry is critical to effective and responsive housing and community development programs. </w:t>
      </w:r>
      <w:r>
        <w:rPr>
          <w:rFonts w:asciiTheme="minorHAnsi" w:hAnsiTheme="minorHAnsi" w:cstheme="minorHAnsi"/>
        </w:rPr>
        <w:t xml:space="preserve"> </w:t>
      </w:r>
      <w:r w:rsidRPr="003E32DB">
        <w:rPr>
          <w:rFonts w:asciiTheme="minorHAnsi" w:hAnsiTheme="minorHAnsi" w:cstheme="minorHAnsi"/>
        </w:rPr>
        <w:t>Efforts to educate residents and empower their participation are an ongoing element of the consolidated planning process.</w:t>
      </w:r>
    </w:p>
    <w:p w:rsidR="00000555" w:rsidRPr="003E32DB" w:rsidRDefault="00000555" w:rsidP="00000555">
      <w:pPr>
        <w:jc w:val="both"/>
        <w:rPr>
          <w:rFonts w:asciiTheme="minorHAnsi" w:hAnsiTheme="minorHAnsi" w:cstheme="minorHAnsi"/>
        </w:rPr>
      </w:pPr>
    </w:p>
    <w:p w:rsidR="00000555" w:rsidRPr="003E32DB" w:rsidRDefault="00000555" w:rsidP="00000555">
      <w:pPr>
        <w:jc w:val="both"/>
        <w:rPr>
          <w:rFonts w:asciiTheme="minorHAnsi" w:hAnsiTheme="minorHAnsi" w:cstheme="minorHAnsi"/>
        </w:rPr>
      </w:pPr>
      <w:r w:rsidRPr="003E32DB">
        <w:rPr>
          <w:rFonts w:asciiTheme="minorHAnsi" w:hAnsiTheme="minorHAnsi" w:cstheme="minorHAnsi"/>
        </w:rPr>
        <w:t xml:space="preserve">As the fundamental means of notifying interested citizens about the Consolidated Plan and related activities, such as the Annual Action Plan or the Consolidated Annual Performance and Evaluation Report, </w:t>
      </w:r>
      <w:r>
        <w:rPr>
          <w:rFonts w:asciiTheme="minorHAnsi" w:hAnsiTheme="minorHAnsi" w:cstheme="minorHAnsi"/>
        </w:rPr>
        <w:t>MFA</w:t>
      </w:r>
      <w:r w:rsidRPr="003E32DB">
        <w:rPr>
          <w:rFonts w:asciiTheme="minorHAnsi" w:hAnsiTheme="minorHAnsi" w:cstheme="minorHAnsi"/>
        </w:rPr>
        <w:t xml:space="preserve"> will publish public notices in newspapers of general circulation and on both MFA and DFA web pages.  Such notices will be published at least 14 calendar days prior to public hearings. All notices will be written in plain, simple language in English and Spanish and direct efforts will be undertaken to publish and/or post information at locations that will elicit maximum low and moderate income and minority participation.</w:t>
      </w:r>
    </w:p>
    <w:p w:rsidR="00000555" w:rsidRPr="003E32DB" w:rsidRDefault="00000555" w:rsidP="00000555">
      <w:pPr>
        <w:jc w:val="both"/>
        <w:rPr>
          <w:rFonts w:asciiTheme="minorHAnsi" w:hAnsiTheme="minorHAnsi" w:cstheme="minorHAnsi"/>
        </w:rPr>
      </w:pPr>
    </w:p>
    <w:p w:rsidR="00000555" w:rsidRPr="003E32DB" w:rsidRDefault="00000555" w:rsidP="00000555">
      <w:pPr>
        <w:jc w:val="both"/>
        <w:rPr>
          <w:rFonts w:asciiTheme="minorHAnsi" w:hAnsiTheme="minorHAnsi" w:cstheme="minorHAnsi"/>
        </w:rPr>
      </w:pPr>
      <w:r w:rsidRPr="003E32DB">
        <w:rPr>
          <w:rFonts w:asciiTheme="minorHAnsi" w:hAnsiTheme="minorHAnsi" w:cstheme="minorHAnsi"/>
        </w:rPr>
        <w:t xml:space="preserve">Public education and outreach will be facilitated through the use of public advertisements that describe the consolidated planning process, opportunities for citizen participation and available funding through the CDBG, ESG, HOME and HOPWA programs. The Consolidated Plan mailing list will likely include social service organizations, local jurisdictions, low income housing consumers, neighborhood groups, previous participants and commentators, and others expected to desire input on the Plan. This list is updated periodically and is available for inspection at </w:t>
      </w:r>
      <w:r>
        <w:rPr>
          <w:rFonts w:asciiTheme="minorHAnsi" w:hAnsiTheme="minorHAnsi" w:cstheme="minorHAnsi"/>
        </w:rPr>
        <w:t>MFA</w:t>
      </w:r>
      <w:r w:rsidRPr="003E32DB">
        <w:rPr>
          <w:rFonts w:asciiTheme="minorHAnsi" w:hAnsiTheme="minorHAnsi" w:cstheme="minorHAnsi"/>
        </w:rPr>
        <w:t>.</w:t>
      </w:r>
    </w:p>
    <w:p w:rsidR="00000555" w:rsidRPr="003E32DB" w:rsidRDefault="00000555" w:rsidP="00000555">
      <w:pPr>
        <w:jc w:val="both"/>
        <w:rPr>
          <w:rFonts w:asciiTheme="minorHAnsi" w:hAnsiTheme="minorHAnsi" w:cstheme="minorHAnsi"/>
        </w:rPr>
      </w:pPr>
    </w:p>
    <w:p w:rsidR="00000555" w:rsidRPr="003E32DB" w:rsidRDefault="00000555" w:rsidP="00000555">
      <w:pPr>
        <w:jc w:val="both"/>
        <w:rPr>
          <w:rFonts w:asciiTheme="minorHAnsi" w:hAnsiTheme="minorHAnsi"/>
          <w:b/>
        </w:rPr>
      </w:pPr>
      <w:r>
        <w:rPr>
          <w:rFonts w:asciiTheme="minorHAnsi" w:hAnsiTheme="minorHAnsi"/>
          <w:b/>
        </w:rPr>
        <w:t>Technical Assistance</w:t>
      </w:r>
    </w:p>
    <w:p w:rsidR="00000555" w:rsidRPr="003E32DB" w:rsidRDefault="00000555" w:rsidP="00000555">
      <w:pPr>
        <w:jc w:val="both"/>
        <w:rPr>
          <w:rFonts w:asciiTheme="minorHAnsi" w:hAnsiTheme="minorHAnsi" w:cstheme="minorHAnsi"/>
        </w:rPr>
      </w:pPr>
    </w:p>
    <w:p w:rsidR="00000555" w:rsidRPr="003E32DB" w:rsidRDefault="00000555" w:rsidP="00000555">
      <w:pPr>
        <w:jc w:val="both"/>
        <w:rPr>
          <w:rFonts w:asciiTheme="minorHAnsi" w:hAnsiTheme="minorHAnsi" w:cstheme="minorHAnsi"/>
        </w:rPr>
      </w:pPr>
      <w:r w:rsidRPr="003E32DB">
        <w:rPr>
          <w:rFonts w:asciiTheme="minorHAnsi" w:hAnsiTheme="minorHAnsi" w:cstheme="minorHAnsi"/>
        </w:rPr>
        <w:t xml:space="preserve">Groups or individuals interested in obtaining </w:t>
      </w:r>
      <w:r>
        <w:rPr>
          <w:rFonts w:asciiTheme="minorHAnsi" w:hAnsiTheme="minorHAnsi" w:cstheme="minorHAnsi"/>
        </w:rPr>
        <w:t>TA</w:t>
      </w:r>
      <w:r w:rsidRPr="003E32DB">
        <w:rPr>
          <w:rFonts w:asciiTheme="minorHAnsi" w:hAnsiTheme="minorHAnsi" w:cstheme="minorHAnsi"/>
        </w:rPr>
        <w:t xml:space="preserve"> to develop project proposals or applying for funding assistance through HUD formula grant programs covered by the Consolidated Plan or Annual Action Plan may contact the staff of </w:t>
      </w:r>
      <w:r>
        <w:rPr>
          <w:rFonts w:asciiTheme="minorHAnsi" w:hAnsiTheme="minorHAnsi" w:cstheme="minorHAnsi"/>
        </w:rPr>
        <w:t>MFA</w:t>
      </w:r>
      <w:r w:rsidRPr="003E32DB">
        <w:rPr>
          <w:rFonts w:asciiTheme="minorHAnsi" w:hAnsiTheme="minorHAnsi" w:cstheme="minorHAnsi"/>
        </w:rPr>
        <w:t xml:space="preserve"> or, in the case of CDBG funding, the Community Development Bureau within DFA.  Such assistance may be of particular use to community development organizations, nonprofit service providers, and for-profit and nonprofit housing development groups that serve or represent persons of low and moderate income. Pre-application workshops offer basic program information and materials to potential project sponsors, and staff from MFA provides in-depth guidance and assistance to applicants and program participants on an on-going basis. Emphasis is placed on capacity development of community-based organizations.</w:t>
      </w:r>
    </w:p>
    <w:p w:rsidR="00000555" w:rsidRPr="003E32DB" w:rsidRDefault="00000555" w:rsidP="00000555">
      <w:pPr>
        <w:jc w:val="both"/>
        <w:rPr>
          <w:rFonts w:asciiTheme="minorHAnsi" w:hAnsiTheme="minorHAnsi"/>
          <w:b/>
          <w:sz w:val="20"/>
          <w:szCs w:val="20"/>
        </w:rPr>
      </w:pPr>
    </w:p>
    <w:p w:rsidR="00000555" w:rsidRDefault="00000555" w:rsidP="00000555">
      <w:pPr>
        <w:rPr>
          <w:rFonts w:asciiTheme="minorHAnsi" w:hAnsiTheme="minorHAnsi"/>
          <w:b/>
        </w:rPr>
      </w:pPr>
      <w:r>
        <w:rPr>
          <w:rFonts w:asciiTheme="minorHAnsi" w:hAnsiTheme="minorHAnsi"/>
          <w:b/>
        </w:rPr>
        <w:br w:type="page"/>
      </w:r>
    </w:p>
    <w:p w:rsidR="00000555" w:rsidRPr="003E32DB" w:rsidRDefault="00000555" w:rsidP="00000555">
      <w:pPr>
        <w:jc w:val="both"/>
        <w:rPr>
          <w:rFonts w:asciiTheme="minorHAnsi" w:hAnsiTheme="minorHAnsi"/>
          <w:b/>
        </w:rPr>
      </w:pPr>
      <w:r w:rsidRPr="003E32DB">
        <w:rPr>
          <w:rFonts w:asciiTheme="minorHAnsi" w:hAnsiTheme="minorHAnsi"/>
          <w:b/>
        </w:rPr>
        <w:t>Amendments to the Consolidated Plan</w:t>
      </w:r>
    </w:p>
    <w:p w:rsidR="00000555" w:rsidRPr="003E32DB" w:rsidRDefault="00000555" w:rsidP="00000555">
      <w:pPr>
        <w:jc w:val="both"/>
        <w:rPr>
          <w:rFonts w:asciiTheme="minorHAnsi" w:hAnsiTheme="minorHAnsi" w:cstheme="minorHAnsi"/>
          <w:sz w:val="20"/>
          <w:szCs w:val="20"/>
        </w:rPr>
      </w:pPr>
    </w:p>
    <w:p w:rsidR="00000555" w:rsidRPr="003E32DB" w:rsidRDefault="00000555" w:rsidP="00000555">
      <w:pPr>
        <w:jc w:val="both"/>
        <w:rPr>
          <w:rFonts w:asciiTheme="minorHAnsi" w:hAnsiTheme="minorHAnsi" w:cstheme="minorHAnsi"/>
        </w:rPr>
      </w:pPr>
      <w:r w:rsidRPr="003E32DB">
        <w:rPr>
          <w:rFonts w:asciiTheme="minorHAnsi" w:hAnsiTheme="minorHAnsi" w:cstheme="minorHAnsi"/>
        </w:rPr>
        <w:t>An amendment to the Consolidated Plan is required whenever the jurisdiction determines to:</w:t>
      </w:r>
    </w:p>
    <w:p w:rsidR="00000555" w:rsidRPr="003E32DB" w:rsidRDefault="00000555" w:rsidP="00000555">
      <w:pPr>
        <w:jc w:val="both"/>
        <w:rPr>
          <w:rFonts w:asciiTheme="minorHAnsi" w:hAnsiTheme="minorHAnsi" w:cstheme="minorHAnsi"/>
        </w:rPr>
      </w:pPr>
    </w:p>
    <w:p w:rsidR="00000555" w:rsidRPr="003E32DB" w:rsidRDefault="00000555" w:rsidP="00000555">
      <w:pPr>
        <w:numPr>
          <w:ilvl w:val="0"/>
          <w:numId w:val="19"/>
        </w:numPr>
        <w:tabs>
          <w:tab w:val="clear" w:pos="360"/>
          <w:tab w:val="num" w:pos="0"/>
        </w:tabs>
        <w:ind w:left="720"/>
        <w:jc w:val="both"/>
        <w:rPr>
          <w:rFonts w:asciiTheme="minorHAnsi" w:hAnsiTheme="minorHAnsi" w:cstheme="minorHAnsi"/>
        </w:rPr>
      </w:pPr>
      <w:r w:rsidRPr="003E32DB">
        <w:rPr>
          <w:rFonts w:asciiTheme="minorHAnsi" w:hAnsiTheme="minorHAnsi" w:cstheme="minorHAnsi"/>
        </w:rPr>
        <w:t>Substantially change the allocation priorities or its method of distr</w:t>
      </w:r>
      <w:r>
        <w:rPr>
          <w:rFonts w:asciiTheme="minorHAnsi" w:hAnsiTheme="minorHAnsi" w:cstheme="minorHAnsi"/>
        </w:rPr>
        <w:t>ibuting HUD formula grant funds.</w:t>
      </w:r>
    </w:p>
    <w:p w:rsidR="00000555" w:rsidRPr="003E32DB" w:rsidRDefault="00000555" w:rsidP="00000555">
      <w:pPr>
        <w:numPr>
          <w:ilvl w:val="0"/>
          <w:numId w:val="19"/>
        </w:numPr>
        <w:tabs>
          <w:tab w:val="clear" w:pos="360"/>
          <w:tab w:val="num" w:pos="0"/>
        </w:tabs>
        <w:ind w:left="720"/>
        <w:jc w:val="both"/>
        <w:rPr>
          <w:rFonts w:asciiTheme="minorHAnsi" w:hAnsiTheme="minorHAnsi" w:cstheme="minorHAnsi"/>
        </w:rPr>
      </w:pPr>
      <w:r w:rsidRPr="003E32DB">
        <w:rPr>
          <w:rFonts w:asciiTheme="minorHAnsi" w:hAnsiTheme="minorHAnsi" w:cstheme="minorHAnsi"/>
        </w:rPr>
        <w:t>Utilize formula grant funds (including program income) to carry out an activity not previously described in the Action Plan</w:t>
      </w:r>
      <w:r>
        <w:rPr>
          <w:rFonts w:asciiTheme="minorHAnsi" w:hAnsiTheme="minorHAnsi" w:cstheme="minorHAnsi"/>
        </w:rPr>
        <w:t>.</w:t>
      </w:r>
    </w:p>
    <w:p w:rsidR="00000555" w:rsidRPr="003E32DB" w:rsidRDefault="00000555" w:rsidP="00000555">
      <w:pPr>
        <w:numPr>
          <w:ilvl w:val="0"/>
          <w:numId w:val="19"/>
        </w:numPr>
        <w:tabs>
          <w:tab w:val="clear" w:pos="360"/>
          <w:tab w:val="num" w:pos="0"/>
        </w:tabs>
        <w:ind w:left="720"/>
        <w:jc w:val="both"/>
        <w:rPr>
          <w:rFonts w:asciiTheme="minorHAnsi" w:hAnsiTheme="minorHAnsi" w:cstheme="minorHAnsi"/>
        </w:rPr>
      </w:pPr>
      <w:r w:rsidRPr="003E32DB">
        <w:rPr>
          <w:rFonts w:asciiTheme="minorHAnsi" w:hAnsiTheme="minorHAnsi" w:cstheme="minorHAnsi"/>
        </w:rPr>
        <w:t>Change the purpose, scope, location or beneficiaries of an activity.</w:t>
      </w:r>
    </w:p>
    <w:p w:rsidR="00000555" w:rsidRPr="00EF7AA6" w:rsidRDefault="00000555" w:rsidP="00000555">
      <w:pPr>
        <w:jc w:val="both"/>
        <w:rPr>
          <w:rFonts w:asciiTheme="minorHAnsi" w:hAnsiTheme="minorHAnsi" w:cstheme="minorHAnsi"/>
        </w:rPr>
      </w:pPr>
    </w:p>
    <w:p w:rsidR="00000555" w:rsidRPr="003E32DB" w:rsidRDefault="00000555" w:rsidP="00000555">
      <w:pPr>
        <w:jc w:val="both"/>
        <w:rPr>
          <w:rFonts w:asciiTheme="minorHAnsi" w:hAnsiTheme="minorHAnsi" w:cstheme="minorHAnsi"/>
        </w:rPr>
      </w:pPr>
      <w:r w:rsidRPr="003E32DB">
        <w:rPr>
          <w:rFonts w:asciiTheme="minorHAnsi" w:hAnsiTheme="minorHAnsi" w:cstheme="minorHAnsi"/>
        </w:rPr>
        <w:t>Such changes, prior to their implementation, are reviewed under various federal or local requirements, particularly rules on procurement and/or policies on the allocation of public resources. Substantial amendments to the Consolidated Plan are, in addition, subject to a formal citizen participation process.  Notice and the opportunity to comment will be given to citizens through public notices in local newspapers and other appropriate means, such as direct mail or public meetings. A public comment period of not less than 30 days will be provided prior to implementing any substantial amendment to the Consolidated Plan. MFA staff will prepare a summary of all comments received in writing and, in cases where any citizens' views are not accepted, provide reasons for the decision. This documentation will be attached to the substantial amendment, which will be available to the public and submitted to HUD.</w:t>
      </w:r>
    </w:p>
    <w:p w:rsidR="00000555" w:rsidRPr="003E32DB" w:rsidRDefault="00000555" w:rsidP="00000555">
      <w:pPr>
        <w:rPr>
          <w:rFonts w:asciiTheme="minorHAnsi" w:hAnsiTheme="minorHAnsi" w:cstheme="minorHAnsi"/>
        </w:rPr>
      </w:pPr>
    </w:p>
    <w:p w:rsidR="00000555" w:rsidRPr="003E32DB" w:rsidRDefault="00000555" w:rsidP="00000555">
      <w:pPr>
        <w:rPr>
          <w:rFonts w:asciiTheme="minorHAnsi" w:hAnsiTheme="minorHAnsi" w:cstheme="minorHAnsi"/>
        </w:rPr>
      </w:pPr>
      <w:r w:rsidRPr="003E32DB">
        <w:rPr>
          <w:rFonts w:asciiTheme="minorHAnsi" w:hAnsiTheme="minorHAnsi" w:cstheme="minorHAnsi"/>
          <w:b/>
        </w:rPr>
        <w:t>Substantial Amendments</w:t>
      </w:r>
    </w:p>
    <w:p w:rsidR="00000555" w:rsidRPr="003E32DB" w:rsidRDefault="00000555" w:rsidP="00000555">
      <w:pPr>
        <w:rPr>
          <w:rFonts w:asciiTheme="minorHAnsi" w:hAnsiTheme="minorHAnsi" w:cstheme="minorHAnsi"/>
        </w:rPr>
      </w:pPr>
    </w:p>
    <w:p w:rsidR="00000555" w:rsidRPr="003E32DB" w:rsidRDefault="00000555" w:rsidP="00000555">
      <w:pPr>
        <w:jc w:val="both"/>
        <w:rPr>
          <w:rFonts w:asciiTheme="minorHAnsi" w:hAnsiTheme="minorHAnsi" w:cstheme="minorHAnsi"/>
        </w:rPr>
      </w:pPr>
      <w:r w:rsidRPr="003E32DB">
        <w:rPr>
          <w:rFonts w:asciiTheme="minorHAnsi" w:hAnsiTheme="minorHAnsi" w:cstheme="minorHAnsi"/>
        </w:rPr>
        <w:t xml:space="preserve">Occasionally, public comments warrant an amendment to the Consolidated Plan.  The criteria for whether to amend are referred to by HUD as Substantial Amendment Criteria.  The following conditions are considered to be Substantial Amendment Criteria: </w:t>
      </w:r>
    </w:p>
    <w:p w:rsidR="00000555" w:rsidRPr="003E32DB" w:rsidRDefault="00000555" w:rsidP="00000555">
      <w:pPr>
        <w:jc w:val="both"/>
        <w:rPr>
          <w:rFonts w:asciiTheme="minorHAnsi" w:hAnsiTheme="minorHAnsi" w:cstheme="minorHAnsi"/>
          <w:sz w:val="20"/>
          <w:szCs w:val="20"/>
        </w:rPr>
      </w:pPr>
    </w:p>
    <w:p w:rsidR="00000555" w:rsidRPr="003E32DB" w:rsidRDefault="00000555" w:rsidP="00000555">
      <w:pPr>
        <w:widowControl w:val="0"/>
        <w:numPr>
          <w:ilvl w:val="0"/>
          <w:numId w:val="45"/>
        </w:numPr>
        <w:autoSpaceDE w:val="0"/>
        <w:autoSpaceDN w:val="0"/>
        <w:adjustRightInd w:val="0"/>
        <w:jc w:val="both"/>
        <w:rPr>
          <w:rFonts w:asciiTheme="minorHAnsi" w:hAnsiTheme="minorHAnsi" w:cstheme="minorHAnsi"/>
        </w:rPr>
      </w:pPr>
      <w:r w:rsidRPr="003E32DB">
        <w:rPr>
          <w:rFonts w:asciiTheme="minorHAnsi" w:hAnsiTheme="minorHAnsi" w:cstheme="minorHAnsi"/>
        </w:rPr>
        <w:t xml:space="preserve">Any change in the described method of distributing funds to local governments or nonprofit organizations to carry out activities.  Elements of a method of distribution are:  </w:t>
      </w:r>
    </w:p>
    <w:p w:rsidR="00000555" w:rsidRPr="003E32DB" w:rsidRDefault="00000555" w:rsidP="00000555">
      <w:pPr>
        <w:widowControl w:val="0"/>
        <w:numPr>
          <w:ilvl w:val="0"/>
          <w:numId w:val="46"/>
        </w:numPr>
        <w:tabs>
          <w:tab w:val="clear" w:pos="1080"/>
          <w:tab w:val="num" w:pos="-1440"/>
        </w:tabs>
        <w:jc w:val="both"/>
        <w:rPr>
          <w:rFonts w:asciiTheme="minorHAnsi" w:hAnsiTheme="minorHAnsi" w:cstheme="minorHAnsi"/>
        </w:rPr>
      </w:pPr>
      <w:r w:rsidRPr="003E32DB">
        <w:rPr>
          <w:rFonts w:asciiTheme="minorHAnsi" w:hAnsiTheme="minorHAnsi" w:cstheme="minorHAnsi"/>
        </w:rPr>
        <w:t>Application process</w:t>
      </w:r>
      <w:r>
        <w:rPr>
          <w:rFonts w:asciiTheme="minorHAnsi" w:hAnsiTheme="minorHAnsi" w:cstheme="minorHAnsi"/>
        </w:rPr>
        <w:t>.</w:t>
      </w:r>
    </w:p>
    <w:p w:rsidR="00000555" w:rsidRPr="003E32DB" w:rsidRDefault="00000555" w:rsidP="00000555">
      <w:pPr>
        <w:widowControl w:val="0"/>
        <w:numPr>
          <w:ilvl w:val="0"/>
          <w:numId w:val="46"/>
        </w:numPr>
        <w:tabs>
          <w:tab w:val="clear" w:pos="1080"/>
          <w:tab w:val="num" w:pos="-1440"/>
        </w:tabs>
        <w:jc w:val="both"/>
        <w:rPr>
          <w:rFonts w:asciiTheme="minorHAnsi" w:hAnsiTheme="minorHAnsi" w:cstheme="minorHAnsi"/>
        </w:rPr>
      </w:pPr>
      <w:r w:rsidRPr="003E32DB">
        <w:rPr>
          <w:rFonts w:asciiTheme="minorHAnsi" w:hAnsiTheme="minorHAnsi" w:cstheme="minorHAnsi"/>
        </w:rPr>
        <w:t>Allocation among funding activities in excess of 35percent of the total current entitlement allocation</w:t>
      </w:r>
      <w:r>
        <w:rPr>
          <w:rFonts w:asciiTheme="minorHAnsi" w:hAnsiTheme="minorHAnsi" w:cstheme="minorHAnsi"/>
        </w:rPr>
        <w:t>.</w:t>
      </w:r>
    </w:p>
    <w:p w:rsidR="00000555" w:rsidRPr="003E32DB" w:rsidRDefault="00000555" w:rsidP="00000555">
      <w:pPr>
        <w:widowControl w:val="0"/>
        <w:numPr>
          <w:ilvl w:val="0"/>
          <w:numId w:val="46"/>
        </w:numPr>
        <w:tabs>
          <w:tab w:val="clear" w:pos="1080"/>
          <w:tab w:val="num" w:pos="-1080"/>
        </w:tabs>
        <w:jc w:val="both"/>
        <w:rPr>
          <w:rFonts w:asciiTheme="minorHAnsi" w:hAnsiTheme="minorHAnsi" w:cstheme="minorHAnsi"/>
        </w:rPr>
      </w:pPr>
      <w:r w:rsidRPr="003E32DB">
        <w:rPr>
          <w:rFonts w:asciiTheme="minorHAnsi" w:hAnsiTheme="minorHAnsi" w:cstheme="minorHAnsi"/>
        </w:rPr>
        <w:t>Grant size limits</w:t>
      </w:r>
      <w:r>
        <w:rPr>
          <w:rFonts w:asciiTheme="minorHAnsi" w:hAnsiTheme="minorHAnsi" w:cstheme="minorHAnsi"/>
        </w:rPr>
        <w:t>.</w:t>
      </w:r>
    </w:p>
    <w:p w:rsidR="00000555" w:rsidRPr="003E32DB" w:rsidRDefault="00000555" w:rsidP="00000555">
      <w:pPr>
        <w:widowControl w:val="0"/>
        <w:numPr>
          <w:ilvl w:val="0"/>
          <w:numId w:val="46"/>
        </w:numPr>
        <w:tabs>
          <w:tab w:val="clear" w:pos="1080"/>
          <w:tab w:val="num" w:pos="-720"/>
        </w:tabs>
        <w:jc w:val="both"/>
        <w:rPr>
          <w:rFonts w:asciiTheme="minorHAnsi" w:hAnsiTheme="minorHAnsi" w:cstheme="minorHAnsi"/>
        </w:rPr>
      </w:pPr>
      <w:r w:rsidRPr="003E32DB">
        <w:rPr>
          <w:rFonts w:asciiTheme="minorHAnsi" w:hAnsiTheme="minorHAnsi" w:cstheme="minorHAnsi"/>
        </w:rPr>
        <w:t>Criteria selection.</w:t>
      </w:r>
    </w:p>
    <w:p w:rsidR="00000555" w:rsidRPr="003E32DB" w:rsidRDefault="00000555" w:rsidP="00000555">
      <w:pPr>
        <w:widowControl w:val="0"/>
        <w:ind w:left="720"/>
        <w:jc w:val="both"/>
        <w:rPr>
          <w:rFonts w:asciiTheme="minorHAnsi" w:hAnsiTheme="minorHAnsi" w:cstheme="minorHAnsi"/>
        </w:rPr>
      </w:pPr>
    </w:p>
    <w:p w:rsidR="00000555" w:rsidRPr="003E32DB" w:rsidRDefault="00000555" w:rsidP="00000555">
      <w:pPr>
        <w:widowControl w:val="0"/>
        <w:numPr>
          <w:ilvl w:val="0"/>
          <w:numId w:val="47"/>
        </w:numPr>
        <w:jc w:val="both"/>
        <w:rPr>
          <w:rFonts w:asciiTheme="minorHAnsi" w:hAnsiTheme="minorHAnsi" w:cstheme="minorHAnsi"/>
        </w:rPr>
      </w:pPr>
      <w:r w:rsidRPr="003E32DB">
        <w:rPr>
          <w:rFonts w:asciiTheme="minorHAnsi" w:hAnsiTheme="minorHAnsi" w:cstheme="minorHAnsi"/>
        </w:rPr>
        <w:t xml:space="preserve">An administrative decision to reallocate all the funds allocated to an activity in the Action Plan to other activities of equal or lesser priority need level, unless the decision is a result of:  </w:t>
      </w:r>
    </w:p>
    <w:p w:rsidR="00000555" w:rsidRPr="003E32DB" w:rsidRDefault="00000555" w:rsidP="00000555">
      <w:pPr>
        <w:widowControl w:val="0"/>
        <w:numPr>
          <w:ilvl w:val="0"/>
          <w:numId w:val="48"/>
        </w:numPr>
        <w:tabs>
          <w:tab w:val="clear" w:pos="1080"/>
          <w:tab w:val="num" w:pos="0"/>
        </w:tabs>
        <w:jc w:val="both"/>
        <w:rPr>
          <w:rFonts w:asciiTheme="minorHAnsi" w:hAnsiTheme="minorHAnsi" w:cstheme="minorHAnsi"/>
        </w:rPr>
      </w:pPr>
      <w:r w:rsidRPr="003E32DB">
        <w:rPr>
          <w:rFonts w:asciiTheme="minorHAnsi" w:hAnsiTheme="minorHAnsi" w:cstheme="minorHAnsi"/>
        </w:rPr>
        <w:t>Federal government recession of appropriated funds, or appropriations are so much less than anticipated that the state makes an administrative decision not to fund one or more activitie</w:t>
      </w:r>
      <w:r>
        <w:rPr>
          <w:rFonts w:asciiTheme="minorHAnsi" w:hAnsiTheme="minorHAnsi" w:cstheme="minorHAnsi"/>
        </w:rPr>
        <w:t>s.</w:t>
      </w:r>
    </w:p>
    <w:p w:rsidR="00000555" w:rsidRPr="003E32DB" w:rsidRDefault="00000555" w:rsidP="00000555">
      <w:pPr>
        <w:widowControl w:val="0"/>
        <w:numPr>
          <w:ilvl w:val="0"/>
          <w:numId w:val="48"/>
        </w:numPr>
        <w:tabs>
          <w:tab w:val="clear" w:pos="1080"/>
          <w:tab w:val="num" w:pos="0"/>
        </w:tabs>
        <w:jc w:val="both"/>
        <w:rPr>
          <w:rFonts w:asciiTheme="minorHAnsi" w:hAnsiTheme="minorHAnsi" w:cstheme="minorHAnsi"/>
        </w:rPr>
      </w:pPr>
      <w:r w:rsidRPr="003E32DB">
        <w:rPr>
          <w:rFonts w:asciiTheme="minorHAnsi" w:hAnsiTheme="minorHAnsi" w:cstheme="minorHAnsi"/>
        </w:rPr>
        <w:t>The governor declares a state of emergency and reallocates federal funds to address the emergency</w:t>
      </w:r>
      <w:r>
        <w:rPr>
          <w:rFonts w:asciiTheme="minorHAnsi" w:hAnsiTheme="minorHAnsi" w:cstheme="minorHAnsi"/>
        </w:rPr>
        <w:t>.</w:t>
      </w:r>
    </w:p>
    <w:p w:rsidR="00000555" w:rsidRPr="003E32DB" w:rsidRDefault="00000555" w:rsidP="00000555">
      <w:pPr>
        <w:widowControl w:val="0"/>
        <w:numPr>
          <w:ilvl w:val="0"/>
          <w:numId w:val="48"/>
        </w:numPr>
        <w:tabs>
          <w:tab w:val="clear" w:pos="1080"/>
          <w:tab w:val="num" w:pos="360"/>
        </w:tabs>
        <w:jc w:val="both"/>
        <w:rPr>
          <w:rFonts w:asciiTheme="minorHAnsi" w:hAnsiTheme="minorHAnsi" w:cstheme="minorHAnsi"/>
        </w:rPr>
      </w:pPr>
      <w:r w:rsidRPr="003E32DB">
        <w:rPr>
          <w:rFonts w:asciiTheme="minorHAnsi" w:hAnsiTheme="minorHAnsi" w:cstheme="minorHAnsi"/>
        </w:rPr>
        <w:t xml:space="preserve">A unique economic development opportunity arises where the state administration asks that federal grants be used to take advantage of the opportunity.  </w:t>
      </w:r>
    </w:p>
    <w:p w:rsidR="00000555" w:rsidRPr="003E32DB" w:rsidRDefault="00000555" w:rsidP="00000555">
      <w:pPr>
        <w:jc w:val="both"/>
        <w:rPr>
          <w:rFonts w:asciiTheme="minorHAnsi" w:hAnsiTheme="minorHAnsi" w:cstheme="minorHAnsi"/>
        </w:rPr>
      </w:pPr>
    </w:p>
    <w:p w:rsidR="00000555" w:rsidRPr="003E32DB" w:rsidRDefault="00000555" w:rsidP="00000555">
      <w:pPr>
        <w:jc w:val="both"/>
        <w:rPr>
          <w:rFonts w:asciiTheme="minorHAnsi" w:hAnsiTheme="minorHAnsi" w:cstheme="minorHAnsi"/>
        </w:rPr>
      </w:pPr>
      <w:r w:rsidRPr="003E32DB">
        <w:rPr>
          <w:rFonts w:asciiTheme="minorHAnsi" w:hAnsiTheme="minorHAnsi" w:cstheme="minorHAnsi"/>
          <w:b/>
        </w:rPr>
        <w:t>Citizen Participation in the Event of a Substantial Amendment</w:t>
      </w:r>
    </w:p>
    <w:p w:rsidR="00000555" w:rsidRPr="0096386D" w:rsidRDefault="00000555" w:rsidP="00000555">
      <w:pPr>
        <w:jc w:val="both"/>
        <w:rPr>
          <w:rFonts w:asciiTheme="minorHAnsi" w:hAnsiTheme="minorHAnsi" w:cstheme="minorHAnsi"/>
        </w:rPr>
      </w:pPr>
    </w:p>
    <w:p w:rsidR="00000555" w:rsidRPr="003E32DB" w:rsidRDefault="00000555" w:rsidP="00000555">
      <w:pPr>
        <w:jc w:val="both"/>
        <w:rPr>
          <w:rFonts w:asciiTheme="minorHAnsi" w:hAnsiTheme="minorHAnsi" w:cstheme="minorHAnsi"/>
        </w:rPr>
      </w:pPr>
      <w:r w:rsidRPr="003E32DB">
        <w:rPr>
          <w:rFonts w:asciiTheme="minorHAnsi" w:hAnsiTheme="minorHAnsi" w:cstheme="minorHAnsi"/>
        </w:rPr>
        <w:t xml:space="preserve">In the event of a substantial amendment to the Consolidated Plan, </w:t>
      </w:r>
      <w:r>
        <w:rPr>
          <w:rFonts w:asciiTheme="minorHAnsi" w:hAnsiTheme="minorHAnsi" w:cstheme="minorHAnsi"/>
        </w:rPr>
        <w:t>MFA</w:t>
      </w:r>
      <w:r w:rsidRPr="003E32DB">
        <w:rPr>
          <w:rFonts w:asciiTheme="minorHAnsi" w:hAnsiTheme="minorHAnsi" w:cstheme="minorHAnsi"/>
        </w:rPr>
        <w:t xml:space="preserve"> or DFA or both, depending on the nature of the amendment, will conduct at least one additional public hearing.  This hearing will follow a comment period of no less than 30 days, where the proposed substantially amended Consolidated Plan will be made available to interested parties.  Citizens will be informed of the public hearing through newspaper notification and </w:t>
      </w:r>
      <w:r>
        <w:rPr>
          <w:rFonts w:asciiTheme="minorHAnsi" w:hAnsiTheme="minorHAnsi" w:cstheme="minorHAnsi"/>
        </w:rPr>
        <w:t>MFA</w:t>
      </w:r>
      <w:r w:rsidRPr="003E32DB">
        <w:rPr>
          <w:rFonts w:asciiTheme="minorHAnsi" w:hAnsiTheme="minorHAnsi" w:cstheme="minorHAnsi"/>
        </w:rPr>
        <w:t xml:space="preserve"> and DFA websites prior to the hearing and the notice will appear in at least one newspaper that is circulated statewide.</w:t>
      </w:r>
    </w:p>
    <w:p w:rsidR="00000555" w:rsidRPr="003E32DB" w:rsidRDefault="00000555" w:rsidP="00000555">
      <w:pPr>
        <w:jc w:val="both"/>
        <w:rPr>
          <w:rFonts w:asciiTheme="minorHAnsi" w:hAnsiTheme="minorHAnsi" w:cstheme="minorHAnsi"/>
        </w:rPr>
      </w:pPr>
    </w:p>
    <w:p w:rsidR="00000555" w:rsidRPr="003E32DB" w:rsidRDefault="00000555" w:rsidP="00000555">
      <w:pPr>
        <w:jc w:val="both"/>
        <w:rPr>
          <w:rFonts w:asciiTheme="minorHAnsi" w:hAnsiTheme="minorHAnsi" w:cstheme="minorHAnsi"/>
        </w:rPr>
      </w:pPr>
      <w:r w:rsidRPr="003E32DB">
        <w:rPr>
          <w:rFonts w:asciiTheme="minorHAnsi" w:hAnsiTheme="minorHAnsi" w:cstheme="minorHAnsi"/>
        </w:rPr>
        <w:t xml:space="preserve">Citizens will be notified of the substantially amended Consolidated Plan’s availability through newspaper notification prior to the 30-day comment period.  The substantially amended sections of the Consolidated Plan will be available on </w:t>
      </w:r>
      <w:r>
        <w:rPr>
          <w:rFonts w:asciiTheme="minorHAnsi" w:hAnsiTheme="minorHAnsi" w:cstheme="minorHAnsi"/>
        </w:rPr>
        <w:t>MFA</w:t>
      </w:r>
      <w:r w:rsidRPr="003E32DB">
        <w:rPr>
          <w:rFonts w:asciiTheme="minorHAnsi" w:hAnsiTheme="minorHAnsi" w:cstheme="minorHAnsi"/>
        </w:rPr>
        <w:t xml:space="preserve"> website, www.housingnm.org, for the full public comment period. </w:t>
      </w:r>
    </w:p>
    <w:p w:rsidR="00000555" w:rsidRPr="0096386D" w:rsidRDefault="00000555" w:rsidP="00000555">
      <w:pPr>
        <w:jc w:val="both"/>
        <w:rPr>
          <w:rFonts w:asciiTheme="minorHAnsi" w:hAnsiTheme="minorHAnsi" w:cstheme="minorHAnsi"/>
        </w:rPr>
      </w:pPr>
    </w:p>
    <w:p w:rsidR="00000555" w:rsidRPr="0096386D" w:rsidRDefault="00000555" w:rsidP="00000555">
      <w:pPr>
        <w:jc w:val="both"/>
        <w:rPr>
          <w:rFonts w:asciiTheme="minorHAnsi" w:hAnsiTheme="minorHAnsi" w:cstheme="minorHAnsi"/>
        </w:rPr>
      </w:pPr>
      <w:r w:rsidRPr="0096386D">
        <w:rPr>
          <w:rFonts w:asciiTheme="minorHAnsi" w:hAnsiTheme="minorHAnsi" w:cstheme="minorHAnsi"/>
          <w:b/>
        </w:rPr>
        <w:t>Consideration of Public Comments on the Substantially Amended Plan</w:t>
      </w:r>
    </w:p>
    <w:p w:rsidR="00000555" w:rsidRPr="0096386D" w:rsidRDefault="00000555" w:rsidP="00000555">
      <w:pPr>
        <w:jc w:val="both"/>
        <w:rPr>
          <w:rFonts w:asciiTheme="minorHAnsi" w:hAnsiTheme="minorHAnsi" w:cstheme="minorHAnsi"/>
        </w:rPr>
      </w:pPr>
    </w:p>
    <w:p w:rsidR="00000555" w:rsidRPr="003E32DB" w:rsidRDefault="00000555" w:rsidP="00000555">
      <w:pPr>
        <w:jc w:val="both"/>
        <w:rPr>
          <w:rFonts w:asciiTheme="minorHAnsi" w:hAnsiTheme="minorHAnsi" w:cstheme="minorHAnsi"/>
        </w:rPr>
      </w:pPr>
      <w:r w:rsidRPr="003E32DB">
        <w:rPr>
          <w:rFonts w:asciiTheme="minorHAnsi" w:hAnsiTheme="minorHAnsi" w:cstheme="minorHAnsi"/>
        </w:rPr>
        <w:t xml:space="preserve">In the event of substantial amendments to the Consolidated Plan, the state will openly consider any comments on the substantially amended Consolidated Plan from individuals or groups.  Comments must be received in writing or at public hearings.  A summary of the written and public hearing comments on the substantial amendments will be included in the final Consolidated Plan.  The final Consolidated Plan will also include a summary of all comments not accepted and their reasons for dismissal.  </w:t>
      </w:r>
    </w:p>
    <w:p w:rsidR="00000555" w:rsidRPr="0096386D" w:rsidRDefault="00000555" w:rsidP="00000555">
      <w:pPr>
        <w:jc w:val="both"/>
        <w:rPr>
          <w:rFonts w:asciiTheme="minorHAnsi" w:hAnsiTheme="minorHAnsi" w:cstheme="minorHAnsi"/>
          <w:b/>
        </w:rPr>
      </w:pPr>
    </w:p>
    <w:p w:rsidR="00000555" w:rsidRPr="0096386D" w:rsidRDefault="00000555" w:rsidP="00000555">
      <w:pPr>
        <w:jc w:val="both"/>
        <w:rPr>
          <w:rFonts w:asciiTheme="minorHAnsi" w:hAnsiTheme="minorHAnsi" w:cstheme="minorHAnsi"/>
        </w:rPr>
      </w:pPr>
      <w:r w:rsidRPr="0096386D">
        <w:rPr>
          <w:rFonts w:asciiTheme="minorHAnsi" w:hAnsiTheme="minorHAnsi" w:cstheme="minorHAnsi"/>
          <w:b/>
        </w:rPr>
        <w:t>Changes in Federal Funding Level</w:t>
      </w:r>
    </w:p>
    <w:p w:rsidR="00000555" w:rsidRPr="0096386D" w:rsidRDefault="00000555" w:rsidP="00000555">
      <w:pPr>
        <w:jc w:val="both"/>
        <w:rPr>
          <w:rFonts w:asciiTheme="minorHAnsi" w:hAnsiTheme="minorHAnsi" w:cstheme="minorHAnsi"/>
        </w:rPr>
      </w:pPr>
    </w:p>
    <w:p w:rsidR="00000555" w:rsidRPr="003E32DB" w:rsidRDefault="00000555" w:rsidP="00000555">
      <w:pPr>
        <w:jc w:val="both"/>
        <w:rPr>
          <w:rFonts w:asciiTheme="minorHAnsi" w:hAnsiTheme="minorHAnsi" w:cstheme="minorHAnsi"/>
        </w:rPr>
      </w:pPr>
      <w:r w:rsidRPr="003E32DB">
        <w:rPr>
          <w:rFonts w:asciiTheme="minorHAnsi" w:hAnsiTheme="minorHAnsi" w:cstheme="minorHAnsi"/>
        </w:rPr>
        <w:t>Any changes in federal funding level after the Consolidated Plan’s draft comment period has expired and the resulting effect on the distribution of funds will not be considered an amendment or a substantial amendment.</w:t>
      </w:r>
    </w:p>
    <w:p w:rsidR="00000555" w:rsidRPr="003E32DB" w:rsidRDefault="00000555" w:rsidP="00000555">
      <w:pPr>
        <w:widowControl w:val="0"/>
        <w:tabs>
          <w:tab w:val="left" w:pos="204"/>
        </w:tabs>
        <w:autoSpaceDE w:val="0"/>
        <w:autoSpaceDN w:val="0"/>
        <w:jc w:val="both"/>
        <w:rPr>
          <w:rFonts w:asciiTheme="minorHAnsi" w:hAnsiTheme="minorHAnsi" w:cstheme="minorHAnsi"/>
          <w:b/>
          <w:bCs/>
        </w:rPr>
      </w:pPr>
    </w:p>
    <w:p w:rsidR="00000555" w:rsidRPr="003E32DB" w:rsidRDefault="00000555" w:rsidP="00000555">
      <w:pPr>
        <w:widowControl w:val="0"/>
        <w:tabs>
          <w:tab w:val="left" w:pos="204"/>
        </w:tabs>
        <w:autoSpaceDE w:val="0"/>
        <w:autoSpaceDN w:val="0"/>
        <w:jc w:val="both"/>
        <w:rPr>
          <w:rFonts w:asciiTheme="minorHAnsi" w:hAnsiTheme="minorHAnsi" w:cstheme="minorHAnsi"/>
          <w:bCs/>
        </w:rPr>
      </w:pPr>
      <w:r w:rsidRPr="003E32DB">
        <w:rPr>
          <w:rFonts w:asciiTheme="minorHAnsi" w:hAnsiTheme="minorHAnsi" w:cstheme="minorHAnsi"/>
          <w:b/>
          <w:bCs/>
        </w:rPr>
        <w:t>Standard Amendments</w:t>
      </w:r>
    </w:p>
    <w:p w:rsidR="00000555" w:rsidRPr="0096386D" w:rsidRDefault="00000555" w:rsidP="00000555">
      <w:pPr>
        <w:widowControl w:val="0"/>
        <w:tabs>
          <w:tab w:val="left" w:pos="204"/>
        </w:tabs>
        <w:autoSpaceDE w:val="0"/>
        <w:autoSpaceDN w:val="0"/>
        <w:jc w:val="both"/>
        <w:rPr>
          <w:rFonts w:asciiTheme="minorHAnsi" w:hAnsiTheme="minorHAnsi" w:cstheme="minorHAnsi"/>
          <w:bCs/>
        </w:rPr>
      </w:pPr>
    </w:p>
    <w:p w:rsidR="00000555" w:rsidRPr="0096386D" w:rsidRDefault="00000555" w:rsidP="00000555">
      <w:pPr>
        <w:widowControl w:val="0"/>
        <w:tabs>
          <w:tab w:val="left" w:pos="204"/>
        </w:tabs>
        <w:autoSpaceDE w:val="0"/>
        <w:autoSpaceDN w:val="0"/>
        <w:jc w:val="both"/>
        <w:rPr>
          <w:rFonts w:asciiTheme="minorHAnsi" w:hAnsiTheme="minorHAnsi" w:cstheme="minorHAnsi"/>
          <w:bCs/>
        </w:rPr>
      </w:pPr>
      <w:r w:rsidRPr="0096386D">
        <w:rPr>
          <w:rFonts w:asciiTheme="minorHAnsi" w:hAnsiTheme="minorHAnsi" w:cstheme="minorHAnsi"/>
          <w:bCs/>
        </w:rPr>
        <w:t>Standard amendments are those that are not considered substantial in nature and pertain chiefly to minor administrative modifications of the programs.  Thus they do not require in-depth citizen participation.</w:t>
      </w:r>
    </w:p>
    <w:p w:rsidR="00000555" w:rsidRPr="0096386D" w:rsidRDefault="00000555" w:rsidP="00000555">
      <w:pPr>
        <w:jc w:val="both"/>
        <w:rPr>
          <w:rFonts w:asciiTheme="minorHAnsi" w:hAnsiTheme="minorHAnsi"/>
        </w:rPr>
      </w:pPr>
    </w:p>
    <w:p w:rsidR="00000555" w:rsidRDefault="00000555" w:rsidP="00000555">
      <w:pPr>
        <w:rPr>
          <w:rFonts w:asciiTheme="minorHAnsi" w:hAnsiTheme="minorHAnsi"/>
          <w:b/>
        </w:rPr>
      </w:pPr>
      <w:r>
        <w:rPr>
          <w:rFonts w:asciiTheme="minorHAnsi" w:hAnsiTheme="minorHAnsi"/>
          <w:b/>
        </w:rPr>
        <w:br w:type="page"/>
      </w:r>
    </w:p>
    <w:p w:rsidR="00000555" w:rsidRPr="0096386D" w:rsidRDefault="00000555" w:rsidP="00000555">
      <w:pPr>
        <w:jc w:val="both"/>
        <w:rPr>
          <w:rFonts w:asciiTheme="minorHAnsi" w:hAnsiTheme="minorHAnsi"/>
          <w:b/>
        </w:rPr>
      </w:pPr>
      <w:r w:rsidRPr="0096386D">
        <w:rPr>
          <w:rFonts w:asciiTheme="minorHAnsi" w:hAnsiTheme="minorHAnsi"/>
          <w:b/>
        </w:rPr>
        <w:t>Annual Performance Reports</w:t>
      </w:r>
    </w:p>
    <w:p w:rsidR="00000555" w:rsidRPr="0096386D" w:rsidRDefault="00000555" w:rsidP="00000555">
      <w:pPr>
        <w:jc w:val="both"/>
        <w:rPr>
          <w:rFonts w:asciiTheme="minorHAnsi" w:hAnsiTheme="minorHAnsi" w:cstheme="minorHAnsi"/>
        </w:rPr>
      </w:pPr>
    </w:p>
    <w:p w:rsidR="00000555" w:rsidRPr="003E32DB" w:rsidRDefault="00000555" w:rsidP="00000555">
      <w:pPr>
        <w:jc w:val="both"/>
        <w:rPr>
          <w:rFonts w:asciiTheme="minorHAnsi" w:hAnsiTheme="minorHAnsi" w:cstheme="minorHAnsi"/>
        </w:rPr>
      </w:pPr>
      <w:r w:rsidRPr="003E32DB">
        <w:rPr>
          <w:rFonts w:asciiTheme="minorHAnsi" w:hAnsiTheme="minorHAnsi" w:cstheme="minorHAnsi"/>
        </w:rPr>
        <w:t xml:space="preserve">Performance reports on HOME, ESG and HOPWA programs covered by the Consolidated Plan or Annual Action Plan are to be prepared by </w:t>
      </w:r>
      <w:r>
        <w:rPr>
          <w:rFonts w:asciiTheme="minorHAnsi" w:hAnsiTheme="minorHAnsi" w:cstheme="minorHAnsi"/>
        </w:rPr>
        <w:t>MFA</w:t>
      </w:r>
      <w:r w:rsidRPr="003E32DB">
        <w:rPr>
          <w:rFonts w:asciiTheme="minorHAnsi" w:hAnsiTheme="minorHAnsi" w:cstheme="minorHAnsi"/>
        </w:rPr>
        <w:t xml:space="preserve"> for annual submission to HUD within 90 days of the January 1 start of each program year.  Performance reports for CDBG are to be prepared by DFA for annual submission to HUD within 90 days of the January 1 start of each program year.  Draft performance reports will be made available upon written request.  The draft performance report will be available for comment for no less than 15 days, and any public comments received in writing will be reported in an addendum to the final performance report.</w:t>
      </w:r>
    </w:p>
    <w:p w:rsidR="00000555" w:rsidRDefault="00000555" w:rsidP="00000555">
      <w:pPr>
        <w:jc w:val="both"/>
        <w:rPr>
          <w:rFonts w:asciiTheme="minorHAnsi" w:hAnsiTheme="minorHAnsi"/>
          <w:b/>
        </w:rPr>
      </w:pPr>
    </w:p>
    <w:p w:rsidR="00000555" w:rsidRPr="003E32DB" w:rsidRDefault="00000555" w:rsidP="00000555">
      <w:pPr>
        <w:jc w:val="both"/>
        <w:rPr>
          <w:rFonts w:asciiTheme="minorHAnsi" w:hAnsiTheme="minorHAnsi"/>
          <w:b/>
        </w:rPr>
      </w:pPr>
      <w:r w:rsidRPr="003E32DB">
        <w:rPr>
          <w:rFonts w:asciiTheme="minorHAnsi" w:hAnsiTheme="minorHAnsi"/>
          <w:b/>
        </w:rPr>
        <w:t>Access to Records</w:t>
      </w:r>
    </w:p>
    <w:p w:rsidR="00000555" w:rsidRPr="0096386D" w:rsidRDefault="00000555" w:rsidP="00000555">
      <w:pPr>
        <w:jc w:val="both"/>
        <w:rPr>
          <w:rFonts w:asciiTheme="minorHAnsi" w:hAnsiTheme="minorHAnsi" w:cstheme="minorHAnsi"/>
        </w:rPr>
      </w:pPr>
    </w:p>
    <w:p w:rsidR="00000555" w:rsidRPr="003E32DB" w:rsidRDefault="00000555" w:rsidP="00000555">
      <w:pPr>
        <w:jc w:val="both"/>
        <w:rPr>
          <w:rFonts w:asciiTheme="minorHAnsi" w:hAnsiTheme="minorHAnsi" w:cstheme="minorHAnsi"/>
        </w:rPr>
      </w:pPr>
      <w:r w:rsidRPr="003E32DB">
        <w:rPr>
          <w:rFonts w:asciiTheme="minorHAnsi" w:hAnsiTheme="minorHAnsi" w:cstheme="minorHAnsi"/>
        </w:rPr>
        <w:t>To the extent allowed by law, interested citizens and organizations shall be afforded reasonable and timely access to records covering the preparation of the Consolidated Plan or Annual Action Plan, project evaluation and selection, HUD's comments on the Plan and annual performance reports. In addition, materials on formula grant programs covered by the Consolidated Plan</w:t>
      </w:r>
      <w:r w:rsidRPr="003E32DB">
        <w:rPr>
          <w:rFonts w:asciiTheme="minorHAnsi" w:hAnsiTheme="minorHAnsi"/>
        </w:rPr>
        <w:t xml:space="preserve"> </w:t>
      </w:r>
      <w:r w:rsidRPr="003E32DB">
        <w:rPr>
          <w:rFonts w:asciiTheme="minorHAnsi" w:hAnsiTheme="minorHAnsi" w:cstheme="minorHAnsi"/>
        </w:rPr>
        <w:t xml:space="preserve">or Annual Action Plan, including activities undertaken in the previous five years, will be made available to any member of the public who requests information from </w:t>
      </w:r>
      <w:r>
        <w:rPr>
          <w:rFonts w:asciiTheme="minorHAnsi" w:hAnsiTheme="minorHAnsi" w:cstheme="minorHAnsi"/>
        </w:rPr>
        <w:t>MFA</w:t>
      </w:r>
      <w:r w:rsidRPr="003E32DB">
        <w:rPr>
          <w:rFonts w:asciiTheme="minorHAnsi" w:hAnsiTheme="minorHAnsi" w:cstheme="minorHAnsi"/>
        </w:rPr>
        <w:t>. A complete file of citizen comments will also be available for review by interested parties.  After receiving notice of HUD's approval of its Consolidated Plan</w:t>
      </w:r>
      <w:r w:rsidRPr="003E32DB">
        <w:rPr>
          <w:rFonts w:asciiTheme="minorHAnsi" w:hAnsiTheme="minorHAnsi"/>
        </w:rPr>
        <w:t xml:space="preserve"> </w:t>
      </w:r>
      <w:r w:rsidRPr="003E32DB">
        <w:rPr>
          <w:rFonts w:asciiTheme="minorHAnsi" w:hAnsiTheme="minorHAnsi" w:cstheme="minorHAnsi"/>
        </w:rPr>
        <w:t xml:space="preserve">or Annual Action Plan, </w:t>
      </w:r>
      <w:r>
        <w:rPr>
          <w:rFonts w:asciiTheme="minorHAnsi" w:hAnsiTheme="minorHAnsi" w:cstheme="minorHAnsi"/>
        </w:rPr>
        <w:t>MFA</w:t>
      </w:r>
      <w:r w:rsidRPr="003E32DB">
        <w:rPr>
          <w:rFonts w:asciiTheme="minorHAnsi" w:hAnsiTheme="minorHAnsi" w:cstheme="minorHAnsi"/>
        </w:rPr>
        <w:t xml:space="preserve"> will inform those on its mailing list of the availability of the final Plan document and of any HUD comments on the Plan.</w:t>
      </w:r>
    </w:p>
    <w:p w:rsidR="00000555" w:rsidRPr="0096386D" w:rsidRDefault="00000555" w:rsidP="00000555">
      <w:pPr>
        <w:rPr>
          <w:rFonts w:asciiTheme="minorHAnsi" w:hAnsiTheme="minorHAnsi" w:cstheme="minorHAnsi"/>
        </w:rPr>
      </w:pPr>
    </w:p>
    <w:p w:rsidR="00000555" w:rsidRPr="0096386D" w:rsidRDefault="00000555" w:rsidP="00000555">
      <w:pPr>
        <w:rPr>
          <w:rFonts w:asciiTheme="minorHAnsi" w:hAnsiTheme="minorHAnsi"/>
          <w:b/>
        </w:rPr>
      </w:pPr>
      <w:r w:rsidRPr="0096386D">
        <w:rPr>
          <w:rFonts w:asciiTheme="minorHAnsi" w:hAnsiTheme="minorHAnsi"/>
          <w:b/>
        </w:rPr>
        <w:t>Complaints and Grievances</w:t>
      </w:r>
    </w:p>
    <w:p w:rsidR="00000555" w:rsidRPr="0096386D" w:rsidRDefault="00000555" w:rsidP="00000555">
      <w:pPr>
        <w:jc w:val="both"/>
        <w:rPr>
          <w:rFonts w:asciiTheme="minorHAnsi" w:hAnsiTheme="minorHAnsi" w:cstheme="minorHAnsi"/>
        </w:rPr>
      </w:pPr>
    </w:p>
    <w:p w:rsidR="00000555" w:rsidRPr="003E32DB" w:rsidRDefault="00000555" w:rsidP="00000555">
      <w:pPr>
        <w:tabs>
          <w:tab w:val="left" w:pos="0"/>
          <w:tab w:val="left" w:pos="720"/>
          <w:tab w:val="left" w:pos="1440"/>
          <w:tab w:val="left" w:pos="4320"/>
          <w:tab w:val="left" w:pos="9216"/>
          <w:tab w:val="left" w:pos="9360"/>
        </w:tabs>
        <w:jc w:val="both"/>
        <w:rPr>
          <w:rFonts w:asciiTheme="minorHAnsi" w:hAnsiTheme="minorHAnsi" w:cstheme="minorHAnsi"/>
        </w:rPr>
      </w:pPr>
      <w:r w:rsidRPr="003E32DB">
        <w:rPr>
          <w:rFonts w:asciiTheme="minorHAnsi" w:hAnsiTheme="minorHAnsi" w:cstheme="minorHAnsi"/>
        </w:rPr>
        <w:t>Citizens, administering agencies and other interested parties may submit complaints and grievances regarding the programs MFA and DFA administer. Complaints should be in writing, specific in their subject matter, and include facts to support allegations.  The following are considered to constitute complaints to which a response is due:</w:t>
      </w:r>
    </w:p>
    <w:p w:rsidR="00000555" w:rsidRPr="0096386D" w:rsidRDefault="00000555" w:rsidP="00000555">
      <w:pPr>
        <w:tabs>
          <w:tab w:val="left" w:pos="0"/>
          <w:tab w:val="left" w:pos="720"/>
          <w:tab w:val="left" w:pos="1440"/>
          <w:tab w:val="left" w:pos="4320"/>
          <w:tab w:val="left" w:pos="9216"/>
          <w:tab w:val="left" w:pos="9360"/>
        </w:tabs>
        <w:jc w:val="both"/>
        <w:rPr>
          <w:rFonts w:asciiTheme="minorHAnsi" w:hAnsiTheme="minorHAnsi" w:cstheme="minorHAnsi"/>
        </w:rPr>
      </w:pPr>
    </w:p>
    <w:p w:rsidR="00000555" w:rsidRPr="0096386D" w:rsidRDefault="00000555" w:rsidP="00000555">
      <w:pPr>
        <w:pStyle w:val="ListParagraph"/>
        <w:widowControl/>
        <w:numPr>
          <w:ilvl w:val="0"/>
          <w:numId w:val="49"/>
        </w:numPr>
        <w:autoSpaceDE/>
        <w:autoSpaceDN/>
        <w:adjustRightInd/>
        <w:contextualSpacing/>
        <w:jc w:val="both"/>
        <w:rPr>
          <w:rFonts w:asciiTheme="minorHAnsi" w:hAnsiTheme="minorHAnsi"/>
          <w:sz w:val="24"/>
        </w:rPr>
      </w:pPr>
      <w:r w:rsidRPr="0096386D">
        <w:rPr>
          <w:rFonts w:asciiTheme="minorHAnsi" w:hAnsiTheme="minorHAnsi"/>
          <w:sz w:val="24"/>
        </w:rPr>
        <w:t xml:space="preserve">The administering agency has purportedly violated a provision of </w:t>
      </w:r>
      <w:r>
        <w:rPr>
          <w:rFonts w:asciiTheme="minorHAnsi" w:hAnsiTheme="minorHAnsi"/>
          <w:sz w:val="24"/>
        </w:rPr>
        <w:t>this Citizen Participation Plan.</w:t>
      </w:r>
    </w:p>
    <w:p w:rsidR="00000555" w:rsidRPr="0096386D" w:rsidRDefault="00000555" w:rsidP="00000555">
      <w:pPr>
        <w:pStyle w:val="ListParagraph"/>
        <w:widowControl/>
        <w:numPr>
          <w:ilvl w:val="0"/>
          <w:numId w:val="49"/>
        </w:numPr>
        <w:autoSpaceDE/>
        <w:autoSpaceDN/>
        <w:adjustRightInd/>
        <w:contextualSpacing/>
        <w:jc w:val="both"/>
        <w:rPr>
          <w:rFonts w:asciiTheme="minorHAnsi" w:hAnsiTheme="minorHAnsi"/>
          <w:sz w:val="24"/>
        </w:rPr>
      </w:pPr>
      <w:r w:rsidRPr="0096386D">
        <w:rPr>
          <w:rFonts w:asciiTheme="minorHAnsi" w:hAnsiTheme="minorHAnsi"/>
          <w:sz w:val="24"/>
        </w:rPr>
        <w:t>The administering agency has purportedly violated a provision of federal CDBG, ESG or HOM</w:t>
      </w:r>
      <w:r>
        <w:rPr>
          <w:rFonts w:asciiTheme="minorHAnsi" w:hAnsiTheme="minorHAnsi"/>
          <w:sz w:val="24"/>
        </w:rPr>
        <w:t>E, or HOPWA program regulations.</w:t>
      </w:r>
    </w:p>
    <w:p w:rsidR="00000555" w:rsidRPr="0096386D" w:rsidRDefault="00000555" w:rsidP="00000555">
      <w:pPr>
        <w:pStyle w:val="ListParagraph"/>
        <w:widowControl/>
        <w:numPr>
          <w:ilvl w:val="0"/>
          <w:numId w:val="49"/>
        </w:numPr>
        <w:autoSpaceDE/>
        <w:autoSpaceDN/>
        <w:adjustRightInd/>
        <w:contextualSpacing/>
        <w:jc w:val="both"/>
        <w:rPr>
          <w:rFonts w:asciiTheme="minorHAnsi" w:hAnsiTheme="minorHAnsi"/>
          <w:b/>
          <w:sz w:val="24"/>
        </w:rPr>
      </w:pPr>
      <w:r w:rsidRPr="0096386D">
        <w:rPr>
          <w:rFonts w:asciiTheme="minorHAnsi" w:hAnsiTheme="minorHAnsi"/>
          <w:sz w:val="24"/>
        </w:rPr>
        <w:t>The administering agency, or any of its contractors, has purportedly engaged in questionable practices resulting in waste, fraud or mismanagement of any program funds.</w:t>
      </w:r>
    </w:p>
    <w:p w:rsidR="00000555" w:rsidRPr="0096386D" w:rsidRDefault="00000555" w:rsidP="00000555">
      <w:pPr>
        <w:jc w:val="both"/>
        <w:rPr>
          <w:rFonts w:asciiTheme="minorHAnsi" w:hAnsiTheme="minorHAnsi"/>
        </w:rPr>
      </w:pPr>
    </w:p>
    <w:p w:rsidR="00000555" w:rsidRPr="003E32DB" w:rsidRDefault="00000555" w:rsidP="00000555">
      <w:pPr>
        <w:tabs>
          <w:tab w:val="left" w:pos="-1123"/>
          <w:tab w:val="left" w:pos="-720"/>
          <w:tab w:val="left" w:pos="0"/>
          <w:tab w:val="left" w:pos="576"/>
          <w:tab w:val="left" w:pos="720"/>
          <w:tab w:val="left" w:pos="900"/>
          <w:tab w:val="left" w:pos="1080"/>
          <w:tab w:val="left" w:pos="12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heme="minorHAnsi" w:hAnsiTheme="minorHAnsi" w:cstheme="minorHAnsi"/>
        </w:rPr>
      </w:pPr>
      <w:r w:rsidRPr="003E32DB">
        <w:rPr>
          <w:rFonts w:asciiTheme="minorHAnsi" w:hAnsiTheme="minorHAnsi" w:cstheme="minorHAnsi"/>
        </w:rPr>
        <w:t xml:space="preserve">Residents may also present complaints and grievances orally or in writing at the community meetings and/or public hearing. All public comments, including complaints and grievances, made either orally or in writing within the 30-day public comment period, will be included in the final Consolidated Plan or Annual Action Plan.  Such complaints or grievances for HOME, HOPWA, or ESG shall be directed to the Consolidated Plan representative at </w:t>
      </w:r>
      <w:r>
        <w:rPr>
          <w:rFonts w:asciiTheme="minorHAnsi" w:hAnsiTheme="minorHAnsi" w:cstheme="minorHAnsi"/>
        </w:rPr>
        <w:t>MFA</w:t>
      </w:r>
      <w:r w:rsidRPr="003E32DB">
        <w:rPr>
          <w:rFonts w:asciiTheme="minorHAnsi" w:hAnsiTheme="minorHAnsi" w:cstheme="minorHAnsi"/>
        </w:rPr>
        <w:t>.</w:t>
      </w:r>
    </w:p>
    <w:p w:rsidR="00000555" w:rsidRPr="0096386D" w:rsidRDefault="00000555" w:rsidP="00000555">
      <w:pPr>
        <w:tabs>
          <w:tab w:val="left" w:pos="-1123"/>
          <w:tab w:val="left" w:pos="-720"/>
          <w:tab w:val="left" w:pos="0"/>
          <w:tab w:val="left" w:pos="576"/>
          <w:tab w:val="left" w:pos="720"/>
          <w:tab w:val="left" w:pos="900"/>
          <w:tab w:val="left" w:pos="1080"/>
          <w:tab w:val="left" w:pos="12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heme="minorHAnsi" w:hAnsiTheme="minorHAnsi" w:cstheme="minorHAnsi"/>
          <w:sz w:val="22"/>
          <w:szCs w:val="22"/>
        </w:rPr>
      </w:pPr>
    </w:p>
    <w:p w:rsidR="00000555" w:rsidRPr="0096386D" w:rsidRDefault="00000555" w:rsidP="00000555">
      <w:pPr>
        <w:tabs>
          <w:tab w:val="left" w:pos="-1123"/>
          <w:tab w:val="left" w:pos="-720"/>
          <w:tab w:val="left" w:pos="0"/>
          <w:tab w:val="left" w:pos="576"/>
          <w:tab w:val="left" w:pos="720"/>
          <w:tab w:val="left" w:pos="900"/>
          <w:tab w:val="left" w:pos="1080"/>
          <w:tab w:val="left" w:pos="12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heme="minorHAnsi" w:hAnsiTheme="minorHAnsi" w:cstheme="minorHAnsi"/>
        </w:rPr>
      </w:pPr>
      <w:r w:rsidRPr="0096386D">
        <w:rPr>
          <w:rFonts w:asciiTheme="minorHAnsi" w:hAnsiTheme="minorHAnsi" w:cstheme="minorHAnsi"/>
        </w:rPr>
        <w:t>Such complaints or grievances regarding CDBG shall be directed to the Bureau Chief by contacting DFA at 505-827-4974 or 505-827-4950.</w:t>
      </w:r>
    </w:p>
    <w:p w:rsidR="00000555" w:rsidRPr="0096386D" w:rsidRDefault="00000555" w:rsidP="00000555">
      <w:pPr>
        <w:jc w:val="both"/>
        <w:rPr>
          <w:rFonts w:asciiTheme="minorHAnsi" w:hAnsiTheme="minorHAnsi"/>
          <w:sz w:val="22"/>
          <w:szCs w:val="22"/>
        </w:rPr>
      </w:pPr>
    </w:p>
    <w:p w:rsidR="00000555" w:rsidRPr="0096386D" w:rsidRDefault="00000555" w:rsidP="00000555">
      <w:pPr>
        <w:jc w:val="both"/>
        <w:rPr>
          <w:rFonts w:asciiTheme="minorHAnsi" w:hAnsiTheme="minorHAnsi"/>
          <w:b/>
        </w:rPr>
      </w:pPr>
      <w:r w:rsidRPr="0096386D">
        <w:rPr>
          <w:rFonts w:asciiTheme="minorHAnsi" w:hAnsiTheme="minorHAnsi"/>
          <w:b/>
        </w:rPr>
        <w:t>Timely Response to Complaints or Grievances</w:t>
      </w:r>
    </w:p>
    <w:p w:rsidR="00000555" w:rsidRPr="0096386D" w:rsidRDefault="00000555" w:rsidP="00000555">
      <w:pPr>
        <w:jc w:val="both"/>
        <w:rPr>
          <w:rFonts w:asciiTheme="minorHAnsi" w:hAnsiTheme="minorHAnsi" w:cstheme="minorHAnsi"/>
          <w:sz w:val="22"/>
          <w:szCs w:val="22"/>
        </w:rPr>
      </w:pPr>
    </w:p>
    <w:p w:rsidR="00000555" w:rsidRPr="0096386D" w:rsidRDefault="00000555" w:rsidP="00000555">
      <w:pPr>
        <w:tabs>
          <w:tab w:val="left" w:pos="-1123"/>
          <w:tab w:val="left" w:pos="-720"/>
          <w:tab w:val="left" w:pos="0"/>
          <w:tab w:val="left" w:pos="576"/>
          <w:tab w:val="left" w:pos="720"/>
          <w:tab w:val="left" w:pos="900"/>
          <w:tab w:val="left" w:pos="1080"/>
          <w:tab w:val="left" w:pos="12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heme="minorHAnsi" w:hAnsiTheme="minorHAnsi" w:cstheme="minorHAnsi"/>
        </w:rPr>
      </w:pPr>
      <w:r w:rsidRPr="0096386D">
        <w:rPr>
          <w:rFonts w:asciiTheme="minorHAnsi" w:hAnsiTheme="minorHAnsi" w:cstheme="minorHAnsi"/>
        </w:rPr>
        <w:t xml:space="preserve">Upon receipt of a written complaint, the designated representative at MFA or DFA shall respond to the complainant within 15 calendar days and maintain a copy of all related correspondence, which will be subject to MFA and DFA review.  </w:t>
      </w:r>
    </w:p>
    <w:p w:rsidR="00000555" w:rsidRPr="0096386D" w:rsidRDefault="00000555" w:rsidP="00000555">
      <w:pPr>
        <w:tabs>
          <w:tab w:val="left" w:pos="-1123"/>
          <w:tab w:val="left" w:pos="-720"/>
          <w:tab w:val="left" w:pos="0"/>
          <w:tab w:val="left" w:pos="576"/>
          <w:tab w:val="left" w:pos="720"/>
          <w:tab w:val="left" w:pos="900"/>
          <w:tab w:val="left" w:pos="1080"/>
          <w:tab w:val="left" w:pos="12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heme="minorHAnsi" w:hAnsiTheme="minorHAnsi" w:cstheme="minorHAnsi"/>
          <w:sz w:val="22"/>
          <w:szCs w:val="22"/>
        </w:rPr>
      </w:pPr>
    </w:p>
    <w:p w:rsidR="00000555" w:rsidRPr="0096386D" w:rsidRDefault="00000555" w:rsidP="00000555">
      <w:pPr>
        <w:tabs>
          <w:tab w:val="left" w:pos="-1123"/>
          <w:tab w:val="left" w:pos="-720"/>
          <w:tab w:val="left" w:pos="0"/>
          <w:tab w:val="left" w:pos="576"/>
          <w:tab w:val="left" w:pos="720"/>
          <w:tab w:val="left" w:pos="900"/>
          <w:tab w:val="left" w:pos="1080"/>
          <w:tab w:val="left" w:pos="12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heme="minorHAnsi" w:hAnsiTheme="minorHAnsi" w:cstheme="minorHAnsi"/>
        </w:rPr>
      </w:pPr>
      <w:r w:rsidRPr="0096386D">
        <w:rPr>
          <w:rFonts w:asciiTheme="minorHAnsi" w:hAnsiTheme="minorHAnsi" w:cstheme="minorHAnsi"/>
        </w:rPr>
        <w:t>Within 15 calendar days of receiving the complaint, the designated MFA or DFA representative shall discuss the matter with the department manager and respond to the complainant in writing. A copy of MFA's or DFA’s response will be transmitted, concurrently, to the complainant and to MFA or DFA Directors.  If, due to unusual circumstances, the designated representative finds that he/she is unable to meet the prescribed time limit, the limit may be extended by written notice to the complainant.  The designated representative’s notice must include the reason for the extension and the date on which a response is expected to be generated, which may be based on the nature and complexity of the complaint.</w:t>
      </w:r>
    </w:p>
    <w:p w:rsidR="00000555" w:rsidRPr="0096386D" w:rsidRDefault="00000555" w:rsidP="00000555">
      <w:pPr>
        <w:tabs>
          <w:tab w:val="left" w:pos="-1123"/>
          <w:tab w:val="left" w:pos="-720"/>
          <w:tab w:val="left" w:pos="0"/>
          <w:tab w:val="left" w:pos="576"/>
          <w:tab w:val="left" w:pos="720"/>
          <w:tab w:val="left" w:pos="900"/>
          <w:tab w:val="left" w:pos="1080"/>
          <w:tab w:val="left" w:pos="12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heme="minorHAnsi" w:hAnsiTheme="minorHAnsi" w:cstheme="minorHAnsi"/>
          <w:sz w:val="22"/>
          <w:szCs w:val="22"/>
        </w:rPr>
      </w:pPr>
    </w:p>
    <w:p w:rsidR="00000555" w:rsidRPr="003E32DB" w:rsidRDefault="00000555" w:rsidP="00000555">
      <w:pPr>
        <w:tabs>
          <w:tab w:val="left" w:pos="-1123"/>
          <w:tab w:val="left" w:pos="-720"/>
          <w:tab w:val="left" w:pos="0"/>
          <w:tab w:val="left" w:pos="576"/>
          <w:tab w:val="left" w:pos="720"/>
          <w:tab w:val="left" w:pos="900"/>
          <w:tab w:val="left" w:pos="1080"/>
          <w:tab w:val="left" w:pos="12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heme="minorHAnsi" w:hAnsiTheme="minorHAnsi" w:cstheme="minorHAnsi"/>
        </w:rPr>
      </w:pPr>
      <w:r w:rsidRPr="003E32DB">
        <w:rPr>
          <w:rFonts w:asciiTheme="minorHAnsi" w:hAnsiTheme="minorHAnsi" w:cstheme="minorHAnsi"/>
        </w:rPr>
        <w:t>Public review materials and performance reports will include data, as appropriate under confidentiality regulations, on any written complaints received and how each was resolved.</w:t>
      </w:r>
    </w:p>
    <w:p w:rsidR="00000555" w:rsidRPr="0096386D" w:rsidRDefault="00000555" w:rsidP="00000555">
      <w:pPr>
        <w:jc w:val="both"/>
        <w:rPr>
          <w:rFonts w:asciiTheme="minorHAnsi" w:hAnsiTheme="minorHAnsi" w:cstheme="minorHAnsi"/>
          <w:sz w:val="22"/>
          <w:szCs w:val="22"/>
        </w:rPr>
      </w:pPr>
    </w:p>
    <w:p w:rsidR="00000555" w:rsidRPr="0096386D" w:rsidRDefault="00000555" w:rsidP="00000555">
      <w:pPr>
        <w:widowControl w:val="0"/>
        <w:tabs>
          <w:tab w:val="left" w:pos="204"/>
        </w:tabs>
        <w:autoSpaceDE w:val="0"/>
        <w:autoSpaceDN w:val="0"/>
        <w:jc w:val="both"/>
        <w:rPr>
          <w:rFonts w:asciiTheme="minorHAnsi" w:hAnsiTheme="minorHAnsi" w:cstheme="minorHAnsi"/>
          <w:bCs/>
        </w:rPr>
      </w:pPr>
      <w:r w:rsidRPr="0096386D">
        <w:rPr>
          <w:rFonts w:asciiTheme="minorHAnsi" w:hAnsiTheme="minorHAnsi" w:cstheme="minorHAnsi"/>
          <w:b/>
          <w:bCs/>
        </w:rPr>
        <w:t>Activities Exempt from Substantial Amendment Citizen Participation Requirements</w:t>
      </w:r>
    </w:p>
    <w:p w:rsidR="00000555" w:rsidRPr="0096386D" w:rsidRDefault="00000555" w:rsidP="00000555">
      <w:pPr>
        <w:widowControl w:val="0"/>
        <w:tabs>
          <w:tab w:val="left" w:pos="204"/>
        </w:tabs>
        <w:autoSpaceDE w:val="0"/>
        <w:autoSpaceDN w:val="0"/>
        <w:jc w:val="both"/>
        <w:rPr>
          <w:rFonts w:asciiTheme="minorHAnsi" w:hAnsiTheme="minorHAnsi" w:cstheme="minorHAnsi"/>
          <w:b/>
          <w:bCs/>
          <w:sz w:val="22"/>
          <w:szCs w:val="22"/>
        </w:rPr>
      </w:pPr>
    </w:p>
    <w:p w:rsidR="00000555" w:rsidRPr="003E32DB" w:rsidRDefault="00000555" w:rsidP="00000555">
      <w:pPr>
        <w:widowControl w:val="0"/>
        <w:tabs>
          <w:tab w:val="left" w:pos="204"/>
        </w:tabs>
        <w:autoSpaceDE w:val="0"/>
        <w:autoSpaceDN w:val="0"/>
        <w:jc w:val="both"/>
        <w:rPr>
          <w:rFonts w:asciiTheme="minorHAnsi" w:hAnsiTheme="minorHAnsi" w:cstheme="minorHAnsi"/>
          <w:bCs/>
        </w:rPr>
      </w:pPr>
      <w:r w:rsidRPr="003E32DB">
        <w:rPr>
          <w:rFonts w:asciiTheme="minorHAnsi" w:hAnsiTheme="minorHAnsi" w:cstheme="minorHAnsi"/>
          <w:b/>
          <w:bCs/>
        </w:rPr>
        <w:t>Urgent Needs</w:t>
      </w:r>
    </w:p>
    <w:p w:rsidR="00000555" w:rsidRPr="0096386D" w:rsidRDefault="00000555" w:rsidP="00000555">
      <w:pPr>
        <w:widowControl w:val="0"/>
        <w:tabs>
          <w:tab w:val="left" w:pos="204"/>
        </w:tabs>
        <w:autoSpaceDE w:val="0"/>
        <w:autoSpaceDN w:val="0"/>
        <w:jc w:val="both"/>
        <w:rPr>
          <w:rFonts w:asciiTheme="minorHAnsi" w:hAnsiTheme="minorHAnsi" w:cstheme="minorHAnsi"/>
          <w:bCs/>
          <w:sz w:val="22"/>
          <w:szCs w:val="22"/>
        </w:rPr>
      </w:pPr>
    </w:p>
    <w:p w:rsidR="00000555" w:rsidRPr="003E32DB" w:rsidRDefault="00000555" w:rsidP="00000555">
      <w:pPr>
        <w:widowControl w:val="0"/>
        <w:tabs>
          <w:tab w:val="left" w:pos="204"/>
        </w:tabs>
        <w:autoSpaceDE w:val="0"/>
        <w:autoSpaceDN w:val="0"/>
        <w:jc w:val="both"/>
        <w:rPr>
          <w:rFonts w:asciiTheme="minorHAnsi" w:hAnsiTheme="minorHAnsi" w:cstheme="minorHAnsi"/>
          <w:bCs/>
        </w:rPr>
      </w:pPr>
      <w:r w:rsidRPr="003E32DB">
        <w:rPr>
          <w:rFonts w:asciiTheme="minorHAnsi" w:hAnsiTheme="minorHAnsi" w:cstheme="minorHAnsi"/>
          <w:bCs/>
        </w:rPr>
        <w:t xml:space="preserve">It may be necessary to amend the Consolidated Plan or Annual Action Plan in the event of an emergency such as a natural disaster.  These amendments may include funding new activities and/or the reprogramming of funds including canceling activities to meet community development needs that have a particular urgency.  Therefore, the state of New Mexico, acting through </w:t>
      </w:r>
      <w:r>
        <w:rPr>
          <w:rFonts w:asciiTheme="minorHAnsi" w:hAnsiTheme="minorHAnsi" w:cstheme="minorHAnsi"/>
          <w:bCs/>
        </w:rPr>
        <w:t>MFA</w:t>
      </w:r>
      <w:r w:rsidRPr="003E32DB">
        <w:rPr>
          <w:rFonts w:asciiTheme="minorHAnsi" w:hAnsiTheme="minorHAnsi" w:cstheme="minorHAnsi"/>
          <w:bCs/>
        </w:rPr>
        <w:t xml:space="preserve"> may utilize its HOME funds to meet an urgent need without the normal public comment period, which is otherwise required for substantial amendments.  DFA, through its Community Development Bureau, may administer the CDBG funds for urgent needs in a similar fashion.</w:t>
      </w:r>
    </w:p>
    <w:p w:rsidR="00000555" w:rsidRPr="0096386D" w:rsidRDefault="00000555" w:rsidP="00000555">
      <w:pPr>
        <w:widowControl w:val="0"/>
        <w:tabs>
          <w:tab w:val="left" w:pos="204"/>
        </w:tabs>
        <w:autoSpaceDE w:val="0"/>
        <w:autoSpaceDN w:val="0"/>
        <w:jc w:val="both"/>
        <w:rPr>
          <w:rFonts w:asciiTheme="minorHAnsi" w:hAnsiTheme="minorHAnsi" w:cstheme="minorHAnsi"/>
          <w:bCs/>
          <w:sz w:val="22"/>
          <w:szCs w:val="22"/>
        </w:rPr>
      </w:pPr>
    </w:p>
    <w:p w:rsidR="00000555" w:rsidRPr="003E32DB" w:rsidRDefault="00000555" w:rsidP="00000555">
      <w:pPr>
        <w:widowControl w:val="0"/>
        <w:tabs>
          <w:tab w:val="left" w:pos="204"/>
        </w:tabs>
        <w:autoSpaceDE w:val="0"/>
        <w:autoSpaceDN w:val="0"/>
        <w:jc w:val="both"/>
        <w:rPr>
          <w:rFonts w:asciiTheme="minorHAnsi" w:hAnsiTheme="minorHAnsi" w:cstheme="minorHAnsi"/>
          <w:bCs/>
        </w:rPr>
      </w:pPr>
      <w:r w:rsidRPr="003E32DB">
        <w:rPr>
          <w:rFonts w:asciiTheme="minorHAnsi" w:hAnsiTheme="minorHAnsi" w:cstheme="minorHAnsi"/>
          <w:bCs/>
        </w:rPr>
        <w:t>To comply with the national objective of meeting community development needs having a particular urgency, an activity will alleviate existing conditions that the state of New Mexico certifies:</w:t>
      </w:r>
    </w:p>
    <w:p w:rsidR="00000555" w:rsidRPr="003E32DB" w:rsidRDefault="00000555" w:rsidP="00000555">
      <w:pPr>
        <w:widowControl w:val="0"/>
        <w:tabs>
          <w:tab w:val="left" w:pos="204"/>
        </w:tabs>
        <w:autoSpaceDE w:val="0"/>
        <w:autoSpaceDN w:val="0"/>
        <w:jc w:val="both"/>
        <w:rPr>
          <w:rFonts w:asciiTheme="minorHAnsi" w:hAnsiTheme="minorHAnsi" w:cstheme="minorHAnsi"/>
          <w:bCs/>
        </w:rPr>
      </w:pPr>
    </w:p>
    <w:p w:rsidR="00000555" w:rsidRPr="0096386D" w:rsidRDefault="00000555" w:rsidP="00000555">
      <w:pPr>
        <w:pStyle w:val="ListParagraph"/>
        <w:numPr>
          <w:ilvl w:val="0"/>
          <w:numId w:val="41"/>
        </w:numPr>
        <w:adjustRightInd/>
        <w:contextualSpacing/>
        <w:jc w:val="both"/>
        <w:rPr>
          <w:rFonts w:asciiTheme="minorHAnsi" w:hAnsiTheme="minorHAnsi" w:cstheme="minorHAnsi"/>
          <w:bCs/>
          <w:sz w:val="24"/>
        </w:rPr>
      </w:pPr>
      <w:r w:rsidRPr="0096386D">
        <w:rPr>
          <w:rFonts w:asciiTheme="minorHAnsi" w:hAnsiTheme="minorHAnsi" w:cstheme="minorHAnsi"/>
          <w:bCs/>
          <w:sz w:val="24"/>
        </w:rPr>
        <w:t>Pose a serious and immediate threat to the health and welfare of the community;</w:t>
      </w:r>
    </w:p>
    <w:p w:rsidR="00000555" w:rsidRPr="0096386D" w:rsidRDefault="00000555" w:rsidP="00000555">
      <w:pPr>
        <w:pStyle w:val="ListParagraph"/>
        <w:numPr>
          <w:ilvl w:val="0"/>
          <w:numId w:val="41"/>
        </w:numPr>
        <w:adjustRightInd/>
        <w:contextualSpacing/>
        <w:jc w:val="both"/>
        <w:rPr>
          <w:rFonts w:asciiTheme="minorHAnsi" w:hAnsiTheme="minorHAnsi" w:cstheme="minorHAnsi"/>
          <w:bCs/>
          <w:sz w:val="24"/>
        </w:rPr>
      </w:pPr>
      <w:r w:rsidRPr="0096386D">
        <w:rPr>
          <w:rFonts w:asciiTheme="minorHAnsi" w:hAnsiTheme="minorHAnsi" w:cstheme="minorHAnsi"/>
          <w:bCs/>
          <w:sz w:val="24"/>
        </w:rPr>
        <w:t>Are of recent origin or recently became urgent;</w:t>
      </w:r>
    </w:p>
    <w:p w:rsidR="00000555" w:rsidRPr="0096386D" w:rsidRDefault="00000555" w:rsidP="00000555">
      <w:pPr>
        <w:pStyle w:val="ListParagraph"/>
        <w:numPr>
          <w:ilvl w:val="0"/>
          <w:numId w:val="41"/>
        </w:numPr>
        <w:adjustRightInd/>
        <w:contextualSpacing/>
        <w:jc w:val="both"/>
        <w:rPr>
          <w:rFonts w:asciiTheme="minorHAnsi" w:hAnsiTheme="minorHAnsi" w:cstheme="minorHAnsi"/>
          <w:bCs/>
          <w:sz w:val="24"/>
        </w:rPr>
      </w:pPr>
      <w:r w:rsidRPr="0096386D">
        <w:rPr>
          <w:rFonts w:asciiTheme="minorHAnsi" w:hAnsiTheme="minorHAnsi" w:cstheme="minorHAnsi"/>
          <w:bCs/>
          <w:sz w:val="24"/>
        </w:rPr>
        <w:t>The state and MFA or DFA are unable to finance the activity on its own; or</w:t>
      </w:r>
    </w:p>
    <w:p w:rsidR="00000555" w:rsidRPr="0096386D" w:rsidRDefault="00000555" w:rsidP="00000555">
      <w:pPr>
        <w:pStyle w:val="ListParagraph"/>
        <w:numPr>
          <w:ilvl w:val="0"/>
          <w:numId w:val="41"/>
        </w:numPr>
        <w:tabs>
          <w:tab w:val="left" w:pos="204"/>
        </w:tabs>
        <w:adjustRightInd/>
        <w:contextualSpacing/>
        <w:jc w:val="both"/>
        <w:rPr>
          <w:rFonts w:asciiTheme="minorHAnsi" w:hAnsiTheme="minorHAnsi" w:cstheme="minorHAnsi"/>
          <w:bCs/>
          <w:sz w:val="24"/>
        </w:rPr>
      </w:pPr>
      <w:r w:rsidRPr="0096386D">
        <w:rPr>
          <w:rFonts w:asciiTheme="minorHAnsi" w:hAnsiTheme="minorHAnsi" w:cstheme="minorHAnsi"/>
          <w:bCs/>
          <w:sz w:val="24"/>
        </w:rPr>
        <w:t>Other resources of funding are not available to carry out the activity.</w:t>
      </w:r>
    </w:p>
    <w:p w:rsidR="00000555" w:rsidRPr="0096386D" w:rsidRDefault="00000555" w:rsidP="00000555">
      <w:pPr>
        <w:widowControl w:val="0"/>
        <w:tabs>
          <w:tab w:val="left" w:pos="204"/>
        </w:tabs>
        <w:autoSpaceDE w:val="0"/>
        <w:autoSpaceDN w:val="0"/>
        <w:jc w:val="both"/>
        <w:rPr>
          <w:rFonts w:asciiTheme="minorHAnsi" w:hAnsiTheme="minorHAnsi" w:cstheme="minorHAnsi"/>
          <w:bCs/>
        </w:rPr>
      </w:pPr>
    </w:p>
    <w:p w:rsidR="00000555" w:rsidRPr="003E32DB" w:rsidRDefault="00000555" w:rsidP="00000555">
      <w:pPr>
        <w:widowControl w:val="0"/>
        <w:tabs>
          <w:tab w:val="left" w:pos="204"/>
        </w:tabs>
        <w:autoSpaceDE w:val="0"/>
        <w:autoSpaceDN w:val="0"/>
        <w:jc w:val="both"/>
        <w:rPr>
          <w:rFonts w:asciiTheme="minorHAnsi" w:hAnsiTheme="minorHAnsi" w:cstheme="minorHAnsi"/>
          <w:bCs/>
        </w:rPr>
      </w:pPr>
      <w:r w:rsidRPr="003E32DB">
        <w:rPr>
          <w:rFonts w:asciiTheme="minorHAnsi" w:hAnsiTheme="minorHAnsi" w:cstheme="minorHAnsi"/>
          <w:bCs/>
        </w:rPr>
        <w:t xml:space="preserve">A condition will generally be considered to be of recent origin if it is developed or became critical within 18 months preceding </w:t>
      </w:r>
      <w:r>
        <w:rPr>
          <w:rFonts w:asciiTheme="minorHAnsi" w:hAnsiTheme="minorHAnsi" w:cstheme="minorHAnsi"/>
          <w:bCs/>
        </w:rPr>
        <w:t>MFA</w:t>
      </w:r>
      <w:r w:rsidRPr="003E32DB">
        <w:rPr>
          <w:rFonts w:asciiTheme="minorHAnsi" w:hAnsiTheme="minorHAnsi" w:cstheme="minorHAnsi"/>
          <w:bCs/>
        </w:rPr>
        <w:t>’s or DFA’s certification.</w:t>
      </w:r>
    </w:p>
    <w:p w:rsidR="00000555" w:rsidRPr="003E32DB" w:rsidRDefault="00000555" w:rsidP="00000555">
      <w:pPr>
        <w:jc w:val="both"/>
        <w:rPr>
          <w:rFonts w:asciiTheme="minorHAnsi" w:hAnsiTheme="minorHAnsi"/>
          <w:b/>
        </w:rPr>
      </w:pPr>
    </w:p>
    <w:p w:rsidR="00000555" w:rsidRPr="003E32DB" w:rsidRDefault="00000555" w:rsidP="00000555">
      <w:pPr>
        <w:jc w:val="both"/>
        <w:rPr>
          <w:rFonts w:asciiTheme="minorHAnsi" w:hAnsiTheme="minorHAnsi"/>
          <w:b/>
        </w:rPr>
      </w:pPr>
      <w:r w:rsidRPr="003E32DB">
        <w:rPr>
          <w:rFonts w:asciiTheme="minorHAnsi" w:hAnsiTheme="minorHAnsi"/>
          <w:b/>
        </w:rPr>
        <w:t>Availability of the Citizen Participation Plan</w:t>
      </w:r>
    </w:p>
    <w:p w:rsidR="00000555" w:rsidRPr="003E32DB" w:rsidRDefault="00000555" w:rsidP="00000555">
      <w:pPr>
        <w:jc w:val="both"/>
        <w:rPr>
          <w:rFonts w:asciiTheme="minorHAnsi" w:hAnsiTheme="minorHAnsi" w:cstheme="minorHAnsi"/>
        </w:rPr>
      </w:pPr>
    </w:p>
    <w:p w:rsidR="005B54F2" w:rsidRPr="004653AC" w:rsidRDefault="00000555" w:rsidP="00000555">
      <w:pPr>
        <w:jc w:val="both"/>
        <w:rPr>
          <w:rFonts w:asciiTheme="minorHAnsi" w:hAnsiTheme="minorHAnsi"/>
          <w:highlight w:val="yellow"/>
        </w:rPr>
        <w:sectPr w:rsidR="005B54F2" w:rsidRPr="004653AC" w:rsidSect="00510742">
          <w:headerReference w:type="default" r:id="rId63"/>
          <w:headerReference w:type="first" r:id="rId64"/>
          <w:pgSz w:w="12240" w:h="15840"/>
          <w:pgMar w:top="1440" w:right="1440" w:bottom="1440" w:left="1440" w:header="1080" w:footer="720" w:gutter="0"/>
          <w:cols w:space="720"/>
          <w:titlePg/>
          <w:docGrid w:linePitch="360"/>
        </w:sectPr>
      </w:pPr>
      <w:r w:rsidRPr="003E32DB">
        <w:rPr>
          <w:rFonts w:asciiTheme="minorHAnsi" w:hAnsiTheme="minorHAnsi" w:cstheme="minorHAnsi"/>
        </w:rPr>
        <w:t xml:space="preserve">Copies of the CPP may be obtained from MFA’s website at </w:t>
      </w:r>
      <w:hyperlink r:id="rId65" w:history="1">
        <w:r w:rsidRPr="003E32DB">
          <w:rPr>
            <w:rFonts w:asciiTheme="minorHAnsi" w:hAnsiTheme="minorHAnsi" w:cstheme="minorHAnsi"/>
            <w:color w:val="0000FF"/>
            <w:u w:val="single"/>
          </w:rPr>
          <w:t>www.housingnm.org</w:t>
        </w:r>
      </w:hyperlink>
      <w:r w:rsidRPr="003E32DB">
        <w:rPr>
          <w:rFonts w:asciiTheme="minorHAnsi" w:hAnsiTheme="minorHAnsi" w:cstheme="minorHAnsi"/>
        </w:rPr>
        <w:t xml:space="preserve"> or from DFA’s</w:t>
      </w:r>
      <w:r w:rsidRPr="003E32DB">
        <w:rPr>
          <w:rFonts w:asciiTheme="minorHAnsi" w:hAnsiTheme="minorHAnsi" w:cstheme="minorHAnsi"/>
          <w:u w:val="single"/>
        </w:rPr>
        <w:t xml:space="preserve"> </w:t>
      </w:r>
      <w:r w:rsidRPr="003E32DB">
        <w:rPr>
          <w:rFonts w:asciiTheme="minorHAnsi" w:hAnsiTheme="minorHAnsi" w:cstheme="minorHAnsi"/>
        </w:rPr>
        <w:t>website at</w:t>
      </w:r>
      <w:r w:rsidRPr="003E32DB">
        <w:rPr>
          <w:rFonts w:asciiTheme="minorHAnsi" w:hAnsiTheme="minorHAnsi" w:cstheme="minorHAnsi"/>
          <w:u w:val="single"/>
        </w:rPr>
        <w:t xml:space="preserve"> </w:t>
      </w:r>
      <w:r w:rsidRPr="003E32DB">
        <w:rPr>
          <w:rFonts w:asciiTheme="minorHAnsi" w:hAnsiTheme="minorHAnsi" w:cstheme="minorHAnsi"/>
          <w:color w:val="0000FF"/>
          <w:u w:val="single"/>
        </w:rPr>
        <w:t>http://nmdfa.state.nm.us/Community_Development_Bureau_1.aspx</w:t>
      </w:r>
      <w:r w:rsidRPr="003E32DB">
        <w:rPr>
          <w:rFonts w:asciiTheme="minorHAnsi" w:hAnsiTheme="minorHAnsi" w:cstheme="minorHAnsi"/>
        </w:rPr>
        <w:t xml:space="preserve">. Upon request, </w:t>
      </w:r>
      <w:r>
        <w:rPr>
          <w:rFonts w:asciiTheme="minorHAnsi" w:hAnsiTheme="minorHAnsi" w:cstheme="minorHAnsi"/>
        </w:rPr>
        <w:t>MFA</w:t>
      </w:r>
      <w:r w:rsidRPr="003E32DB">
        <w:rPr>
          <w:rFonts w:asciiTheme="minorHAnsi" w:hAnsiTheme="minorHAnsi" w:cstheme="minorHAnsi"/>
        </w:rPr>
        <w:t xml:space="preserve"> or DFA will make the Plan available in an alternative format accessible to persons with disabilities.</w:t>
      </w:r>
      <w:r w:rsidRPr="003E32DB">
        <w:rPr>
          <w:rFonts w:asciiTheme="minorHAnsi" w:hAnsiTheme="minorHAnsi"/>
          <w:highlight w:val="yellow"/>
        </w:rPr>
        <w:t xml:space="preserve"> </w:t>
      </w:r>
    </w:p>
    <w:p w:rsidR="00F66636" w:rsidRPr="00955C8C" w:rsidRDefault="00F66636" w:rsidP="007A505D">
      <w:pPr>
        <w:jc w:val="both"/>
        <w:rPr>
          <w:rFonts w:ascii="CG Omega" w:hAnsi="CG Omega"/>
          <w:b/>
          <w:smallCaps/>
          <w:sz w:val="10"/>
          <w:szCs w:val="10"/>
          <w:highlight w:val="yellow"/>
        </w:rPr>
      </w:pPr>
      <w:r w:rsidRPr="00955C8C">
        <w:rPr>
          <w:sz w:val="10"/>
          <w:szCs w:val="10"/>
          <w:highlight w:val="yellow"/>
        </w:rPr>
        <w:fldChar w:fldCharType="begin"/>
      </w:r>
      <w:r w:rsidRPr="00955C8C">
        <w:rPr>
          <w:sz w:val="10"/>
          <w:szCs w:val="10"/>
          <w:highlight w:val="yellow"/>
        </w:rPr>
        <w:instrText xml:space="preserve"> TC  "</w:instrText>
      </w:r>
      <w:bookmarkStart w:id="140" w:name="_Toc399834595"/>
      <w:r w:rsidRPr="00955C8C">
        <w:rPr>
          <w:sz w:val="10"/>
          <w:szCs w:val="10"/>
          <w:highlight w:val="yellow"/>
        </w:rPr>
        <w:instrText>Appendix B: Analysis of Impediments to Fair Housing Choice</w:instrText>
      </w:r>
      <w:bookmarkEnd w:id="140"/>
      <w:r w:rsidRPr="00955C8C">
        <w:rPr>
          <w:sz w:val="10"/>
          <w:szCs w:val="10"/>
          <w:highlight w:val="yellow"/>
        </w:rPr>
        <w:instrText xml:space="preserve">" </w:instrText>
      </w:r>
      <w:r w:rsidRPr="00955C8C">
        <w:rPr>
          <w:sz w:val="10"/>
          <w:szCs w:val="10"/>
          <w:highlight w:val="yellow"/>
        </w:rPr>
        <w:fldChar w:fldCharType="end"/>
      </w:r>
    </w:p>
    <w:p w:rsidR="00E3004B" w:rsidRPr="00FB215A" w:rsidRDefault="00E3004B" w:rsidP="00E3004B">
      <w:pPr>
        <w:pStyle w:val="WESHeading3"/>
      </w:pPr>
      <w:r>
        <w:t>Analysis of Impediments to Fair Housing Choice -</w:t>
      </w:r>
      <w:r w:rsidRPr="00FB215A">
        <w:t xml:space="preserve"> Purpose and Process</w:t>
      </w:r>
    </w:p>
    <w:p w:rsidR="00E3004B" w:rsidRPr="00FB215A" w:rsidRDefault="00E3004B" w:rsidP="00E3004B"/>
    <w:p w:rsidR="00E3004B" w:rsidRPr="00000555" w:rsidRDefault="00E3004B" w:rsidP="00E3004B">
      <w:pPr>
        <w:pStyle w:val="WESNormaltext"/>
        <w:rPr>
          <w:sz w:val="24"/>
          <w:szCs w:val="24"/>
        </w:rPr>
      </w:pPr>
      <w:r w:rsidRPr="00000555">
        <w:rPr>
          <w:iCs/>
          <w:sz w:val="24"/>
          <w:szCs w:val="24"/>
        </w:rPr>
        <w:t>As a requirement of receiving funds under the Community Development Block Grant (CDBG), the HOME Investment Partnerships (HOME), and the Emergency Solutions Grant (ESG), entitlement jurisdictions must submit certification of affirmatively furthering fair housing to the U.S. Department of Housing and Urban Development (HUD). This certificati</w:t>
      </w:r>
      <w:r w:rsidRPr="00000555">
        <w:rPr>
          <w:sz w:val="24"/>
          <w:szCs w:val="24"/>
        </w:rPr>
        <w:t>on has three elements:</w:t>
      </w:r>
    </w:p>
    <w:p w:rsidR="00E3004B" w:rsidRPr="00000555" w:rsidRDefault="00E3004B" w:rsidP="00E3004B">
      <w:pPr>
        <w:pStyle w:val="WESNormaltext"/>
        <w:rPr>
          <w:sz w:val="24"/>
          <w:szCs w:val="24"/>
        </w:rPr>
      </w:pPr>
    </w:p>
    <w:p w:rsidR="00E3004B" w:rsidRPr="00000555" w:rsidRDefault="00E3004B" w:rsidP="00E3004B">
      <w:pPr>
        <w:pStyle w:val="WESNormaltext"/>
        <w:numPr>
          <w:ilvl w:val="0"/>
          <w:numId w:val="52"/>
        </w:numPr>
        <w:rPr>
          <w:sz w:val="24"/>
          <w:szCs w:val="24"/>
        </w:rPr>
      </w:pPr>
      <w:bookmarkStart w:id="141" w:name="_Ref332980996"/>
      <w:r w:rsidRPr="00000555">
        <w:rPr>
          <w:sz w:val="24"/>
          <w:szCs w:val="24"/>
        </w:rPr>
        <w:t>Complete an Analysis of Impediments to Fair Housing Choice (AI)</w:t>
      </w:r>
      <w:bookmarkEnd w:id="141"/>
      <w:r w:rsidR="00000555">
        <w:rPr>
          <w:sz w:val="24"/>
          <w:szCs w:val="24"/>
        </w:rPr>
        <w:t>.</w:t>
      </w:r>
    </w:p>
    <w:p w:rsidR="00E3004B" w:rsidRPr="00000555" w:rsidRDefault="00E3004B" w:rsidP="00E3004B">
      <w:pPr>
        <w:pStyle w:val="WESNormaltext"/>
        <w:numPr>
          <w:ilvl w:val="0"/>
          <w:numId w:val="52"/>
        </w:numPr>
        <w:rPr>
          <w:sz w:val="24"/>
          <w:szCs w:val="24"/>
        </w:rPr>
      </w:pPr>
      <w:r w:rsidRPr="00000555">
        <w:rPr>
          <w:sz w:val="24"/>
          <w:szCs w:val="24"/>
        </w:rPr>
        <w:t xml:space="preserve">Take actions to overcome the effects of </w:t>
      </w:r>
      <w:r w:rsidR="00000555">
        <w:rPr>
          <w:sz w:val="24"/>
          <w:szCs w:val="24"/>
        </w:rPr>
        <w:t>any impediments identified.</w:t>
      </w:r>
    </w:p>
    <w:p w:rsidR="00E3004B" w:rsidRPr="00000555" w:rsidRDefault="00E3004B" w:rsidP="00E3004B">
      <w:pPr>
        <w:pStyle w:val="WESNormaltext"/>
        <w:numPr>
          <w:ilvl w:val="0"/>
          <w:numId w:val="52"/>
        </w:numPr>
        <w:rPr>
          <w:sz w:val="24"/>
          <w:szCs w:val="24"/>
        </w:rPr>
      </w:pPr>
      <w:r w:rsidRPr="00000555">
        <w:rPr>
          <w:sz w:val="24"/>
          <w:szCs w:val="24"/>
        </w:rPr>
        <w:t>Maintain records reflecting the actions taken in response to the analysis.</w:t>
      </w:r>
    </w:p>
    <w:p w:rsidR="00E3004B" w:rsidRPr="00000555" w:rsidRDefault="00E3004B" w:rsidP="00E3004B">
      <w:pPr>
        <w:pStyle w:val="WESNormaltext"/>
        <w:rPr>
          <w:iCs/>
          <w:sz w:val="24"/>
          <w:szCs w:val="24"/>
        </w:rPr>
      </w:pPr>
    </w:p>
    <w:p w:rsidR="00E3004B" w:rsidRPr="00000555" w:rsidRDefault="00E3004B" w:rsidP="00E3004B">
      <w:pPr>
        <w:pStyle w:val="WESNormaltext"/>
        <w:rPr>
          <w:sz w:val="24"/>
          <w:szCs w:val="24"/>
        </w:rPr>
      </w:pPr>
      <w:r w:rsidRPr="00000555">
        <w:rPr>
          <w:sz w:val="24"/>
          <w:szCs w:val="24"/>
        </w:rPr>
        <w:t>In the</w:t>
      </w:r>
      <w:r w:rsidRPr="00000555">
        <w:rPr>
          <w:i/>
          <w:sz w:val="24"/>
          <w:szCs w:val="24"/>
        </w:rPr>
        <w:t xml:space="preserve"> Fair Housing Planning Guide</w:t>
      </w:r>
      <w:r w:rsidRPr="00000555">
        <w:rPr>
          <w:sz w:val="24"/>
          <w:szCs w:val="24"/>
        </w:rPr>
        <w:t xml:space="preserve">, page 2-8, HUD provides a definition of impediments to fair housing choice as: </w:t>
      </w:r>
    </w:p>
    <w:p w:rsidR="00E3004B" w:rsidRPr="00000555" w:rsidRDefault="00E3004B" w:rsidP="00E3004B">
      <w:pPr>
        <w:pStyle w:val="WESNormaltext"/>
        <w:rPr>
          <w:sz w:val="24"/>
          <w:szCs w:val="24"/>
        </w:rPr>
      </w:pPr>
    </w:p>
    <w:p w:rsidR="00E3004B" w:rsidRPr="00000555" w:rsidRDefault="00E3004B" w:rsidP="00E3004B">
      <w:pPr>
        <w:pStyle w:val="WESNormaltext"/>
        <w:numPr>
          <w:ilvl w:val="0"/>
          <w:numId w:val="51"/>
        </w:numPr>
        <w:rPr>
          <w:sz w:val="24"/>
          <w:szCs w:val="24"/>
        </w:rPr>
      </w:pPr>
      <w:r w:rsidRPr="00000555">
        <w:rPr>
          <w:sz w:val="24"/>
          <w:szCs w:val="24"/>
        </w:rPr>
        <w:t>Any actions, omissions, or decisions taken because of race, color, religion, sex, disability, familial status, or national origin which restrict housing choices or the availability of housing choices [and]</w:t>
      </w:r>
    </w:p>
    <w:p w:rsidR="00E3004B" w:rsidRPr="00000555" w:rsidRDefault="00E3004B" w:rsidP="00E3004B">
      <w:pPr>
        <w:pStyle w:val="WESNormaltext"/>
        <w:numPr>
          <w:ilvl w:val="0"/>
          <w:numId w:val="51"/>
        </w:numPr>
        <w:rPr>
          <w:sz w:val="24"/>
          <w:szCs w:val="24"/>
        </w:rPr>
      </w:pPr>
      <w:r w:rsidRPr="00000555">
        <w:rPr>
          <w:sz w:val="24"/>
          <w:szCs w:val="24"/>
        </w:rPr>
        <w:t>Any actions, omissions, or decisions which have [this] effect.</w:t>
      </w:r>
      <w:r w:rsidRPr="00000555">
        <w:rPr>
          <w:rStyle w:val="FootnoteReference"/>
          <w:sz w:val="24"/>
          <w:szCs w:val="24"/>
        </w:rPr>
        <w:footnoteReference w:id="89"/>
      </w:r>
    </w:p>
    <w:p w:rsidR="00E3004B" w:rsidRPr="00000555" w:rsidRDefault="00E3004B" w:rsidP="00E3004B">
      <w:pPr>
        <w:pStyle w:val="WESNormaltext"/>
        <w:rPr>
          <w:b/>
          <w:sz w:val="24"/>
          <w:szCs w:val="24"/>
        </w:rPr>
      </w:pPr>
      <w:bookmarkStart w:id="142" w:name="OLE_LINK7"/>
    </w:p>
    <w:p w:rsidR="00E3004B" w:rsidRPr="00000555" w:rsidRDefault="00E3004B" w:rsidP="00E3004B">
      <w:pPr>
        <w:pStyle w:val="WESNormaltext"/>
        <w:rPr>
          <w:sz w:val="24"/>
          <w:szCs w:val="24"/>
        </w:rPr>
      </w:pPr>
      <w:r w:rsidRPr="00000555">
        <w:rPr>
          <w:sz w:val="24"/>
          <w:szCs w:val="24"/>
        </w:rPr>
        <w:t>The list of protected classes included in the above definition is drawn from the federal Fair Housing Act, which was first enacted in 1968. However, state and local governments may enact fair housing laws that extend protection to other groups, and the AI is expected to address housing choice for these additional protected classes as well.  In New Mexico, Human Rights Law has extended protections based on physical or mental handicap, serious medical condition, spousal affiliation, ancestry, age, sexual orientation, and gender identity</w:t>
      </w:r>
      <w:r w:rsidRPr="00000555">
        <w:rPr>
          <w:rStyle w:val="FootnoteReference"/>
          <w:sz w:val="24"/>
          <w:szCs w:val="24"/>
        </w:rPr>
        <w:footnoteReference w:id="90"/>
      </w:r>
      <w:r w:rsidRPr="00000555">
        <w:rPr>
          <w:sz w:val="24"/>
          <w:szCs w:val="24"/>
        </w:rPr>
        <w:t>.</w:t>
      </w:r>
    </w:p>
    <w:p w:rsidR="00E3004B" w:rsidRPr="00000555" w:rsidRDefault="00E3004B" w:rsidP="00E3004B">
      <w:pPr>
        <w:pStyle w:val="WESNormaltext"/>
        <w:rPr>
          <w:sz w:val="24"/>
          <w:szCs w:val="24"/>
        </w:rPr>
      </w:pPr>
    </w:p>
    <w:p w:rsidR="00E3004B" w:rsidRPr="00000555" w:rsidRDefault="00E3004B" w:rsidP="00E3004B">
      <w:pPr>
        <w:pStyle w:val="WESNormaltext"/>
        <w:rPr>
          <w:sz w:val="24"/>
          <w:szCs w:val="24"/>
        </w:rPr>
      </w:pPr>
      <w:r w:rsidRPr="00000555">
        <w:rPr>
          <w:sz w:val="24"/>
          <w:szCs w:val="24"/>
        </w:rPr>
        <w:t xml:space="preserve">The AI process affirmatively furthers fair housing involves a thorough examination of a variety of sources related to housing, the fair housing delivery system, and housing transactions, particularly for persons who are protected under fair housing law. </w:t>
      </w:r>
    </w:p>
    <w:bookmarkEnd w:id="142"/>
    <w:p w:rsidR="00E3004B" w:rsidRPr="00000555" w:rsidRDefault="00E3004B" w:rsidP="00E3004B">
      <w:pPr>
        <w:pStyle w:val="WESNormaltext"/>
        <w:rPr>
          <w:sz w:val="24"/>
          <w:szCs w:val="24"/>
        </w:rPr>
      </w:pPr>
    </w:p>
    <w:p w:rsidR="00E3004B" w:rsidRPr="00000555" w:rsidRDefault="00E3004B" w:rsidP="00E3004B">
      <w:pPr>
        <w:pStyle w:val="WESNormaltext"/>
        <w:rPr>
          <w:sz w:val="24"/>
          <w:szCs w:val="24"/>
        </w:rPr>
      </w:pPr>
      <w:r w:rsidRPr="00000555">
        <w:rPr>
          <w:sz w:val="24"/>
          <w:szCs w:val="24"/>
        </w:rPr>
        <w:t xml:space="preserve">The development of an AI also includes public input and review via direct contact with stakeholders, public meetings to collect input from citizens and interested parties, distribution of draft reports for citizen review, and formal presentations of findings and impediments, along with actions to overcome the identified impediments. </w:t>
      </w:r>
    </w:p>
    <w:p w:rsidR="00E3004B" w:rsidRPr="00000555" w:rsidRDefault="00E3004B" w:rsidP="00E3004B"/>
    <w:p w:rsidR="00E3004B" w:rsidRPr="00000555" w:rsidRDefault="00E3004B" w:rsidP="00E3004B">
      <w:pPr>
        <w:pStyle w:val="WESHeading3"/>
        <w:rPr>
          <w:szCs w:val="24"/>
        </w:rPr>
      </w:pPr>
      <w:bookmarkStart w:id="143" w:name="OLE_LINK18"/>
      <w:bookmarkStart w:id="144" w:name="OLE_LINK17"/>
      <w:r w:rsidRPr="00000555">
        <w:rPr>
          <w:szCs w:val="24"/>
        </w:rPr>
        <w:t>Impediments to Fair Housing Choice And Suggested Actions</w:t>
      </w:r>
      <w:bookmarkEnd w:id="143"/>
      <w:bookmarkEnd w:id="144"/>
    </w:p>
    <w:p w:rsidR="00E3004B" w:rsidRPr="00000555" w:rsidRDefault="00E3004B" w:rsidP="00E3004B">
      <w:pPr>
        <w:pStyle w:val="WESNormaltext"/>
        <w:rPr>
          <w:sz w:val="24"/>
          <w:szCs w:val="24"/>
        </w:rPr>
      </w:pPr>
    </w:p>
    <w:p w:rsidR="00E3004B" w:rsidRPr="00000555" w:rsidRDefault="00E3004B" w:rsidP="00E3004B">
      <w:pPr>
        <w:pStyle w:val="WESHeading4"/>
        <w:rPr>
          <w:i/>
          <w:sz w:val="24"/>
          <w:szCs w:val="24"/>
        </w:rPr>
      </w:pPr>
      <w:r w:rsidRPr="00000555">
        <w:rPr>
          <w:i/>
          <w:sz w:val="24"/>
          <w:szCs w:val="24"/>
        </w:rPr>
        <w:t>Private Sector Impediments, Suggested Actions, and Measurable Objectives</w:t>
      </w:r>
    </w:p>
    <w:p w:rsidR="00E3004B" w:rsidRPr="00000555" w:rsidRDefault="00E3004B" w:rsidP="00E3004B">
      <w:pPr>
        <w:pStyle w:val="WESNormaltext"/>
        <w:rPr>
          <w:i/>
          <w:sz w:val="24"/>
          <w:szCs w:val="24"/>
          <w:highlight w:val="yellow"/>
        </w:rPr>
      </w:pPr>
    </w:p>
    <w:p w:rsidR="00E3004B" w:rsidRPr="00000555" w:rsidRDefault="00E3004B" w:rsidP="00E3004B">
      <w:pPr>
        <w:pStyle w:val="WESNormaltext"/>
        <w:rPr>
          <w:b/>
          <w:bCs/>
          <w:sz w:val="24"/>
          <w:szCs w:val="24"/>
          <w:highlight w:val="yellow"/>
        </w:rPr>
      </w:pPr>
      <w:r w:rsidRPr="00000555">
        <w:rPr>
          <w:b/>
          <w:i/>
          <w:sz w:val="24"/>
          <w:szCs w:val="24"/>
        </w:rPr>
        <w:t>Impediment 1</w:t>
      </w:r>
      <w:r w:rsidRPr="00000555">
        <w:rPr>
          <w:b/>
          <w:sz w:val="24"/>
          <w:szCs w:val="24"/>
        </w:rPr>
        <w:t xml:space="preserve">: </w:t>
      </w:r>
      <w:r w:rsidRPr="00000555">
        <w:rPr>
          <w:b/>
          <w:bCs/>
          <w:sz w:val="24"/>
          <w:szCs w:val="24"/>
        </w:rPr>
        <w:t>More frequent denial of home purchase loans to American Indian and Hispanic residents:</w:t>
      </w:r>
      <w:r w:rsidRPr="00000555">
        <w:rPr>
          <w:bCs/>
          <w:sz w:val="24"/>
          <w:szCs w:val="24"/>
        </w:rPr>
        <w:t xml:space="preserve"> This impediment was identified through review of data collected through the Home Mortgage Disclosure Act (HMDA), review of the geographic distribution of home purchase loan denials. Loan applications from American Indian applicants were denied 48.8 percent of the time on average between 2004 and 2012, compared to an average denial rate of 24.6 percent for all applicants. Similarly, 31.2 percent of home loan applications from Hispanic applicants were denied compared to an average rate of 19.4 percent for all applicants. Review of the geographic distribution of home purchase loan denials revealed that these loans tended to be concentrated in areas with high proportions of American Indian and Hispanic residents.</w:t>
      </w:r>
    </w:p>
    <w:p w:rsidR="00E3004B" w:rsidRPr="00000555" w:rsidRDefault="00E3004B" w:rsidP="00E3004B">
      <w:pPr>
        <w:pStyle w:val="WESNormaltext"/>
        <w:ind w:left="720" w:hanging="720"/>
        <w:rPr>
          <w:sz w:val="24"/>
          <w:szCs w:val="24"/>
          <w:highlight w:val="yellow"/>
        </w:rPr>
      </w:pPr>
    </w:p>
    <w:p w:rsidR="00E3004B" w:rsidRPr="00000555" w:rsidRDefault="00E3004B" w:rsidP="00E3004B">
      <w:pPr>
        <w:pStyle w:val="WESNormaltext"/>
        <w:ind w:left="1440" w:hanging="720"/>
        <w:rPr>
          <w:sz w:val="24"/>
          <w:szCs w:val="24"/>
        </w:rPr>
      </w:pPr>
      <w:r w:rsidRPr="00000555">
        <w:rPr>
          <w:i/>
          <w:sz w:val="24"/>
          <w:szCs w:val="24"/>
        </w:rPr>
        <w:t>Action 1.1</w:t>
      </w:r>
      <w:r w:rsidRPr="00000555">
        <w:rPr>
          <w:sz w:val="24"/>
          <w:szCs w:val="24"/>
        </w:rPr>
        <w:t xml:space="preserve">: Educate buyers through credit counseling and home purchase training. </w:t>
      </w:r>
    </w:p>
    <w:p w:rsidR="00E3004B" w:rsidRPr="00000555" w:rsidRDefault="00E3004B" w:rsidP="00000555">
      <w:pPr>
        <w:pStyle w:val="WESNormaltext"/>
        <w:ind w:left="720"/>
        <w:rPr>
          <w:sz w:val="24"/>
          <w:szCs w:val="24"/>
        </w:rPr>
      </w:pPr>
      <w:r w:rsidRPr="00000555">
        <w:rPr>
          <w:i/>
          <w:sz w:val="24"/>
          <w:szCs w:val="24"/>
        </w:rPr>
        <w:t>Measurable Objective 1.1</w:t>
      </w:r>
      <w:r w:rsidRPr="00000555">
        <w:rPr>
          <w:sz w:val="24"/>
          <w:szCs w:val="24"/>
        </w:rPr>
        <w:t>: The number of outreach and educational activities conducted, and number of clients who have participated in those activities.</w:t>
      </w:r>
    </w:p>
    <w:p w:rsidR="00E3004B" w:rsidRPr="00000555" w:rsidRDefault="00E3004B" w:rsidP="00E3004B">
      <w:pPr>
        <w:pStyle w:val="WESNormaltext"/>
        <w:ind w:left="1440" w:hanging="720"/>
        <w:rPr>
          <w:i/>
          <w:sz w:val="24"/>
          <w:szCs w:val="24"/>
          <w:highlight w:val="yellow"/>
        </w:rPr>
      </w:pPr>
    </w:p>
    <w:p w:rsidR="00E3004B" w:rsidRPr="00000555" w:rsidRDefault="00E3004B" w:rsidP="00E3004B">
      <w:pPr>
        <w:pStyle w:val="WESNormaltext"/>
        <w:rPr>
          <w:b/>
          <w:bCs/>
          <w:sz w:val="24"/>
          <w:szCs w:val="24"/>
        </w:rPr>
      </w:pPr>
      <w:r w:rsidRPr="00000555">
        <w:rPr>
          <w:b/>
          <w:i/>
          <w:sz w:val="24"/>
          <w:szCs w:val="24"/>
        </w:rPr>
        <w:t>Impediment 2</w:t>
      </w:r>
      <w:r w:rsidRPr="00000555">
        <w:rPr>
          <w:b/>
          <w:sz w:val="24"/>
          <w:szCs w:val="24"/>
        </w:rPr>
        <w:t xml:space="preserve">: </w:t>
      </w:r>
      <w:r w:rsidRPr="00000555">
        <w:rPr>
          <w:b/>
          <w:bCs/>
          <w:sz w:val="24"/>
          <w:szCs w:val="24"/>
        </w:rPr>
        <w:t xml:space="preserve">Predatory style lending falls more heavily on Native American and Hispanic borrowers: </w:t>
      </w:r>
      <w:r w:rsidRPr="00000555">
        <w:rPr>
          <w:bCs/>
          <w:sz w:val="24"/>
          <w:szCs w:val="24"/>
        </w:rPr>
        <w:t>This impediment was identified through data collected through the HMDA, review of the geographic distribution of high annual percentage rate loans (HALs), and results of the 2014 Fair Housing Survey. American Indian residents who were able to secure a loan were charged high annual percentage rates in 28.5 percent of those loans. This is more than twice the rate at which these loans were issued to all borrowers in non-entitlement areas of the state. Similarly, one in five loans that Hispanic borrowers received were HALs, compared to 11.4 percent for non-Hispanic borrowers. In addition, these HALs were largely concentrated in the northwestern portion of the state, an area with high concentrations of American Indian residents, and much of which lay within tribal reservation boundaries.</w:t>
      </w:r>
    </w:p>
    <w:p w:rsidR="00E3004B" w:rsidRPr="00000555" w:rsidRDefault="00E3004B" w:rsidP="00E3004B">
      <w:pPr>
        <w:pStyle w:val="WESNormaltext"/>
        <w:ind w:left="720" w:hanging="720"/>
        <w:rPr>
          <w:sz w:val="24"/>
          <w:szCs w:val="24"/>
          <w:highlight w:val="yellow"/>
        </w:rPr>
      </w:pPr>
    </w:p>
    <w:p w:rsidR="00E3004B" w:rsidRPr="00000555" w:rsidRDefault="00E3004B" w:rsidP="00E3004B">
      <w:pPr>
        <w:pStyle w:val="WESNormaltext"/>
        <w:ind w:left="1440" w:hanging="720"/>
        <w:rPr>
          <w:sz w:val="24"/>
          <w:szCs w:val="24"/>
        </w:rPr>
      </w:pPr>
      <w:r w:rsidRPr="00000555">
        <w:rPr>
          <w:i/>
          <w:sz w:val="24"/>
          <w:szCs w:val="24"/>
        </w:rPr>
        <w:t>Action 2.1</w:t>
      </w:r>
      <w:r w:rsidRPr="00000555">
        <w:rPr>
          <w:sz w:val="24"/>
          <w:szCs w:val="24"/>
        </w:rPr>
        <w:t xml:space="preserve">: Educate buyers through credit counseling and home purchase training. </w:t>
      </w:r>
    </w:p>
    <w:p w:rsidR="00E3004B" w:rsidRPr="00000555" w:rsidRDefault="00E3004B" w:rsidP="00000555">
      <w:pPr>
        <w:pStyle w:val="WESNormaltext"/>
        <w:ind w:left="720"/>
        <w:rPr>
          <w:sz w:val="24"/>
          <w:szCs w:val="24"/>
        </w:rPr>
      </w:pPr>
      <w:r w:rsidRPr="00000555">
        <w:rPr>
          <w:i/>
          <w:sz w:val="24"/>
          <w:szCs w:val="24"/>
        </w:rPr>
        <w:t>Measurable Objective 2.1</w:t>
      </w:r>
      <w:r w:rsidRPr="00000555">
        <w:rPr>
          <w:sz w:val="24"/>
          <w:szCs w:val="24"/>
        </w:rPr>
        <w:t>: The number of outreach and educational activities conducted, and number of clients who have participated in those activities.</w:t>
      </w:r>
    </w:p>
    <w:p w:rsidR="00E3004B" w:rsidRPr="00000555" w:rsidRDefault="00E3004B" w:rsidP="00E3004B">
      <w:pPr>
        <w:pStyle w:val="WESNormaltext"/>
        <w:rPr>
          <w:i/>
          <w:sz w:val="24"/>
          <w:szCs w:val="24"/>
          <w:highlight w:val="yellow"/>
        </w:rPr>
      </w:pPr>
    </w:p>
    <w:p w:rsidR="00E3004B" w:rsidRPr="00000555" w:rsidRDefault="00E3004B" w:rsidP="00E3004B">
      <w:pPr>
        <w:pStyle w:val="WESNormaltext"/>
        <w:rPr>
          <w:sz w:val="24"/>
          <w:szCs w:val="24"/>
        </w:rPr>
      </w:pPr>
      <w:r w:rsidRPr="00000555">
        <w:rPr>
          <w:b/>
          <w:i/>
          <w:sz w:val="24"/>
          <w:szCs w:val="24"/>
        </w:rPr>
        <w:t>Impediment 3</w:t>
      </w:r>
      <w:r w:rsidRPr="00000555">
        <w:rPr>
          <w:b/>
          <w:sz w:val="24"/>
          <w:szCs w:val="24"/>
        </w:rPr>
        <w:t>: Discriminatory terms, conditions, and privileges relating to rental</w:t>
      </w:r>
      <w:r w:rsidRPr="00000555">
        <w:rPr>
          <w:b/>
          <w:bCs/>
          <w:sz w:val="24"/>
          <w:szCs w:val="24"/>
        </w:rPr>
        <w:t xml:space="preserve">: </w:t>
      </w:r>
      <w:r w:rsidRPr="00000555">
        <w:rPr>
          <w:bCs/>
          <w:sz w:val="24"/>
          <w:szCs w:val="24"/>
        </w:rPr>
        <w:t>This impediment was identified through review of fair housing complaints submitted to HUD by residents of non-entitlement areas of New Mexico. Complaints alleging this specific type of discrimination figured strongly in all of the complaints HUD received from 2004 through 2013, as well as the portion of those complaints found to have cause.</w:t>
      </w:r>
    </w:p>
    <w:p w:rsidR="00E3004B" w:rsidRPr="00000555" w:rsidRDefault="00E3004B" w:rsidP="00E3004B">
      <w:pPr>
        <w:rPr>
          <w:rFonts w:ascii="CG Omega" w:hAnsi="CG Omega"/>
          <w:i/>
        </w:rPr>
      </w:pPr>
    </w:p>
    <w:p w:rsidR="00E3004B" w:rsidRPr="00000555" w:rsidRDefault="00E3004B" w:rsidP="00000555">
      <w:pPr>
        <w:pStyle w:val="WESNormaltext"/>
        <w:ind w:left="720"/>
        <w:rPr>
          <w:sz w:val="24"/>
          <w:szCs w:val="24"/>
        </w:rPr>
      </w:pPr>
      <w:r w:rsidRPr="00000555">
        <w:rPr>
          <w:i/>
          <w:sz w:val="24"/>
          <w:szCs w:val="24"/>
        </w:rPr>
        <w:t>Action 3.1</w:t>
      </w:r>
      <w:r w:rsidRPr="00000555">
        <w:rPr>
          <w:sz w:val="24"/>
          <w:szCs w:val="24"/>
        </w:rPr>
        <w:t>: Continue to educate landlords and property management companies about fair housing rights through training and counseling sessions.</w:t>
      </w:r>
    </w:p>
    <w:p w:rsidR="00E3004B" w:rsidRPr="00000555" w:rsidRDefault="00E3004B" w:rsidP="00000555">
      <w:pPr>
        <w:pStyle w:val="WESNormaltext"/>
        <w:ind w:left="720"/>
        <w:rPr>
          <w:sz w:val="24"/>
          <w:szCs w:val="24"/>
        </w:rPr>
      </w:pPr>
      <w:r w:rsidRPr="00000555">
        <w:rPr>
          <w:i/>
          <w:sz w:val="24"/>
          <w:szCs w:val="24"/>
        </w:rPr>
        <w:t>Measurable Objective 3.1</w:t>
      </w:r>
      <w:r w:rsidRPr="00000555">
        <w:rPr>
          <w:sz w:val="24"/>
          <w:szCs w:val="24"/>
        </w:rPr>
        <w:t>: The number of outreach and educational activities conducted, and number of landlords and other housing providers who have participated in those activities.</w:t>
      </w:r>
    </w:p>
    <w:p w:rsidR="00E3004B" w:rsidRPr="00000555" w:rsidRDefault="00E3004B" w:rsidP="00000555">
      <w:pPr>
        <w:pStyle w:val="WESNormaltext"/>
        <w:rPr>
          <w:i/>
          <w:sz w:val="24"/>
          <w:szCs w:val="24"/>
          <w:highlight w:val="yellow"/>
        </w:rPr>
      </w:pPr>
    </w:p>
    <w:p w:rsidR="00E3004B" w:rsidRPr="00000555" w:rsidRDefault="00E3004B" w:rsidP="00E3004B">
      <w:pPr>
        <w:pStyle w:val="WESNormaltext"/>
        <w:rPr>
          <w:b/>
          <w:sz w:val="24"/>
          <w:szCs w:val="24"/>
        </w:rPr>
      </w:pPr>
      <w:r w:rsidRPr="00000555">
        <w:rPr>
          <w:b/>
          <w:i/>
          <w:sz w:val="24"/>
          <w:szCs w:val="24"/>
        </w:rPr>
        <w:t>Impediment 4</w:t>
      </w:r>
      <w:r w:rsidRPr="00000555">
        <w:rPr>
          <w:b/>
          <w:sz w:val="24"/>
          <w:szCs w:val="24"/>
        </w:rPr>
        <w:t xml:space="preserve">: </w:t>
      </w:r>
      <w:r w:rsidRPr="00000555">
        <w:rPr>
          <w:b/>
          <w:bCs/>
          <w:sz w:val="24"/>
          <w:szCs w:val="24"/>
        </w:rPr>
        <w:t>Discriminatory refusal to rent:</w:t>
      </w:r>
      <w:r w:rsidRPr="00000555">
        <w:rPr>
          <w:bCs/>
          <w:sz w:val="24"/>
          <w:szCs w:val="24"/>
        </w:rPr>
        <w:t xml:space="preserve"> This impediment was also identified through review of complaints submitted to HUD. This complaint figured strongly among all complaints collected by HUD, as well as those that were determined to have cause.</w:t>
      </w:r>
    </w:p>
    <w:p w:rsidR="00E3004B" w:rsidRPr="00000555" w:rsidRDefault="00E3004B" w:rsidP="00E3004B">
      <w:pPr>
        <w:pStyle w:val="WESNormaltext"/>
        <w:ind w:left="720" w:hanging="720"/>
        <w:rPr>
          <w:sz w:val="24"/>
          <w:szCs w:val="24"/>
          <w:highlight w:val="yellow"/>
        </w:rPr>
      </w:pPr>
    </w:p>
    <w:p w:rsidR="00E3004B" w:rsidRPr="00000555" w:rsidRDefault="00E3004B" w:rsidP="00000555">
      <w:pPr>
        <w:pStyle w:val="WESNormaltext"/>
        <w:ind w:left="720"/>
        <w:rPr>
          <w:sz w:val="24"/>
          <w:szCs w:val="24"/>
        </w:rPr>
      </w:pPr>
      <w:r w:rsidRPr="00000555">
        <w:rPr>
          <w:i/>
          <w:sz w:val="24"/>
          <w:szCs w:val="24"/>
        </w:rPr>
        <w:t>Action 4</w:t>
      </w:r>
      <w:r w:rsidRPr="00000555">
        <w:rPr>
          <w:sz w:val="24"/>
          <w:szCs w:val="24"/>
        </w:rPr>
        <w:t>.1: Increase outreach and educational efforts to increase awareness of fair housing and affirmatively furthering fair housing among property managers and landlords.</w:t>
      </w:r>
    </w:p>
    <w:p w:rsidR="00E3004B" w:rsidRPr="00000555" w:rsidRDefault="00E3004B" w:rsidP="00000555">
      <w:pPr>
        <w:pStyle w:val="WESNormaltext"/>
        <w:ind w:left="720"/>
        <w:rPr>
          <w:sz w:val="24"/>
          <w:szCs w:val="24"/>
        </w:rPr>
      </w:pPr>
      <w:r w:rsidRPr="00000555">
        <w:rPr>
          <w:i/>
          <w:sz w:val="24"/>
          <w:szCs w:val="24"/>
        </w:rPr>
        <w:t>Measurable Objective 4.1</w:t>
      </w:r>
      <w:r w:rsidRPr="00000555">
        <w:rPr>
          <w:sz w:val="24"/>
          <w:szCs w:val="24"/>
        </w:rPr>
        <w:t>: Number of outreach and educational activities conducted, materials prepared, and record of participation in such activities.</w:t>
      </w:r>
    </w:p>
    <w:p w:rsidR="00E3004B" w:rsidRPr="00000555" w:rsidRDefault="00E3004B" w:rsidP="00E3004B">
      <w:pPr>
        <w:pStyle w:val="WESNormaltext"/>
        <w:rPr>
          <w:b/>
          <w:i/>
          <w:sz w:val="24"/>
          <w:szCs w:val="24"/>
          <w:highlight w:val="yellow"/>
        </w:rPr>
      </w:pPr>
    </w:p>
    <w:p w:rsidR="00E3004B" w:rsidRPr="00000555" w:rsidRDefault="00E3004B" w:rsidP="00E3004B">
      <w:pPr>
        <w:pStyle w:val="WESNormaltext"/>
        <w:rPr>
          <w:bCs/>
          <w:sz w:val="24"/>
          <w:szCs w:val="24"/>
        </w:rPr>
      </w:pPr>
      <w:r w:rsidRPr="00000555">
        <w:rPr>
          <w:b/>
          <w:i/>
          <w:sz w:val="24"/>
          <w:szCs w:val="24"/>
        </w:rPr>
        <w:t>Impediment 5</w:t>
      </w:r>
      <w:r w:rsidRPr="00000555">
        <w:rPr>
          <w:b/>
          <w:sz w:val="24"/>
          <w:szCs w:val="24"/>
        </w:rPr>
        <w:t xml:space="preserve">: </w:t>
      </w:r>
      <w:r w:rsidRPr="00000555">
        <w:rPr>
          <w:b/>
          <w:bCs/>
          <w:sz w:val="24"/>
          <w:szCs w:val="24"/>
        </w:rPr>
        <w:t xml:space="preserve">Failure to make reasonable accommodation or modification: </w:t>
      </w:r>
      <w:r w:rsidRPr="00000555">
        <w:rPr>
          <w:bCs/>
          <w:sz w:val="24"/>
          <w:szCs w:val="24"/>
        </w:rPr>
        <w:t>This impediment was identified in review of HUD complaints, complaints received by the New Mexico Human Rights Bureau (HRB), the review of literature and relevant cases, the Fair Housing Forum, and the 2014 Fair Housing Survey. Discrimination on the basis of disability was the most common complaint that HUD received from residents of non-entitlement areas of the state, and failure to make reasonable accommodation figured strongly in overall HUD complaints as well as in those complaints that were found to have cause. Complaints based on disability and citing reasonable accommodation as the relevant issue were also among the most common complaints received by the HRB. Review of fair housing cases brought by the Department of Justice</w:t>
      </w:r>
      <w:r w:rsidR="00000555">
        <w:rPr>
          <w:bCs/>
          <w:sz w:val="24"/>
          <w:szCs w:val="24"/>
        </w:rPr>
        <w:t xml:space="preserve"> (DOJ)</w:t>
      </w:r>
      <w:r w:rsidRPr="00000555">
        <w:rPr>
          <w:bCs/>
          <w:sz w:val="24"/>
          <w:szCs w:val="24"/>
        </w:rPr>
        <w:t xml:space="preserve"> against New Mexico housing providers further highlight discrimination on the basis of disability. All of the cases profiled in this report, which includes all fair housing cases DOJ has filed in the state in the last decade, pertain to disability. In addition, participants in the Fair Housing Forum raised their concern that residents with disabilities may not feel confident in making reasonable accommodation requests to their landlords. Finally, survey respondents cited reluctance on the part of landlords to allow modifications to properties that represent reasonable accommodation, as well as a lack of clarity in existing accessibility standards.</w:t>
      </w:r>
    </w:p>
    <w:p w:rsidR="00E3004B" w:rsidRPr="00000555" w:rsidRDefault="00E3004B" w:rsidP="00E3004B">
      <w:pPr>
        <w:pStyle w:val="WESNormaltext"/>
        <w:rPr>
          <w:b/>
          <w:sz w:val="24"/>
          <w:szCs w:val="24"/>
          <w:highlight w:val="yellow"/>
        </w:rPr>
      </w:pPr>
    </w:p>
    <w:p w:rsidR="00E3004B" w:rsidRPr="00000555" w:rsidRDefault="00E3004B" w:rsidP="00000555">
      <w:pPr>
        <w:pStyle w:val="WESNormaltext"/>
        <w:ind w:left="720"/>
        <w:rPr>
          <w:sz w:val="24"/>
          <w:szCs w:val="24"/>
        </w:rPr>
      </w:pPr>
      <w:r w:rsidRPr="00000555">
        <w:rPr>
          <w:i/>
          <w:sz w:val="24"/>
          <w:szCs w:val="24"/>
        </w:rPr>
        <w:t>Action 5.1</w:t>
      </w:r>
      <w:r w:rsidRPr="00000555">
        <w:rPr>
          <w:sz w:val="24"/>
          <w:szCs w:val="24"/>
        </w:rPr>
        <w:t>: Conduct audit testing on newly constructed rental units.</w:t>
      </w:r>
    </w:p>
    <w:p w:rsidR="00E3004B" w:rsidRPr="00000555" w:rsidRDefault="00E3004B" w:rsidP="00000555">
      <w:pPr>
        <w:pStyle w:val="WESNormaltext"/>
        <w:ind w:left="720"/>
        <w:rPr>
          <w:sz w:val="24"/>
          <w:szCs w:val="24"/>
        </w:rPr>
      </w:pPr>
      <w:r w:rsidRPr="00000555">
        <w:rPr>
          <w:i/>
          <w:sz w:val="24"/>
          <w:szCs w:val="24"/>
        </w:rPr>
        <w:t>Measurable Objective 5.1</w:t>
      </w:r>
      <w:r w:rsidRPr="00000555">
        <w:rPr>
          <w:sz w:val="24"/>
          <w:szCs w:val="24"/>
        </w:rPr>
        <w:t>: The number of audit tests completed, and records of the outcome of those tests.</w:t>
      </w:r>
    </w:p>
    <w:p w:rsidR="00E3004B" w:rsidRPr="00000555" w:rsidRDefault="00E3004B" w:rsidP="00E3004B">
      <w:pPr>
        <w:pStyle w:val="WESNormaltext"/>
        <w:rPr>
          <w:sz w:val="24"/>
          <w:szCs w:val="24"/>
          <w:highlight w:val="yellow"/>
        </w:rPr>
      </w:pPr>
    </w:p>
    <w:p w:rsidR="00E3004B" w:rsidRPr="00000555" w:rsidRDefault="00E3004B" w:rsidP="00E3004B">
      <w:pPr>
        <w:pStyle w:val="WESNormaltext"/>
        <w:rPr>
          <w:bCs/>
          <w:sz w:val="24"/>
          <w:szCs w:val="24"/>
        </w:rPr>
      </w:pPr>
      <w:r w:rsidRPr="00000555">
        <w:rPr>
          <w:b/>
          <w:i/>
          <w:sz w:val="24"/>
          <w:szCs w:val="24"/>
        </w:rPr>
        <w:t>Impediment 6</w:t>
      </w:r>
      <w:r w:rsidRPr="00000555">
        <w:rPr>
          <w:b/>
          <w:sz w:val="24"/>
          <w:szCs w:val="24"/>
        </w:rPr>
        <w:t>: Insufficient understanding of fair housing laws</w:t>
      </w:r>
      <w:r w:rsidRPr="00000555">
        <w:rPr>
          <w:b/>
          <w:bCs/>
          <w:sz w:val="24"/>
          <w:szCs w:val="24"/>
        </w:rPr>
        <w:t xml:space="preserve">: </w:t>
      </w:r>
      <w:r w:rsidRPr="00000555">
        <w:rPr>
          <w:bCs/>
          <w:sz w:val="24"/>
          <w:szCs w:val="24"/>
        </w:rPr>
        <w:t xml:space="preserve">This impediment was identified through a review of fair housing studies and the 2014 Fair Housing Survey. Fair housing studies undertaken at the national level from 2000 to the present underscore a pervasive lack of knowledge of fair housing law and policy, and participants in the fair housing survey cited a need for greater education among stakeholders and residents of the state who are in search of housing. </w:t>
      </w:r>
    </w:p>
    <w:p w:rsidR="00E3004B" w:rsidRPr="00000555" w:rsidRDefault="00E3004B" w:rsidP="00E3004B">
      <w:pPr>
        <w:pStyle w:val="WESNormaltext"/>
        <w:rPr>
          <w:b/>
          <w:bCs/>
          <w:sz w:val="24"/>
          <w:szCs w:val="24"/>
          <w:highlight w:val="yellow"/>
        </w:rPr>
      </w:pPr>
    </w:p>
    <w:p w:rsidR="00E3004B" w:rsidRPr="00000555" w:rsidRDefault="00E3004B" w:rsidP="00000555">
      <w:pPr>
        <w:pStyle w:val="WESNormaltext"/>
        <w:ind w:left="720"/>
        <w:rPr>
          <w:sz w:val="24"/>
          <w:szCs w:val="24"/>
        </w:rPr>
      </w:pPr>
      <w:r w:rsidRPr="00000555">
        <w:rPr>
          <w:i/>
          <w:sz w:val="24"/>
          <w:szCs w:val="24"/>
        </w:rPr>
        <w:t>Action 6</w:t>
      </w:r>
      <w:r w:rsidRPr="00000555">
        <w:rPr>
          <w:sz w:val="24"/>
          <w:szCs w:val="24"/>
        </w:rPr>
        <w:t>.</w:t>
      </w:r>
      <w:r w:rsidRPr="00000555">
        <w:rPr>
          <w:i/>
          <w:sz w:val="24"/>
          <w:szCs w:val="24"/>
        </w:rPr>
        <w:t>1</w:t>
      </w:r>
      <w:r w:rsidRPr="00000555">
        <w:rPr>
          <w:sz w:val="24"/>
          <w:szCs w:val="24"/>
        </w:rPr>
        <w:t>: Hold annual public meetings and other outreach activities pertaining to fair housing and affirmatively furthering fair housing during Fair Housing Month (April), and broadcast statewide using technology meeting software.</w:t>
      </w:r>
    </w:p>
    <w:p w:rsidR="00E3004B" w:rsidRPr="00000555" w:rsidRDefault="00E3004B" w:rsidP="00000555">
      <w:pPr>
        <w:pStyle w:val="WESNormaltext"/>
        <w:ind w:left="720"/>
        <w:rPr>
          <w:sz w:val="24"/>
          <w:szCs w:val="24"/>
        </w:rPr>
      </w:pPr>
      <w:r w:rsidRPr="00000555">
        <w:rPr>
          <w:i/>
          <w:sz w:val="24"/>
          <w:szCs w:val="24"/>
        </w:rPr>
        <w:t>Measurable Objective 6.1</w:t>
      </w:r>
      <w:r w:rsidRPr="00000555">
        <w:rPr>
          <w:sz w:val="24"/>
          <w:szCs w:val="24"/>
        </w:rPr>
        <w:t>: Records of the meetings, presentation materials for the meetings, and marketing materials used to publicize those meetings.</w:t>
      </w:r>
    </w:p>
    <w:p w:rsidR="00E3004B" w:rsidRPr="00000555" w:rsidRDefault="00E3004B" w:rsidP="00000555">
      <w:pPr>
        <w:pStyle w:val="WESNormaltext"/>
        <w:ind w:left="720"/>
        <w:rPr>
          <w:sz w:val="24"/>
          <w:szCs w:val="24"/>
        </w:rPr>
      </w:pPr>
      <w:r w:rsidRPr="00000555">
        <w:rPr>
          <w:i/>
          <w:sz w:val="24"/>
          <w:szCs w:val="24"/>
        </w:rPr>
        <w:t>Action 6</w:t>
      </w:r>
      <w:r w:rsidRPr="00000555">
        <w:rPr>
          <w:sz w:val="24"/>
          <w:szCs w:val="24"/>
        </w:rPr>
        <w:t>.2: Create and distribute fair housing flyers and informational brochures to grantees, applicants, and the general public.</w:t>
      </w:r>
    </w:p>
    <w:p w:rsidR="00E3004B" w:rsidRPr="00000555" w:rsidRDefault="00E3004B" w:rsidP="00000555">
      <w:pPr>
        <w:pStyle w:val="WESNormaltext"/>
        <w:ind w:left="720"/>
        <w:rPr>
          <w:sz w:val="24"/>
          <w:szCs w:val="24"/>
        </w:rPr>
      </w:pPr>
      <w:r w:rsidRPr="00000555">
        <w:rPr>
          <w:i/>
          <w:sz w:val="24"/>
          <w:szCs w:val="24"/>
        </w:rPr>
        <w:t>Measurable Objective 6.2</w:t>
      </w:r>
      <w:r w:rsidRPr="00000555">
        <w:rPr>
          <w:sz w:val="24"/>
          <w:szCs w:val="24"/>
        </w:rPr>
        <w:t>: The number of such materials printed and distributed.</w:t>
      </w:r>
    </w:p>
    <w:p w:rsidR="00000555" w:rsidRDefault="00000555" w:rsidP="00E3004B">
      <w:pPr>
        <w:pStyle w:val="WESHeading4"/>
        <w:rPr>
          <w:sz w:val="24"/>
          <w:szCs w:val="24"/>
        </w:rPr>
      </w:pPr>
    </w:p>
    <w:p w:rsidR="00E3004B" w:rsidRPr="00000555" w:rsidRDefault="00E3004B" w:rsidP="00E3004B">
      <w:pPr>
        <w:pStyle w:val="WESHeading4"/>
        <w:rPr>
          <w:i/>
          <w:sz w:val="24"/>
          <w:szCs w:val="24"/>
          <w:highlight w:val="yellow"/>
        </w:rPr>
      </w:pPr>
      <w:r w:rsidRPr="00000555">
        <w:rPr>
          <w:i/>
          <w:sz w:val="24"/>
          <w:szCs w:val="24"/>
        </w:rPr>
        <w:t>Public Sector Impediments, Suggested Actions, and Measurable Objectives</w:t>
      </w:r>
    </w:p>
    <w:p w:rsidR="00E3004B" w:rsidRPr="00000555" w:rsidRDefault="00E3004B" w:rsidP="00E3004B">
      <w:pPr>
        <w:pStyle w:val="WESNormaltext"/>
        <w:ind w:left="720" w:hanging="720"/>
        <w:rPr>
          <w:sz w:val="24"/>
          <w:szCs w:val="24"/>
          <w:highlight w:val="yellow"/>
        </w:rPr>
      </w:pPr>
    </w:p>
    <w:p w:rsidR="00E3004B" w:rsidRPr="00000555" w:rsidRDefault="00E3004B" w:rsidP="00E3004B">
      <w:pPr>
        <w:pStyle w:val="WESNormaltext"/>
        <w:rPr>
          <w:bCs/>
          <w:sz w:val="24"/>
          <w:szCs w:val="24"/>
        </w:rPr>
      </w:pPr>
      <w:r w:rsidRPr="00000555">
        <w:rPr>
          <w:b/>
          <w:i/>
          <w:sz w:val="24"/>
          <w:szCs w:val="24"/>
        </w:rPr>
        <w:t>Impediment 1</w:t>
      </w:r>
      <w:r w:rsidRPr="00000555">
        <w:rPr>
          <w:b/>
          <w:sz w:val="24"/>
          <w:szCs w:val="24"/>
        </w:rPr>
        <w:t>:</w:t>
      </w:r>
      <w:r w:rsidRPr="00000555">
        <w:rPr>
          <w:b/>
          <w:bCs/>
          <w:sz w:val="24"/>
          <w:szCs w:val="24"/>
        </w:rPr>
        <w:t xml:space="preserve"> Insufficient understanding of fair housing laws:</w:t>
      </w:r>
      <w:r w:rsidRPr="00000555">
        <w:rPr>
          <w:bCs/>
          <w:sz w:val="24"/>
          <w:szCs w:val="24"/>
        </w:rPr>
        <w:t xml:space="preserve"> This issue was previously cited in the list of private sector impediments, and the sources by which this impediment was identified in that case are the same here. This impediment was included as private and public sector impediments to underscore the fact that the problems stemming from this lack of understanding play out in both public and private sector housing contexts, as well as to highlight the role that public policy may play in addressing this impediment.</w:t>
      </w:r>
    </w:p>
    <w:p w:rsidR="00E3004B" w:rsidRPr="00000555" w:rsidRDefault="00E3004B" w:rsidP="00E3004B">
      <w:pPr>
        <w:pStyle w:val="WESNormaltext"/>
        <w:ind w:left="720" w:hanging="720"/>
        <w:rPr>
          <w:sz w:val="24"/>
          <w:szCs w:val="24"/>
          <w:highlight w:val="yellow"/>
        </w:rPr>
      </w:pPr>
    </w:p>
    <w:p w:rsidR="00E3004B" w:rsidRPr="00000555" w:rsidRDefault="00E3004B" w:rsidP="00000555">
      <w:pPr>
        <w:pStyle w:val="WESNormaltext"/>
        <w:ind w:left="720"/>
        <w:rPr>
          <w:sz w:val="24"/>
          <w:szCs w:val="24"/>
        </w:rPr>
      </w:pPr>
      <w:r w:rsidRPr="00000555">
        <w:rPr>
          <w:i/>
          <w:sz w:val="24"/>
          <w:szCs w:val="24"/>
        </w:rPr>
        <w:t>Action 1</w:t>
      </w:r>
      <w:r w:rsidRPr="00000555">
        <w:rPr>
          <w:sz w:val="24"/>
          <w:szCs w:val="24"/>
        </w:rPr>
        <w:t>.</w:t>
      </w:r>
      <w:r w:rsidRPr="00000555">
        <w:rPr>
          <w:i/>
          <w:sz w:val="24"/>
          <w:szCs w:val="24"/>
        </w:rPr>
        <w:t>1</w:t>
      </w:r>
      <w:r w:rsidRPr="00000555">
        <w:rPr>
          <w:sz w:val="24"/>
          <w:szCs w:val="24"/>
        </w:rPr>
        <w:t xml:space="preserve">: Hold annual public meetings and other outreach activities pertaining to fair housing law during Fair Housing </w:t>
      </w:r>
      <w:r w:rsidR="00000555">
        <w:rPr>
          <w:sz w:val="24"/>
          <w:szCs w:val="24"/>
        </w:rPr>
        <w:t>M</w:t>
      </w:r>
      <w:r w:rsidRPr="00000555">
        <w:rPr>
          <w:sz w:val="24"/>
          <w:szCs w:val="24"/>
        </w:rPr>
        <w:t>onth (April), and broadcast statewide using technology meeting software.</w:t>
      </w:r>
    </w:p>
    <w:p w:rsidR="00E3004B" w:rsidRPr="00000555" w:rsidRDefault="00E3004B" w:rsidP="00000555">
      <w:pPr>
        <w:pStyle w:val="WESNormaltext"/>
        <w:ind w:left="720"/>
        <w:rPr>
          <w:sz w:val="24"/>
          <w:szCs w:val="24"/>
        </w:rPr>
      </w:pPr>
      <w:r w:rsidRPr="00000555">
        <w:rPr>
          <w:i/>
          <w:sz w:val="24"/>
          <w:szCs w:val="24"/>
        </w:rPr>
        <w:t>Measurable Objective 1.1</w:t>
      </w:r>
      <w:r w:rsidRPr="00000555">
        <w:rPr>
          <w:sz w:val="24"/>
          <w:szCs w:val="24"/>
        </w:rPr>
        <w:t>: Records of the meetings, presentation materials for the meetings, and marketing materials used to publicize those meetings.</w:t>
      </w:r>
    </w:p>
    <w:p w:rsidR="00E3004B" w:rsidRPr="00000555" w:rsidRDefault="00E3004B" w:rsidP="00000555">
      <w:pPr>
        <w:pStyle w:val="WESNormaltext"/>
        <w:ind w:left="720"/>
        <w:rPr>
          <w:sz w:val="24"/>
          <w:szCs w:val="24"/>
        </w:rPr>
      </w:pPr>
      <w:r w:rsidRPr="00000555">
        <w:rPr>
          <w:i/>
          <w:sz w:val="24"/>
          <w:szCs w:val="24"/>
        </w:rPr>
        <w:t>Action 1</w:t>
      </w:r>
      <w:r w:rsidRPr="00000555">
        <w:rPr>
          <w:sz w:val="24"/>
          <w:szCs w:val="24"/>
        </w:rPr>
        <w:t>.2: Create and distribute fair housing flyers and informational brochures to grantees, applicants, and the general public.</w:t>
      </w:r>
    </w:p>
    <w:p w:rsidR="00E3004B" w:rsidRPr="00000555" w:rsidRDefault="00E3004B" w:rsidP="00000555">
      <w:pPr>
        <w:pStyle w:val="WESNormaltext"/>
        <w:ind w:left="720"/>
        <w:rPr>
          <w:sz w:val="24"/>
          <w:szCs w:val="24"/>
        </w:rPr>
      </w:pPr>
      <w:r w:rsidRPr="00000555">
        <w:rPr>
          <w:i/>
          <w:sz w:val="24"/>
          <w:szCs w:val="24"/>
        </w:rPr>
        <w:t>Measurable Objective 1.2</w:t>
      </w:r>
      <w:r w:rsidRPr="00000555">
        <w:rPr>
          <w:sz w:val="24"/>
          <w:szCs w:val="24"/>
        </w:rPr>
        <w:t>: The number of such materials printed and distributed.</w:t>
      </w:r>
    </w:p>
    <w:p w:rsidR="00E3004B" w:rsidRPr="00000555" w:rsidRDefault="00E3004B" w:rsidP="00000555">
      <w:pPr>
        <w:pStyle w:val="WESNormaltext"/>
        <w:ind w:left="720"/>
        <w:rPr>
          <w:sz w:val="24"/>
          <w:szCs w:val="24"/>
        </w:rPr>
      </w:pPr>
      <w:r w:rsidRPr="00000555">
        <w:rPr>
          <w:i/>
          <w:sz w:val="24"/>
          <w:szCs w:val="24"/>
        </w:rPr>
        <w:t>Action 1</w:t>
      </w:r>
      <w:r w:rsidRPr="00000555">
        <w:rPr>
          <w:sz w:val="24"/>
          <w:szCs w:val="24"/>
        </w:rPr>
        <w:t>.3: Add to CDBG grantee application forms selection criteria related to the adoption and implementation of local fair housing ordinances and/or policies</w:t>
      </w:r>
    </w:p>
    <w:p w:rsidR="00E3004B" w:rsidRPr="00000555" w:rsidRDefault="00E3004B" w:rsidP="00000555">
      <w:pPr>
        <w:pStyle w:val="WESNormaltext"/>
        <w:ind w:left="720"/>
        <w:rPr>
          <w:sz w:val="24"/>
          <w:szCs w:val="24"/>
        </w:rPr>
      </w:pPr>
      <w:r w:rsidRPr="00000555">
        <w:rPr>
          <w:i/>
          <w:sz w:val="24"/>
          <w:szCs w:val="24"/>
        </w:rPr>
        <w:t>Measurable Objective 1</w:t>
      </w:r>
      <w:r w:rsidRPr="00000555">
        <w:rPr>
          <w:sz w:val="24"/>
          <w:szCs w:val="24"/>
        </w:rPr>
        <w:t>.3: The points added to the grant application forms and the adoption of local policies and ordinance.</w:t>
      </w:r>
    </w:p>
    <w:p w:rsidR="00E3004B" w:rsidRPr="00000555" w:rsidRDefault="00E3004B" w:rsidP="00E3004B">
      <w:pPr>
        <w:pStyle w:val="WESNormaltext"/>
        <w:rPr>
          <w:b/>
          <w:i/>
          <w:sz w:val="24"/>
          <w:szCs w:val="24"/>
          <w:highlight w:val="yellow"/>
        </w:rPr>
      </w:pPr>
    </w:p>
    <w:p w:rsidR="00E3004B" w:rsidRPr="00000555" w:rsidRDefault="00E3004B" w:rsidP="00E3004B">
      <w:pPr>
        <w:pStyle w:val="WESNormaltext"/>
        <w:rPr>
          <w:b/>
          <w:bCs/>
          <w:sz w:val="24"/>
          <w:szCs w:val="24"/>
        </w:rPr>
      </w:pPr>
      <w:r w:rsidRPr="00000555">
        <w:rPr>
          <w:b/>
          <w:i/>
          <w:sz w:val="24"/>
          <w:szCs w:val="24"/>
        </w:rPr>
        <w:t>Impediment 2</w:t>
      </w:r>
      <w:r w:rsidRPr="00000555">
        <w:rPr>
          <w:b/>
          <w:sz w:val="24"/>
          <w:szCs w:val="24"/>
        </w:rPr>
        <w:t xml:space="preserve">: Fair Housing infrastructure largely lacking outside of Albuquerque and Santa Fe: </w:t>
      </w:r>
      <w:r w:rsidRPr="00000555">
        <w:rPr>
          <w:bCs/>
          <w:sz w:val="24"/>
          <w:szCs w:val="24"/>
        </w:rPr>
        <w:t xml:space="preserve">This impediment was identified in the review of the fair housing structure, state anti-discrimination laws, and during the Fair Housing Forum. While residents of Albuquerque and Santa Fe are protected by local fair housing ordinances, and Albuquerque is served by the Office of Diversity and Human Rights, there are no New Mexico agencies certified by HUD as participants in the Fair Housing Assistance Program (FHAP) in New Mexico, nor have there been any organizations acting as participants in the Fair Housing Initiative Program (FHIP) in the state since 2008. </w:t>
      </w:r>
    </w:p>
    <w:p w:rsidR="00E3004B" w:rsidRPr="00000555" w:rsidRDefault="00E3004B" w:rsidP="00E3004B">
      <w:pPr>
        <w:pStyle w:val="WESNormaltext"/>
        <w:ind w:left="720" w:hanging="720"/>
        <w:rPr>
          <w:sz w:val="24"/>
          <w:szCs w:val="24"/>
          <w:highlight w:val="yellow"/>
        </w:rPr>
      </w:pPr>
    </w:p>
    <w:p w:rsidR="00E3004B" w:rsidRPr="00000555" w:rsidRDefault="00E3004B" w:rsidP="00000555">
      <w:pPr>
        <w:pStyle w:val="WESNormaltext"/>
        <w:ind w:left="720"/>
        <w:rPr>
          <w:sz w:val="24"/>
          <w:szCs w:val="24"/>
        </w:rPr>
      </w:pPr>
      <w:r w:rsidRPr="00000555">
        <w:rPr>
          <w:i/>
          <w:sz w:val="24"/>
          <w:szCs w:val="24"/>
        </w:rPr>
        <w:t>Action 2.1</w:t>
      </w:r>
      <w:r w:rsidRPr="00000555">
        <w:rPr>
          <w:sz w:val="24"/>
          <w:szCs w:val="24"/>
        </w:rPr>
        <w:t>: Seek partner to facilitate creation of local fair housing organization and potential FHIP participant.</w:t>
      </w:r>
    </w:p>
    <w:p w:rsidR="00E3004B" w:rsidRPr="00000555" w:rsidRDefault="00E3004B" w:rsidP="00000555">
      <w:pPr>
        <w:pStyle w:val="WESNormaltext"/>
        <w:ind w:left="720"/>
        <w:rPr>
          <w:sz w:val="24"/>
          <w:szCs w:val="24"/>
        </w:rPr>
      </w:pPr>
      <w:r w:rsidRPr="00000555">
        <w:rPr>
          <w:i/>
          <w:sz w:val="24"/>
          <w:szCs w:val="24"/>
        </w:rPr>
        <w:t>Measurable Objective 2</w:t>
      </w:r>
      <w:r w:rsidRPr="00000555">
        <w:rPr>
          <w:sz w:val="24"/>
          <w:szCs w:val="24"/>
        </w:rPr>
        <w:t>.</w:t>
      </w:r>
      <w:r w:rsidRPr="00000555">
        <w:rPr>
          <w:i/>
          <w:sz w:val="24"/>
          <w:szCs w:val="24"/>
        </w:rPr>
        <w:t>1</w:t>
      </w:r>
      <w:r w:rsidRPr="00000555">
        <w:rPr>
          <w:sz w:val="24"/>
          <w:szCs w:val="24"/>
        </w:rPr>
        <w:t>: Record of outreach conducted and organizations contacted, as well as records of correspondence generated in the course of those outreach efforts.</w:t>
      </w:r>
    </w:p>
    <w:p w:rsidR="00E3004B" w:rsidRPr="00000555" w:rsidRDefault="00E3004B" w:rsidP="00E3004B">
      <w:pPr>
        <w:pStyle w:val="WESNormaltext"/>
        <w:rPr>
          <w:sz w:val="24"/>
          <w:szCs w:val="24"/>
          <w:highlight w:val="yellow"/>
        </w:rPr>
      </w:pPr>
    </w:p>
    <w:p w:rsidR="00E3004B" w:rsidRPr="00000555" w:rsidRDefault="00E3004B" w:rsidP="00E3004B">
      <w:pPr>
        <w:pStyle w:val="WESNormaltext"/>
        <w:rPr>
          <w:bCs/>
          <w:sz w:val="24"/>
          <w:szCs w:val="24"/>
        </w:rPr>
      </w:pPr>
      <w:r w:rsidRPr="00000555">
        <w:rPr>
          <w:b/>
          <w:i/>
          <w:sz w:val="24"/>
          <w:szCs w:val="24"/>
        </w:rPr>
        <w:t>Impediment 3</w:t>
      </w:r>
      <w:r w:rsidRPr="00000555">
        <w:rPr>
          <w:b/>
          <w:sz w:val="24"/>
          <w:szCs w:val="24"/>
        </w:rPr>
        <w:t xml:space="preserve">: </w:t>
      </w:r>
      <w:r w:rsidRPr="00000555">
        <w:rPr>
          <w:b/>
          <w:bCs/>
          <w:sz w:val="24"/>
          <w:szCs w:val="24"/>
        </w:rPr>
        <w:t xml:space="preserve">Insufficient oversight of manufactured home lenders: </w:t>
      </w:r>
      <w:r w:rsidRPr="00000555">
        <w:rPr>
          <w:bCs/>
          <w:sz w:val="24"/>
          <w:szCs w:val="24"/>
        </w:rPr>
        <w:t>This impediment was identified in review of loan data gathered under the HMDA, as well as the geographic distribution of loan denials in the state. Two of the lenders profiled in this report denied American Indian home purchase loan applicants at extremely high rates when those applicants were seeking a home purchase loan for manufactured housing. In addition, a high number of loan originations for manufactured housing units were identified as predatory in nature.</w:t>
      </w:r>
    </w:p>
    <w:p w:rsidR="00E3004B" w:rsidRPr="00000555" w:rsidRDefault="00E3004B" w:rsidP="00E3004B">
      <w:pPr>
        <w:pStyle w:val="WESNormaltext"/>
        <w:ind w:left="720" w:hanging="720"/>
        <w:rPr>
          <w:b/>
          <w:i/>
          <w:sz w:val="24"/>
          <w:szCs w:val="24"/>
          <w:highlight w:val="yellow"/>
        </w:rPr>
      </w:pPr>
    </w:p>
    <w:p w:rsidR="00E3004B" w:rsidRPr="00000555" w:rsidRDefault="00E3004B" w:rsidP="00E3004B">
      <w:pPr>
        <w:pStyle w:val="WESNormaltext"/>
        <w:ind w:left="1440" w:hanging="720"/>
        <w:rPr>
          <w:sz w:val="24"/>
          <w:szCs w:val="24"/>
        </w:rPr>
      </w:pPr>
      <w:r w:rsidRPr="00000555">
        <w:rPr>
          <w:i/>
          <w:sz w:val="24"/>
          <w:szCs w:val="24"/>
        </w:rPr>
        <w:t>Action 3.1</w:t>
      </w:r>
      <w:r w:rsidRPr="00000555">
        <w:rPr>
          <w:sz w:val="24"/>
          <w:szCs w:val="24"/>
        </w:rPr>
        <w:t>: Increase outreach and educational efforts to increase awareness of fair housing and affirmatively furthering fair housing among lending institutions.</w:t>
      </w:r>
    </w:p>
    <w:p w:rsidR="00E3004B" w:rsidRPr="00000555" w:rsidRDefault="00E3004B" w:rsidP="00E3004B">
      <w:pPr>
        <w:pStyle w:val="WESNormaltext"/>
        <w:ind w:left="1440" w:hanging="720"/>
        <w:rPr>
          <w:sz w:val="24"/>
          <w:szCs w:val="24"/>
        </w:rPr>
      </w:pPr>
      <w:r w:rsidRPr="00000555">
        <w:rPr>
          <w:i/>
          <w:sz w:val="24"/>
          <w:szCs w:val="24"/>
        </w:rPr>
        <w:t>Measurable Objective 3</w:t>
      </w:r>
      <w:r w:rsidRPr="00000555">
        <w:rPr>
          <w:sz w:val="24"/>
          <w:szCs w:val="24"/>
        </w:rPr>
        <w:t>.</w:t>
      </w:r>
      <w:r w:rsidRPr="00000555">
        <w:rPr>
          <w:i/>
          <w:sz w:val="24"/>
          <w:szCs w:val="24"/>
        </w:rPr>
        <w:t>1</w:t>
      </w:r>
      <w:r w:rsidRPr="00000555">
        <w:rPr>
          <w:sz w:val="24"/>
          <w:szCs w:val="24"/>
        </w:rPr>
        <w:t>: The number of outreach and educational activities conducted, materials prepared, and record of participation in such activities.</w:t>
      </w:r>
    </w:p>
    <w:p w:rsidR="00E3004B" w:rsidRPr="00000555" w:rsidRDefault="00E3004B" w:rsidP="00E3004B">
      <w:pPr>
        <w:pStyle w:val="WESNormaltext"/>
        <w:ind w:left="1440" w:hanging="720"/>
        <w:rPr>
          <w:sz w:val="24"/>
          <w:szCs w:val="24"/>
        </w:rPr>
      </w:pPr>
      <w:r w:rsidRPr="00000555">
        <w:rPr>
          <w:i/>
          <w:sz w:val="24"/>
          <w:szCs w:val="24"/>
        </w:rPr>
        <w:t>Action 3</w:t>
      </w:r>
      <w:r w:rsidRPr="00000555">
        <w:rPr>
          <w:sz w:val="24"/>
          <w:szCs w:val="24"/>
        </w:rPr>
        <w:t xml:space="preserve">.2: Increase outreach and education to mobile </w:t>
      </w:r>
      <w:r w:rsidR="00CC3344" w:rsidRPr="00000555">
        <w:rPr>
          <w:sz w:val="24"/>
          <w:szCs w:val="24"/>
        </w:rPr>
        <w:t>home</w:t>
      </w:r>
      <w:r w:rsidR="00974E80" w:rsidRPr="00000555">
        <w:rPr>
          <w:sz w:val="24"/>
          <w:szCs w:val="24"/>
        </w:rPr>
        <w:t xml:space="preserve"> </w:t>
      </w:r>
      <w:r w:rsidR="00CC3344" w:rsidRPr="00000555">
        <w:rPr>
          <w:sz w:val="24"/>
          <w:szCs w:val="24"/>
        </w:rPr>
        <w:t>buyer</w:t>
      </w:r>
      <w:r w:rsidRPr="00000555">
        <w:rPr>
          <w:sz w:val="24"/>
          <w:szCs w:val="24"/>
        </w:rPr>
        <w:t>s concerning mortgage lending and predatory style lending.</w:t>
      </w:r>
    </w:p>
    <w:p w:rsidR="00E3004B" w:rsidRPr="00000555" w:rsidRDefault="00E3004B" w:rsidP="00E3004B">
      <w:pPr>
        <w:pStyle w:val="WESNormaltext"/>
        <w:ind w:left="1440" w:hanging="720"/>
        <w:rPr>
          <w:sz w:val="24"/>
          <w:szCs w:val="24"/>
        </w:rPr>
      </w:pPr>
      <w:r w:rsidRPr="00000555">
        <w:rPr>
          <w:i/>
          <w:sz w:val="24"/>
          <w:szCs w:val="24"/>
        </w:rPr>
        <w:t>Measureable Objective 3</w:t>
      </w:r>
      <w:r w:rsidRPr="00000555">
        <w:rPr>
          <w:sz w:val="24"/>
          <w:szCs w:val="24"/>
        </w:rPr>
        <w:t>.2: The number of outreach and educational activities conducted, materials prepared, and record of participation in such activities.</w:t>
      </w:r>
    </w:p>
    <w:p w:rsidR="00E3004B" w:rsidRPr="00000555" w:rsidRDefault="00E3004B" w:rsidP="00E3004B">
      <w:pPr>
        <w:pStyle w:val="WESNormaltext"/>
        <w:rPr>
          <w:b/>
          <w:i/>
          <w:sz w:val="24"/>
          <w:szCs w:val="24"/>
          <w:highlight w:val="yellow"/>
        </w:rPr>
      </w:pPr>
    </w:p>
    <w:p w:rsidR="00E3004B" w:rsidRPr="00000555" w:rsidRDefault="00E3004B" w:rsidP="00E3004B">
      <w:pPr>
        <w:pStyle w:val="WESNormaltext"/>
        <w:rPr>
          <w:sz w:val="24"/>
          <w:szCs w:val="24"/>
          <w:highlight w:val="yellow"/>
        </w:rPr>
      </w:pPr>
      <w:r w:rsidRPr="00000555">
        <w:rPr>
          <w:b/>
          <w:i/>
          <w:sz w:val="24"/>
          <w:szCs w:val="24"/>
        </w:rPr>
        <w:t>Impediment 4</w:t>
      </w:r>
      <w:r w:rsidRPr="00000555">
        <w:rPr>
          <w:b/>
          <w:sz w:val="24"/>
          <w:szCs w:val="24"/>
        </w:rPr>
        <w:t xml:space="preserve">: </w:t>
      </w:r>
      <w:r w:rsidRPr="00000555">
        <w:rPr>
          <w:b/>
          <w:bCs/>
          <w:sz w:val="24"/>
          <w:szCs w:val="24"/>
        </w:rPr>
        <w:t xml:space="preserve">NIMBYism: </w:t>
      </w:r>
      <w:r w:rsidRPr="00000555">
        <w:rPr>
          <w:bCs/>
          <w:sz w:val="24"/>
          <w:szCs w:val="24"/>
        </w:rPr>
        <w:t xml:space="preserve">This impediment was identified through review of the Fair Housing Forum and 2014 Fair Housing Survey. “NIMBYism is alive and very well,” according to one </w:t>
      </w:r>
      <w:r w:rsidR="00000555">
        <w:rPr>
          <w:bCs/>
          <w:sz w:val="24"/>
          <w:szCs w:val="24"/>
        </w:rPr>
        <w:t>f</w:t>
      </w:r>
      <w:r w:rsidRPr="00000555">
        <w:rPr>
          <w:bCs/>
          <w:sz w:val="24"/>
          <w:szCs w:val="24"/>
        </w:rPr>
        <w:t>orum participant, and several forum participants perceived a “not in my backyard” mentality to be especially prevalent in the southern part of the state. Survey participants claimed that “[the] zoning laws are manipulated</w:t>
      </w:r>
      <w:r w:rsidR="00000555">
        <w:rPr>
          <w:bCs/>
          <w:sz w:val="24"/>
          <w:szCs w:val="24"/>
        </w:rPr>
        <w:t>,</w:t>
      </w:r>
      <w:r w:rsidRPr="00000555">
        <w:rPr>
          <w:bCs/>
          <w:sz w:val="24"/>
          <w:szCs w:val="24"/>
        </w:rPr>
        <w:t>” that “county assessors [are] unwilling to put affordable housing tax exemption in place</w:t>
      </w:r>
      <w:r w:rsidR="00000555">
        <w:rPr>
          <w:bCs/>
          <w:sz w:val="24"/>
          <w:szCs w:val="24"/>
        </w:rPr>
        <w:t>,</w:t>
      </w:r>
      <w:r w:rsidRPr="00000555">
        <w:rPr>
          <w:bCs/>
          <w:sz w:val="24"/>
          <w:szCs w:val="24"/>
        </w:rPr>
        <w:t>” and that the “approval process is time consuming and expensive. It contradicts the term affordable housing.” NIMBYism was also cited at several points by respondents to the 2014 Fair Housing Survey, particularly in the public sector portion of the survey.</w:t>
      </w:r>
    </w:p>
    <w:p w:rsidR="00E3004B" w:rsidRPr="00000555" w:rsidRDefault="00E3004B" w:rsidP="00E3004B">
      <w:pPr>
        <w:pStyle w:val="WESNormaltext"/>
        <w:ind w:left="1440" w:hanging="720"/>
        <w:rPr>
          <w:i/>
          <w:sz w:val="24"/>
          <w:szCs w:val="24"/>
          <w:highlight w:val="yellow"/>
        </w:rPr>
      </w:pPr>
    </w:p>
    <w:p w:rsidR="00E3004B" w:rsidRPr="00000555" w:rsidRDefault="00E3004B" w:rsidP="00000555">
      <w:pPr>
        <w:pStyle w:val="WESNormaltext"/>
        <w:ind w:left="720"/>
        <w:rPr>
          <w:sz w:val="24"/>
          <w:szCs w:val="24"/>
        </w:rPr>
      </w:pPr>
      <w:r w:rsidRPr="00000555">
        <w:rPr>
          <w:i/>
          <w:sz w:val="24"/>
          <w:szCs w:val="24"/>
        </w:rPr>
        <w:t>Action 4</w:t>
      </w:r>
      <w:r w:rsidRPr="00000555">
        <w:rPr>
          <w:sz w:val="24"/>
          <w:szCs w:val="24"/>
        </w:rPr>
        <w:t>.</w:t>
      </w:r>
      <w:r w:rsidRPr="00000555">
        <w:rPr>
          <w:i/>
          <w:sz w:val="24"/>
          <w:szCs w:val="24"/>
        </w:rPr>
        <w:t>1</w:t>
      </w:r>
      <w:r w:rsidRPr="00000555">
        <w:rPr>
          <w:sz w:val="24"/>
          <w:szCs w:val="24"/>
        </w:rPr>
        <w:t>: Hold annual public meetings and other outreach activities pertaining to fair housing and affirmatively furthering fair housing during Fair Housing Month (April), and broadcast statewide using technology meeting software.</w:t>
      </w:r>
    </w:p>
    <w:p w:rsidR="00E3004B" w:rsidRPr="00000555" w:rsidRDefault="00E3004B" w:rsidP="00000555">
      <w:pPr>
        <w:pStyle w:val="WESNormaltext"/>
        <w:ind w:left="720"/>
        <w:rPr>
          <w:sz w:val="24"/>
          <w:szCs w:val="24"/>
        </w:rPr>
      </w:pPr>
      <w:r w:rsidRPr="00000555">
        <w:rPr>
          <w:i/>
          <w:sz w:val="24"/>
          <w:szCs w:val="24"/>
        </w:rPr>
        <w:t>Measurable Objective 4.1</w:t>
      </w:r>
      <w:r w:rsidRPr="00000555">
        <w:rPr>
          <w:sz w:val="24"/>
          <w:szCs w:val="24"/>
        </w:rPr>
        <w:t>: Records of the meetings, presentation materials for the meetings, and marketing materials used to publicize those meetings.</w:t>
      </w:r>
    </w:p>
    <w:p w:rsidR="00E3004B" w:rsidRPr="00000555" w:rsidRDefault="00E3004B" w:rsidP="00000555">
      <w:pPr>
        <w:pStyle w:val="WESNormaltext"/>
        <w:ind w:left="720"/>
        <w:rPr>
          <w:sz w:val="24"/>
          <w:szCs w:val="24"/>
        </w:rPr>
      </w:pPr>
      <w:r w:rsidRPr="00000555">
        <w:rPr>
          <w:i/>
          <w:sz w:val="24"/>
          <w:szCs w:val="24"/>
        </w:rPr>
        <w:t>Action 4.2</w:t>
      </w:r>
      <w:r w:rsidRPr="00000555">
        <w:rPr>
          <w:sz w:val="24"/>
          <w:szCs w:val="24"/>
        </w:rPr>
        <w:t>: Hold outreach meetings and educational trainings with prospective grantees and units of local government pertaining to the duty to affirmatively further fair housing.</w:t>
      </w:r>
    </w:p>
    <w:p w:rsidR="00E3004B" w:rsidRPr="00000555" w:rsidRDefault="00E3004B" w:rsidP="00000555">
      <w:pPr>
        <w:pStyle w:val="WESNormaltext"/>
        <w:ind w:left="720"/>
        <w:rPr>
          <w:sz w:val="24"/>
          <w:szCs w:val="24"/>
        </w:rPr>
      </w:pPr>
      <w:r w:rsidRPr="00000555">
        <w:rPr>
          <w:i/>
          <w:sz w:val="24"/>
          <w:szCs w:val="24"/>
        </w:rPr>
        <w:t>Measurable Objective 4.2</w:t>
      </w:r>
      <w:r w:rsidRPr="00000555">
        <w:rPr>
          <w:sz w:val="24"/>
          <w:szCs w:val="24"/>
        </w:rPr>
        <w:t>: Records of the meetings and trainings, presentation materials for the meetings, and recruitment materials used to solicit participation in the trainings and meetings.</w:t>
      </w:r>
    </w:p>
    <w:p w:rsidR="00E3004B" w:rsidRPr="00000555" w:rsidRDefault="00E3004B" w:rsidP="00E3004B"/>
    <w:p w:rsidR="00D31DCC" w:rsidRPr="00000555" w:rsidRDefault="00D31DCC" w:rsidP="00D31DCC">
      <w:pPr>
        <w:pStyle w:val="WESNormaltext"/>
        <w:ind w:left="1440" w:hanging="720"/>
        <w:rPr>
          <w:sz w:val="24"/>
          <w:szCs w:val="24"/>
        </w:rPr>
      </w:pPr>
    </w:p>
    <w:p w:rsidR="00EB13CD" w:rsidRPr="00000555" w:rsidRDefault="00EB13CD" w:rsidP="00EC3AD8">
      <w:pPr>
        <w:tabs>
          <w:tab w:val="left" w:pos="-1440"/>
          <w:tab w:val="left" w:pos="-720"/>
          <w:tab w:val="left" w:pos="0"/>
          <w:tab w:val="left" w:pos="340"/>
          <w:tab w:val="left" w:pos="1440"/>
          <w:tab w:val="left" w:pos="2160"/>
          <w:tab w:val="left" w:pos="2556"/>
          <w:tab w:val="left" w:pos="4320"/>
          <w:tab w:val="left" w:pos="5040"/>
          <w:tab w:val="left" w:pos="5760"/>
          <w:tab w:val="left" w:pos="6480"/>
          <w:tab w:val="left" w:pos="7200"/>
          <w:tab w:val="left" w:pos="7920"/>
          <w:tab w:val="left" w:pos="8640"/>
        </w:tabs>
        <w:spacing w:line="1" w:lineRule="atLeast"/>
        <w:ind w:left="360" w:hanging="360"/>
        <w:jc w:val="both"/>
        <w:rPr>
          <w:rFonts w:ascii="CG Omega" w:hAnsi="CG Omega"/>
          <w:highlight w:val="yellow"/>
        </w:rPr>
      </w:pPr>
    </w:p>
    <w:p w:rsidR="007A505D" w:rsidRPr="00000555" w:rsidRDefault="007A505D" w:rsidP="007A505D">
      <w:pPr>
        <w:jc w:val="both"/>
        <w:rPr>
          <w:rFonts w:ascii="CG Omega" w:hAnsi="CG Omega"/>
          <w:smallCaps/>
        </w:rPr>
      </w:pPr>
      <w:r w:rsidRPr="00000555">
        <w:rPr>
          <w:rFonts w:ascii="CG Omega" w:hAnsi="CG Omega"/>
          <w:b/>
          <w:smallCaps/>
        </w:rPr>
        <w:t>Commitment to Fair Housing</w:t>
      </w:r>
    </w:p>
    <w:p w:rsidR="007A505D" w:rsidRPr="00000555" w:rsidRDefault="007A505D" w:rsidP="007A505D">
      <w:pPr>
        <w:jc w:val="both"/>
        <w:rPr>
          <w:rFonts w:ascii="CG Omega" w:hAnsi="CG Omega"/>
        </w:rPr>
      </w:pPr>
    </w:p>
    <w:p w:rsidR="005E0B33" w:rsidRDefault="007A505D" w:rsidP="00311267">
      <w:pPr>
        <w:tabs>
          <w:tab w:val="left" w:pos="-1440"/>
          <w:tab w:val="left" w:pos="-720"/>
          <w:tab w:val="left" w:pos="0"/>
          <w:tab w:val="left" w:pos="2160"/>
          <w:tab w:val="left" w:pos="2556"/>
          <w:tab w:val="left" w:pos="2880"/>
          <w:tab w:val="left" w:pos="3600"/>
          <w:tab w:val="left" w:pos="4320"/>
          <w:tab w:val="left" w:pos="5040"/>
          <w:tab w:val="left" w:pos="5760"/>
          <w:tab w:val="left" w:pos="6480"/>
          <w:tab w:val="left" w:pos="7200"/>
          <w:tab w:val="left" w:pos="7920"/>
          <w:tab w:val="left" w:pos="8640"/>
        </w:tabs>
        <w:spacing w:line="1" w:lineRule="atLeast"/>
        <w:jc w:val="both"/>
        <w:rPr>
          <w:rFonts w:ascii="CG Omega" w:hAnsi="CG Omega"/>
          <w:sz w:val="22"/>
          <w:szCs w:val="22"/>
        </w:rPr>
        <w:sectPr w:rsidR="005E0B33" w:rsidSect="00315F82">
          <w:headerReference w:type="first" r:id="rId66"/>
          <w:pgSz w:w="12240" w:h="15840"/>
          <w:pgMar w:top="1440" w:right="1440" w:bottom="1440" w:left="1440" w:header="1080" w:footer="720" w:gutter="0"/>
          <w:cols w:space="720"/>
          <w:titlePg/>
          <w:docGrid w:linePitch="360"/>
        </w:sectPr>
      </w:pPr>
      <w:r w:rsidRPr="00000555">
        <w:rPr>
          <w:rFonts w:ascii="CG Omega" w:hAnsi="CG Omega"/>
        </w:rPr>
        <w:t xml:space="preserve">In accordance with the applicable statutes and regulations governing the consolidated plan, </w:t>
      </w:r>
      <w:r w:rsidR="00357D8C" w:rsidRPr="00000555">
        <w:rPr>
          <w:rFonts w:ascii="CG Omega" w:hAnsi="CG Omega"/>
        </w:rPr>
        <w:t>MF</w:t>
      </w:r>
      <w:r w:rsidRPr="00000555">
        <w:rPr>
          <w:rFonts w:ascii="CG Omega" w:hAnsi="CG Omega"/>
        </w:rPr>
        <w:t>A</w:t>
      </w:r>
      <w:r w:rsidR="00532F21" w:rsidRPr="00000555">
        <w:rPr>
          <w:rFonts w:ascii="CG Omega" w:hAnsi="CG Omega"/>
        </w:rPr>
        <w:t xml:space="preserve"> and DFA certify that they</w:t>
      </w:r>
      <w:r w:rsidRPr="00000555">
        <w:rPr>
          <w:rFonts w:ascii="CG Omega" w:hAnsi="CG Omega"/>
        </w:rPr>
        <w:t xml:space="preserve"> will affirmatively further fair </w:t>
      </w:r>
      <w:r w:rsidR="00CA7E96" w:rsidRPr="00000555">
        <w:rPr>
          <w:rFonts w:ascii="CG Omega" w:hAnsi="CG Omega"/>
        </w:rPr>
        <w:t xml:space="preserve">housing. This means that </w:t>
      </w:r>
      <w:r w:rsidR="00CC3344" w:rsidRPr="00000555">
        <w:rPr>
          <w:rFonts w:ascii="CG Omega" w:hAnsi="CG Omega"/>
        </w:rPr>
        <w:t>MFA</w:t>
      </w:r>
      <w:r w:rsidRPr="00000555">
        <w:rPr>
          <w:rFonts w:ascii="CG Omega" w:hAnsi="CG Omega"/>
        </w:rPr>
        <w:t xml:space="preserve"> has conducted an AI within the state, will take appropriate actions to overcome the effects of any impediments identified through that analysis, and maintain records reflecting that analysis and action</w:t>
      </w:r>
      <w:r w:rsidR="00CA7E96" w:rsidRPr="00000555">
        <w:rPr>
          <w:rFonts w:ascii="CG Omega" w:hAnsi="CG Omega"/>
        </w:rPr>
        <w:t xml:space="preserve">s in this regard.  While </w:t>
      </w:r>
      <w:r w:rsidR="00CC3344" w:rsidRPr="00000555">
        <w:rPr>
          <w:rFonts w:ascii="CG Omega" w:hAnsi="CG Omega"/>
        </w:rPr>
        <w:t>MFA</w:t>
      </w:r>
      <w:r w:rsidR="00532F21" w:rsidRPr="00000555">
        <w:rPr>
          <w:rFonts w:ascii="CG Omega" w:hAnsi="CG Omega"/>
        </w:rPr>
        <w:t xml:space="preserve"> and DFA</w:t>
      </w:r>
      <w:r w:rsidRPr="00000555">
        <w:rPr>
          <w:rFonts w:ascii="CG Omega" w:hAnsi="CG Omega"/>
        </w:rPr>
        <w:t xml:space="preserve"> </w:t>
      </w:r>
      <w:r w:rsidR="00000555" w:rsidRPr="00000555">
        <w:rPr>
          <w:rFonts w:ascii="CG Omega" w:hAnsi="CG Omega"/>
        </w:rPr>
        <w:t>take</w:t>
      </w:r>
      <w:r w:rsidRPr="00000555">
        <w:rPr>
          <w:rFonts w:ascii="CG Omega" w:hAnsi="CG Omega"/>
        </w:rPr>
        <w:t xml:space="preserve"> seriously the respo</w:t>
      </w:r>
      <w:r w:rsidR="00357D8C" w:rsidRPr="00000555">
        <w:rPr>
          <w:rFonts w:ascii="CG Omega" w:hAnsi="CG Omega"/>
        </w:rPr>
        <w:t>nsibility f</w:t>
      </w:r>
      <w:r w:rsidR="00CA7E96" w:rsidRPr="00000555">
        <w:rPr>
          <w:rFonts w:ascii="CG Omega" w:hAnsi="CG Omega"/>
        </w:rPr>
        <w:t xml:space="preserve">or the above, </w:t>
      </w:r>
      <w:r w:rsidR="00CC3344" w:rsidRPr="00000555">
        <w:rPr>
          <w:rFonts w:ascii="CG Omega" w:hAnsi="CG Omega"/>
        </w:rPr>
        <w:t>MFA</w:t>
      </w:r>
      <w:r w:rsidRPr="00000555">
        <w:rPr>
          <w:rFonts w:ascii="CG Omega" w:hAnsi="CG Omega"/>
        </w:rPr>
        <w:t xml:space="preserve"> </w:t>
      </w:r>
      <w:r w:rsidR="00532F21" w:rsidRPr="00000555">
        <w:rPr>
          <w:rFonts w:ascii="CG Omega" w:hAnsi="CG Omega"/>
        </w:rPr>
        <w:t>and DFA currently lack</w:t>
      </w:r>
      <w:r w:rsidRPr="00000555">
        <w:rPr>
          <w:rFonts w:ascii="CG Omega" w:hAnsi="CG Omega"/>
        </w:rPr>
        <w:t xml:space="preserve"> the authority to solve all these problems alone.  The task of eliminating the impediments to fair housing rests on many shoulders </w:t>
      </w:r>
      <w:r w:rsidR="00CA7E96" w:rsidRPr="00000555">
        <w:rPr>
          <w:rFonts w:ascii="CG Omega" w:hAnsi="CG Omega"/>
        </w:rPr>
        <w:t xml:space="preserve">and </w:t>
      </w:r>
      <w:r w:rsidR="00CC3344" w:rsidRPr="00000555">
        <w:rPr>
          <w:rFonts w:ascii="CG Omega" w:hAnsi="CG Omega"/>
        </w:rPr>
        <w:t>MFA</w:t>
      </w:r>
      <w:r w:rsidR="00532F21" w:rsidRPr="00000555">
        <w:rPr>
          <w:rFonts w:ascii="CG Omega" w:hAnsi="CG Omega"/>
        </w:rPr>
        <w:t xml:space="preserve"> and DFA</w:t>
      </w:r>
      <w:r w:rsidRPr="00000555">
        <w:rPr>
          <w:rFonts w:ascii="CG Omega" w:hAnsi="CG Omega"/>
        </w:rPr>
        <w:t xml:space="preserve"> will help to facilitate these respons</w:t>
      </w:r>
      <w:r w:rsidR="00357D8C" w:rsidRPr="00000555">
        <w:rPr>
          <w:rFonts w:ascii="CG Omega" w:hAnsi="CG Omega"/>
        </w:rPr>
        <w:t>ibilities for all residents of New Mexico</w:t>
      </w:r>
      <w:r w:rsidRPr="00000555">
        <w:rPr>
          <w:rFonts w:ascii="CG Omega" w:hAnsi="CG Omega"/>
        </w:rPr>
        <w:t>.</w:t>
      </w:r>
    </w:p>
    <w:p w:rsidR="00754A91" w:rsidRPr="00955C8C" w:rsidRDefault="00754A91" w:rsidP="00754A91">
      <w:pPr>
        <w:jc w:val="both"/>
        <w:rPr>
          <w:rFonts w:ascii="CG Omega" w:hAnsi="CG Omega"/>
          <w:b/>
          <w:smallCaps/>
          <w:sz w:val="10"/>
          <w:szCs w:val="10"/>
          <w:highlight w:val="yellow"/>
        </w:rPr>
      </w:pPr>
      <w:r w:rsidRPr="00955C8C">
        <w:rPr>
          <w:sz w:val="10"/>
          <w:szCs w:val="10"/>
          <w:highlight w:val="yellow"/>
        </w:rPr>
        <w:fldChar w:fldCharType="begin"/>
      </w:r>
      <w:r>
        <w:rPr>
          <w:sz w:val="10"/>
          <w:szCs w:val="10"/>
          <w:highlight w:val="yellow"/>
        </w:rPr>
        <w:instrText xml:space="preserve"> TC  "</w:instrText>
      </w:r>
      <w:bookmarkStart w:id="145" w:name="_Toc399834596"/>
      <w:r>
        <w:rPr>
          <w:sz w:val="10"/>
          <w:szCs w:val="10"/>
          <w:highlight w:val="yellow"/>
        </w:rPr>
        <w:instrText>Appendix C</w:instrText>
      </w:r>
      <w:r w:rsidRPr="00955C8C">
        <w:rPr>
          <w:sz w:val="10"/>
          <w:szCs w:val="10"/>
          <w:highlight w:val="yellow"/>
        </w:rPr>
        <w:instrText>: A</w:instrText>
      </w:r>
      <w:r>
        <w:rPr>
          <w:sz w:val="10"/>
          <w:szCs w:val="10"/>
          <w:highlight w:val="yellow"/>
        </w:rPr>
        <w:instrText>dditional Plan Data</w:instrText>
      </w:r>
      <w:bookmarkEnd w:id="145"/>
      <w:r w:rsidRPr="00955C8C">
        <w:rPr>
          <w:sz w:val="10"/>
          <w:szCs w:val="10"/>
          <w:highlight w:val="yellow"/>
        </w:rPr>
        <w:instrText xml:space="preserve">" </w:instrText>
      </w:r>
      <w:r w:rsidRPr="00955C8C">
        <w:rPr>
          <w:sz w:val="10"/>
          <w:szCs w:val="10"/>
          <w:highlight w:val="yellow"/>
        </w:rPr>
        <w:fldChar w:fldCharType="end"/>
      </w:r>
    </w:p>
    <w:p w:rsidR="005C5F6F" w:rsidRDefault="005C5F6F" w:rsidP="002074BB">
      <w:pPr>
        <w:rPr>
          <w:rFonts w:ascii="CG Omega" w:hAnsi="CG Omega"/>
          <w:sz w:val="22"/>
          <w:szCs w:val="22"/>
        </w:rPr>
      </w:pPr>
    </w:p>
    <w:tbl>
      <w:tblPr>
        <w:tblW w:w="11036" w:type="dxa"/>
        <w:jc w:val="center"/>
        <w:tblLook w:val="04A0" w:firstRow="1" w:lastRow="0" w:firstColumn="1" w:lastColumn="0" w:noHBand="0" w:noVBand="1"/>
      </w:tblPr>
      <w:tblGrid>
        <w:gridCol w:w="1653"/>
        <w:gridCol w:w="1132"/>
        <w:gridCol w:w="1042"/>
        <w:gridCol w:w="1137"/>
        <w:gridCol w:w="1012"/>
        <w:gridCol w:w="1155"/>
        <w:gridCol w:w="991"/>
        <w:gridCol w:w="1132"/>
        <w:gridCol w:w="986"/>
        <w:gridCol w:w="796"/>
      </w:tblGrid>
      <w:tr w:rsidR="005C5F6F" w:rsidRPr="00140B4C" w:rsidTr="002074BB">
        <w:trPr>
          <w:trHeight w:val="216"/>
          <w:jc w:val="center"/>
        </w:trPr>
        <w:tc>
          <w:tcPr>
            <w:tcW w:w="11036" w:type="dxa"/>
            <w:gridSpan w:val="10"/>
            <w:tcBorders>
              <w:bottom w:val="single" w:sz="4" w:space="0" w:color="009900"/>
            </w:tcBorders>
            <w:shd w:val="clear" w:color="000000" w:fill="auto"/>
            <w:noWrap/>
            <w:vAlign w:val="center"/>
            <w:hideMark/>
          </w:tcPr>
          <w:p w:rsidR="005C5F6F" w:rsidRPr="00140B4C" w:rsidRDefault="005C5F6F" w:rsidP="002074BB">
            <w:pPr>
              <w:keepNext/>
              <w:jc w:val="center"/>
              <w:rPr>
                <w:rFonts w:ascii="Arial" w:eastAsia="Calibri" w:hAnsi="Arial"/>
                <w:b/>
                <w:bCs/>
                <w:color w:val="000000"/>
                <w:sz w:val="22"/>
                <w:szCs w:val="18"/>
              </w:rPr>
            </w:pPr>
            <w:r w:rsidRPr="00140B4C">
              <w:rPr>
                <w:rFonts w:ascii="Arial" w:eastAsia="Calibri" w:hAnsi="Arial"/>
                <w:b/>
                <w:bCs/>
                <w:color w:val="000000"/>
                <w:sz w:val="22"/>
                <w:szCs w:val="18"/>
              </w:rPr>
              <w:t>Table I</w:t>
            </w:r>
            <w:r>
              <w:rPr>
                <w:rFonts w:ascii="Arial" w:eastAsia="Calibri" w:hAnsi="Arial"/>
                <w:b/>
                <w:bCs/>
                <w:color w:val="000000"/>
                <w:sz w:val="22"/>
                <w:szCs w:val="18"/>
              </w:rPr>
              <w:t>V.10</w:t>
            </w:r>
          </w:p>
          <w:p w:rsidR="005C5F6F" w:rsidRPr="00140B4C" w:rsidRDefault="005C5F6F" w:rsidP="002074BB">
            <w:pPr>
              <w:keepNext/>
              <w:keepLines/>
              <w:suppressAutoHyphens/>
              <w:jc w:val="center"/>
              <w:rPr>
                <w:rFonts w:ascii="Arial" w:eastAsia="Calibri" w:hAnsi="Arial"/>
                <w:b/>
                <w:sz w:val="20"/>
                <w:szCs w:val="23"/>
              </w:rPr>
            </w:pPr>
            <w:r w:rsidRPr="00140B4C">
              <w:rPr>
                <w:rFonts w:ascii="Arial" w:eastAsia="Calibri" w:hAnsi="Arial"/>
                <w:b/>
                <w:sz w:val="20"/>
                <w:szCs w:val="23"/>
              </w:rPr>
              <w:t>Cost Burden and Severe Cost Burden by Tenure</w:t>
            </w:r>
          </w:p>
          <w:p w:rsidR="005C5F6F" w:rsidRPr="00140B4C" w:rsidRDefault="005C5F6F" w:rsidP="002074BB">
            <w:pPr>
              <w:suppressAutoHyphens/>
              <w:jc w:val="center"/>
              <w:rPr>
                <w:rFonts w:ascii="Arial" w:eastAsia="Calibri" w:hAnsi="Arial"/>
                <w:sz w:val="16"/>
                <w:szCs w:val="23"/>
              </w:rPr>
            </w:pPr>
            <w:r w:rsidRPr="00140B4C">
              <w:rPr>
                <w:rFonts w:ascii="Arial" w:eastAsia="Calibri" w:hAnsi="Arial"/>
                <w:noProof/>
                <w:sz w:val="16"/>
                <w:szCs w:val="23"/>
              </w:rPr>
              <w:t>State of New Mexico</w:t>
            </w:r>
          </w:p>
          <w:p w:rsidR="005C5F6F" w:rsidRPr="00140B4C" w:rsidRDefault="005C5F6F" w:rsidP="002074BB">
            <w:pPr>
              <w:suppressAutoHyphens/>
              <w:jc w:val="center"/>
              <w:rPr>
                <w:rFonts w:ascii="Arial" w:eastAsia="Calibri" w:hAnsi="Arial"/>
                <w:b/>
                <w:bCs/>
                <w:sz w:val="16"/>
                <w:szCs w:val="23"/>
              </w:rPr>
            </w:pPr>
            <w:r w:rsidRPr="00140B4C">
              <w:rPr>
                <w:rFonts w:ascii="Arial" w:eastAsia="Calibri" w:hAnsi="Arial"/>
                <w:sz w:val="16"/>
                <w:szCs w:val="23"/>
              </w:rPr>
              <w:t>2000 Census &amp; 2012 Five-Year ACS Data</w:t>
            </w:r>
          </w:p>
        </w:tc>
      </w:tr>
      <w:tr w:rsidR="005C5F6F" w:rsidRPr="00140B4C" w:rsidTr="002074BB">
        <w:trPr>
          <w:trHeight w:val="216"/>
          <w:jc w:val="center"/>
        </w:trPr>
        <w:tc>
          <w:tcPr>
            <w:tcW w:w="1653" w:type="dxa"/>
            <w:vMerge w:val="restart"/>
            <w:tcBorders>
              <w:top w:val="single" w:sz="4" w:space="0" w:color="009900"/>
              <w:left w:val="single" w:sz="4" w:space="0" w:color="009900"/>
              <w:bottom w:val="single" w:sz="4" w:space="0" w:color="009900"/>
              <w:right w:val="nil"/>
            </w:tcBorders>
            <w:shd w:val="clear" w:color="000000" w:fill="FFFFE1"/>
            <w:noWrap/>
            <w:vAlign w:val="center"/>
            <w:hideMark/>
          </w:tcPr>
          <w:p w:rsidR="005C5F6F" w:rsidRPr="00140B4C" w:rsidRDefault="005C5F6F" w:rsidP="002074BB">
            <w:pPr>
              <w:suppressAutoHyphens/>
              <w:rPr>
                <w:rFonts w:ascii="Arial" w:eastAsia="Calibri" w:hAnsi="Arial"/>
                <w:b/>
                <w:sz w:val="16"/>
                <w:szCs w:val="23"/>
              </w:rPr>
            </w:pPr>
            <w:r w:rsidRPr="00140B4C">
              <w:rPr>
                <w:rFonts w:ascii="Arial" w:eastAsia="Calibri" w:hAnsi="Arial"/>
                <w:b/>
                <w:sz w:val="16"/>
                <w:szCs w:val="23"/>
              </w:rPr>
              <w:t>Data Source</w:t>
            </w:r>
          </w:p>
        </w:tc>
        <w:tc>
          <w:tcPr>
            <w:tcW w:w="2174" w:type="dxa"/>
            <w:gridSpan w:val="2"/>
            <w:tcBorders>
              <w:top w:val="single" w:sz="4" w:space="0" w:color="009900"/>
              <w:left w:val="nil"/>
              <w:bottom w:val="dotted" w:sz="4" w:space="0" w:color="009900"/>
              <w:right w:val="dotted" w:sz="4" w:space="0" w:color="009900"/>
            </w:tcBorders>
            <w:shd w:val="clear" w:color="000000" w:fill="FFFFE1"/>
            <w:vAlign w:val="center"/>
            <w:hideMark/>
          </w:tcPr>
          <w:p w:rsidR="005C5F6F" w:rsidRPr="00140B4C" w:rsidRDefault="005C5F6F" w:rsidP="002074BB">
            <w:pPr>
              <w:suppressAutoHyphens/>
              <w:jc w:val="center"/>
              <w:rPr>
                <w:rFonts w:ascii="Arial" w:eastAsia="Calibri" w:hAnsi="Arial"/>
                <w:b/>
                <w:sz w:val="16"/>
                <w:szCs w:val="23"/>
              </w:rPr>
            </w:pPr>
            <w:r w:rsidRPr="00140B4C">
              <w:rPr>
                <w:rFonts w:ascii="Arial" w:eastAsia="Calibri" w:hAnsi="Arial"/>
                <w:b/>
                <w:sz w:val="16"/>
                <w:szCs w:val="23"/>
              </w:rPr>
              <w:t>Less Than 30%</w:t>
            </w:r>
          </w:p>
        </w:tc>
        <w:tc>
          <w:tcPr>
            <w:tcW w:w="2149" w:type="dxa"/>
            <w:gridSpan w:val="2"/>
            <w:tcBorders>
              <w:top w:val="single" w:sz="4" w:space="0" w:color="009900"/>
              <w:left w:val="dotted" w:sz="4" w:space="0" w:color="009900"/>
              <w:bottom w:val="dotted" w:sz="4" w:space="0" w:color="009900"/>
              <w:right w:val="dotted" w:sz="4" w:space="0" w:color="009900"/>
            </w:tcBorders>
            <w:shd w:val="clear" w:color="000000" w:fill="FFFFE1"/>
            <w:vAlign w:val="center"/>
            <w:hideMark/>
          </w:tcPr>
          <w:p w:rsidR="005C5F6F" w:rsidRPr="00140B4C" w:rsidRDefault="005C5F6F" w:rsidP="002074BB">
            <w:pPr>
              <w:suppressAutoHyphens/>
              <w:jc w:val="center"/>
              <w:rPr>
                <w:rFonts w:ascii="Arial" w:eastAsia="Calibri" w:hAnsi="Arial"/>
                <w:b/>
                <w:sz w:val="16"/>
                <w:szCs w:val="23"/>
              </w:rPr>
            </w:pPr>
            <w:r w:rsidRPr="00140B4C">
              <w:rPr>
                <w:rFonts w:ascii="Arial" w:eastAsia="Calibri" w:hAnsi="Arial"/>
                <w:b/>
                <w:sz w:val="16"/>
                <w:szCs w:val="23"/>
              </w:rPr>
              <w:t>31%-50%</w:t>
            </w:r>
          </w:p>
        </w:tc>
        <w:tc>
          <w:tcPr>
            <w:tcW w:w="2146" w:type="dxa"/>
            <w:gridSpan w:val="2"/>
            <w:tcBorders>
              <w:top w:val="single" w:sz="4" w:space="0" w:color="009900"/>
              <w:left w:val="dotted" w:sz="4" w:space="0" w:color="009900"/>
              <w:bottom w:val="dotted" w:sz="4" w:space="0" w:color="009900"/>
              <w:right w:val="dotted" w:sz="4" w:space="0" w:color="009900"/>
            </w:tcBorders>
            <w:shd w:val="clear" w:color="000000" w:fill="FFFFE1"/>
            <w:vAlign w:val="center"/>
            <w:hideMark/>
          </w:tcPr>
          <w:p w:rsidR="005C5F6F" w:rsidRPr="00140B4C" w:rsidRDefault="005C5F6F" w:rsidP="002074BB">
            <w:pPr>
              <w:suppressAutoHyphens/>
              <w:jc w:val="center"/>
              <w:rPr>
                <w:rFonts w:ascii="Arial" w:eastAsia="Calibri" w:hAnsi="Arial"/>
                <w:b/>
                <w:sz w:val="16"/>
                <w:szCs w:val="23"/>
              </w:rPr>
            </w:pPr>
            <w:r w:rsidRPr="00140B4C">
              <w:rPr>
                <w:rFonts w:ascii="Arial" w:eastAsia="Calibri" w:hAnsi="Arial"/>
                <w:b/>
                <w:sz w:val="16"/>
                <w:szCs w:val="23"/>
              </w:rPr>
              <w:t>Above 50%</w:t>
            </w:r>
          </w:p>
        </w:tc>
        <w:tc>
          <w:tcPr>
            <w:tcW w:w="2118" w:type="dxa"/>
            <w:gridSpan w:val="2"/>
            <w:tcBorders>
              <w:top w:val="single" w:sz="4" w:space="0" w:color="009900"/>
              <w:left w:val="dotted" w:sz="4" w:space="0" w:color="009900"/>
              <w:bottom w:val="dotted" w:sz="4" w:space="0" w:color="009900"/>
              <w:right w:val="nil"/>
            </w:tcBorders>
            <w:shd w:val="clear" w:color="000000" w:fill="FFFFE1"/>
            <w:vAlign w:val="center"/>
            <w:hideMark/>
          </w:tcPr>
          <w:p w:rsidR="005C5F6F" w:rsidRPr="00140B4C" w:rsidRDefault="005C5F6F" w:rsidP="002074BB">
            <w:pPr>
              <w:suppressAutoHyphens/>
              <w:jc w:val="center"/>
              <w:rPr>
                <w:rFonts w:ascii="Arial" w:eastAsia="Calibri" w:hAnsi="Arial"/>
                <w:b/>
                <w:sz w:val="16"/>
                <w:szCs w:val="23"/>
              </w:rPr>
            </w:pPr>
            <w:r w:rsidRPr="00140B4C">
              <w:rPr>
                <w:rFonts w:ascii="Arial" w:eastAsia="Calibri" w:hAnsi="Arial"/>
                <w:b/>
                <w:sz w:val="16"/>
                <w:szCs w:val="23"/>
              </w:rPr>
              <w:t>Not Computed</w:t>
            </w:r>
          </w:p>
        </w:tc>
        <w:tc>
          <w:tcPr>
            <w:tcW w:w="796" w:type="dxa"/>
            <w:vMerge w:val="restart"/>
            <w:tcBorders>
              <w:top w:val="single" w:sz="4" w:space="0" w:color="009900"/>
              <w:left w:val="dotted" w:sz="4" w:space="0" w:color="009900"/>
              <w:bottom w:val="single" w:sz="4" w:space="0" w:color="009900"/>
              <w:right w:val="single" w:sz="4" w:space="0" w:color="009900"/>
            </w:tcBorders>
            <w:shd w:val="clear" w:color="000000" w:fill="FFFFE1"/>
            <w:vAlign w:val="center"/>
            <w:hideMark/>
          </w:tcPr>
          <w:p w:rsidR="005C5F6F" w:rsidRPr="00140B4C" w:rsidRDefault="005C5F6F" w:rsidP="002074BB">
            <w:pPr>
              <w:suppressAutoHyphens/>
              <w:jc w:val="center"/>
              <w:rPr>
                <w:rFonts w:ascii="Arial" w:eastAsia="Calibri" w:hAnsi="Arial"/>
                <w:b/>
                <w:sz w:val="16"/>
                <w:szCs w:val="23"/>
              </w:rPr>
            </w:pPr>
            <w:r w:rsidRPr="00140B4C">
              <w:rPr>
                <w:rFonts w:ascii="Arial" w:eastAsia="Calibri" w:hAnsi="Arial"/>
                <w:b/>
                <w:sz w:val="16"/>
                <w:szCs w:val="23"/>
              </w:rPr>
              <w:t>Total</w:t>
            </w:r>
          </w:p>
        </w:tc>
      </w:tr>
      <w:tr w:rsidR="005C5F6F" w:rsidRPr="00140B4C" w:rsidTr="002074BB">
        <w:trPr>
          <w:trHeight w:val="216"/>
          <w:jc w:val="center"/>
        </w:trPr>
        <w:tc>
          <w:tcPr>
            <w:tcW w:w="1653" w:type="dxa"/>
            <w:vMerge/>
            <w:tcBorders>
              <w:top w:val="nil"/>
              <w:left w:val="single" w:sz="4" w:space="0" w:color="009900"/>
              <w:bottom w:val="single" w:sz="4" w:space="0" w:color="009900"/>
              <w:right w:val="nil"/>
            </w:tcBorders>
            <w:vAlign w:val="center"/>
            <w:hideMark/>
          </w:tcPr>
          <w:p w:rsidR="005C5F6F" w:rsidRPr="00140B4C" w:rsidRDefault="005C5F6F" w:rsidP="002074BB">
            <w:pPr>
              <w:suppressAutoHyphens/>
              <w:jc w:val="center"/>
              <w:rPr>
                <w:rFonts w:ascii="Arial" w:eastAsia="Calibri" w:hAnsi="Arial"/>
                <w:b/>
                <w:sz w:val="16"/>
                <w:szCs w:val="23"/>
              </w:rPr>
            </w:pPr>
          </w:p>
        </w:tc>
        <w:tc>
          <w:tcPr>
            <w:tcW w:w="1132" w:type="dxa"/>
            <w:tcBorders>
              <w:top w:val="nil"/>
              <w:left w:val="nil"/>
              <w:bottom w:val="single" w:sz="4" w:space="0" w:color="009900"/>
              <w:right w:val="nil"/>
            </w:tcBorders>
            <w:shd w:val="clear" w:color="000000" w:fill="FFFFE1"/>
            <w:noWrap/>
            <w:vAlign w:val="center"/>
            <w:hideMark/>
          </w:tcPr>
          <w:p w:rsidR="005C5F6F" w:rsidRPr="00140B4C" w:rsidRDefault="005C5F6F" w:rsidP="002074BB">
            <w:pPr>
              <w:suppressAutoHyphens/>
              <w:jc w:val="center"/>
              <w:rPr>
                <w:rFonts w:ascii="Arial" w:eastAsia="Calibri" w:hAnsi="Arial"/>
                <w:b/>
                <w:sz w:val="16"/>
                <w:szCs w:val="23"/>
              </w:rPr>
            </w:pPr>
            <w:r w:rsidRPr="00140B4C">
              <w:rPr>
                <w:rFonts w:ascii="Arial" w:eastAsia="Calibri" w:hAnsi="Arial"/>
                <w:b/>
                <w:sz w:val="16"/>
                <w:szCs w:val="23"/>
              </w:rPr>
              <w:t>Households</w:t>
            </w:r>
          </w:p>
        </w:tc>
        <w:tc>
          <w:tcPr>
            <w:tcW w:w="1042" w:type="dxa"/>
            <w:tcBorders>
              <w:top w:val="nil"/>
              <w:left w:val="nil"/>
              <w:bottom w:val="single" w:sz="4" w:space="0" w:color="009900"/>
              <w:right w:val="nil"/>
            </w:tcBorders>
            <w:shd w:val="clear" w:color="000000" w:fill="FFFFE1"/>
            <w:noWrap/>
            <w:vAlign w:val="center"/>
            <w:hideMark/>
          </w:tcPr>
          <w:p w:rsidR="005C5F6F" w:rsidRPr="00140B4C" w:rsidRDefault="005C5F6F" w:rsidP="002074BB">
            <w:pPr>
              <w:suppressAutoHyphens/>
              <w:jc w:val="center"/>
              <w:rPr>
                <w:rFonts w:ascii="Arial" w:eastAsia="Calibri" w:hAnsi="Arial"/>
                <w:b/>
                <w:sz w:val="16"/>
                <w:szCs w:val="23"/>
              </w:rPr>
            </w:pPr>
            <w:r w:rsidRPr="00140B4C">
              <w:rPr>
                <w:rFonts w:ascii="Arial" w:eastAsia="Calibri" w:hAnsi="Arial"/>
                <w:b/>
                <w:sz w:val="16"/>
                <w:szCs w:val="23"/>
              </w:rPr>
              <w:t>% of Total</w:t>
            </w:r>
          </w:p>
        </w:tc>
        <w:tc>
          <w:tcPr>
            <w:tcW w:w="1137" w:type="dxa"/>
            <w:tcBorders>
              <w:top w:val="nil"/>
              <w:left w:val="dotted" w:sz="4" w:space="0" w:color="009900"/>
              <w:bottom w:val="single" w:sz="4" w:space="0" w:color="009900"/>
              <w:right w:val="nil"/>
            </w:tcBorders>
            <w:shd w:val="clear" w:color="000000" w:fill="FFFFE1"/>
            <w:noWrap/>
            <w:vAlign w:val="center"/>
            <w:hideMark/>
          </w:tcPr>
          <w:p w:rsidR="005C5F6F" w:rsidRPr="00140B4C" w:rsidRDefault="005C5F6F" w:rsidP="002074BB">
            <w:pPr>
              <w:suppressAutoHyphens/>
              <w:jc w:val="center"/>
              <w:rPr>
                <w:rFonts w:ascii="Arial" w:eastAsia="Calibri" w:hAnsi="Arial"/>
                <w:b/>
                <w:sz w:val="16"/>
                <w:szCs w:val="23"/>
              </w:rPr>
            </w:pPr>
            <w:r w:rsidRPr="00140B4C">
              <w:rPr>
                <w:rFonts w:ascii="Arial" w:eastAsia="Calibri" w:hAnsi="Arial"/>
                <w:b/>
                <w:sz w:val="16"/>
                <w:szCs w:val="23"/>
              </w:rPr>
              <w:t>Households</w:t>
            </w:r>
          </w:p>
        </w:tc>
        <w:tc>
          <w:tcPr>
            <w:tcW w:w="1012" w:type="dxa"/>
            <w:tcBorders>
              <w:top w:val="nil"/>
              <w:left w:val="nil"/>
              <w:bottom w:val="single" w:sz="4" w:space="0" w:color="009900"/>
              <w:right w:val="dotted" w:sz="4" w:space="0" w:color="009900"/>
            </w:tcBorders>
            <w:shd w:val="clear" w:color="000000" w:fill="FFFFE1"/>
            <w:noWrap/>
            <w:vAlign w:val="center"/>
            <w:hideMark/>
          </w:tcPr>
          <w:p w:rsidR="005C5F6F" w:rsidRPr="00140B4C" w:rsidRDefault="005C5F6F" w:rsidP="002074BB">
            <w:pPr>
              <w:suppressAutoHyphens/>
              <w:jc w:val="center"/>
              <w:rPr>
                <w:rFonts w:ascii="Arial" w:eastAsia="Calibri" w:hAnsi="Arial"/>
                <w:b/>
                <w:sz w:val="16"/>
                <w:szCs w:val="23"/>
              </w:rPr>
            </w:pPr>
            <w:r w:rsidRPr="00140B4C">
              <w:rPr>
                <w:rFonts w:ascii="Arial" w:eastAsia="Calibri" w:hAnsi="Arial"/>
                <w:b/>
                <w:sz w:val="16"/>
                <w:szCs w:val="23"/>
              </w:rPr>
              <w:t>% of Total</w:t>
            </w:r>
          </w:p>
        </w:tc>
        <w:tc>
          <w:tcPr>
            <w:tcW w:w="1155" w:type="dxa"/>
            <w:tcBorders>
              <w:top w:val="nil"/>
              <w:left w:val="nil"/>
              <w:bottom w:val="single" w:sz="4" w:space="0" w:color="009900"/>
              <w:right w:val="nil"/>
            </w:tcBorders>
            <w:shd w:val="clear" w:color="000000" w:fill="FFFFE1"/>
            <w:noWrap/>
            <w:vAlign w:val="center"/>
            <w:hideMark/>
          </w:tcPr>
          <w:p w:rsidR="005C5F6F" w:rsidRPr="00140B4C" w:rsidRDefault="005C5F6F" w:rsidP="002074BB">
            <w:pPr>
              <w:suppressAutoHyphens/>
              <w:jc w:val="center"/>
              <w:rPr>
                <w:rFonts w:ascii="Arial" w:eastAsia="Calibri" w:hAnsi="Arial"/>
                <w:b/>
                <w:sz w:val="16"/>
                <w:szCs w:val="23"/>
              </w:rPr>
            </w:pPr>
            <w:r w:rsidRPr="00140B4C">
              <w:rPr>
                <w:rFonts w:ascii="Arial" w:eastAsia="Calibri" w:hAnsi="Arial"/>
                <w:b/>
                <w:sz w:val="16"/>
                <w:szCs w:val="23"/>
              </w:rPr>
              <w:t>Households</w:t>
            </w:r>
          </w:p>
        </w:tc>
        <w:tc>
          <w:tcPr>
            <w:tcW w:w="991" w:type="dxa"/>
            <w:tcBorders>
              <w:top w:val="nil"/>
              <w:left w:val="nil"/>
              <w:bottom w:val="single" w:sz="4" w:space="0" w:color="009900"/>
              <w:right w:val="dotted" w:sz="4" w:space="0" w:color="009900"/>
            </w:tcBorders>
            <w:shd w:val="clear" w:color="000000" w:fill="FFFFE1"/>
            <w:noWrap/>
            <w:vAlign w:val="center"/>
            <w:hideMark/>
          </w:tcPr>
          <w:p w:rsidR="005C5F6F" w:rsidRPr="00140B4C" w:rsidRDefault="005C5F6F" w:rsidP="002074BB">
            <w:pPr>
              <w:suppressAutoHyphens/>
              <w:jc w:val="center"/>
              <w:rPr>
                <w:rFonts w:ascii="Arial" w:eastAsia="Calibri" w:hAnsi="Arial"/>
                <w:b/>
                <w:sz w:val="16"/>
                <w:szCs w:val="23"/>
              </w:rPr>
            </w:pPr>
            <w:r w:rsidRPr="00140B4C">
              <w:rPr>
                <w:rFonts w:ascii="Arial" w:eastAsia="Calibri" w:hAnsi="Arial"/>
                <w:b/>
                <w:sz w:val="16"/>
                <w:szCs w:val="23"/>
              </w:rPr>
              <w:t>% of Total</w:t>
            </w:r>
          </w:p>
        </w:tc>
        <w:tc>
          <w:tcPr>
            <w:tcW w:w="1132" w:type="dxa"/>
            <w:tcBorders>
              <w:top w:val="nil"/>
              <w:left w:val="nil"/>
              <w:bottom w:val="single" w:sz="4" w:space="0" w:color="009900"/>
              <w:right w:val="nil"/>
            </w:tcBorders>
            <w:shd w:val="clear" w:color="000000" w:fill="FFFFE1"/>
            <w:noWrap/>
            <w:vAlign w:val="center"/>
            <w:hideMark/>
          </w:tcPr>
          <w:p w:rsidR="005C5F6F" w:rsidRPr="00140B4C" w:rsidRDefault="005C5F6F" w:rsidP="002074BB">
            <w:pPr>
              <w:suppressAutoHyphens/>
              <w:jc w:val="center"/>
              <w:rPr>
                <w:rFonts w:ascii="Arial" w:eastAsia="Calibri" w:hAnsi="Arial"/>
                <w:b/>
                <w:sz w:val="16"/>
                <w:szCs w:val="23"/>
              </w:rPr>
            </w:pPr>
            <w:r w:rsidRPr="00140B4C">
              <w:rPr>
                <w:rFonts w:ascii="Arial" w:eastAsia="Calibri" w:hAnsi="Arial"/>
                <w:b/>
                <w:sz w:val="16"/>
                <w:szCs w:val="23"/>
              </w:rPr>
              <w:t>Households</w:t>
            </w:r>
          </w:p>
        </w:tc>
        <w:tc>
          <w:tcPr>
            <w:tcW w:w="986" w:type="dxa"/>
            <w:tcBorders>
              <w:top w:val="nil"/>
              <w:left w:val="nil"/>
              <w:bottom w:val="single" w:sz="4" w:space="0" w:color="009900"/>
              <w:right w:val="nil"/>
            </w:tcBorders>
            <w:shd w:val="clear" w:color="000000" w:fill="FFFFE1"/>
            <w:noWrap/>
            <w:vAlign w:val="center"/>
            <w:hideMark/>
          </w:tcPr>
          <w:p w:rsidR="005C5F6F" w:rsidRPr="00140B4C" w:rsidRDefault="005C5F6F" w:rsidP="002074BB">
            <w:pPr>
              <w:suppressAutoHyphens/>
              <w:jc w:val="center"/>
              <w:rPr>
                <w:rFonts w:ascii="Arial" w:eastAsia="Calibri" w:hAnsi="Arial"/>
                <w:b/>
                <w:sz w:val="16"/>
                <w:szCs w:val="23"/>
              </w:rPr>
            </w:pPr>
            <w:r w:rsidRPr="00140B4C">
              <w:rPr>
                <w:rFonts w:ascii="Arial" w:eastAsia="Calibri" w:hAnsi="Arial"/>
                <w:b/>
                <w:sz w:val="16"/>
                <w:szCs w:val="23"/>
              </w:rPr>
              <w:t>% of Total</w:t>
            </w:r>
          </w:p>
        </w:tc>
        <w:tc>
          <w:tcPr>
            <w:tcW w:w="796" w:type="dxa"/>
            <w:vMerge/>
            <w:tcBorders>
              <w:top w:val="nil"/>
              <w:left w:val="dotted" w:sz="4" w:space="0" w:color="009900"/>
              <w:bottom w:val="single" w:sz="4" w:space="0" w:color="009900"/>
              <w:right w:val="single" w:sz="4" w:space="0" w:color="009900"/>
            </w:tcBorders>
            <w:vAlign w:val="center"/>
            <w:hideMark/>
          </w:tcPr>
          <w:p w:rsidR="005C5F6F" w:rsidRPr="00140B4C" w:rsidRDefault="005C5F6F" w:rsidP="002074BB">
            <w:pPr>
              <w:suppressAutoHyphens/>
              <w:jc w:val="center"/>
              <w:rPr>
                <w:rFonts w:ascii="Arial" w:eastAsia="Calibri" w:hAnsi="Arial"/>
                <w:b/>
                <w:sz w:val="16"/>
                <w:szCs w:val="23"/>
              </w:rPr>
            </w:pPr>
          </w:p>
        </w:tc>
      </w:tr>
      <w:tr w:rsidR="005C5F6F" w:rsidRPr="00140B4C" w:rsidTr="002074BB">
        <w:trPr>
          <w:trHeight w:val="216"/>
          <w:jc w:val="center"/>
        </w:trPr>
        <w:tc>
          <w:tcPr>
            <w:tcW w:w="11036" w:type="dxa"/>
            <w:gridSpan w:val="10"/>
            <w:tcBorders>
              <w:top w:val="single" w:sz="4" w:space="0" w:color="009900"/>
              <w:left w:val="single" w:sz="4" w:space="0" w:color="009900"/>
              <w:bottom w:val="dotted" w:sz="4" w:space="0" w:color="009900"/>
              <w:right w:val="single" w:sz="4" w:space="0" w:color="009900"/>
            </w:tcBorders>
            <w:shd w:val="clear" w:color="000000" w:fill="FFFFE1"/>
            <w:noWrap/>
            <w:vAlign w:val="center"/>
            <w:hideMark/>
          </w:tcPr>
          <w:p w:rsidR="005C5F6F" w:rsidRPr="00140B4C" w:rsidRDefault="005C5F6F" w:rsidP="002074BB">
            <w:pPr>
              <w:suppressAutoHyphens/>
              <w:jc w:val="center"/>
              <w:rPr>
                <w:rFonts w:ascii="Arial" w:eastAsia="Calibri" w:hAnsi="Arial"/>
                <w:b/>
                <w:sz w:val="16"/>
                <w:szCs w:val="23"/>
              </w:rPr>
            </w:pPr>
            <w:r w:rsidRPr="00140B4C">
              <w:rPr>
                <w:rFonts w:ascii="Arial" w:eastAsia="Calibri" w:hAnsi="Arial"/>
                <w:b/>
                <w:sz w:val="16"/>
                <w:szCs w:val="23"/>
              </w:rPr>
              <w:t>Owner With a Mortgage</w:t>
            </w:r>
          </w:p>
        </w:tc>
      </w:tr>
      <w:tr w:rsidR="005C5F6F" w:rsidRPr="00140B4C" w:rsidTr="002074BB">
        <w:trPr>
          <w:trHeight w:val="216"/>
          <w:jc w:val="center"/>
        </w:trPr>
        <w:tc>
          <w:tcPr>
            <w:tcW w:w="1653" w:type="dxa"/>
            <w:tcBorders>
              <w:top w:val="nil"/>
              <w:left w:val="single" w:sz="4" w:space="0" w:color="009900"/>
              <w:bottom w:val="nil"/>
              <w:right w:val="nil"/>
            </w:tcBorders>
            <w:shd w:val="clear" w:color="000000" w:fill="FFFFE1"/>
            <w:noWrap/>
            <w:vAlign w:val="center"/>
            <w:hideMark/>
          </w:tcPr>
          <w:p w:rsidR="005C5F6F" w:rsidRPr="00140B4C" w:rsidRDefault="005C5F6F" w:rsidP="002074BB">
            <w:pPr>
              <w:suppressAutoHyphens/>
              <w:rPr>
                <w:rFonts w:ascii="Arial" w:eastAsia="Calibri" w:hAnsi="Arial"/>
                <w:sz w:val="16"/>
                <w:szCs w:val="23"/>
              </w:rPr>
            </w:pPr>
            <w:r w:rsidRPr="00140B4C">
              <w:rPr>
                <w:rFonts w:ascii="Arial" w:eastAsia="Calibri" w:hAnsi="Arial"/>
                <w:sz w:val="16"/>
                <w:szCs w:val="23"/>
              </w:rPr>
              <w:t>2000 Census</w:t>
            </w:r>
          </w:p>
        </w:tc>
        <w:tc>
          <w:tcPr>
            <w:tcW w:w="1132" w:type="dxa"/>
            <w:tcBorders>
              <w:top w:val="nil"/>
              <w:left w:val="nil"/>
              <w:bottom w:val="nil"/>
              <w:right w:val="nil"/>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noProof/>
                <w:sz w:val="16"/>
                <w:szCs w:val="23"/>
              </w:rPr>
              <w:t>152,889</w:t>
            </w:r>
          </w:p>
        </w:tc>
        <w:tc>
          <w:tcPr>
            <w:tcW w:w="1042" w:type="dxa"/>
            <w:tcBorders>
              <w:top w:val="nil"/>
              <w:left w:val="nil"/>
              <w:bottom w:val="nil"/>
              <w:right w:val="nil"/>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noProof/>
                <w:sz w:val="16"/>
                <w:szCs w:val="23"/>
              </w:rPr>
              <w:t>70.8</w:t>
            </w:r>
            <w:r w:rsidRPr="00140B4C">
              <w:rPr>
                <w:rFonts w:ascii="Arial" w:eastAsia="Calibri" w:hAnsi="Arial" w:cs="Arial"/>
                <w:sz w:val="16"/>
                <w:szCs w:val="16"/>
              </w:rPr>
              <w:t>%</w:t>
            </w:r>
          </w:p>
        </w:tc>
        <w:tc>
          <w:tcPr>
            <w:tcW w:w="1137" w:type="dxa"/>
            <w:tcBorders>
              <w:top w:val="nil"/>
              <w:left w:val="dotted" w:sz="4" w:space="0" w:color="009900"/>
              <w:bottom w:val="nil"/>
              <w:right w:val="nil"/>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noProof/>
                <w:sz w:val="16"/>
                <w:szCs w:val="23"/>
              </w:rPr>
              <w:t>39,869</w:t>
            </w:r>
          </w:p>
        </w:tc>
        <w:tc>
          <w:tcPr>
            <w:tcW w:w="1012" w:type="dxa"/>
            <w:tcBorders>
              <w:top w:val="nil"/>
              <w:left w:val="nil"/>
              <w:bottom w:val="nil"/>
              <w:right w:val="dotted" w:sz="4" w:space="0" w:color="009900"/>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noProof/>
                <w:sz w:val="16"/>
                <w:szCs w:val="23"/>
              </w:rPr>
              <w:t>18.5</w:t>
            </w:r>
            <w:r w:rsidRPr="00140B4C">
              <w:rPr>
                <w:rFonts w:ascii="Arial" w:eastAsia="Calibri" w:hAnsi="Arial" w:cs="Arial"/>
                <w:sz w:val="16"/>
                <w:szCs w:val="16"/>
              </w:rPr>
              <w:t>%</w:t>
            </w:r>
          </w:p>
        </w:tc>
        <w:tc>
          <w:tcPr>
            <w:tcW w:w="1155" w:type="dxa"/>
            <w:tcBorders>
              <w:top w:val="nil"/>
              <w:left w:val="nil"/>
              <w:bottom w:val="nil"/>
              <w:right w:val="nil"/>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noProof/>
                <w:sz w:val="16"/>
                <w:szCs w:val="23"/>
              </w:rPr>
              <w:t>22,087</w:t>
            </w:r>
          </w:p>
        </w:tc>
        <w:tc>
          <w:tcPr>
            <w:tcW w:w="991" w:type="dxa"/>
            <w:tcBorders>
              <w:top w:val="nil"/>
              <w:left w:val="nil"/>
              <w:bottom w:val="nil"/>
              <w:right w:val="nil"/>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noProof/>
                <w:sz w:val="16"/>
                <w:szCs w:val="23"/>
              </w:rPr>
              <w:t>10.2</w:t>
            </w:r>
            <w:r w:rsidRPr="00140B4C">
              <w:rPr>
                <w:rFonts w:ascii="Arial" w:eastAsia="Calibri" w:hAnsi="Arial" w:cs="Arial"/>
                <w:sz w:val="16"/>
                <w:szCs w:val="16"/>
              </w:rPr>
              <w:t>%</w:t>
            </w:r>
          </w:p>
        </w:tc>
        <w:tc>
          <w:tcPr>
            <w:tcW w:w="1132" w:type="dxa"/>
            <w:tcBorders>
              <w:top w:val="nil"/>
              <w:left w:val="dotted" w:sz="4" w:space="0" w:color="009900"/>
              <w:bottom w:val="nil"/>
              <w:right w:val="nil"/>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noProof/>
                <w:sz w:val="16"/>
                <w:szCs w:val="23"/>
              </w:rPr>
              <w:t>1,237</w:t>
            </w:r>
            <w:r w:rsidRPr="00140B4C">
              <w:rPr>
                <w:rFonts w:ascii="Arial" w:eastAsia="Calibri" w:hAnsi="Arial" w:cs="Arial"/>
                <w:sz w:val="16"/>
                <w:szCs w:val="16"/>
              </w:rPr>
              <w:t> </w:t>
            </w:r>
          </w:p>
        </w:tc>
        <w:tc>
          <w:tcPr>
            <w:tcW w:w="986" w:type="dxa"/>
            <w:tcBorders>
              <w:top w:val="nil"/>
              <w:left w:val="nil"/>
              <w:bottom w:val="nil"/>
              <w:right w:val="dotted" w:sz="4" w:space="0" w:color="009900"/>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noProof/>
                <w:sz w:val="16"/>
                <w:szCs w:val="23"/>
              </w:rPr>
              <w:t>.6</w:t>
            </w:r>
            <w:r w:rsidRPr="00140B4C">
              <w:rPr>
                <w:rFonts w:ascii="Arial" w:eastAsia="Calibri" w:hAnsi="Arial" w:cs="Arial"/>
                <w:sz w:val="16"/>
                <w:szCs w:val="16"/>
              </w:rPr>
              <w:t>%</w:t>
            </w:r>
          </w:p>
        </w:tc>
        <w:tc>
          <w:tcPr>
            <w:tcW w:w="796" w:type="dxa"/>
            <w:tcBorders>
              <w:top w:val="nil"/>
              <w:left w:val="nil"/>
              <w:bottom w:val="nil"/>
              <w:right w:val="single" w:sz="4" w:space="0" w:color="009900"/>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noProof/>
                <w:sz w:val="16"/>
                <w:szCs w:val="23"/>
              </w:rPr>
              <w:t>216,082</w:t>
            </w:r>
          </w:p>
        </w:tc>
      </w:tr>
      <w:tr w:rsidR="005C5F6F" w:rsidRPr="00140B4C" w:rsidTr="002074BB">
        <w:trPr>
          <w:trHeight w:val="216"/>
          <w:jc w:val="center"/>
        </w:trPr>
        <w:tc>
          <w:tcPr>
            <w:tcW w:w="1653" w:type="dxa"/>
            <w:tcBorders>
              <w:top w:val="nil"/>
              <w:left w:val="single" w:sz="4" w:space="0" w:color="009900"/>
              <w:bottom w:val="nil"/>
              <w:right w:val="nil"/>
            </w:tcBorders>
            <w:shd w:val="clear" w:color="000000" w:fill="FFFFE1"/>
            <w:noWrap/>
            <w:vAlign w:val="center"/>
            <w:hideMark/>
          </w:tcPr>
          <w:p w:rsidR="005C5F6F" w:rsidRPr="00140B4C" w:rsidRDefault="005C5F6F" w:rsidP="002074BB">
            <w:pPr>
              <w:suppressAutoHyphens/>
              <w:ind w:right="-88"/>
              <w:rPr>
                <w:rFonts w:ascii="Arial" w:eastAsia="Calibri" w:hAnsi="Arial"/>
                <w:sz w:val="16"/>
                <w:szCs w:val="23"/>
              </w:rPr>
            </w:pPr>
            <w:r>
              <w:rPr>
                <w:rFonts w:ascii="Arial" w:eastAsia="Calibri" w:hAnsi="Arial"/>
                <w:sz w:val="16"/>
                <w:szCs w:val="23"/>
              </w:rPr>
              <w:t>2012</w:t>
            </w:r>
            <w:r w:rsidRPr="00140B4C">
              <w:rPr>
                <w:rFonts w:ascii="Arial" w:eastAsia="Calibri" w:hAnsi="Arial"/>
                <w:sz w:val="16"/>
                <w:szCs w:val="23"/>
              </w:rPr>
              <w:t xml:space="preserve"> Five-Year ACS</w:t>
            </w:r>
          </w:p>
        </w:tc>
        <w:tc>
          <w:tcPr>
            <w:tcW w:w="1132" w:type="dxa"/>
            <w:tcBorders>
              <w:top w:val="nil"/>
              <w:left w:val="nil"/>
              <w:bottom w:val="nil"/>
              <w:right w:val="nil"/>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cs="Arial"/>
                <w:noProof/>
                <w:sz w:val="16"/>
                <w:szCs w:val="16"/>
              </w:rPr>
              <w:t>205,741</w:t>
            </w:r>
          </w:p>
        </w:tc>
        <w:tc>
          <w:tcPr>
            <w:tcW w:w="1042" w:type="dxa"/>
            <w:tcBorders>
              <w:top w:val="nil"/>
              <w:left w:val="nil"/>
              <w:bottom w:val="nil"/>
              <w:right w:val="nil"/>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cs="Arial"/>
                <w:noProof/>
                <w:sz w:val="16"/>
                <w:szCs w:val="16"/>
              </w:rPr>
              <w:t>65.1</w:t>
            </w:r>
            <w:r w:rsidRPr="00140B4C">
              <w:rPr>
                <w:rFonts w:ascii="Arial" w:eastAsia="Calibri" w:hAnsi="Arial" w:cs="Arial"/>
                <w:sz w:val="16"/>
                <w:szCs w:val="16"/>
              </w:rPr>
              <w:t>%</w:t>
            </w:r>
          </w:p>
        </w:tc>
        <w:tc>
          <w:tcPr>
            <w:tcW w:w="1137" w:type="dxa"/>
            <w:tcBorders>
              <w:top w:val="nil"/>
              <w:left w:val="dotted" w:sz="4" w:space="0" w:color="009900"/>
              <w:bottom w:val="single" w:sz="4" w:space="0" w:color="009900"/>
              <w:right w:val="nil"/>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cs="Arial"/>
                <w:noProof/>
                <w:sz w:val="16"/>
                <w:szCs w:val="16"/>
              </w:rPr>
              <w:t>64,224</w:t>
            </w:r>
          </w:p>
        </w:tc>
        <w:tc>
          <w:tcPr>
            <w:tcW w:w="1012" w:type="dxa"/>
            <w:tcBorders>
              <w:top w:val="nil"/>
              <w:left w:val="nil"/>
              <w:bottom w:val="single" w:sz="4" w:space="0" w:color="009900"/>
              <w:right w:val="dotted" w:sz="4" w:space="0" w:color="009900"/>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cs="Arial"/>
                <w:noProof/>
                <w:sz w:val="16"/>
                <w:szCs w:val="16"/>
              </w:rPr>
              <w:t>20.3</w:t>
            </w:r>
            <w:r w:rsidRPr="00140B4C">
              <w:rPr>
                <w:rFonts w:ascii="Arial" w:eastAsia="Calibri" w:hAnsi="Arial" w:cs="Arial"/>
                <w:sz w:val="16"/>
                <w:szCs w:val="16"/>
              </w:rPr>
              <w:t>%</w:t>
            </w:r>
          </w:p>
        </w:tc>
        <w:tc>
          <w:tcPr>
            <w:tcW w:w="1155" w:type="dxa"/>
            <w:tcBorders>
              <w:top w:val="nil"/>
              <w:left w:val="nil"/>
              <w:bottom w:val="nil"/>
              <w:right w:val="nil"/>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cs="Arial"/>
                <w:noProof/>
                <w:sz w:val="16"/>
                <w:szCs w:val="16"/>
              </w:rPr>
              <w:t>44,273</w:t>
            </w:r>
          </w:p>
        </w:tc>
        <w:tc>
          <w:tcPr>
            <w:tcW w:w="991" w:type="dxa"/>
            <w:tcBorders>
              <w:top w:val="nil"/>
              <w:left w:val="nil"/>
              <w:bottom w:val="nil"/>
              <w:right w:val="nil"/>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cs="Arial"/>
                <w:noProof/>
                <w:sz w:val="16"/>
                <w:szCs w:val="16"/>
              </w:rPr>
              <w:t>14.0</w:t>
            </w:r>
            <w:r w:rsidRPr="00140B4C">
              <w:rPr>
                <w:rFonts w:ascii="Arial" w:eastAsia="Calibri" w:hAnsi="Arial" w:cs="Arial"/>
                <w:sz w:val="16"/>
                <w:szCs w:val="16"/>
              </w:rPr>
              <w:t>%</w:t>
            </w:r>
          </w:p>
        </w:tc>
        <w:tc>
          <w:tcPr>
            <w:tcW w:w="1132" w:type="dxa"/>
            <w:tcBorders>
              <w:top w:val="nil"/>
              <w:left w:val="dotted" w:sz="4" w:space="0" w:color="009900"/>
              <w:bottom w:val="single" w:sz="4" w:space="0" w:color="009900"/>
              <w:right w:val="nil"/>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cs="Arial"/>
                <w:noProof/>
                <w:sz w:val="16"/>
                <w:szCs w:val="16"/>
              </w:rPr>
              <w:t>2,008</w:t>
            </w:r>
          </w:p>
        </w:tc>
        <w:tc>
          <w:tcPr>
            <w:tcW w:w="986" w:type="dxa"/>
            <w:tcBorders>
              <w:top w:val="nil"/>
              <w:left w:val="nil"/>
              <w:bottom w:val="single" w:sz="4" w:space="0" w:color="009900"/>
              <w:right w:val="dotted" w:sz="4" w:space="0" w:color="009900"/>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sz w:val="16"/>
                <w:szCs w:val="23"/>
              </w:rPr>
              <w:t>0</w:t>
            </w:r>
            <w:r w:rsidRPr="00140B4C">
              <w:rPr>
                <w:rFonts w:ascii="Arial" w:eastAsia="Calibri" w:hAnsi="Arial" w:cs="Arial"/>
                <w:noProof/>
                <w:sz w:val="16"/>
                <w:szCs w:val="16"/>
              </w:rPr>
              <w:t>.</w:t>
            </w:r>
            <w:r w:rsidRPr="00140B4C">
              <w:rPr>
                <w:rFonts w:ascii="Arial" w:eastAsia="Calibri" w:hAnsi="Arial"/>
                <w:noProof/>
                <w:sz w:val="16"/>
                <w:szCs w:val="23"/>
              </w:rPr>
              <w:t>6</w:t>
            </w:r>
            <w:r w:rsidRPr="00140B4C">
              <w:rPr>
                <w:rFonts w:ascii="Arial" w:eastAsia="Calibri" w:hAnsi="Arial" w:cs="Arial"/>
                <w:sz w:val="16"/>
                <w:szCs w:val="16"/>
              </w:rPr>
              <w:t>%</w:t>
            </w:r>
          </w:p>
        </w:tc>
        <w:tc>
          <w:tcPr>
            <w:tcW w:w="796" w:type="dxa"/>
            <w:tcBorders>
              <w:top w:val="nil"/>
              <w:left w:val="nil"/>
              <w:bottom w:val="nil"/>
              <w:right w:val="single" w:sz="4" w:space="0" w:color="009900"/>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cs="Arial"/>
                <w:noProof/>
                <w:sz w:val="16"/>
                <w:szCs w:val="16"/>
              </w:rPr>
              <w:t>316,246</w:t>
            </w:r>
          </w:p>
        </w:tc>
      </w:tr>
      <w:tr w:rsidR="005C5F6F" w:rsidRPr="00140B4C" w:rsidTr="002074BB">
        <w:trPr>
          <w:trHeight w:val="216"/>
          <w:jc w:val="center"/>
        </w:trPr>
        <w:tc>
          <w:tcPr>
            <w:tcW w:w="11036" w:type="dxa"/>
            <w:gridSpan w:val="10"/>
            <w:tcBorders>
              <w:top w:val="single" w:sz="4" w:space="0" w:color="009900"/>
              <w:left w:val="single" w:sz="4" w:space="0" w:color="009900"/>
              <w:bottom w:val="dotted" w:sz="4" w:space="0" w:color="009900"/>
              <w:right w:val="single" w:sz="4" w:space="0" w:color="009900"/>
            </w:tcBorders>
            <w:shd w:val="clear" w:color="000000" w:fill="FFFFE1"/>
            <w:noWrap/>
            <w:vAlign w:val="center"/>
            <w:hideMark/>
          </w:tcPr>
          <w:p w:rsidR="005C5F6F" w:rsidRPr="00140B4C" w:rsidRDefault="005C5F6F" w:rsidP="002074BB">
            <w:pPr>
              <w:suppressAutoHyphens/>
              <w:jc w:val="center"/>
              <w:rPr>
                <w:rFonts w:ascii="Arial" w:eastAsia="Calibri" w:hAnsi="Arial"/>
                <w:b/>
                <w:sz w:val="16"/>
                <w:szCs w:val="23"/>
              </w:rPr>
            </w:pPr>
            <w:r w:rsidRPr="00140B4C">
              <w:rPr>
                <w:rFonts w:ascii="Arial" w:eastAsia="Calibri" w:hAnsi="Arial"/>
                <w:b/>
                <w:sz w:val="16"/>
                <w:szCs w:val="23"/>
              </w:rPr>
              <w:t>Owner Without a Mortgage</w:t>
            </w:r>
          </w:p>
        </w:tc>
      </w:tr>
      <w:tr w:rsidR="005C5F6F" w:rsidRPr="00140B4C" w:rsidTr="002074BB">
        <w:trPr>
          <w:trHeight w:val="216"/>
          <w:jc w:val="center"/>
        </w:trPr>
        <w:tc>
          <w:tcPr>
            <w:tcW w:w="1653" w:type="dxa"/>
            <w:tcBorders>
              <w:top w:val="nil"/>
              <w:left w:val="single" w:sz="4" w:space="0" w:color="009900"/>
              <w:bottom w:val="nil"/>
              <w:right w:val="nil"/>
            </w:tcBorders>
            <w:shd w:val="clear" w:color="000000" w:fill="FFFFE1"/>
            <w:noWrap/>
            <w:vAlign w:val="center"/>
            <w:hideMark/>
          </w:tcPr>
          <w:p w:rsidR="005C5F6F" w:rsidRPr="00140B4C" w:rsidRDefault="005C5F6F" w:rsidP="002074BB">
            <w:pPr>
              <w:suppressAutoHyphens/>
              <w:rPr>
                <w:rFonts w:ascii="Arial" w:eastAsia="Calibri" w:hAnsi="Arial"/>
                <w:sz w:val="16"/>
                <w:szCs w:val="23"/>
              </w:rPr>
            </w:pPr>
            <w:r w:rsidRPr="00140B4C">
              <w:rPr>
                <w:rFonts w:ascii="Arial" w:eastAsia="Calibri" w:hAnsi="Arial"/>
                <w:sz w:val="16"/>
                <w:szCs w:val="23"/>
              </w:rPr>
              <w:t>2000 Census</w:t>
            </w:r>
          </w:p>
        </w:tc>
        <w:tc>
          <w:tcPr>
            <w:tcW w:w="1132" w:type="dxa"/>
            <w:tcBorders>
              <w:top w:val="nil"/>
              <w:left w:val="nil"/>
              <w:bottom w:val="nil"/>
              <w:right w:val="nil"/>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noProof/>
                <w:sz w:val="16"/>
                <w:szCs w:val="23"/>
              </w:rPr>
              <w:t>108,699</w:t>
            </w:r>
          </w:p>
        </w:tc>
        <w:tc>
          <w:tcPr>
            <w:tcW w:w="1042" w:type="dxa"/>
            <w:tcBorders>
              <w:top w:val="nil"/>
              <w:left w:val="nil"/>
              <w:bottom w:val="nil"/>
              <w:right w:val="nil"/>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noProof/>
                <w:sz w:val="16"/>
                <w:szCs w:val="23"/>
              </w:rPr>
              <w:t>87.8</w:t>
            </w:r>
            <w:r w:rsidRPr="00140B4C">
              <w:rPr>
                <w:rFonts w:ascii="Arial" w:eastAsia="Calibri" w:hAnsi="Arial" w:cs="Arial"/>
                <w:sz w:val="16"/>
                <w:szCs w:val="16"/>
              </w:rPr>
              <w:t>%</w:t>
            </w:r>
          </w:p>
        </w:tc>
        <w:tc>
          <w:tcPr>
            <w:tcW w:w="1137" w:type="dxa"/>
            <w:tcBorders>
              <w:top w:val="nil"/>
              <w:left w:val="dotted" w:sz="4" w:space="0" w:color="009900"/>
              <w:bottom w:val="nil"/>
              <w:right w:val="nil"/>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noProof/>
                <w:sz w:val="16"/>
                <w:szCs w:val="23"/>
              </w:rPr>
              <w:t>7,268</w:t>
            </w:r>
          </w:p>
        </w:tc>
        <w:tc>
          <w:tcPr>
            <w:tcW w:w="1012" w:type="dxa"/>
            <w:tcBorders>
              <w:top w:val="nil"/>
              <w:left w:val="nil"/>
              <w:bottom w:val="nil"/>
              <w:right w:val="dotted" w:sz="4" w:space="0" w:color="009900"/>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noProof/>
                <w:sz w:val="16"/>
                <w:szCs w:val="23"/>
              </w:rPr>
              <w:t>5.9</w:t>
            </w:r>
            <w:r w:rsidRPr="00140B4C">
              <w:rPr>
                <w:rFonts w:ascii="Arial" w:eastAsia="Calibri" w:hAnsi="Arial" w:cs="Arial"/>
                <w:sz w:val="16"/>
                <w:szCs w:val="16"/>
              </w:rPr>
              <w:t>%</w:t>
            </w:r>
          </w:p>
        </w:tc>
        <w:tc>
          <w:tcPr>
            <w:tcW w:w="1155" w:type="dxa"/>
            <w:tcBorders>
              <w:top w:val="nil"/>
              <w:left w:val="nil"/>
              <w:bottom w:val="nil"/>
              <w:right w:val="nil"/>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noProof/>
                <w:sz w:val="16"/>
                <w:szCs w:val="23"/>
              </w:rPr>
              <w:t>4,920</w:t>
            </w:r>
          </w:p>
        </w:tc>
        <w:tc>
          <w:tcPr>
            <w:tcW w:w="991" w:type="dxa"/>
            <w:tcBorders>
              <w:top w:val="nil"/>
              <w:left w:val="nil"/>
              <w:bottom w:val="nil"/>
              <w:right w:val="nil"/>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noProof/>
                <w:sz w:val="16"/>
                <w:szCs w:val="23"/>
              </w:rPr>
              <w:t>4.0</w:t>
            </w:r>
            <w:r w:rsidRPr="00140B4C">
              <w:rPr>
                <w:rFonts w:ascii="Arial" w:eastAsia="Calibri" w:hAnsi="Arial" w:cs="Arial"/>
                <w:sz w:val="16"/>
                <w:szCs w:val="16"/>
              </w:rPr>
              <w:t>%</w:t>
            </w:r>
          </w:p>
        </w:tc>
        <w:tc>
          <w:tcPr>
            <w:tcW w:w="1132" w:type="dxa"/>
            <w:tcBorders>
              <w:top w:val="nil"/>
              <w:left w:val="dotted" w:sz="4" w:space="0" w:color="009900"/>
              <w:bottom w:val="nil"/>
              <w:right w:val="nil"/>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noProof/>
                <w:sz w:val="16"/>
                <w:szCs w:val="23"/>
              </w:rPr>
              <w:t>2,919</w:t>
            </w:r>
          </w:p>
        </w:tc>
        <w:tc>
          <w:tcPr>
            <w:tcW w:w="986" w:type="dxa"/>
            <w:tcBorders>
              <w:top w:val="nil"/>
              <w:left w:val="nil"/>
              <w:bottom w:val="nil"/>
              <w:right w:val="dotted" w:sz="4" w:space="0" w:color="009900"/>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noProof/>
                <w:sz w:val="16"/>
                <w:szCs w:val="23"/>
              </w:rPr>
              <w:t>2.4</w:t>
            </w:r>
            <w:r w:rsidRPr="00140B4C">
              <w:rPr>
                <w:rFonts w:ascii="Arial" w:eastAsia="Calibri" w:hAnsi="Arial" w:cs="Arial"/>
                <w:sz w:val="16"/>
                <w:szCs w:val="16"/>
              </w:rPr>
              <w:t>%</w:t>
            </w:r>
          </w:p>
        </w:tc>
        <w:tc>
          <w:tcPr>
            <w:tcW w:w="796" w:type="dxa"/>
            <w:tcBorders>
              <w:top w:val="nil"/>
              <w:left w:val="nil"/>
              <w:bottom w:val="nil"/>
              <w:right w:val="single" w:sz="4" w:space="0" w:color="009900"/>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noProof/>
                <w:sz w:val="16"/>
                <w:szCs w:val="23"/>
              </w:rPr>
              <w:t>123,806</w:t>
            </w:r>
          </w:p>
        </w:tc>
      </w:tr>
      <w:tr w:rsidR="005C5F6F" w:rsidRPr="00140B4C" w:rsidTr="002074BB">
        <w:trPr>
          <w:trHeight w:val="216"/>
          <w:jc w:val="center"/>
        </w:trPr>
        <w:tc>
          <w:tcPr>
            <w:tcW w:w="1653" w:type="dxa"/>
            <w:tcBorders>
              <w:top w:val="nil"/>
              <w:left w:val="single" w:sz="4" w:space="0" w:color="009900"/>
              <w:bottom w:val="nil"/>
              <w:right w:val="nil"/>
            </w:tcBorders>
            <w:shd w:val="clear" w:color="000000" w:fill="FFFFE1"/>
            <w:noWrap/>
            <w:vAlign w:val="center"/>
            <w:hideMark/>
          </w:tcPr>
          <w:p w:rsidR="005C5F6F" w:rsidRPr="00140B4C" w:rsidRDefault="005C5F6F" w:rsidP="002074BB">
            <w:pPr>
              <w:suppressAutoHyphens/>
              <w:ind w:right="-178"/>
              <w:rPr>
                <w:rFonts w:ascii="Arial" w:eastAsia="Calibri" w:hAnsi="Arial"/>
                <w:sz w:val="16"/>
                <w:szCs w:val="23"/>
              </w:rPr>
            </w:pPr>
            <w:r>
              <w:rPr>
                <w:rFonts w:ascii="Arial" w:eastAsia="Calibri" w:hAnsi="Arial"/>
                <w:sz w:val="16"/>
                <w:szCs w:val="23"/>
              </w:rPr>
              <w:t>2012</w:t>
            </w:r>
            <w:r w:rsidRPr="00140B4C">
              <w:rPr>
                <w:rFonts w:ascii="Arial" w:eastAsia="Calibri" w:hAnsi="Arial"/>
                <w:sz w:val="16"/>
                <w:szCs w:val="23"/>
              </w:rPr>
              <w:t xml:space="preserve"> Five-Year ACS</w:t>
            </w:r>
          </w:p>
        </w:tc>
        <w:tc>
          <w:tcPr>
            <w:tcW w:w="1132" w:type="dxa"/>
            <w:tcBorders>
              <w:top w:val="nil"/>
              <w:left w:val="nil"/>
              <w:bottom w:val="nil"/>
              <w:right w:val="nil"/>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cs="Arial"/>
                <w:noProof/>
                <w:sz w:val="16"/>
                <w:szCs w:val="16"/>
              </w:rPr>
              <w:t>183,193</w:t>
            </w:r>
          </w:p>
        </w:tc>
        <w:tc>
          <w:tcPr>
            <w:tcW w:w="1042" w:type="dxa"/>
            <w:tcBorders>
              <w:top w:val="nil"/>
              <w:left w:val="nil"/>
              <w:bottom w:val="nil"/>
              <w:right w:val="nil"/>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cs="Arial"/>
                <w:noProof/>
                <w:sz w:val="16"/>
                <w:szCs w:val="16"/>
              </w:rPr>
              <w:t>87.1</w:t>
            </w:r>
            <w:r w:rsidRPr="00140B4C">
              <w:rPr>
                <w:rFonts w:ascii="Arial" w:eastAsia="Calibri" w:hAnsi="Arial" w:cs="Arial"/>
                <w:sz w:val="16"/>
                <w:szCs w:val="16"/>
              </w:rPr>
              <w:t>%</w:t>
            </w:r>
          </w:p>
        </w:tc>
        <w:tc>
          <w:tcPr>
            <w:tcW w:w="1137" w:type="dxa"/>
            <w:tcBorders>
              <w:top w:val="nil"/>
              <w:left w:val="dotted" w:sz="4" w:space="0" w:color="009900"/>
              <w:bottom w:val="single" w:sz="4" w:space="0" w:color="009900"/>
              <w:right w:val="nil"/>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cs="Arial"/>
                <w:noProof/>
                <w:sz w:val="16"/>
                <w:szCs w:val="16"/>
              </w:rPr>
              <w:t>14,361</w:t>
            </w:r>
          </w:p>
        </w:tc>
        <w:tc>
          <w:tcPr>
            <w:tcW w:w="1012" w:type="dxa"/>
            <w:tcBorders>
              <w:top w:val="nil"/>
              <w:left w:val="nil"/>
              <w:bottom w:val="single" w:sz="4" w:space="0" w:color="009900"/>
              <w:right w:val="dotted" w:sz="4" w:space="0" w:color="009900"/>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cs="Arial"/>
                <w:noProof/>
                <w:sz w:val="16"/>
                <w:szCs w:val="16"/>
              </w:rPr>
              <w:t>6.8</w:t>
            </w:r>
            <w:r w:rsidRPr="00140B4C">
              <w:rPr>
                <w:rFonts w:ascii="Arial" w:eastAsia="Calibri" w:hAnsi="Arial" w:cs="Arial"/>
                <w:sz w:val="16"/>
                <w:szCs w:val="16"/>
              </w:rPr>
              <w:t>%</w:t>
            </w:r>
          </w:p>
        </w:tc>
        <w:tc>
          <w:tcPr>
            <w:tcW w:w="1155" w:type="dxa"/>
            <w:tcBorders>
              <w:top w:val="nil"/>
              <w:left w:val="nil"/>
              <w:bottom w:val="nil"/>
              <w:right w:val="nil"/>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cs="Arial"/>
                <w:noProof/>
                <w:sz w:val="16"/>
                <w:szCs w:val="16"/>
              </w:rPr>
              <w:t>9,514</w:t>
            </w:r>
          </w:p>
        </w:tc>
        <w:tc>
          <w:tcPr>
            <w:tcW w:w="991" w:type="dxa"/>
            <w:tcBorders>
              <w:top w:val="nil"/>
              <w:left w:val="nil"/>
              <w:bottom w:val="nil"/>
              <w:right w:val="nil"/>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cs="Arial"/>
                <w:noProof/>
                <w:sz w:val="16"/>
                <w:szCs w:val="16"/>
              </w:rPr>
              <w:t>4.5</w:t>
            </w:r>
            <w:r w:rsidRPr="00140B4C">
              <w:rPr>
                <w:rFonts w:ascii="Arial" w:eastAsia="Calibri" w:hAnsi="Arial" w:cs="Arial"/>
                <w:sz w:val="16"/>
                <w:szCs w:val="16"/>
              </w:rPr>
              <w:t>%</w:t>
            </w:r>
          </w:p>
        </w:tc>
        <w:tc>
          <w:tcPr>
            <w:tcW w:w="1132" w:type="dxa"/>
            <w:tcBorders>
              <w:top w:val="nil"/>
              <w:left w:val="dotted" w:sz="4" w:space="0" w:color="009900"/>
              <w:bottom w:val="single" w:sz="4" w:space="0" w:color="009900"/>
              <w:right w:val="nil"/>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cs="Arial"/>
                <w:noProof/>
                <w:sz w:val="16"/>
                <w:szCs w:val="16"/>
              </w:rPr>
              <w:t>3,181</w:t>
            </w:r>
          </w:p>
        </w:tc>
        <w:tc>
          <w:tcPr>
            <w:tcW w:w="986" w:type="dxa"/>
            <w:tcBorders>
              <w:top w:val="nil"/>
              <w:left w:val="nil"/>
              <w:bottom w:val="single" w:sz="4" w:space="0" w:color="009900"/>
              <w:right w:val="dotted" w:sz="4" w:space="0" w:color="009900"/>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cs="Arial"/>
                <w:noProof/>
                <w:sz w:val="16"/>
                <w:szCs w:val="16"/>
              </w:rPr>
              <w:t>1.5</w:t>
            </w:r>
            <w:r w:rsidRPr="00140B4C">
              <w:rPr>
                <w:rFonts w:ascii="Arial" w:eastAsia="Calibri" w:hAnsi="Arial" w:cs="Arial"/>
                <w:sz w:val="16"/>
                <w:szCs w:val="16"/>
              </w:rPr>
              <w:t>%</w:t>
            </w:r>
          </w:p>
        </w:tc>
        <w:tc>
          <w:tcPr>
            <w:tcW w:w="796" w:type="dxa"/>
            <w:tcBorders>
              <w:top w:val="nil"/>
              <w:left w:val="nil"/>
              <w:bottom w:val="nil"/>
              <w:right w:val="single" w:sz="4" w:space="0" w:color="009900"/>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cs="Arial"/>
                <w:noProof/>
                <w:sz w:val="16"/>
                <w:szCs w:val="16"/>
              </w:rPr>
              <w:t>210,249</w:t>
            </w:r>
          </w:p>
        </w:tc>
      </w:tr>
      <w:tr w:rsidR="005C5F6F" w:rsidRPr="00140B4C" w:rsidTr="002074BB">
        <w:trPr>
          <w:trHeight w:val="216"/>
          <w:jc w:val="center"/>
        </w:trPr>
        <w:tc>
          <w:tcPr>
            <w:tcW w:w="11036" w:type="dxa"/>
            <w:gridSpan w:val="10"/>
            <w:tcBorders>
              <w:top w:val="single" w:sz="4" w:space="0" w:color="009900"/>
              <w:left w:val="single" w:sz="4" w:space="0" w:color="009900"/>
              <w:bottom w:val="dotted" w:sz="4" w:space="0" w:color="009900"/>
              <w:right w:val="single" w:sz="4" w:space="0" w:color="009900"/>
            </w:tcBorders>
            <w:shd w:val="clear" w:color="000000" w:fill="FFFFE1"/>
            <w:noWrap/>
            <w:vAlign w:val="center"/>
            <w:hideMark/>
          </w:tcPr>
          <w:p w:rsidR="005C5F6F" w:rsidRPr="00140B4C" w:rsidRDefault="005C5F6F" w:rsidP="002074BB">
            <w:pPr>
              <w:suppressAutoHyphens/>
              <w:jc w:val="center"/>
              <w:rPr>
                <w:rFonts w:ascii="Arial" w:eastAsia="Calibri" w:hAnsi="Arial"/>
                <w:b/>
                <w:sz w:val="16"/>
                <w:szCs w:val="23"/>
              </w:rPr>
            </w:pPr>
            <w:r w:rsidRPr="00140B4C">
              <w:rPr>
                <w:rFonts w:ascii="Arial" w:eastAsia="Calibri" w:hAnsi="Arial"/>
                <w:b/>
                <w:sz w:val="16"/>
                <w:szCs w:val="23"/>
              </w:rPr>
              <w:t>Renter</w:t>
            </w:r>
          </w:p>
        </w:tc>
      </w:tr>
      <w:tr w:rsidR="005C5F6F" w:rsidRPr="00140B4C" w:rsidTr="002074BB">
        <w:trPr>
          <w:trHeight w:val="216"/>
          <w:jc w:val="center"/>
        </w:trPr>
        <w:tc>
          <w:tcPr>
            <w:tcW w:w="1653" w:type="dxa"/>
            <w:tcBorders>
              <w:top w:val="nil"/>
              <w:left w:val="single" w:sz="4" w:space="0" w:color="009900"/>
              <w:bottom w:val="nil"/>
              <w:right w:val="nil"/>
            </w:tcBorders>
            <w:shd w:val="clear" w:color="000000" w:fill="FFFFE1"/>
            <w:noWrap/>
            <w:vAlign w:val="center"/>
            <w:hideMark/>
          </w:tcPr>
          <w:p w:rsidR="005C5F6F" w:rsidRPr="00140B4C" w:rsidRDefault="005C5F6F" w:rsidP="002074BB">
            <w:pPr>
              <w:suppressAutoHyphens/>
              <w:rPr>
                <w:rFonts w:ascii="Arial" w:eastAsia="Calibri" w:hAnsi="Arial"/>
                <w:sz w:val="16"/>
                <w:szCs w:val="23"/>
              </w:rPr>
            </w:pPr>
            <w:r w:rsidRPr="00140B4C">
              <w:rPr>
                <w:rFonts w:ascii="Arial" w:eastAsia="Calibri" w:hAnsi="Arial"/>
                <w:sz w:val="16"/>
                <w:szCs w:val="23"/>
              </w:rPr>
              <w:t>2000 Census</w:t>
            </w:r>
          </w:p>
        </w:tc>
        <w:tc>
          <w:tcPr>
            <w:tcW w:w="1132" w:type="dxa"/>
            <w:tcBorders>
              <w:top w:val="nil"/>
              <w:left w:val="nil"/>
              <w:bottom w:val="nil"/>
              <w:right w:val="nil"/>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noProof/>
                <w:sz w:val="16"/>
                <w:szCs w:val="23"/>
              </w:rPr>
              <w:t>101,952</w:t>
            </w:r>
          </w:p>
        </w:tc>
        <w:tc>
          <w:tcPr>
            <w:tcW w:w="1042" w:type="dxa"/>
            <w:tcBorders>
              <w:top w:val="nil"/>
              <w:left w:val="nil"/>
              <w:bottom w:val="nil"/>
              <w:right w:val="nil"/>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noProof/>
                <w:sz w:val="16"/>
                <w:szCs w:val="23"/>
              </w:rPr>
              <w:t>50.7</w:t>
            </w:r>
            <w:r w:rsidRPr="00140B4C">
              <w:rPr>
                <w:rFonts w:ascii="Arial" w:eastAsia="Calibri" w:hAnsi="Arial" w:cs="Arial"/>
                <w:sz w:val="16"/>
                <w:szCs w:val="16"/>
              </w:rPr>
              <w:t>%</w:t>
            </w:r>
          </w:p>
        </w:tc>
        <w:tc>
          <w:tcPr>
            <w:tcW w:w="1137" w:type="dxa"/>
            <w:tcBorders>
              <w:top w:val="nil"/>
              <w:left w:val="dotted" w:sz="4" w:space="0" w:color="009900"/>
              <w:bottom w:val="nil"/>
              <w:right w:val="nil"/>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noProof/>
                <w:sz w:val="16"/>
                <w:szCs w:val="23"/>
              </w:rPr>
              <w:t>39,452</w:t>
            </w:r>
          </w:p>
        </w:tc>
        <w:tc>
          <w:tcPr>
            <w:tcW w:w="1012" w:type="dxa"/>
            <w:tcBorders>
              <w:top w:val="nil"/>
              <w:left w:val="nil"/>
              <w:bottom w:val="nil"/>
              <w:right w:val="dotted" w:sz="4" w:space="0" w:color="009900"/>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noProof/>
                <w:sz w:val="16"/>
                <w:szCs w:val="23"/>
              </w:rPr>
              <w:t>19.6</w:t>
            </w:r>
            <w:r w:rsidRPr="00140B4C">
              <w:rPr>
                <w:rFonts w:ascii="Arial" w:eastAsia="Calibri" w:hAnsi="Arial" w:cs="Arial"/>
                <w:sz w:val="16"/>
                <w:szCs w:val="16"/>
              </w:rPr>
              <w:t>%</w:t>
            </w:r>
          </w:p>
        </w:tc>
        <w:tc>
          <w:tcPr>
            <w:tcW w:w="1155" w:type="dxa"/>
            <w:tcBorders>
              <w:top w:val="nil"/>
              <w:left w:val="nil"/>
              <w:bottom w:val="nil"/>
              <w:right w:val="nil"/>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noProof/>
                <w:sz w:val="16"/>
                <w:szCs w:val="23"/>
              </w:rPr>
              <w:t>36,130</w:t>
            </w:r>
          </w:p>
        </w:tc>
        <w:tc>
          <w:tcPr>
            <w:tcW w:w="991" w:type="dxa"/>
            <w:tcBorders>
              <w:top w:val="nil"/>
              <w:left w:val="nil"/>
              <w:bottom w:val="nil"/>
              <w:right w:val="nil"/>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noProof/>
                <w:sz w:val="16"/>
                <w:szCs w:val="23"/>
              </w:rPr>
              <w:t>18.0</w:t>
            </w:r>
            <w:r w:rsidRPr="00140B4C">
              <w:rPr>
                <w:rFonts w:ascii="Arial" w:eastAsia="Calibri" w:hAnsi="Arial" w:cs="Arial"/>
                <w:sz w:val="16"/>
                <w:szCs w:val="16"/>
              </w:rPr>
              <w:t>%</w:t>
            </w:r>
          </w:p>
        </w:tc>
        <w:tc>
          <w:tcPr>
            <w:tcW w:w="1132" w:type="dxa"/>
            <w:tcBorders>
              <w:top w:val="nil"/>
              <w:left w:val="dotted" w:sz="4" w:space="0" w:color="009900"/>
              <w:bottom w:val="nil"/>
              <w:right w:val="nil"/>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noProof/>
                <w:sz w:val="16"/>
                <w:szCs w:val="23"/>
              </w:rPr>
              <w:t>23,374</w:t>
            </w:r>
          </w:p>
        </w:tc>
        <w:tc>
          <w:tcPr>
            <w:tcW w:w="986" w:type="dxa"/>
            <w:tcBorders>
              <w:top w:val="nil"/>
              <w:left w:val="nil"/>
              <w:bottom w:val="nil"/>
              <w:right w:val="dotted" w:sz="4" w:space="0" w:color="009900"/>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noProof/>
                <w:sz w:val="16"/>
                <w:szCs w:val="23"/>
              </w:rPr>
              <w:t>11.6</w:t>
            </w:r>
            <w:r w:rsidRPr="00140B4C">
              <w:rPr>
                <w:rFonts w:ascii="Arial" w:eastAsia="Calibri" w:hAnsi="Arial" w:cs="Arial"/>
                <w:sz w:val="16"/>
                <w:szCs w:val="16"/>
              </w:rPr>
              <w:t>%</w:t>
            </w:r>
          </w:p>
        </w:tc>
        <w:tc>
          <w:tcPr>
            <w:tcW w:w="796" w:type="dxa"/>
            <w:tcBorders>
              <w:top w:val="nil"/>
              <w:left w:val="nil"/>
              <w:bottom w:val="nil"/>
              <w:right w:val="single" w:sz="4" w:space="0" w:color="009900"/>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noProof/>
                <w:sz w:val="16"/>
                <w:szCs w:val="23"/>
              </w:rPr>
              <w:t>200,908</w:t>
            </w:r>
          </w:p>
        </w:tc>
      </w:tr>
      <w:tr w:rsidR="005C5F6F" w:rsidRPr="00140B4C" w:rsidTr="002074BB">
        <w:trPr>
          <w:trHeight w:val="216"/>
          <w:jc w:val="center"/>
        </w:trPr>
        <w:tc>
          <w:tcPr>
            <w:tcW w:w="1653" w:type="dxa"/>
            <w:tcBorders>
              <w:top w:val="nil"/>
              <w:left w:val="single" w:sz="4" w:space="0" w:color="009900"/>
              <w:bottom w:val="nil"/>
              <w:right w:val="nil"/>
            </w:tcBorders>
            <w:shd w:val="clear" w:color="000000" w:fill="FFFFE1"/>
            <w:noWrap/>
            <w:vAlign w:val="center"/>
            <w:hideMark/>
          </w:tcPr>
          <w:p w:rsidR="005C5F6F" w:rsidRPr="00140B4C" w:rsidRDefault="005C5F6F" w:rsidP="002074BB">
            <w:pPr>
              <w:suppressAutoHyphens/>
              <w:ind w:right="-88"/>
              <w:rPr>
                <w:rFonts w:ascii="Arial" w:eastAsia="Calibri" w:hAnsi="Arial"/>
                <w:sz w:val="16"/>
                <w:szCs w:val="23"/>
              </w:rPr>
            </w:pPr>
            <w:r>
              <w:rPr>
                <w:rFonts w:ascii="Arial" w:eastAsia="Calibri" w:hAnsi="Arial"/>
                <w:sz w:val="16"/>
                <w:szCs w:val="23"/>
              </w:rPr>
              <w:t>2012</w:t>
            </w:r>
            <w:r w:rsidRPr="00140B4C">
              <w:rPr>
                <w:rFonts w:ascii="Arial" w:eastAsia="Calibri" w:hAnsi="Arial"/>
                <w:sz w:val="16"/>
                <w:szCs w:val="23"/>
              </w:rPr>
              <w:t xml:space="preserve"> Five-Year ACS</w:t>
            </w:r>
          </w:p>
        </w:tc>
        <w:tc>
          <w:tcPr>
            <w:tcW w:w="1132" w:type="dxa"/>
            <w:tcBorders>
              <w:top w:val="nil"/>
              <w:left w:val="nil"/>
              <w:bottom w:val="nil"/>
              <w:right w:val="nil"/>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cs="Arial"/>
                <w:noProof/>
                <w:sz w:val="16"/>
                <w:szCs w:val="16"/>
              </w:rPr>
              <w:t>106,743</w:t>
            </w:r>
          </w:p>
        </w:tc>
        <w:tc>
          <w:tcPr>
            <w:tcW w:w="1042" w:type="dxa"/>
            <w:tcBorders>
              <w:top w:val="nil"/>
              <w:left w:val="nil"/>
              <w:bottom w:val="nil"/>
              <w:right w:val="nil"/>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cs="Arial"/>
                <w:noProof/>
                <w:sz w:val="16"/>
                <w:szCs w:val="16"/>
              </w:rPr>
              <w:t>45.0</w:t>
            </w:r>
            <w:r w:rsidRPr="00140B4C">
              <w:rPr>
                <w:rFonts w:ascii="Arial" w:eastAsia="Calibri" w:hAnsi="Arial" w:cs="Arial"/>
                <w:sz w:val="16"/>
                <w:szCs w:val="16"/>
              </w:rPr>
              <w:t>%</w:t>
            </w:r>
          </w:p>
        </w:tc>
        <w:tc>
          <w:tcPr>
            <w:tcW w:w="1137" w:type="dxa"/>
            <w:tcBorders>
              <w:top w:val="nil"/>
              <w:left w:val="dotted" w:sz="4" w:space="0" w:color="009900"/>
              <w:bottom w:val="single" w:sz="4" w:space="0" w:color="009900"/>
              <w:right w:val="nil"/>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cs="Arial"/>
                <w:noProof/>
                <w:sz w:val="16"/>
                <w:szCs w:val="16"/>
              </w:rPr>
              <w:t>51,073</w:t>
            </w:r>
          </w:p>
        </w:tc>
        <w:tc>
          <w:tcPr>
            <w:tcW w:w="1012" w:type="dxa"/>
            <w:tcBorders>
              <w:top w:val="nil"/>
              <w:left w:val="nil"/>
              <w:bottom w:val="single" w:sz="4" w:space="0" w:color="009900"/>
              <w:right w:val="dotted" w:sz="4" w:space="0" w:color="009900"/>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cs="Arial"/>
                <w:noProof/>
                <w:sz w:val="16"/>
                <w:szCs w:val="16"/>
              </w:rPr>
              <w:t>21.5</w:t>
            </w:r>
            <w:r w:rsidRPr="00140B4C">
              <w:rPr>
                <w:rFonts w:ascii="Arial" w:eastAsia="Calibri" w:hAnsi="Arial" w:cs="Arial"/>
                <w:sz w:val="16"/>
                <w:szCs w:val="16"/>
              </w:rPr>
              <w:t>%</w:t>
            </w:r>
          </w:p>
        </w:tc>
        <w:tc>
          <w:tcPr>
            <w:tcW w:w="1155" w:type="dxa"/>
            <w:tcBorders>
              <w:top w:val="nil"/>
              <w:left w:val="nil"/>
              <w:bottom w:val="nil"/>
              <w:right w:val="nil"/>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cs="Arial"/>
                <w:noProof/>
                <w:sz w:val="16"/>
                <w:szCs w:val="16"/>
              </w:rPr>
              <w:t>53,594</w:t>
            </w:r>
          </w:p>
        </w:tc>
        <w:tc>
          <w:tcPr>
            <w:tcW w:w="991" w:type="dxa"/>
            <w:tcBorders>
              <w:top w:val="nil"/>
              <w:left w:val="nil"/>
              <w:bottom w:val="nil"/>
              <w:right w:val="nil"/>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cs="Arial"/>
                <w:noProof/>
                <w:sz w:val="16"/>
                <w:szCs w:val="16"/>
              </w:rPr>
              <w:t>22.6</w:t>
            </w:r>
            <w:r w:rsidRPr="00140B4C">
              <w:rPr>
                <w:rFonts w:ascii="Arial" w:eastAsia="Calibri" w:hAnsi="Arial" w:cs="Arial"/>
                <w:sz w:val="16"/>
                <w:szCs w:val="16"/>
              </w:rPr>
              <w:t>%</w:t>
            </w:r>
          </w:p>
        </w:tc>
        <w:tc>
          <w:tcPr>
            <w:tcW w:w="1132" w:type="dxa"/>
            <w:tcBorders>
              <w:top w:val="nil"/>
              <w:left w:val="dotted" w:sz="4" w:space="0" w:color="009900"/>
              <w:bottom w:val="single" w:sz="4" w:space="0" w:color="009900"/>
              <w:right w:val="nil"/>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cs="Arial"/>
                <w:noProof/>
                <w:sz w:val="16"/>
                <w:szCs w:val="16"/>
              </w:rPr>
              <w:t>25,939</w:t>
            </w:r>
          </w:p>
        </w:tc>
        <w:tc>
          <w:tcPr>
            <w:tcW w:w="986" w:type="dxa"/>
            <w:tcBorders>
              <w:top w:val="nil"/>
              <w:left w:val="nil"/>
              <w:bottom w:val="single" w:sz="4" w:space="0" w:color="009900"/>
              <w:right w:val="dotted" w:sz="4" w:space="0" w:color="009900"/>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cs="Arial"/>
                <w:noProof/>
                <w:sz w:val="16"/>
                <w:szCs w:val="16"/>
              </w:rPr>
              <w:t>10.9</w:t>
            </w:r>
            <w:r w:rsidRPr="00140B4C">
              <w:rPr>
                <w:rFonts w:ascii="Arial" w:eastAsia="Calibri" w:hAnsi="Arial" w:cs="Arial"/>
                <w:sz w:val="16"/>
                <w:szCs w:val="16"/>
              </w:rPr>
              <w:t>%</w:t>
            </w:r>
          </w:p>
        </w:tc>
        <w:tc>
          <w:tcPr>
            <w:tcW w:w="796" w:type="dxa"/>
            <w:tcBorders>
              <w:top w:val="nil"/>
              <w:left w:val="nil"/>
              <w:bottom w:val="nil"/>
              <w:right w:val="single" w:sz="4" w:space="0" w:color="009900"/>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cs="Arial"/>
                <w:noProof/>
                <w:sz w:val="16"/>
                <w:szCs w:val="16"/>
              </w:rPr>
              <w:t>237,349</w:t>
            </w:r>
          </w:p>
        </w:tc>
      </w:tr>
      <w:tr w:rsidR="005C5F6F" w:rsidRPr="00140B4C" w:rsidTr="002074BB">
        <w:trPr>
          <w:trHeight w:val="216"/>
          <w:jc w:val="center"/>
        </w:trPr>
        <w:tc>
          <w:tcPr>
            <w:tcW w:w="11036" w:type="dxa"/>
            <w:gridSpan w:val="10"/>
            <w:tcBorders>
              <w:top w:val="single" w:sz="4" w:space="0" w:color="009900"/>
              <w:left w:val="single" w:sz="4" w:space="0" w:color="009900"/>
              <w:bottom w:val="single" w:sz="4" w:space="0" w:color="009900"/>
              <w:right w:val="single" w:sz="4" w:space="0" w:color="009900"/>
            </w:tcBorders>
            <w:shd w:val="clear" w:color="000000" w:fill="FFFFE1"/>
            <w:noWrap/>
            <w:vAlign w:val="center"/>
            <w:hideMark/>
          </w:tcPr>
          <w:p w:rsidR="005C5F6F" w:rsidRPr="00140B4C" w:rsidRDefault="005C5F6F" w:rsidP="002074BB">
            <w:pPr>
              <w:suppressAutoHyphens/>
              <w:jc w:val="center"/>
              <w:rPr>
                <w:rFonts w:ascii="Arial" w:eastAsia="Calibri" w:hAnsi="Arial"/>
                <w:b/>
                <w:sz w:val="16"/>
                <w:szCs w:val="23"/>
              </w:rPr>
            </w:pPr>
            <w:r w:rsidRPr="00140B4C">
              <w:rPr>
                <w:rFonts w:ascii="Arial" w:eastAsia="Calibri" w:hAnsi="Arial"/>
                <w:b/>
                <w:sz w:val="16"/>
                <w:szCs w:val="23"/>
              </w:rPr>
              <w:t>Total</w:t>
            </w:r>
          </w:p>
        </w:tc>
      </w:tr>
      <w:tr w:rsidR="005C5F6F" w:rsidRPr="00140B4C" w:rsidTr="002074BB">
        <w:trPr>
          <w:trHeight w:val="216"/>
          <w:jc w:val="center"/>
        </w:trPr>
        <w:tc>
          <w:tcPr>
            <w:tcW w:w="1653" w:type="dxa"/>
            <w:tcBorders>
              <w:top w:val="nil"/>
              <w:left w:val="single" w:sz="4" w:space="0" w:color="009900"/>
              <w:bottom w:val="nil"/>
              <w:right w:val="nil"/>
            </w:tcBorders>
            <w:shd w:val="clear" w:color="000000" w:fill="FFFFE1"/>
            <w:noWrap/>
            <w:vAlign w:val="center"/>
            <w:hideMark/>
          </w:tcPr>
          <w:p w:rsidR="005C5F6F" w:rsidRPr="00140B4C" w:rsidRDefault="005C5F6F" w:rsidP="002074BB">
            <w:pPr>
              <w:suppressAutoHyphens/>
              <w:rPr>
                <w:rFonts w:ascii="Arial" w:eastAsia="Calibri" w:hAnsi="Arial"/>
                <w:sz w:val="16"/>
                <w:szCs w:val="23"/>
              </w:rPr>
            </w:pPr>
            <w:r w:rsidRPr="00140B4C">
              <w:rPr>
                <w:rFonts w:ascii="Arial" w:eastAsia="Calibri" w:hAnsi="Arial"/>
                <w:sz w:val="16"/>
                <w:szCs w:val="23"/>
              </w:rPr>
              <w:t>2000 Census</w:t>
            </w:r>
          </w:p>
        </w:tc>
        <w:tc>
          <w:tcPr>
            <w:tcW w:w="1132" w:type="dxa"/>
            <w:tcBorders>
              <w:top w:val="nil"/>
              <w:left w:val="nil"/>
              <w:bottom w:val="nil"/>
              <w:right w:val="nil"/>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noProof/>
                <w:sz w:val="16"/>
                <w:szCs w:val="23"/>
              </w:rPr>
              <w:t>363,540</w:t>
            </w:r>
          </w:p>
        </w:tc>
        <w:tc>
          <w:tcPr>
            <w:tcW w:w="1042" w:type="dxa"/>
            <w:tcBorders>
              <w:top w:val="nil"/>
              <w:left w:val="nil"/>
              <w:bottom w:val="nil"/>
              <w:right w:val="nil"/>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noProof/>
                <w:sz w:val="16"/>
                <w:szCs w:val="23"/>
              </w:rPr>
              <w:t>67.2</w:t>
            </w:r>
            <w:r w:rsidRPr="00140B4C">
              <w:rPr>
                <w:rFonts w:ascii="Arial" w:eastAsia="Calibri" w:hAnsi="Arial" w:cs="Arial"/>
                <w:sz w:val="16"/>
                <w:szCs w:val="16"/>
              </w:rPr>
              <w:t>%</w:t>
            </w:r>
          </w:p>
        </w:tc>
        <w:tc>
          <w:tcPr>
            <w:tcW w:w="1137" w:type="dxa"/>
            <w:tcBorders>
              <w:top w:val="nil"/>
              <w:left w:val="dotted" w:sz="4" w:space="0" w:color="009900"/>
              <w:bottom w:val="nil"/>
              <w:right w:val="nil"/>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noProof/>
                <w:sz w:val="16"/>
                <w:szCs w:val="23"/>
              </w:rPr>
              <w:t>86,589</w:t>
            </w:r>
          </w:p>
        </w:tc>
        <w:tc>
          <w:tcPr>
            <w:tcW w:w="1012" w:type="dxa"/>
            <w:tcBorders>
              <w:top w:val="nil"/>
              <w:left w:val="nil"/>
              <w:bottom w:val="nil"/>
              <w:right w:val="dotted" w:sz="4" w:space="0" w:color="009900"/>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noProof/>
                <w:sz w:val="16"/>
                <w:szCs w:val="23"/>
              </w:rPr>
              <w:t>16.0</w:t>
            </w:r>
            <w:r w:rsidRPr="00140B4C">
              <w:rPr>
                <w:rFonts w:ascii="Arial" w:eastAsia="Calibri" w:hAnsi="Arial" w:cs="Arial"/>
                <w:sz w:val="16"/>
                <w:szCs w:val="16"/>
              </w:rPr>
              <w:t>%</w:t>
            </w:r>
          </w:p>
        </w:tc>
        <w:tc>
          <w:tcPr>
            <w:tcW w:w="1155" w:type="dxa"/>
            <w:tcBorders>
              <w:top w:val="nil"/>
              <w:left w:val="nil"/>
              <w:bottom w:val="nil"/>
              <w:right w:val="nil"/>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noProof/>
                <w:sz w:val="16"/>
                <w:szCs w:val="23"/>
              </w:rPr>
              <w:t>63,137</w:t>
            </w:r>
          </w:p>
        </w:tc>
        <w:tc>
          <w:tcPr>
            <w:tcW w:w="991" w:type="dxa"/>
            <w:tcBorders>
              <w:top w:val="nil"/>
              <w:left w:val="nil"/>
              <w:bottom w:val="nil"/>
              <w:right w:val="nil"/>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noProof/>
                <w:sz w:val="16"/>
                <w:szCs w:val="23"/>
              </w:rPr>
              <w:t>11.7</w:t>
            </w:r>
            <w:r w:rsidRPr="00140B4C">
              <w:rPr>
                <w:rFonts w:ascii="Arial" w:eastAsia="Calibri" w:hAnsi="Arial" w:cs="Arial"/>
                <w:sz w:val="16"/>
                <w:szCs w:val="16"/>
              </w:rPr>
              <w:t>%</w:t>
            </w:r>
          </w:p>
        </w:tc>
        <w:tc>
          <w:tcPr>
            <w:tcW w:w="1132" w:type="dxa"/>
            <w:tcBorders>
              <w:top w:val="nil"/>
              <w:left w:val="dotted" w:sz="4" w:space="0" w:color="009900"/>
              <w:bottom w:val="nil"/>
              <w:right w:val="nil"/>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noProof/>
                <w:sz w:val="16"/>
                <w:szCs w:val="23"/>
              </w:rPr>
              <w:t>27,530</w:t>
            </w:r>
          </w:p>
        </w:tc>
        <w:tc>
          <w:tcPr>
            <w:tcW w:w="986" w:type="dxa"/>
            <w:tcBorders>
              <w:top w:val="nil"/>
              <w:left w:val="nil"/>
              <w:bottom w:val="nil"/>
              <w:right w:val="dotted" w:sz="4" w:space="0" w:color="009900"/>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noProof/>
                <w:sz w:val="16"/>
                <w:szCs w:val="23"/>
              </w:rPr>
              <w:t>5.1</w:t>
            </w:r>
            <w:r w:rsidRPr="00140B4C">
              <w:rPr>
                <w:rFonts w:ascii="Arial" w:eastAsia="Calibri" w:hAnsi="Arial" w:cs="Arial"/>
                <w:sz w:val="16"/>
                <w:szCs w:val="16"/>
              </w:rPr>
              <w:t>%</w:t>
            </w:r>
          </w:p>
        </w:tc>
        <w:tc>
          <w:tcPr>
            <w:tcW w:w="796" w:type="dxa"/>
            <w:tcBorders>
              <w:top w:val="nil"/>
              <w:left w:val="nil"/>
              <w:bottom w:val="nil"/>
              <w:right w:val="single" w:sz="4" w:space="0" w:color="009900"/>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noProof/>
                <w:sz w:val="16"/>
                <w:szCs w:val="23"/>
              </w:rPr>
              <w:t>540,796</w:t>
            </w:r>
          </w:p>
        </w:tc>
      </w:tr>
      <w:tr w:rsidR="005C5F6F" w:rsidRPr="00140B4C" w:rsidTr="002074BB">
        <w:trPr>
          <w:trHeight w:val="216"/>
          <w:jc w:val="center"/>
        </w:trPr>
        <w:tc>
          <w:tcPr>
            <w:tcW w:w="1653" w:type="dxa"/>
            <w:tcBorders>
              <w:top w:val="nil"/>
              <w:left w:val="single" w:sz="4" w:space="0" w:color="009900"/>
              <w:bottom w:val="single" w:sz="4" w:space="0" w:color="009900"/>
              <w:right w:val="nil"/>
            </w:tcBorders>
            <w:shd w:val="clear" w:color="000000" w:fill="FFFFE1"/>
            <w:noWrap/>
            <w:vAlign w:val="center"/>
            <w:hideMark/>
          </w:tcPr>
          <w:p w:rsidR="005C5F6F" w:rsidRPr="00140B4C" w:rsidRDefault="005C5F6F" w:rsidP="002074BB">
            <w:pPr>
              <w:suppressAutoHyphens/>
              <w:ind w:right="-88"/>
              <w:rPr>
                <w:rFonts w:ascii="Arial" w:eastAsia="Calibri" w:hAnsi="Arial"/>
                <w:sz w:val="16"/>
                <w:szCs w:val="23"/>
              </w:rPr>
            </w:pPr>
            <w:r>
              <w:rPr>
                <w:rFonts w:ascii="Arial" w:eastAsia="Calibri" w:hAnsi="Arial"/>
                <w:sz w:val="16"/>
                <w:szCs w:val="23"/>
              </w:rPr>
              <w:t>2012</w:t>
            </w:r>
            <w:r w:rsidRPr="00140B4C">
              <w:rPr>
                <w:rFonts w:ascii="Arial" w:eastAsia="Calibri" w:hAnsi="Arial"/>
                <w:sz w:val="16"/>
                <w:szCs w:val="23"/>
              </w:rPr>
              <w:t xml:space="preserve"> Five-Year ACS</w:t>
            </w:r>
          </w:p>
        </w:tc>
        <w:tc>
          <w:tcPr>
            <w:tcW w:w="1132" w:type="dxa"/>
            <w:tcBorders>
              <w:top w:val="nil"/>
              <w:left w:val="nil"/>
              <w:bottom w:val="single" w:sz="4" w:space="0" w:color="009900"/>
              <w:right w:val="nil"/>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cs="Arial"/>
                <w:noProof/>
                <w:sz w:val="16"/>
                <w:szCs w:val="16"/>
              </w:rPr>
              <w:t>495,677</w:t>
            </w:r>
          </w:p>
        </w:tc>
        <w:tc>
          <w:tcPr>
            <w:tcW w:w="1042" w:type="dxa"/>
            <w:tcBorders>
              <w:top w:val="nil"/>
              <w:left w:val="nil"/>
              <w:bottom w:val="single" w:sz="4" w:space="0" w:color="009900"/>
              <w:right w:val="nil"/>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cs="Arial"/>
                <w:noProof/>
                <w:sz w:val="16"/>
                <w:szCs w:val="16"/>
              </w:rPr>
              <w:t>64.9</w:t>
            </w:r>
            <w:r w:rsidRPr="00140B4C">
              <w:rPr>
                <w:rFonts w:ascii="Arial" w:eastAsia="Calibri" w:hAnsi="Arial" w:cs="Arial"/>
                <w:sz w:val="16"/>
                <w:szCs w:val="16"/>
              </w:rPr>
              <w:t>%</w:t>
            </w:r>
          </w:p>
        </w:tc>
        <w:tc>
          <w:tcPr>
            <w:tcW w:w="1137" w:type="dxa"/>
            <w:tcBorders>
              <w:top w:val="nil"/>
              <w:left w:val="dotted" w:sz="4" w:space="0" w:color="009900"/>
              <w:bottom w:val="single" w:sz="4" w:space="0" w:color="009900"/>
              <w:right w:val="nil"/>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cs="Arial"/>
                <w:noProof/>
                <w:sz w:val="16"/>
                <w:szCs w:val="16"/>
              </w:rPr>
              <w:t>129,658</w:t>
            </w:r>
          </w:p>
        </w:tc>
        <w:tc>
          <w:tcPr>
            <w:tcW w:w="1012" w:type="dxa"/>
            <w:tcBorders>
              <w:top w:val="nil"/>
              <w:left w:val="nil"/>
              <w:bottom w:val="single" w:sz="4" w:space="0" w:color="009900"/>
              <w:right w:val="dotted" w:sz="4" w:space="0" w:color="009900"/>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cs="Arial"/>
                <w:noProof/>
                <w:sz w:val="16"/>
                <w:szCs w:val="16"/>
              </w:rPr>
              <w:t>17.0</w:t>
            </w:r>
            <w:r w:rsidRPr="00140B4C">
              <w:rPr>
                <w:rFonts w:ascii="Arial" w:eastAsia="Calibri" w:hAnsi="Arial" w:cs="Arial"/>
                <w:sz w:val="16"/>
                <w:szCs w:val="16"/>
              </w:rPr>
              <w:t>%</w:t>
            </w:r>
          </w:p>
        </w:tc>
        <w:tc>
          <w:tcPr>
            <w:tcW w:w="1155" w:type="dxa"/>
            <w:tcBorders>
              <w:top w:val="nil"/>
              <w:left w:val="nil"/>
              <w:bottom w:val="single" w:sz="4" w:space="0" w:color="009900"/>
              <w:right w:val="nil"/>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cs="Arial"/>
                <w:noProof/>
                <w:sz w:val="16"/>
                <w:szCs w:val="16"/>
              </w:rPr>
              <w:t>107,381</w:t>
            </w:r>
          </w:p>
        </w:tc>
        <w:tc>
          <w:tcPr>
            <w:tcW w:w="991" w:type="dxa"/>
            <w:tcBorders>
              <w:top w:val="nil"/>
              <w:left w:val="nil"/>
              <w:bottom w:val="single" w:sz="4" w:space="0" w:color="009900"/>
              <w:right w:val="nil"/>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cs="Arial"/>
                <w:noProof/>
                <w:sz w:val="16"/>
                <w:szCs w:val="16"/>
              </w:rPr>
              <w:t>14.1</w:t>
            </w:r>
            <w:r w:rsidRPr="00140B4C">
              <w:rPr>
                <w:rFonts w:ascii="Arial" w:eastAsia="Calibri" w:hAnsi="Arial" w:cs="Arial"/>
                <w:sz w:val="16"/>
                <w:szCs w:val="16"/>
              </w:rPr>
              <w:t>%</w:t>
            </w:r>
          </w:p>
        </w:tc>
        <w:tc>
          <w:tcPr>
            <w:tcW w:w="1132" w:type="dxa"/>
            <w:tcBorders>
              <w:top w:val="nil"/>
              <w:left w:val="dotted" w:sz="4" w:space="0" w:color="009900"/>
              <w:bottom w:val="single" w:sz="4" w:space="0" w:color="009900"/>
              <w:right w:val="nil"/>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cs="Arial"/>
                <w:noProof/>
                <w:sz w:val="16"/>
                <w:szCs w:val="16"/>
              </w:rPr>
              <w:t>31,128</w:t>
            </w:r>
          </w:p>
        </w:tc>
        <w:tc>
          <w:tcPr>
            <w:tcW w:w="986" w:type="dxa"/>
            <w:tcBorders>
              <w:top w:val="nil"/>
              <w:left w:val="nil"/>
              <w:bottom w:val="single" w:sz="4" w:space="0" w:color="009900"/>
              <w:right w:val="dotted" w:sz="4" w:space="0" w:color="009900"/>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cs="Arial"/>
                <w:noProof/>
                <w:sz w:val="16"/>
                <w:szCs w:val="16"/>
              </w:rPr>
              <w:t>4.1</w:t>
            </w:r>
            <w:r w:rsidRPr="00140B4C">
              <w:rPr>
                <w:rFonts w:ascii="Arial" w:eastAsia="Calibri" w:hAnsi="Arial" w:cs="Arial"/>
                <w:sz w:val="16"/>
                <w:szCs w:val="16"/>
              </w:rPr>
              <w:t>%</w:t>
            </w:r>
          </w:p>
        </w:tc>
        <w:tc>
          <w:tcPr>
            <w:tcW w:w="796" w:type="dxa"/>
            <w:tcBorders>
              <w:top w:val="nil"/>
              <w:left w:val="nil"/>
              <w:bottom w:val="single" w:sz="4" w:space="0" w:color="009900"/>
              <w:right w:val="single" w:sz="4" w:space="0" w:color="009900"/>
            </w:tcBorders>
            <w:shd w:val="clear" w:color="000000" w:fill="FFFFE1"/>
            <w:noWrap/>
            <w:vAlign w:val="center"/>
            <w:hideMark/>
          </w:tcPr>
          <w:p w:rsidR="005C5F6F" w:rsidRPr="00140B4C" w:rsidRDefault="005C5F6F" w:rsidP="002074BB">
            <w:pPr>
              <w:suppressAutoHyphens/>
              <w:jc w:val="center"/>
              <w:rPr>
                <w:rFonts w:ascii="Arial" w:eastAsia="Calibri" w:hAnsi="Arial" w:cs="Arial"/>
                <w:sz w:val="16"/>
                <w:szCs w:val="16"/>
              </w:rPr>
            </w:pPr>
            <w:r w:rsidRPr="00140B4C">
              <w:rPr>
                <w:rFonts w:ascii="Arial" w:eastAsia="Calibri" w:hAnsi="Arial" w:cs="Arial"/>
                <w:noProof/>
                <w:sz w:val="16"/>
                <w:szCs w:val="16"/>
              </w:rPr>
              <w:t>763,844</w:t>
            </w:r>
          </w:p>
        </w:tc>
      </w:tr>
    </w:tbl>
    <w:p w:rsidR="005C5F6F" w:rsidRPr="00AC1CAC" w:rsidRDefault="005C5F6F" w:rsidP="005E0B33">
      <w:pPr>
        <w:rPr>
          <w:rFonts w:ascii="Calibri" w:hAnsi="Calibri"/>
          <w:color w:val="000000"/>
          <w:sz w:val="22"/>
          <w:szCs w:val="22"/>
        </w:rPr>
      </w:pPr>
    </w:p>
    <w:tbl>
      <w:tblPr>
        <w:tblW w:w="10360" w:type="dxa"/>
        <w:jc w:val="center"/>
        <w:tblLook w:val="04A0" w:firstRow="1" w:lastRow="0" w:firstColumn="1" w:lastColumn="0" w:noHBand="0" w:noVBand="1"/>
      </w:tblPr>
      <w:tblGrid>
        <w:gridCol w:w="2140"/>
        <w:gridCol w:w="940"/>
        <w:gridCol w:w="1080"/>
        <w:gridCol w:w="1080"/>
        <w:gridCol w:w="1080"/>
        <w:gridCol w:w="1080"/>
        <w:gridCol w:w="1080"/>
        <w:gridCol w:w="1080"/>
        <w:gridCol w:w="800"/>
      </w:tblGrid>
      <w:tr w:rsidR="005C5F6F" w:rsidRPr="0056256A" w:rsidTr="002074BB">
        <w:trPr>
          <w:trHeight w:val="216"/>
          <w:jc w:val="center"/>
        </w:trPr>
        <w:tc>
          <w:tcPr>
            <w:tcW w:w="10360" w:type="dxa"/>
            <w:gridSpan w:val="9"/>
            <w:shd w:val="clear" w:color="000000" w:fill="FFFFFF" w:themeFill="background1"/>
            <w:noWrap/>
            <w:vAlign w:val="center"/>
            <w:hideMark/>
          </w:tcPr>
          <w:p w:rsidR="005C5F6F" w:rsidRPr="00311267" w:rsidRDefault="005C5F6F" w:rsidP="002074BB">
            <w:pPr>
              <w:jc w:val="center"/>
              <w:rPr>
                <w:rFonts w:ascii="Arial" w:hAnsi="Arial" w:cs="Arial"/>
                <w:b/>
                <w:bCs/>
                <w:sz w:val="22"/>
                <w:szCs w:val="22"/>
              </w:rPr>
            </w:pPr>
            <w:r w:rsidRPr="00311267">
              <w:rPr>
                <w:rFonts w:ascii="Arial" w:hAnsi="Arial" w:cs="Arial"/>
                <w:b/>
                <w:bCs/>
                <w:sz w:val="22"/>
                <w:szCs w:val="22"/>
              </w:rPr>
              <w:t>Table IV.18</w:t>
            </w:r>
          </w:p>
          <w:p w:rsidR="005C5F6F" w:rsidRPr="0056256A" w:rsidRDefault="00BB2854" w:rsidP="002074BB">
            <w:pPr>
              <w:jc w:val="center"/>
              <w:rPr>
                <w:rFonts w:ascii="Arial" w:hAnsi="Arial" w:cs="Arial"/>
                <w:b/>
                <w:bCs/>
                <w:sz w:val="20"/>
                <w:szCs w:val="20"/>
              </w:rPr>
            </w:pPr>
            <w:r>
              <w:rPr>
                <w:rFonts w:ascii="Arial" w:hAnsi="Arial" w:cs="Arial"/>
                <w:b/>
                <w:bCs/>
                <w:sz w:val="20"/>
                <w:szCs w:val="20"/>
              </w:rPr>
              <w:t>Owner occupied</w:t>
            </w:r>
            <w:r w:rsidR="005C5F6F" w:rsidRPr="0056256A">
              <w:rPr>
                <w:rFonts w:ascii="Arial" w:hAnsi="Arial" w:cs="Arial"/>
                <w:b/>
                <w:bCs/>
                <w:sz w:val="20"/>
                <w:szCs w:val="20"/>
              </w:rPr>
              <w:t xml:space="preserve"> Households with Housing Problems by Income and Race/Ethnicity</w:t>
            </w:r>
          </w:p>
          <w:p w:rsidR="005C5F6F" w:rsidRPr="0056256A" w:rsidRDefault="005C5F6F" w:rsidP="002074BB">
            <w:pPr>
              <w:jc w:val="center"/>
              <w:rPr>
                <w:rFonts w:ascii="Arial" w:hAnsi="Arial" w:cs="Arial"/>
                <w:sz w:val="16"/>
                <w:szCs w:val="16"/>
              </w:rPr>
            </w:pPr>
            <w:r w:rsidRPr="0056256A">
              <w:rPr>
                <w:rFonts w:ascii="Arial" w:hAnsi="Arial" w:cs="Arial"/>
                <w:sz w:val="16"/>
                <w:szCs w:val="16"/>
              </w:rPr>
              <w:t>State of New Mexico</w:t>
            </w:r>
          </w:p>
          <w:p w:rsidR="005C5F6F" w:rsidRPr="0056256A" w:rsidRDefault="005C5F6F" w:rsidP="002074BB">
            <w:pPr>
              <w:jc w:val="center"/>
              <w:rPr>
                <w:rFonts w:ascii="Arial" w:hAnsi="Arial" w:cs="Arial"/>
                <w:b/>
                <w:bCs/>
              </w:rPr>
            </w:pPr>
            <w:r w:rsidRPr="0056256A">
              <w:rPr>
                <w:rFonts w:ascii="Arial" w:hAnsi="Arial" w:cs="Arial"/>
                <w:sz w:val="16"/>
                <w:szCs w:val="16"/>
              </w:rPr>
              <w:t>2006–2010 HUD CHAS Data</w:t>
            </w:r>
          </w:p>
        </w:tc>
      </w:tr>
      <w:tr w:rsidR="005C5F6F" w:rsidRPr="0056256A" w:rsidTr="002074BB">
        <w:trPr>
          <w:trHeight w:val="216"/>
          <w:jc w:val="center"/>
        </w:trPr>
        <w:tc>
          <w:tcPr>
            <w:tcW w:w="2140" w:type="dxa"/>
            <w:vMerge w:val="restart"/>
            <w:tcBorders>
              <w:top w:val="single" w:sz="4" w:space="0" w:color="009900"/>
              <w:left w:val="single" w:sz="4" w:space="0" w:color="009900"/>
              <w:bottom w:val="single" w:sz="4" w:space="0" w:color="009900"/>
              <w:right w:val="nil"/>
            </w:tcBorders>
            <w:shd w:val="clear" w:color="000000" w:fill="FFFFE1"/>
            <w:vAlign w:val="center"/>
            <w:hideMark/>
          </w:tcPr>
          <w:p w:rsidR="005C5F6F" w:rsidRPr="0056256A" w:rsidRDefault="005C5F6F" w:rsidP="002074BB">
            <w:pPr>
              <w:jc w:val="center"/>
              <w:rPr>
                <w:rFonts w:ascii="Arial" w:hAnsi="Arial" w:cs="Arial"/>
                <w:b/>
                <w:bCs/>
                <w:sz w:val="16"/>
                <w:szCs w:val="16"/>
              </w:rPr>
            </w:pPr>
            <w:r w:rsidRPr="0056256A">
              <w:rPr>
                <w:rFonts w:ascii="Arial" w:hAnsi="Arial" w:cs="Arial"/>
                <w:b/>
                <w:bCs/>
                <w:sz w:val="16"/>
                <w:szCs w:val="16"/>
              </w:rPr>
              <w:t>Income</w:t>
            </w:r>
          </w:p>
        </w:tc>
        <w:tc>
          <w:tcPr>
            <w:tcW w:w="6340" w:type="dxa"/>
            <w:gridSpan w:val="6"/>
            <w:tcBorders>
              <w:top w:val="single" w:sz="4" w:space="0" w:color="009900"/>
              <w:left w:val="nil"/>
              <w:bottom w:val="dotted" w:sz="4" w:space="0" w:color="009900"/>
              <w:right w:val="nil"/>
            </w:tcBorders>
            <w:shd w:val="clear" w:color="000000" w:fill="FFFFE1"/>
            <w:noWrap/>
            <w:vAlign w:val="center"/>
            <w:hideMark/>
          </w:tcPr>
          <w:p w:rsidR="005C5F6F" w:rsidRPr="0056256A" w:rsidRDefault="005C5F6F" w:rsidP="002074BB">
            <w:pPr>
              <w:jc w:val="center"/>
              <w:rPr>
                <w:rFonts w:ascii="Arial" w:hAnsi="Arial" w:cs="Arial"/>
                <w:b/>
                <w:bCs/>
                <w:sz w:val="16"/>
                <w:szCs w:val="16"/>
              </w:rPr>
            </w:pPr>
            <w:r w:rsidRPr="0056256A">
              <w:rPr>
                <w:rFonts w:ascii="Arial" w:hAnsi="Arial" w:cs="Arial"/>
                <w:b/>
                <w:bCs/>
                <w:sz w:val="16"/>
                <w:szCs w:val="16"/>
              </w:rPr>
              <w:t>Non-Hispanic by Race/Ethnicity</w:t>
            </w:r>
          </w:p>
        </w:tc>
        <w:tc>
          <w:tcPr>
            <w:tcW w:w="1080" w:type="dxa"/>
            <w:vMerge w:val="restart"/>
            <w:tcBorders>
              <w:top w:val="single" w:sz="4" w:space="0" w:color="009900"/>
              <w:left w:val="dotted" w:sz="4" w:space="0" w:color="009900"/>
              <w:bottom w:val="single" w:sz="4" w:space="0" w:color="009900"/>
              <w:right w:val="nil"/>
            </w:tcBorders>
            <w:shd w:val="clear" w:color="000000" w:fill="FFFFE1"/>
            <w:vAlign w:val="center"/>
            <w:hideMark/>
          </w:tcPr>
          <w:p w:rsidR="005C5F6F" w:rsidRPr="0056256A" w:rsidRDefault="005C5F6F" w:rsidP="002074BB">
            <w:pPr>
              <w:jc w:val="center"/>
              <w:rPr>
                <w:rFonts w:ascii="Arial" w:hAnsi="Arial" w:cs="Arial"/>
                <w:b/>
                <w:bCs/>
                <w:sz w:val="16"/>
                <w:szCs w:val="16"/>
              </w:rPr>
            </w:pPr>
            <w:r w:rsidRPr="0056256A">
              <w:rPr>
                <w:rFonts w:ascii="Arial" w:hAnsi="Arial" w:cs="Arial"/>
                <w:b/>
                <w:bCs/>
                <w:sz w:val="16"/>
                <w:szCs w:val="16"/>
              </w:rPr>
              <w:t>Hispanic (Any Race)</w:t>
            </w:r>
          </w:p>
        </w:tc>
        <w:tc>
          <w:tcPr>
            <w:tcW w:w="800" w:type="dxa"/>
            <w:vMerge w:val="restart"/>
            <w:tcBorders>
              <w:top w:val="single" w:sz="4" w:space="0" w:color="009900"/>
              <w:left w:val="nil"/>
              <w:bottom w:val="single" w:sz="4" w:space="0" w:color="009900"/>
              <w:right w:val="single" w:sz="4" w:space="0" w:color="009900"/>
            </w:tcBorders>
            <w:shd w:val="clear" w:color="000000" w:fill="FFFFE1"/>
            <w:vAlign w:val="center"/>
            <w:hideMark/>
          </w:tcPr>
          <w:p w:rsidR="005C5F6F" w:rsidRPr="0056256A" w:rsidRDefault="005C5F6F" w:rsidP="002074BB">
            <w:pPr>
              <w:jc w:val="center"/>
              <w:rPr>
                <w:rFonts w:ascii="Arial" w:hAnsi="Arial" w:cs="Arial"/>
                <w:b/>
                <w:bCs/>
                <w:sz w:val="16"/>
                <w:szCs w:val="16"/>
              </w:rPr>
            </w:pPr>
            <w:r w:rsidRPr="0056256A">
              <w:rPr>
                <w:rFonts w:ascii="Arial" w:hAnsi="Arial" w:cs="Arial"/>
                <w:b/>
                <w:bCs/>
                <w:sz w:val="16"/>
                <w:szCs w:val="16"/>
              </w:rPr>
              <w:t>Total</w:t>
            </w:r>
          </w:p>
        </w:tc>
      </w:tr>
      <w:tr w:rsidR="005C5F6F" w:rsidRPr="0056256A" w:rsidTr="002074BB">
        <w:trPr>
          <w:trHeight w:val="216"/>
          <w:jc w:val="center"/>
        </w:trPr>
        <w:tc>
          <w:tcPr>
            <w:tcW w:w="2140" w:type="dxa"/>
            <w:vMerge/>
            <w:tcBorders>
              <w:top w:val="single" w:sz="4" w:space="0" w:color="009900"/>
              <w:left w:val="single" w:sz="4" w:space="0" w:color="009900"/>
              <w:bottom w:val="single" w:sz="4" w:space="0" w:color="009900"/>
              <w:right w:val="nil"/>
            </w:tcBorders>
            <w:vAlign w:val="center"/>
            <w:hideMark/>
          </w:tcPr>
          <w:p w:rsidR="005C5F6F" w:rsidRPr="0056256A" w:rsidRDefault="005C5F6F" w:rsidP="002074BB">
            <w:pPr>
              <w:jc w:val="center"/>
              <w:rPr>
                <w:rFonts w:ascii="Arial" w:hAnsi="Arial" w:cs="Arial"/>
                <w:b/>
                <w:bCs/>
                <w:sz w:val="16"/>
                <w:szCs w:val="16"/>
              </w:rPr>
            </w:pPr>
          </w:p>
        </w:tc>
        <w:tc>
          <w:tcPr>
            <w:tcW w:w="940" w:type="dxa"/>
            <w:tcBorders>
              <w:top w:val="nil"/>
              <w:left w:val="nil"/>
              <w:bottom w:val="single" w:sz="4" w:space="0" w:color="009900"/>
              <w:right w:val="nil"/>
            </w:tcBorders>
            <w:shd w:val="clear" w:color="000000" w:fill="FFFFE1"/>
            <w:vAlign w:val="center"/>
            <w:hideMark/>
          </w:tcPr>
          <w:p w:rsidR="005C5F6F" w:rsidRPr="0056256A" w:rsidRDefault="005C5F6F" w:rsidP="002074BB">
            <w:pPr>
              <w:jc w:val="center"/>
              <w:rPr>
                <w:rFonts w:ascii="Arial" w:hAnsi="Arial" w:cs="Arial"/>
                <w:b/>
                <w:bCs/>
                <w:sz w:val="16"/>
                <w:szCs w:val="16"/>
              </w:rPr>
            </w:pPr>
            <w:r w:rsidRPr="0056256A">
              <w:rPr>
                <w:rFonts w:ascii="Arial" w:hAnsi="Arial" w:cs="Arial"/>
                <w:b/>
                <w:bCs/>
                <w:sz w:val="16"/>
                <w:szCs w:val="16"/>
              </w:rPr>
              <w:t>White</w:t>
            </w:r>
          </w:p>
        </w:tc>
        <w:tc>
          <w:tcPr>
            <w:tcW w:w="1080" w:type="dxa"/>
            <w:tcBorders>
              <w:top w:val="nil"/>
              <w:left w:val="nil"/>
              <w:bottom w:val="single" w:sz="4" w:space="0" w:color="009900"/>
              <w:right w:val="nil"/>
            </w:tcBorders>
            <w:shd w:val="clear" w:color="000000" w:fill="FFFFE1"/>
            <w:vAlign w:val="center"/>
            <w:hideMark/>
          </w:tcPr>
          <w:p w:rsidR="005C5F6F" w:rsidRPr="0056256A" w:rsidRDefault="005C5F6F" w:rsidP="002074BB">
            <w:pPr>
              <w:jc w:val="center"/>
              <w:rPr>
                <w:rFonts w:ascii="Arial" w:hAnsi="Arial" w:cs="Arial"/>
                <w:b/>
                <w:bCs/>
                <w:sz w:val="16"/>
                <w:szCs w:val="16"/>
              </w:rPr>
            </w:pPr>
            <w:r w:rsidRPr="0056256A">
              <w:rPr>
                <w:rFonts w:ascii="Arial" w:hAnsi="Arial" w:cs="Arial"/>
                <w:b/>
                <w:bCs/>
                <w:sz w:val="16"/>
                <w:szCs w:val="16"/>
              </w:rPr>
              <w:t>Black</w:t>
            </w:r>
          </w:p>
        </w:tc>
        <w:tc>
          <w:tcPr>
            <w:tcW w:w="1080" w:type="dxa"/>
            <w:tcBorders>
              <w:top w:val="nil"/>
              <w:left w:val="nil"/>
              <w:bottom w:val="single" w:sz="4" w:space="0" w:color="009900"/>
              <w:right w:val="nil"/>
            </w:tcBorders>
            <w:shd w:val="clear" w:color="000000" w:fill="FFFFE1"/>
            <w:vAlign w:val="center"/>
            <w:hideMark/>
          </w:tcPr>
          <w:p w:rsidR="005C5F6F" w:rsidRPr="0056256A" w:rsidRDefault="005C5F6F" w:rsidP="002074BB">
            <w:pPr>
              <w:jc w:val="center"/>
              <w:rPr>
                <w:rFonts w:ascii="Arial" w:hAnsi="Arial" w:cs="Arial"/>
                <w:b/>
                <w:bCs/>
                <w:sz w:val="16"/>
                <w:szCs w:val="16"/>
              </w:rPr>
            </w:pPr>
            <w:r w:rsidRPr="0056256A">
              <w:rPr>
                <w:rFonts w:ascii="Arial" w:hAnsi="Arial" w:cs="Arial"/>
                <w:b/>
                <w:bCs/>
                <w:sz w:val="16"/>
                <w:szCs w:val="16"/>
              </w:rPr>
              <w:t>Asian</w:t>
            </w:r>
          </w:p>
        </w:tc>
        <w:tc>
          <w:tcPr>
            <w:tcW w:w="1080" w:type="dxa"/>
            <w:tcBorders>
              <w:top w:val="nil"/>
              <w:left w:val="nil"/>
              <w:bottom w:val="single" w:sz="4" w:space="0" w:color="009900"/>
              <w:right w:val="nil"/>
            </w:tcBorders>
            <w:shd w:val="clear" w:color="000000" w:fill="FFFFE1"/>
            <w:vAlign w:val="center"/>
            <w:hideMark/>
          </w:tcPr>
          <w:p w:rsidR="005C5F6F" w:rsidRPr="0056256A" w:rsidRDefault="005C5F6F" w:rsidP="002074BB">
            <w:pPr>
              <w:jc w:val="center"/>
              <w:rPr>
                <w:rFonts w:ascii="Arial" w:hAnsi="Arial" w:cs="Arial"/>
                <w:b/>
                <w:bCs/>
                <w:sz w:val="16"/>
                <w:szCs w:val="16"/>
              </w:rPr>
            </w:pPr>
            <w:r w:rsidRPr="0056256A">
              <w:rPr>
                <w:rFonts w:ascii="Arial" w:hAnsi="Arial" w:cs="Arial"/>
                <w:b/>
                <w:bCs/>
                <w:sz w:val="16"/>
                <w:szCs w:val="16"/>
              </w:rPr>
              <w:t>American Indian</w:t>
            </w:r>
          </w:p>
        </w:tc>
        <w:tc>
          <w:tcPr>
            <w:tcW w:w="1080" w:type="dxa"/>
            <w:tcBorders>
              <w:top w:val="nil"/>
              <w:left w:val="nil"/>
              <w:bottom w:val="single" w:sz="4" w:space="0" w:color="009900"/>
              <w:right w:val="nil"/>
            </w:tcBorders>
            <w:shd w:val="clear" w:color="000000" w:fill="FFFFE1"/>
            <w:vAlign w:val="center"/>
            <w:hideMark/>
          </w:tcPr>
          <w:p w:rsidR="005C5F6F" w:rsidRPr="0056256A" w:rsidRDefault="005C5F6F" w:rsidP="002074BB">
            <w:pPr>
              <w:jc w:val="center"/>
              <w:rPr>
                <w:rFonts w:ascii="Arial" w:hAnsi="Arial" w:cs="Arial"/>
                <w:b/>
                <w:bCs/>
                <w:sz w:val="16"/>
                <w:szCs w:val="16"/>
              </w:rPr>
            </w:pPr>
            <w:r w:rsidRPr="0056256A">
              <w:rPr>
                <w:rFonts w:ascii="Arial" w:hAnsi="Arial" w:cs="Arial"/>
                <w:b/>
                <w:bCs/>
                <w:sz w:val="16"/>
                <w:szCs w:val="16"/>
              </w:rPr>
              <w:t>Pacific Islander</w:t>
            </w:r>
          </w:p>
        </w:tc>
        <w:tc>
          <w:tcPr>
            <w:tcW w:w="1080" w:type="dxa"/>
            <w:tcBorders>
              <w:top w:val="nil"/>
              <w:left w:val="nil"/>
              <w:bottom w:val="single" w:sz="4" w:space="0" w:color="009900"/>
              <w:right w:val="nil"/>
            </w:tcBorders>
            <w:shd w:val="clear" w:color="000000" w:fill="FFFFE1"/>
            <w:vAlign w:val="center"/>
            <w:hideMark/>
          </w:tcPr>
          <w:p w:rsidR="005C5F6F" w:rsidRPr="0056256A" w:rsidRDefault="005C5F6F" w:rsidP="002074BB">
            <w:pPr>
              <w:jc w:val="center"/>
              <w:rPr>
                <w:rFonts w:ascii="Arial" w:hAnsi="Arial" w:cs="Arial"/>
                <w:b/>
                <w:bCs/>
                <w:sz w:val="16"/>
                <w:szCs w:val="16"/>
              </w:rPr>
            </w:pPr>
            <w:r w:rsidRPr="0056256A">
              <w:rPr>
                <w:rFonts w:ascii="Arial" w:hAnsi="Arial" w:cs="Arial"/>
                <w:b/>
                <w:bCs/>
                <w:sz w:val="16"/>
                <w:szCs w:val="16"/>
              </w:rPr>
              <w:t>Other Race</w:t>
            </w:r>
          </w:p>
        </w:tc>
        <w:tc>
          <w:tcPr>
            <w:tcW w:w="1080" w:type="dxa"/>
            <w:vMerge/>
            <w:tcBorders>
              <w:top w:val="single" w:sz="4" w:space="0" w:color="009900"/>
              <w:left w:val="dotted" w:sz="4" w:space="0" w:color="009900"/>
              <w:bottom w:val="single" w:sz="4" w:space="0" w:color="009900"/>
              <w:right w:val="nil"/>
            </w:tcBorders>
            <w:vAlign w:val="center"/>
            <w:hideMark/>
          </w:tcPr>
          <w:p w:rsidR="005C5F6F" w:rsidRPr="0056256A" w:rsidRDefault="005C5F6F" w:rsidP="002074BB">
            <w:pPr>
              <w:jc w:val="center"/>
              <w:rPr>
                <w:rFonts w:ascii="Arial" w:hAnsi="Arial" w:cs="Arial"/>
                <w:b/>
                <w:bCs/>
                <w:sz w:val="16"/>
                <w:szCs w:val="16"/>
              </w:rPr>
            </w:pPr>
          </w:p>
        </w:tc>
        <w:tc>
          <w:tcPr>
            <w:tcW w:w="800" w:type="dxa"/>
            <w:vMerge/>
            <w:tcBorders>
              <w:top w:val="single" w:sz="4" w:space="0" w:color="009900"/>
              <w:left w:val="nil"/>
              <w:bottom w:val="single" w:sz="4" w:space="0" w:color="009900"/>
              <w:right w:val="single" w:sz="4" w:space="0" w:color="009900"/>
            </w:tcBorders>
            <w:vAlign w:val="center"/>
            <w:hideMark/>
          </w:tcPr>
          <w:p w:rsidR="005C5F6F" w:rsidRPr="0056256A" w:rsidRDefault="005C5F6F" w:rsidP="002074BB">
            <w:pPr>
              <w:jc w:val="center"/>
              <w:rPr>
                <w:rFonts w:ascii="Arial" w:hAnsi="Arial" w:cs="Arial"/>
                <w:b/>
                <w:bCs/>
                <w:sz w:val="16"/>
                <w:szCs w:val="16"/>
              </w:rPr>
            </w:pPr>
          </w:p>
        </w:tc>
      </w:tr>
      <w:tr w:rsidR="005C5F6F" w:rsidRPr="0056256A" w:rsidTr="002074BB">
        <w:trPr>
          <w:trHeight w:val="216"/>
          <w:jc w:val="center"/>
        </w:trPr>
        <w:tc>
          <w:tcPr>
            <w:tcW w:w="10360" w:type="dxa"/>
            <w:gridSpan w:val="9"/>
            <w:tcBorders>
              <w:top w:val="single" w:sz="4" w:space="0" w:color="009900"/>
              <w:left w:val="single" w:sz="4" w:space="0" w:color="009900"/>
              <w:bottom w:val="single" w:sz="4" w:space="0" w:color="009900"/>
              <w:right w:val="single" w:sz="4" w:space="0" w:color="009900"/>
            </w:tcBorders>
            <w:shd w:val="clear" w:color="000000" w:fill="FFFFE1"/>
            <w:noWrap/>
            <w:vAlign w:val="center"/>
            <w:hideMark/>
          </w:tcPr>
          <w:p w:rsidR="005C5F6F" w:rsidRPr="0056256A" w:rsidRDefault="005C5F6F" w:rsidP="002074BB">
            <w:pPr>
              <w:jc w:val="center"/>
              <w:rPr>
                <w:rFonts w:ascii="Arial" w:hAnsi="Arial" w:cs="Arial"/>
                <w:b/>
                <w:bCs/>
                <w:sz w:val="16"/>
                <w:szCs w:val="16"/>
              </w:rPr>
            </w:pPr>
            <w:r w:rsidRPr="0056256A">
              <w:rPr>
                <w:rFonts w:ascii="Arial" w:hAnsi="Arial" w:cs="Arial"/>
                <w:b/>
                <w:bCs/>
                <w:sz w:val="16"/>
                <w:szCs w:val="16"/>
              </w:rPr>
              <w:t>With Housing Problems</w:t>
            </w:r>
          </w:p>
        </w:tc>
      </w:tr>
      <w:tr w:rsidR="005C5F6F" w:rsidRPr="0056256A" w:rsidTr="002074BB">
        <w:trPr>
          <w:trHeight w:val="216"/>
          <w:jc w:val="center"/>
        </w:trPr>
        <w:tc>
          <w:tcPr>
            <w:tcW w:w="2140" w:type="dxa"/>
            <w:tcBorders>
              <w:top w:val="nil"/>
              <w:left w:val="single" w:sz="4" w:space="0" w:color="009900"/>
              <w:bottom w:val="nil"/>
              <w:right w:val="nil"/>
            </w:tcBorders>
            <w:shd w:val="clear" w:color="FFFFFF" w:fill="FFFFE1"/>
            <w:vAlign w:val="center"/>
            <w:hideMark/>
          </w:tcPr>
          <w:p w:rsidR="005C5F6F" w:rsidRPr="0056256A" w:rsidRDefault="005C5F6F" w:rsidP="002074BB">
            <w:pPr>
              <w:jc w:val="center"/>
              <w:rPr>
                <w:rFonts w:ascii="Arial" w:hAnsi="Arial" w:cs="Arial"/>
                <w:color w:val="000000"/>
                <w:sz w:val="16"/>
                <w:szCs w:val="16"/>
              </w:rPr>
            </w:pPr>
            <w:r w:rsidRPr="0056256A">
              <w:rPr>
                <w:rFonts w:ascii="Arial" w:hAnsi="Arial" w:cs="Arial"/>
                <w:color w:val="000000"/>
                <w:sz w:val="16"/>
                <w:szCs w:val="16"/>
              </w:rPr>
              <w:t>30% HAMFI or less</w:t>
            </w:r>
          </w:p>
        </w:tc>
        <w:tc>
          <w:tcPr>
            <w:tcW w:w="94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10,655</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425</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225</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3,420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250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14,100</w:t>
            </w:r>
          </w:p>
        </w:tc>
        <w:tc>
          <w:tcPr>
            <w:tcW w:w="800" w:type="dxa"/>
            <w:tcBorders>
              <w:top w:val="nil"/>
              <w:left w:val="nil"/>
              <w:bottom w:val="nil"/>
              <w:right w:val="single" w:sz="4" w:space="0" w:color="009900"/>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29,075</w:t>
            </w:r>
          </w:p>
        </w:tc>
      </w:tr>
      <w:tr w:rsidR="005C5F6F" w:rsidRPr="0056256A" w:rsidTr="002074BB">
        <w:trPr>
          <w:trHeight w:val="216"/>
          <w:jc w:val="center"/>
        </w:trPr>
        <w:tc>
          <w:tcPr>
            <w:tcW w:w="2140" w:type="dxa"/>
            <w:tcBorders>
              <w:top w:val="nil"/>
              <w:left w:val="single" w:sz="4" w:space="0" w:color="009900"/>
              <w:bottom w:val="nil"/>
              <w:right w:val="nil"/>
            </w:tcBorders>
            <w:shd w:val="clear" w:color="FFFFFF" w:fill="FFFFE1"/>
            <w:vAlign w:val="center"/>
            <w:hideMark/>
          </w:tcPr>
          <w:p w:rsidR="005C5F6F" w:rsidRPr="0056256A" w:rsidRDefault="005C5F6F" w:rsidP="002074BB">
            <w:pPr>
              <w:jc w:val="center"/>
              <w:rPr>
                <w:rFonts w:ascii="Arial" w:hAnsi="Arial" w:cs="Arial"/>
                <w:color w:val="000000"/>
                <w:sz w:val="16"/>
                <w:szCs w:val="16"/>
              </w:rPr>
            </w:pPr>
            <w:r w:rsidRPr="0056256A">
              <w:rPr>
                <w:rFonts w:ascii="Arial" w:hAnsi="Arial" w:cs="Arial"/>
                <w:color w:val="000000"/>
                <w:sz w:val="16"/>
                <w:szCs w:val="16"/>
              </w:rPr>
              <w:t>30.1-50% HAMFI</w:t>
            </w:r>
          </w:p>
        </w:tc>
        <w:tc>
          <w:tcPr>
            <w:tcW w:w="94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11,270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215</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240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1,995</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270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13,360</w:t>
            </w:r>
          </w:p>
        </w:tc>
        <w:tc>
          <w:tcPr>
            <w:tcW w:w="800" w:type="dxa"/>
            <w:tcBorders>
              <w:top w:val="nil"/>
              <w:left w:val="nil"/>
              <w:bottom w:val="nil"/>
              <w:right w:val="single" w:sz="4" w:space="0" w:color="009900"/>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27,350</w:t>
            </w:r>
          </w:p>
        </w:tc>
      </w:tr>
      <w:tr w:rsidR="005C5F6F" w:rsidRPr="0056256A" w:rsidTr="002074BB">
        <w:trPr>
          <w:trHeight w:val="216"/>
          <w:jc w:val="center"/>
        </w:trPr>
        <w:tc>
          <w:tcPr>
            <w:tcW w:w="2140" w:type="dxa"/>
            <w:tcBorders>
              <w:top w:val="nil"/>
              <w:left w:val="single" w:sz="4" w:space="0" w:color="009900"/>
              <w:bottom w:val="nil"/>
              <w:right w:val="nil"/>
            </w:tcBorders>
            <w:shd w:val="clear" w:color="FFFFFF" w:fill="FFFFE1"/>
            <w:vAlign w:val="center"/>
            <w:hideMark/>
          </w:tcPr>
          <w:p w:rsidR="005C5F6F" w:rsidRPr="0056256A" w:rsidRDefault="005C5F6F" w:rsidP="002074BB">
            <w:pPr>
              <w:jc w:val="center"/>
              <w:rPr>
                <w:rFonts w:ascii="Arial" w:hAnsi="Arial" w:cs="Arial"/>
                <w:color w:val="000000"/>
                <w:sz w:val="16"/>
                <w:szCs w:val="16"/>
              </w:rPr>
            </w:pPr>
            <w:r w:rsidRPr="0056256A">
              <w:rPr>
                <w:rFonts w:ascii="Arial" w:hAnsi="Arial" w:cs="Arial"/>
                <w:color w:val="000000"/>
                <w:sz w:val="16"/>
                <w:szCs w:val="16"/>
              </w:rPr>
              <w:t>50.1-80% HAMFI</w:t>
            </w:r>
          </w:p>
        </w:tc>
        <w:tc>
          <w:tcPr>
            <w:tcW w:w="94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14,440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495</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490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1,885</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15</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290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17,035</w:t>
            </w:r>
          </w:p>
        </w:tc>
        <w:tc>
          <w:tcPr>
            <w:tcW w:w="800" w:type="dxa"/>
            <w:tcBorders>
              <w:top w:val="nil"/>
              <w:left w:val="nil"/>
              <w:bottom w:val="nil"/>
              <w:right w:val="single" w:sz="4" w:space="0" w:color="009900"/>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34,650</w:t>
            </w:r>
          </w:p>
        </w:tc>
      </w:tr>
      <w:tr w:rsidR="005C5F6F" w:rsidRPr="0056256A" w:rsidTr="002074BB">
        <w:trPr>
          <w:trHeight w:val="216"/>
          <w:jc w:val="center"/>
        </w:trPr>
        <w:tc>
          <w:tcPr>
            <w:tcW w:w="2140" w:type="dxa"/>
            <w:tcBorders>
              <w:top w:val="nil"/>
              <w:left w:val="single" w:sz="4" w:space="0" w:color="009900"/>
              <w:bottom w:val="nil"/>
              <w:right w:val="nil"/>
            </w:tcBorders>
            <w:shd w:val="clear" w:color="FFFFFF" w:fill="FFFFE1"/>
            <w:vAlign w:val="center"/>
            <w:hideMark/>
          </w:tcPr>
          <w:p w:rsidR="005C5F6F" w:rsidRPr="0056256A" w:rsidRDefault="005C5F6F" w:rsidP="002074BB">
            <w:pPr>
              <w:jc w:val="center"/>
              <w:rPr>
                <w:rFonts w:ascii="Arial" w:hAnsi="Arial" w:cs="Arial"/>
                <w:color w:val="000000"/>
                <w:sz w:val="16"/>
                <w:szCs w:val="16"/>
              </w:rPr>
            </w:pPr>
            <w:r w:rsidRPr="0056256A">
              <w:rPr>
                <w:rFonts w:ascii="Arial" w:hAnsi="Arial" w:cs="Arial"/>
                <w:color w:val="000000"/>
                <w:sz w:val="16"/>
                <w:szCs w:val="16"/>
              </w:rPr>
              <w:t>80.1-100% HAMFI</w:t>
            </w:r>
          </w:p>
        </w:tc>
        <w:tc>
          <w:tcPr>
            <w:tcW w:w="94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7,780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310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135</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605</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180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6,925</w:t>
            </w:r>
          </w:p>
        </w:tc>
        <w:tc>
          <w:tcPr>
            <w:tcW w:w="800" w:type="dxa"/>
            <w:tcBorders>
              <w:top w:val="nil"/>
              <w:left w:val="nil"/>
              <w:bottom w:val="nil"/>
              <w:right w:val="single" w:sz="4" w:space="0" w:color="009900"/>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15,935</w:t>
            </w:r>
          </w:p>
        </w:tc>
      </w:tr>
      <w:tr w:rsidR="005C5F6F" w:rsidRPr="0056256A" w:rsidTr="002074BB">
        <w:trPr>
          <w:trHeight w:val="216"/>
          <w:jc w:val="center"/>
        </w:trPr>
        <w:tc>
          <w:tcPr>
            <w:tcW w:w="2140" w:type="dxa"/>
            <w:tcBorders>
              <w:top w:val="nil"/>
              <w:left w:val="single" w:sz="4" w:space="0" w:color="009900"/>
              <w:bottom w:val="nil"/>
              <w:right w:val="nil"/>
            </w:tcBorders>
            <w:shd w:val="clear" w:color="FFFFFF" w:fill="FFFFE1"/>
            <w:vAlign w:val="center"/>
            <w:hideMark/>
          </w:tcPr>
          <w:p w:rsidR="005C5F6F" w:rsidRPr="0056256A" w:rsidRDefault="005C5F6F" w:rsidP="002074BB">
            <w:pPr>
              <w:jc w:val="center"/>
              <w:rPr>
                <w:rFonts w:ascii="Arial" w:hAnsi="Arial" w:cs="Arial"/>
                <w:color w:val="000000"/>
                <w:sz w:val="16"/>
                <w:szCs w:val="16"/>
              </w:rPr>
            </w:pPr>
            <w:r w:rsidRPr="0056256A">
              <w:rPr>
                <w:rFonts w:ascii="Arial" w:hAnsi="Arial" w:cs="Arial"/>
                <w:color w:val="000000"/>
                <w:sz w:val="16"/>
                <w:szCs w:val="16"/>
              </w:rPr>
              <w:t>100.1% HAMFI or more</w:t>
            </w:r>
          </w:p>
        </w:tc>
        <w:tc>
          <w:tcPr>
            <w:tcW w:w="94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19,720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675</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640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1,840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20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450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11,595</w:t>
            </w:r>
          </w:p>
        </w:tc>
        <w:tc>
          <w:tcPr>
            <w:tcW w:w="800" w:type="dxa"/>
            <w:tcBorders>
              <w:top w:val="nil"/>
              <w:left w:val="nil"/>
              <w:bottom w:val="nil"/>
              <w:right w:val="single" w:sz="4" w:space="0" w:color="009900"/>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34,940</w:t>
            </w:r>
          </w:p>
        </w:tc>
      </w:tr>
      <w:tr w:rsidR="005C5F6F" w:rsidRPr="0056256A" w:rsidTr="002074BB">
        <w:trPr>
          <w:trHeight w:val="216"/>
          <w:jc w:val="center"/>
        </w:trPr>
        <w:tc>
          <w:tcPr>
            <w:tcW w:w="2140" w:type="dxa"/>
            <w:tcBorders>
              <w:top w:val="dotted" w:sz="4" w:space="0" w:color="009900"/>
              <w:left w:val="single" w:sz="4" w:space="0" w:color="009900"/>
              <w:bottom w:val="single" w:sz="4" w:space="0" w:color="009900"/>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Total</w:t>
            </w:r>
          </w:p>
        </w:tc>
        <w:tc>
          <w:tcPr>
            <w:tcW w:w="940" w:type="dxa"/>
            <w:tcBorders>
              <w:top w:val="dotted" w:sz="4" w:space="0" w:color="009900"/>
              <w:left w:val="nil"/>
              <w:bottom w:val="single" w:sz="4" w:space="0" w:color="009900"/>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63,865</w:t>
            </w:r>
          </w:p>
        </w:tc>
        <w:tc>
          <w:tcPr>
            <w:tcW w:w="1080" w:type="dxa"/>
            <w:tcBorders>
              <w:top w:val="dotted" w:sz="4" w:space="0" w:color="009900"/>
              <w:left w:val="nil"/>
              <w:bottom w:val="single" w:sz="4" w:space="0" w:color="009900"/>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2,120</w:t>
            </w:r>
          </w:p>
        </w:tc>
        <w:tc>
          <w:tcPr>
            <w:tcW w:w="1080" w:type="dxa"/>
            <w:tcBorders>
              <w:top w:val="dotted" w:sz="4" w:space="0" w:color="009900"/>
              <w:left w:val="nil"/>
              <w:bottom w:val="single" w:sz="4" w:space="0" w:color="009900"/>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1,730</w:t>
            </w:r>
          </w:p>
        </w:tc>
        <w:tc>
          <w:tcPr>
            <w:tcW w:w="1080" w:type="dxa"/>
            <w:tcBorders>
              <w:top w:val="dotted" w:sz="4" w:space="0" w:color="009900"/>
              <w:left w:val="nil"/>
              <w:bottom w:val="single" w:sz="4" w:space="0" w:color="009900"/>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9,745</w:t>
            </w:r>
          </w:p>
        </w:tc>
        <w:tc>
          <w:tcPr>
            <w:tcW w:w="1080" w:type="dxa"/>
            <w:tcBorders>
              <w:top w:val="dotted" w:sz="4" w:space="0" w:color="009900"/>
              <w:left w:val="nil"/>
              <w:bottom w:val="single" w:sz="4" w:space="0" w:color="009900"/>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35</w:t>
            </w:r>
          </w:p>
        </w:tc>
        <w:tc>
          <w:tcPr>
            <w:tcW w:w="1080" w:type="dxa"/>
            <w:tcBorders>
              <w:top w:val="dotted" w:sz="4" w:space="0" w:color="009900"/>
              <w:left w:val="nil"/>
              <w:bottom w:val="single" w:sz="4" w:space="0" w:color="009900"/>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1,440</w:t>
            </w:r>
          </w:p>
        </w:tc>
        <w:tc>
          <w:tcPr>
            <w:tcW w:w="1080" w:type="dxa"/>
            <w:tcBorders>
              <w:top w:val="dotted" w:sz="4" w:space="0" w:color="009900"/>
              <w:left w:val="nil"/>
              <w:bottom w:val="single" w:sz="4" w:space="0" w:color="009900"/>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63,015</w:t>
            </w:r>
          </w:p>
        </w:tc>
        <w:tc>
          <w:tcPr>
            <w:tcW w:w="800" w:type="dxa"/>
            <w:tcBorders>
              <w:top w:val="dotted" w:sz="4" w:space="0" w:color="009900"/>
              <w:left w:val="nil"/>
              <w:bottom w:val="single" w:sz="4" w:space="0" w:color="009900"/>
              <w:right w:val="single" w:sz="4" w:space="0" w:color="009900"/>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141,950</w:t>
            </w:r>
          </w:p>
        </w:tc>
      </w:tr>
      <w:tr w:rsidR="005C5F6F" w:rsidRPr="0056256A" w:rsidTr="002074BB">
        <w:trPr>
          <w:trHeight w:val="216"/>
          <w:jc w:val="center"/>
        </w:trPr>
        <w:tc>
          <w:tcPr>
            <w:tcW w:w="10360" w:type="dxa"/>
            <w:gridSpan w:val="9"/>
            <w:tcBorders>
              <w:top w:val="single" w:sz="4" w:space="0" w:color="009900"/>
              <w:left w:val="single" w:sz="4" w:space="0" w:color="009900"/>
              <w:bottom w:val="single" w:sz="4" w:space="0" w:color="009900"/>
              <w:right w:val="single" w:sz="4" w:space="0" w:color="009900"/>
            </w:tcBorders>
            <w:shd w:val="clear" w:color="000000" w:fill="FFFFE1"/>
            <w:noWrap/>
            <w:vAlign w:val="center"/>
            <w:hideMark/>
          </w:tcPr>
          <w:p w:rsidR="005C5F6F" w:rsidRPr="0056256A" w:rsidRDefault="005C5F6F" w:rsidP="002074BB">
            <w:pPr>
              <w:jc w:val="center"/>
              <w:rPr>
                <w:rFonts w:ascii="Arial" w:hAnsi="Arial" w:cs="Arial"/>
                <w:b/>
                <w:bCs/>
                <w:sz w:val="16"/>
                <w:szCs w:val="16"/>
              </w:rPr>
            </w:pPr>
            <w:r w:rsidRPr="0056256A">
              <w:rPr>
                <w:rFonts w:ascii="Arial" w:hAnsi="Arial" w:cs="Arial"/>
                <w:b/>
                <w:bCs/>
                <w:sz w:val="16"/>
                <w:szCs w:val="16"/>
              </w:rPr>
              <w:t>Without Housing Problems</w:t>
            </w:r>
          </w:p>
        </w:tc>
      </w:tr>
      <w:tr w:rsidR="005C5F6F" w:rsidRPr="0056256A" w:rsidTr="002074BB">
        <w:trPr>
          <w:trHeight w:val="216"/>
          <w:jc w:val="center"/>
        </w:trPr>
        <w:tc>
          <w:tcPr>
            <w:tcW w:w="2140" w:type="dxa"/>
            <w:tcBorders>
              <w:top w:val="nil"/>
              <w:left w:val="single" w:sz="4" w:space="0" w:color="009900"/>
              <w:bottom w:val="nil"/>
              <w:right w:val="nil"/>
            </w:tcBorders>
            <w:shd w:val="clear" w:color="FFFFFF" w:fill="FFFFE1"/>
            <w:vAlign w:val="center"/>
            <w:hideMark/>
          </w:tcPr>
          <w:p w:rsidR="005C5F6F" w:rsidRPr="0056256A" w:rsidRDefault="005C5F6F" w:rsidP="002074BB">
            <w:pPr>
              <w:jc w:val="center"/>
              <w:rPr>
                <w:rFonts w:ascii="Arial" w:hAnsi="Arial" w:cs="Arial"/>
                <w:color w:val="000000"/>
                <w:sz w:val="16"/>
                <w:szCs w:val="16"/>
              </w:rPr>
            </w:pPr>
            <w:r w:rsidRPr="0056256A">
              <w:rPr>
                <w:rFonts w:ascii="Arial" w:hAnsi="Arial" w:cs="Arial"/>
                <w:color w:val="000000"/>
                <w:sz w:val="16"/>
                <w:szCs w:val="16"/>
              </w:rPr>
              <w:t>30% HAMFI or less</w:t>
            </w:r>
          </w:p>
        </w:tc>
        <w:tc>
          <w:tcPr>
            <w:tcW w:w="94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2,150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80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25</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1,390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40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3,660</w:t>
            </w:r>
          </w:p>
        </w:tc>
        <w:tc>
          <w:tcPr>
            <w:tcW w:w="800" w:type="dxa"/>
            <w:tcBorders>
              <w:top w:val="nil"/>
              <w:left w:val="nil"/>
              <w:bottom w:val="nil"/>
              <w:right w:val="single" w:sz="4" w:space="0" w:color="009900"/>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7,345</w:t>
            </w:r>
          </w:p>
        </w:tc>
      </w:tr>
      <w:tr w:rsidR="005C5F6F" w:rsidRPr="0056256A" w:rsidTr="002074BB">
        <w:trPr>
          <w:trHeight w:val="216"/>
          <w:jc w:val="center"/>
        </w:trPr>
        <w:tc>
          <w:tcPr>
            <w:tcW w:w="2140" w:type="dxa"/>
            <w:tcBorders>
              <w:top w:val="nil"/>
              <w:left w:val="single" w:sz="4" w:space="0" w:color="009900"/>
              <w:bottom w:val="nil"/>
              <w:right w:val="nil"/>
            </w:tcBorders>
            <w:shd w:val="clear" w:color="FFFFFF" w:fill="FFFFE1"/>
            <w:vAlign w:val="center"/>
            <w:hideMark/>
          </w:tcPr>
          <w:p w:rsidR="005C5F6F" w:rsidRPr="0056256A" w:rsidRDefault="005C5F6F" w:rsidP="002074BB">
            <w:pPr>
              <w:jc w:val="center"/>
              <w:rPr>
                <w:rFonts w:ascii="Arial" w:hAnsi="Arial" w:cs="Arial"/>
                <w:color w:val="000000"/>
                <w:sz w:val="16"/>
                <w:szCs w:val="16"/>
              </w:rPr>
            </w:pPr>
            <w:r w:rsidRPr="0056256A">
              <w:rPr>
                <w:rFonts w:ascii="Arial" w:hAnsi="Arial" w:cs="Arial"/>
                <w:color w:val="000000"/>
                <w:sz w:val="16"/>
                <w:szCs w:val="16"/>
              </w:rPr>
              <w:t>30.1-50% HAMFI</w:t>
            </w:r>
          </w:p>
        </w:tc>
        <w:tc>
          <w:tcPr>
            <w:tcW w:w="94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8,545</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335</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200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2,195</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255</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11,350</w:t>
            </w:r>
          </w:p>
        </w:tc>
        <w:tc>
          <w:tcPr>
            <w:tcW w:w="800" w:type="dxa"/>
            <w:tcBorders>
              <w:top w:val="nil"/>
              <w:left w:val="nil"/>
              <w:bottom w:val="nil"/>
              <w:right w:val="single" w:sz="4" w:space="0" w:color="009900"/>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22,880</w:t>
            </w:r>
          </w:p>
        </w:tc>
      </w:tr>
      <w:tr w:rsidR="005C5F6F" w:rsidRPr="0056256A" w:rsidTr="002074BB">
        <w:trPr>
          <w:trHeight w:val="216"/>
          <w:jc w:val="center"/>
        </w:trPr>
        <w:tc>
          <w:tcPr>
            <w:tcW w:w="2140" w:type="dxa"/>
            <w:tcBorders>
              <w:top w:val="nil"/>
              <w:left w:val="single" w:sz="4" w:space="0" w:color="009900"/>
              <w:bottom w:val="nil"/>
              <w:right w:val="nil"/>
            </w:tcBorders>
            <w:shd w:val="clear" w:color="FFFFFF" w:fill="FFFFE1"/>
            <w:vAlign w:val="center"/>
            <w:hideMark/>
          </w:tcPr>
          <w:p w:rsidR="005C5F6F" w:rsidRPr="0056256A" w:rsidRDefault="005C5F6F" w:rsidP="002074BB">
            <w:pPr>
              <w:jc w:val="center"/>
              <w:rPr>
                <w:rFonts w:ascii="Arial" w:hAnsi="Arial" w:cs="Arial"/>
                <w:color w:val="000000"/>
                <w:sz w:val="16"/>
                <w:szCs w:val="16"/>
              </w:rPr>
            </w:pPr>
            <w:r w:rsidRPr="0056256A">
              <w:rPr>
                <w:rFonts w:ascii="Arial" w:hAnsi="Arial" w:cs="Arial"/>
                <w:color w:val="000000"/>
                <w:sz w:val="16"/>
                <w:szCs w:val="16"/>
              </w:rPr>
              <w:t>50.1-80% HAMFI</w:t>
            </w:r>
          </w:p>
        </w:tc>
        <w:tc>
          <w:tcPr>
            <w:tcW w:w="94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19,760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375</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150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3,095</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370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21,080</w:t>
            </w:r>
          </w:p>
        </w:tc>
        <w:tc>
          <w:tcPr>
            <w:tcW w:w="800" w:type="dxa"/>
            <w:tcBorders>
              <w:top w:val="nil"/>
              <w:left w:val="nil"/>
              <w:bottom w:val="nil"/>
              <w:right w:val="single" w:sz="4" w:space="0" w:color="009900"/>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44,830</w:t>
            </w:r>
          </w:p>
        </w:tc>
      </w:tr>
      <w:tr w:rsidR="005C5F6F" w:rsidRPr="0056256A" w:rsidTr="002074BB">
        <w:trPr>
          <w:trHeight w:val="216"/>
          <w:jc w:val="center"/>
        </w:trPr>
        <w:tc>
          <w:tcPr>
            <w:tcW w:w="2140" w:type="dxa"/>
            <w:tcBorders>
              <w:top w:val="nil"/>
              <w:left w:val="single" w:sz="4" w:space="0" w:color="009900"/>
              <w:bottom w:val="nil"/>
              <w:right w:val="nil"/>
            </w:tcBorders>
            <w:shd w:val="clear" w:color="FFFFFF" w:fill="FFFFE1"/>
            <w:vAlign w:val="center"/>
            <w:hideMark/>
          </w:tcPr>
          <w:p w:rsidR="005C5F6F" w:rsidRPr="0056256A" w:rsidRDefault="005C5F6F" w:rsidP="002074BB">
            <w:pPr>
              <w:jc w:val="center"/>
              <w:rPr>
                <w:rFonts w:ascii="Arial" w:hAnsi="Arial" w:cs="Arial"/>
                <w:color w:val="000000"/>
                <w:sz w:val="16"/>
                <w:szCs w:val="16"/>
              </w:rPr>
            </w:pPr>
            <w:r w:rsidRPr="0056256A">
              <w:rPr>
                <w:rFonts w:ascii="Arial" w:hAnsi="Arial" w:cs="Arial"/>
                <w:color w:val="000000"/>
                <w:sz w:val="16"/>
                <w:szCs w:val="16"/>
              </w:rPr>
              <w:t>80.1-100% HAMFI</w:t>
            </w:r>
          </w:p>
        </w:tc>
        <w:tc>
          <w:tcPr>
            <w:tcW w:w="94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16,450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355</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220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2,220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20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485</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14,890</w:t>
            </w:r>
          </w:p>
        </w:tc>
        <w:tc>
          <w:tcPr>
            <w:tcW w:w="800" w:type="dxa"/>
            <w:tcBorders>
              <w:top w:val="nil"/>
              <w:left w:val="nil"/>
              <w:bottom w:val="nil"/>
              <w:right w:val="single" w:sz="4" w:space="0" w:color="009900"/>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34,640</w:t>
            </w:r>
          </w:p>
        </w:tc>
      </w:tr>
      <w:tr w:rsidR="005C5F6F" w:rsidRPr="0056256A" w:rsidTr="002074BB">
        <w:trPr>
          <w:trHeight w:val="216"/>
          <w:jc w:val="center"/>
        </w:trPr>
        <w:tc>
          <w:tcPr>
            <w:tcW w:w="2140" w:type="dxa"/>
            <w:tcBorders>
              <w:top w:val="nil"/>
              <w:left w:val="single" w:sz="4" w:space="0" w:color="009900"/>
              <w:bottom w:val="nil"/>
              <w:right w:val="nil"/>
            </w:tcBorders>
            <w:shd w:val="clear" w:color="FFFFFF" w:fill="FFFFE1"/>
            <w:vAlign w:val="center"/>
            <w:hideMark/>
          </w:tcPr>
          <w:p w:rsidR="005C5F6F" w:rsidRPr="0056256A" w:rsidRDefault="005C5F6F" w:rsidP="002074BB">
            <w:pPr>
              <w:jc w:val="center"/>
              <w:rPr>
                <w:rFonts w:ascii="Arial" w:hAnsi="Arial" w:cs="Arial"/>
                <w:color w:val="000000"/>
                <w:sz w:val="16"/>
                <w:szCs w:val="16"/>
              </w:rPr>
            </w:pPr>
            <w:r w:rsidRPr="0056256A">
              <w:rPr>
                <w:rFonts w:ascii="Arial" w:hAnsi="Arial" w:cs="Arial"/>
                <w:color w:val="000000"/>
                <w:sz w:val="16"/>
                <w:szCs w:val="16"/>
              </w:rPr>
              <w:t>100.1% HAMFI or more</w:t>
            </w:r>
          </w:p>
        </w:tc>
        <w:tc>
          <w:tcPr>
            <w:tcW w:w="94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167,160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2,950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3,145</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10,695</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70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2,770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84,850</w:t>
            </w:r>
          </w:p>
        </w:tc>
        <w:tc>
          <w:tcPr>
            <w:tcW w:w="800" w:type="dxa"/>
            <w:tcBorders>
              <w:top w:val="nil"/>
              <w:left w:val="nil"/>
              <w:bottom w:val="nil"/>
              <w:right w:val="single" w:sz="4" w:space="0" w:color="009900"/>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271,640</w:t>
            </w:r>
          </w:p>
        </w:tc>
      </w:tr>
      <w:tr w:rsidR="005C5F6F" w:rsidRPr="0056256A" w:rsidTr="002074BB">
        <w:trPr>
          <w:trHeight w:val="216"/>
          <w:jc w:val="center"/>
        </w:trPr>
        <w:tc>
          <w:tcPr>
            <w:tcW w:w="2140" w:type="dxa"/>
            <w:tcBorders>
              <w:top w:val="dotted" w:sz="4" w:space="0" w:color="009900"/>
              <w:left w:val="single" w:sz="4" w:space="0" w:color="009900"/>
              <w:bottom w:val="single" w:sz="4" w:space="0" w:color="009900"/>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Total</w:t>
            </w:r>
          </w:p>
        </w:tc>
        <w:tc>
          <w:tcPr>
            <w:tcW w:w="940" w:type="dxa"/>
            <w:tcBorders>
              <w:top w:val="dotted" w:sz="4" w:space="0" w:color="009900"/>
              <w:left w:val="nil"/>
              <w:bottom w:val="single" w:sz="4" w:space="0" w:color="009900"/>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214,065</w:t>
            </w:r>
          </w:p>
        </w:tc>
        <w:tc>
          <w:tcPr>
            <w:tcW w:w="1080" w:type="dxa"/>
            <w:tcBorders>
              <w:top w:val="dotted" w:sz="4" w:space="0" w:color="009900"/>
              <w:left w:val="nil"/>
              <w:bottom w:val="single" w:sz="4" w:space="0" w:color="009900"/>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4,095</w:t>
            </w:r>
          </w:p>
        </w:tc>
        <w:tc>
          <w:tcPr>
            <w:tcW w:w="1080" w:type="dxa"/>
            <w:tcBorders>
              <w:top w:val="dotted" w:sz="4" w:space="0" w:color="009900"/>
              <w:left w:val="nil"/>
              <w:bottom w:val="single" w:sz="4" w:space="0" w:color="009900"/>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3,740</w:t>
            </w:r>
          </w:p>
        </w:tc>
        <w:tc>
          <w:tcPr>
            <w:tcW w:w="1080" w:type="dxa"/>
            <w:tcBorders>
              <w:top w:val="dotted" w:sz="4" w:space="0" w:color="009900"/>
              <w:left w:val="nil"/>
              <w:bottom w:val="single" w:sz="4" w:space="0" w:color="009900"/>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19,595</w:t>
            </w:r>
          </w:p>
        </w:tc>
        <w:tc>
          <w:tcPr>
            <w:tcW w:w="1080" w:type="dxa"/>
            <w:tcBorders>
              <w:top w:val="dotted" w:sz="4" w:space="0" w:color="009900"/>
              <w:left w:val="nil"/>
              <w:bottom w:val="single" w:sz="4" w:space="0" w:color="009900"/>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90</w:t>
            </w:r>
          </w:p>
        </w:tc>
        <w:tc>
          <w:tcPr>
            <w:tcW w:w="1080" w:type="dxa"/>
            <w:tcBorders>
              <w:top w:val="dotted" w:sz="4" w:space="0" w:color="009900"/>
              <w:left w:val="nil"/>
              <w:bottom w:val="single" w:sz="4" w:space="0" w:color="009900"/>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3,920</w:t>
            </w:r>
          </w:p>
        </w:tc>
        <w:tc>
          <w:tcPr>
            <w:tcW w:w="1080" w:type="dxa"/>
            <w:tcBorders>
              <w:top w:val="dotted" w:sz="4" w:space="0" w:color="009900"/>
              <w:left w:val="nil"/>
              <w:bottom w:val="single" w:sz="4" w:space="0" w:color="009900"/>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135,830</w:t>
            </w:r>
          </w:p>
        </w:tc>
        <w:tc>
          <w:tcPr>
            <w:tcW w:w="800" w:type="dxa"/>
            <w:tcBorders>
              <w:top w:val="dotted" w:sz="4" w:space="0" w:color="009900"/>
              <w:left w:val="nil"/>
              <w:bottom w:val="single" w:sz="4" w:space="0" w:color="009900"/>
              <w:right w:val="single" w:sz="4" w:space="0" w:color="009900"/>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381,335</w:t>
            </w:r>
          </w:p>
        </w:tc>
      </w:tr>
      <w:tr w:rsidR="005C5F6F" w:rsidRPr="0056256A" w:rsidTr="002074BB">
        <w:trPr>
          <w:trHeight w:val="216"/>
          <w:jc w:val="center"/>
        </w:trPr>
        <w:tc>
          <w:tcPr>
            <w:tcW w:w="10360" w:type="dxa"/>
            <w:gridSpan w:val="9"/>
            <w:tcBorders>
              <w:top w:val="single" w:sz="4" w:space="0" w:color="009900"/>
              <w:left w:val="single" w:sz="4" w:space="0" w:color="009900"/>
              <w:bottom w:val="single" w:sz="4" w:space="0" w:color="009900"/>
              <w:right w:val="single" w:sz="4" w:space="0" w:color="009900"/>
            </w:tcBorders>
            <w:shd w:val="clear" w:color="000000" w:fill="FFFFE1"/>
            <w:noWrap/>
            <w:vAlign w:val="center"/>
            <w:hideMark/>
          </w:tcPr>
          <w:p w:rsidR="005C5F6F" w:rsidRPr="0056256A" w:rsidRDefault="005C5F6F" w:rsidP="002074BB">
            <w:pPr>
              <w:jc w:val="center"/>
              <w:rPr>
                <w:rFonts w:ascii="Arial" w:hAnsi="Arial" w:cs="Arial"/>
                <w:b/>
                <w:bCs/>
                <w:sz w:val="16"/>
                <w:szCs w:val="16"/>
              </w:rPr>
            </w:pPr>
            <w:r>
              <w:rPr>
                <w:rFonts w:ascii="Arial" w:hAnsi="Arial" w:cs="Arial"/>
                <w:b/>
                <w:bCs/>
                <w:sz w:val="16"/>
                <w:szCs w:val="16"/>
              </w:rPr>
              <w:t xml:space="preserve">Housing Problems </w:t>
            </w:r>
            <w:r w:rsidRPr="0056256A">
              <w:rPr>
                <w:rFonts w:ascii="Arial" w:hAnsi="Arial" w:cs="Arial"/>
                <w:b/>
                <w:bCs/>
                <w:sz w:val="16"/>
                <w:szCs w:val="16"/>
              </w:rPr>
              <w:t>Not Computed</w:t>
            </w:r>
          </w:p>
        </w:tc>
      </w:tr>
      <w:tr w:rsidR="005C5F6F" w:rsidRPr="0056256A" w:rsidTr="002074BB">
        <w:trPr>
          <w:trHeight w:val="216"/>
          <w:jc w:val="center"/>
        </w:trPr>
        <w:tc>
          <w:tcPr>
            <w:tcW w:w="2140" w:type="dxa"/>
            <w:tcBorders>
              <w:top w:val="nil"/>
              <w:left w:val="single" w:sz="4" w:space="0" w:color="009900"/>
              <w:bottom w:val="nil"/>
              <w:right w:val="nil"/>
            </w:tcBorders>
            <w:shd w:val="clear" w:color="FFFFFF" w:fill="FFFFE1"/>
            <w:vAlign w:val="center"/>
            <w:hideMark/>
          </w:tcPr>
          <w:p w:rsidR="005C5F6F" w:rsidRPr="0056256A" w:rsidRDefault="005C5F6F" w:rsidP="002074BB">
            <w:pPr>
              <w:jc w:val="center"/>
              <w:rPr>
                <w:rFonts w:ascii="Arial" w:hAnsi="Arial" w:cs="Arial"/>
                <w:color w:val="000000"/>
                <w:sz w:val="16"/>
                <w:szCs w:val="16"/>
              </w:rPr>
            </w:pPr>
            <w:r w:rsidRPr="0056256A">
              <w:rPr>
                <w:rFonts w:ascii="Arial" w:hAnsi="Arial" w:cs="Arial"/>
                <w:color w:val="000000"/>
                <w:sz w:val="16"/>
                <w:szCs w:val="16"/>
              </w:rPr>
              <w:t>30% HAMFI or less</w:t>
            </w:r>
          </w:p>
        </w:tc>
        <w:tc>
          <w:tcPr>
            <w:tcW w:w="94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1,720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425</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40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40</w:t>
            </w:r>
          </w:p>
        </w:tc>
        <w:tc>
          <w:tcPr>
            <w:tcW w:w="800" w:type="dxa"/>
            <w:tcBorders>
              <w:top w:val="nil"/>
              <w:left w:val="nil"/>
              <w:bottom w:val="nil"/>
              <w:right w:val="single" w:sz="4" w:space="0" w:color="009900"/>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2,225</w:t>
            </w:r>
          </w:p>
        </w:tc>
      </w:tr>
      <w:tr w:rsidR="005C5F6F" w:rsidRPr="0056256A" w:rsidTr="002074BB">
        <w:trPr>
          <w:trHeight w:val="216"/>
          <w:jc w:val="center"/>
        </w:trPr>
        <w:tc>
          <w:tcPr>
            <w:tcW w:w="2140" w:type="dxa"/>
            <w:tcBorders>
              <w:top w:val="nil"/>
              <w:left w:val="single" w:sz="4" w:space="0" w:color="009900"/>
              <w:bottom w:val="nil"/>
              <w:right w:val="nil"/>
            </w:tcBorders>
            <w:shd w:val="clear" w:color="FFFFFF" w:fill="FFFFE1"/>
            <w:vAlign w:val="center"/>
            <w:hideMark/>
          </w:tcPr>
          <w:p w:rsidR="005C5F6F" w:rsidRPr="0056256A" w:rsidRDefault="005C5F6F" w:rsidP="002074BB">
            <w:pPr>
              <w:jc w:val="center"/>
              <w:rPr>
                <w:rFonts w:ascii="Arial" w:hAnsi="Arial" w:cs="Arial"/>
                <w:color w:val="000000"/>
                <w:sz w:val="16"/>
                <w:szCs w:val="16"/>
              </w:rPr>
            </w:pPr>
            <w:r w:rsidRPr="0056256A">
              <w:rPr>
                <w:rFonts w:ascii="Arial" w:hAnsi="Arial" w:cs="Arial"/>
                <w:color w:val="000000"/>
                <w:sz w:val="16"/>
                <w:szCs w:val="16"/>
              </w:rPr>
              <w:t>30.1-50% HAMFI</w:t>
            </w:r>
          </w:p>
        </w:tc>
        <w:tc>
          <w:tcPr>
            <w:tcW w:w="94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0</w:t>
            </w:r>
          </w:p>
        </w:tc>
        <w:tc>
          <w:tcPr>
            <w:tcW w:w="800" w:type="dxa"/>
            <w:tcBorders>
              <w:top w:val="nil"/>
              <w:left w:val="nil"/>
              <w:bottom w:val="nil"/>
              <w:right w:val="single" w:sz="4" w:space="0" w:color="009900"/>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0</w:t>
            </w:r>
          </w:p>
        </w:tc>
      </w:tr>
      <w:tr w:rsidR="005C5F6F" w:rsidRPr="0056256A" w:rsidTr="002074BB">
        <w:trPr>
          <w:trHeight w:val="216"/>
          <w:jc w:val="center"/>
        </w:trPr>
        <w:tc>
          <w:tcPr>
            <w:tcW w:w="2140" w:type="dxa"/>
            <w:tcBorders>
              <w:top w:val="nil"/>
              <w:left w:val="single" w:sz="4" w:space="0" w:color="009900"/>
              <w:bottom w:val="nil"/>
              <w:right w:val="nil"/>
            </w:tcBorders>
            <w:shd w:val="clear" w:color="FFFFFF" w:fill="FFFFE1"/>
            <w:vAlign w:val="center"/>
            <w:hideMark/>
          </w:tcPr>
          <w:p w:rsidR="005C5F6F" w:rsidRPr="0056256A" w:rsidRDefault="005C5F6F" w:rsidP="002074BB">
            <w:pPr>
              <w:jc w:val="center"/>
              <w:rPr>
                <w:rFonts w:ascii="Arial" w:hAnsi="Arial" w:cs="Arial"/>
                <w:color w:val="000000"/>
                <w:sz w:val="16"/>
                <w:szCs w:val="16"/>
              </w:rPr>
            </w:pPr>
            <w:r w:rsidRPr="0056256A">
              <w:rPr>
                <w:rFonts w:ascii="Arial" w:hAnsi="Arial" w:cs="Arial"/>
                <w:color w:val="000000"/>
                <w:sz w:val="16"/>
                <w:szCs w:val="16"/>
              </w:rPr>
              <w:t>50.1-80% HAMFI</w:t>
            </w:r>
          </w:p>
        </w:tc>
        <w:tc>
          <w:tcPr>
            <w:tcW w:w="94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0</w:t>
            </w:r>
          </w:p>
        </w:tc>
        <w:tc>
          <w:tcPr>
            <w:tcW w:w="800" w:type="dxa"/>
            <w:tcBorders>
              <w:top w:val="nil"/>
              <w:left w:val="nil"/>
              <w:bottom w:val="nil"/>
              <w:right w:val="single" w:sz="4" w:space="0" w:color="009900"/>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0</w:t>
            </w:r>
          </w:p>
        </w:tc>
      </w:tr>
      <w:tr w:rsidR="005C5F6F" w:rsidRPr="0056256A" w:rsidTr="002074BB">
        <w:trPr>
          <w:trHeight w:val="216"/>
          <w:jc w:val="center"/>
        </w:trPr>
        <w:tc>
          <w:tcPr>
            <w:tcW w:w="2140" w:type="dxa"/>
            <w:tcBorders>
              <w:top w:val="nil"/>
              <w:left w:val="single" w:sz="4" w:space="0" w:color="009900"/>
              <w:bottom w:val="nil"/>
              <w:right w:val="nil"/>
            </w:tcBorders>
            <w:shd w:val="clear" w:color="FFFFFF" w:fill="FFFFE1"/>
            <w:vAlign w:val="center"/>
            <w:hideMark/>
          </w:tcPr>
          <w:p w:rsidR="005C5F6F" w:rsidRPr="0056256A" w:rsidRDefault="005C5F6F" w:rsidP="002074BB">
            <w:pPr>
              <w:jc w:val="center"/>
              <w:rPr>
                <w:rFonts w:ascii="Arial" w:hAnsi="Arial" w:cs="Arial"/>
                <w:color w:val="000000"/>
                <w:sz w:val="16"/>
                <w:szCs w:val="16"/>
              </w:rPr>
            </w:pPr>
            <w:r w:rsidRPr="0056256A">
              <w:rPr>
                <w:rFonts w:ascii="Arial" w:hAnsi="Arial" w:cs="Arial"/>
                <w:color w:val="000000"/>
                <w:sz w:val="16"/>
                <w:szCs w:val="16"/>
              </w:rPr>
              <w:t>80.1-100% HAMFI</w:t>
            </w:r>
          </w:p>
        </w:tc>
        <w:tc>
          <w:tcPr>
            <w:tcW w:w="94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0</w:t>
            </w:r>
          </w:p>
        </w:tc>
        <w:tc>
          <w:tcPr>
            <w:tcW w:w="800" w:type="dxa"/>
            <w:tcBorders>
              <w:top w:val="nil"/>
              <w:left w:val="nil"/>
              <w:bottom w:val="nil"/>
              <w:right w:val="single" w:sz="4" w:space="0" w:color="009900"/>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0</w:t>
            </w:r>
          </w:p>
        </w:tc>
      </w:tr>
      <w:tr w:rsidR="005C5F6F" w:rsidRPr="0056256A" w:rsidTr="002074BB">
        <w:trPr>
          <w:trHeight w:val="216"/>
          <w:jc w:val="center"/>
        </w:trPr>
        <w:tc>
          <w:tcPr>
            <w:tcW w:w="2140" w:type="dxa"/>
            <w:tcBorders>
              <w:top w:val="nil"/>
              <w:left w:val="single" w:sz="4" w:space="0" w:color="009900"/>
              <w:bottom w:val="nil"/>
              <w:right w:val="nil"/>
            </w:tcBorders>
            <w:shd w:val="clear" w:color="FFFFFF" w:fill="FFFFE1"/>
            <w:vAlign w:val="center"/>
            <w:hideMark/>
          </w:tcPr>
          <w:p w:rsidR="005C5F6F" w:rsidRPr="0056256A" w:rsidRDefault="005C5F6F" w:rsidP="002074BB">
            <w:pPr>
              <w:jc w:val="center"/>
              <w:rPr>
                <w:rFonts w:ascii="Arial" w:hAnsi="Arial" w:cs="Arial"/>
                <w:color w:val="000000"/>
                <w:sz w:val="16"/>
                <w:szCs w:val="16"/>
              </w:rPr>
            </w:pPr>
            <w:r w:rsidRPr="0056256A">
              <w:rPr>
                <w:rFonts w:ascii="Arial" w:hAnsi="Arial" w:cs="Arial"/>
                <w:color w:val="000000"/>
                <w:sz w:val="16"/>
                <w:szCs w:val="16"/>
              </w:rPr>
              <w:t>100.1% HAMFI or more</w:t>
            </w:r>
          </w:p>
        </w:tc>
        <w:tc>
          <w:tcPr>
            <w:tcW w:w="94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0</w:t>
            </w:r>
          </w:p>
        </w:tc>
        <w:tc>
          <w:tcPr>
            <w:tcW w:w="1080" w:type="dxa"/>
            <w:tcBorders>
              <w:top w:val="nil"/>
              <w:left w:val="nil"/>
              <w:bottom w:val="nil"/>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0</w:t>
            </w:r>
          </w:p>
        </w:tc>
        <w:tc>
          <w:tcPr>
            <w:tcW w:w="800" w:type="dxa"/>
            <w:tcBorders>
              <w:top w:val="nil"/>
              <w:left w:val="nil"/>
              <w:bottom w:val="nil"/>
              <w:right w:val="single" w:sz="4" w:space="0" w:color="009900"/>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0</w:t>
            </w:r>
          </w:p>
        </w:tc>
      </w:tr>
      <w:tr w:rsidR="005C5F6F" w:rsidRPr="0056256A" w:rsidTr="002074BB">
        <w:trPr>
          <w:trHeight w:val="216"/>
          <w:jc w:val="center"/>
        </w:trPr>
        <w:tc>
          <w:tcPr>
            <w:tcW w:w="2140" w:type="dxa"/>
            <w:tcBorders>
              <w:top w:val="dotted" w:sz="4" w:space="0" w:color="009900"/>
              <w:left w:val="single" w:sz="4" w:space="0" w:color="009900"/>
              <w:bottom w:val="single" w:sz="4" w:space="0" w:color="009900"/>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Total</w:t>
            </w:r>
          </w:p>
        </w:tc>
        <w:tc>
          <w:tcPr>
            <w:tcW w:w="940" w:type="dxa"/>
            <w:tcBorders>
              <w:top w:val="dotted" w:sz="4" w:space="0" w:color="009900"/>
              <w:left w:val="nil"/>
              <w:bottom w:val="single" w:sz="4" w:space="0" w:color="009900"/>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1,720</w:t>
            </w:r>
          </w:p>
        </w:tc>
        <w:tc>
          <w:tcPr>
            <w:tcW w:w="1080" w:type="dxa"/>
            <w:tcBorders>
              <w:top w:val="dotted" w:sz="4" w:space="0" w:color="009900"/>
              <w:left w:val="nil"/>
              <w:bottom w:val="single" w:sz="4" w:space="0" w:color="009900"/>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0</w:t>
            </w:r>
          </w:p>
        </w:tc>
        <w:tc>
          <w:tcPr>
            <w:tcW w:w="1080" w:type="dxa"/>
            <w:tcBorders>
              <w:top w:val="dotted" w:sz="4" w:space="0" w:color="009900"/>
              <w:left w:val="nil"/>
              <w:bottom w:val="single" w:sz="4" w:space="0" w:color="009900"/>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0</w:t>
            </w:r>
          </w:p>
        </w:tc>
        <w:tc>
          <w:tcPr>
            <w:tcW w:w="1080" w:type="dxa"/>
            <w:tcBorders>
              <w:top w:val="dotted" w:sz="4" w:space="0" w:color="009900"/>
              <w:left w:val="nil"/>
              <w:bottom w:val="single" w:sz="4" w:space="0" w:color="009900"/>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425</w:t>
            </w:r>
          </w:p>
        </w:tc>
        <w:tc>
          <w:tcPr>
            <w:tcW w:w="1080" w:type="dxa"/>
            <w:tcBorders>
              <w:top w:val="dotted" w:sz="4" w:space="0" w:color="009900"/>
              <w:left w:val="nil"/>
              <w:bottom w:val="single" w:sz="4" w:space="0" w:color="009900"/>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0</w:t>
            </w:r>
          </w:p>
        </w:tc>
        <w:tc>
          <w:tcPr>
            <w:tcW w:w="1080" w:type="dxa"/>
            <w:tcBorders>
              <w:top w:val="dotted" w:sz="4" w:space="0" w:color="009900"/>
              <w:left w:val="nil"/>
              <w:bottom w:val="single" w:sz="4" w:space="0" w:color="009900"/>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40</w:t>
            </w:r>
          </w:p>
        </w:tc>
        <w:tc>
          <w:tcPr>
            <w:tcW w:w="1080" w:type="dxa"/>
            <w:tcBorders>
              <w:top w:val="dotted" w:sz="4" w:space="0" w:color="009900"/>
              <w:left w:val="nil"/>
              <w:bottom w:val="single" w:sz="4" w:space="0" w:color="009900"/>
              <w:right w:val="nil"/>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40</w:t>
            </w:r>
          </w:p>
        </w:tc>
        <w:tc>
          <w:tcPr>
            <w:tcW w:w="800" w:type="dxa"/>
            <w:tcBorders>
              <w:top w:val="dotted" w:sz="4" w:space="0" w:color="009900"/>
              <w:left w:val="nil"/>
              <w:bottom w:val="single" w:sz="4" w:space="0" w:color="009900"/>
              <w:right w:val="single" w:sz="4" w:space="0" w:color="009900"/>
            </w:tcBorders>
            <w:shd w:val="clear" w:color="000000" w:fill="FFFFE1"/>
            <w:noWrap/>
            <w:vAlign w:val="center"/>
            <w:hideMark/>
          </w:tcPr>
          <w:p w:rsidR="005C5F6F" w:rsidRPr="0056256A" w:rsidRDefault="005C5F6F" w:rsidP="002074BB">
            <w:pPr>
              <w:jc w:val="center"/>
              <w:rPr>
                <w:rFonts w:ascii="Arial" w:hAnsi="Arial" w:cs="Arial"/>
                <w:sz w:val="16"/>
                <w:szCs w:val="16"/>
              </w:rPr>
            </w:pPr>
            <w:r w:rsidRPr="0056256A">
              <w:rPr>
                <w:rFonts w:ascii="Arial" w:hAnsi="Arial" w:cs="Arial"/>
                <w:sz w:val="16"/>
                <w:szCs w:val="16"/>
              </w:rPr>
              <w:t>2,185</w:t>
            </w:r>
          </w:p>
        </w:tc>
      </w:tr>
      <w:tr w:rsidR="005C5F6F" w:rsidRPr="0056256A" w:rsidTr="002074BB">
        <w:trPr>
          <w:trHeight w:val="216"/>
          <w:jc w:val="center"/>
        </w:trPr>
        <w:tc>
          <w:tcPr>
            <w:tcW w:w="10360" w:type="dxa"/>
            <w:gridSpan w:val="9"/>
            <w:tcBorders>
              <w:top w:val="single" w:sz="4" w:space="0" w:color="009900"/>
              <w:left w:val="single" w:sz="4" w:space="0" w:color="009900"/>
              <w:bottom w:val="single" w:sz="4" w:space="0" w:color="009900"/>
              <w:right w:val="single" w:sz="4" w:space="0" w:color="009900"/>
            </w:tcBorders>
            <w:shd w:val="clear" w:color="000000" w:fill="FFFFE1"/>
            <w:noWrap/>
            <w:vAlign w:val="center"/>
            <w:hideMark/>
          </w:tcPr>
          <w:p w:rsidR="005C5F6F" w:rsidRPr="0056256A" w:rsidRDefault="005C5F6F" w:rsidP="002074BB">
            <w:pPr>
              <w:jc w:val="center"/>
              <w:rPr>
                <w:rFonts w:ascii="Arial" w:hAnsi="Arial" w:cs="Arial"/>
                <w:b/>
                <w:bCs/>
                <w:sz w:val="16"/>
                <w:szCs w:val="16"/>
              </w:rPr>
            </w:pPr>
            <w:r w:rsidRPr="0056256A">
              <w:rPr>
                <w:rFonts w:ascii="Arial" w:hAnsi="Arial" w:cs="Arial"/>
                <w:b/>
                <w:bCs/>
                <w:sz w:val="16"/>
                <w:szCs w:val="16"/>
              </w:rPr>
              <w:t>Total</w:t>
            </w:r>
          </w:p>
        </w:tc>
      </w:tr>
      <w:tr w:rsidR="005C5F6F" w:rsidRPr="0056256A" w:rsidTr="002074BB">
        <w:trPr>
          <w:trHeight w:val="216"/>
          <w:jc w:val="center"/>
        </w:trPr>
        <w:tc>
          <w:tcPr>
            <w:tcW w:w="2140" w:type="dxa"/>
            <w:tcBorders>
              <w:top w:val="nil"/>
              <w:left w:val="single" w:sz="4" w:space="0" w:color="009900"/>
              <w:bottom w:val="nil"/>
              <w:right w:val="nil"/>
            </w:tcBorders>
            <w:shd w:val="clear" w:color="FFFFFF" w:fill="FFFFE1"/>
            <w:vAlign w:val="center"/>
            <w:hideMark/>
          </w:tcPr>
          <w:p w:rsidR="005C5F6F" w:rsidRPr="0056256A" w:rsidRDefault="005C5F6F" w:rsidP="002074BB">
            <w:pPr>
              <w:jc w:val="center"/>
              <w:rPr>
                <w:rFonts w:ascii="Arial" w:hAnsi="Arial" w:cs="Arial"/>
                <w:color w:val="000000"/>
                <w:sz w:val="16"/>
                <w:szCs w:val="16"/>
              </w:rPr>
            </w:pPr>
            <w:r w:rsidRPr="0056256A">
              <w:rPr>
                <w:rFonts w:ascii="Arial" w:hAnsi="Arial" w:cs="Arial"/>
                <w:color w:val="000000"/>
                <w:sz w:val="16"/>
                <w:szCs w:val="16"/>
              </w:rPr>
              <w:t>30% HAMFI or less</w:t>
            </w:r>
          </w:p>
        </w:tc>
        <w:tc>
          <w:tcPr>
            <w:tcW w:w="940" w:type="dxa"/>
            <w:tcBorders>
              <w:top w:val="nil"/>
              <w:left w:val="nil"/>
              <w:bottom w:val="nil"/>
              <w:right w:val="nil"/>
            </w:tcBorders>
            <w:shd w:val="clear" w:color="000000" w:fill="FFFFE1"/>
            <w:noWrap/>
            <w:vAlign w:val="center"/>
          </w:tcPr>
          <w:p w:rsidR="005C5F6F" w:rsidRPr="00786105" w:rsidRDefault="005C5F6F" w:rsidP="002074BB">
            <w:pPr>
              <w:pStyle w:val="NoSpacing"/>
              <w:jc w:val="center"/>
              <w:rPr>
                <w:rFonts w:ascii="Arial" w:hAnsi="Arial" w:cs="Arial"/>
                <w:sz w:val="16"/>
                <w:szCs w:val="16"/>
              </w:rPr>
            </w:pPr>
            <w:r w:rsidRPr="00786105">
              <w:rPr>
                <w:rFonts w:ascii="Arial" w:hAnsi="Arial" w:cs="Arial"/>
                <w:sz w:val="16"/>
                <w:szCs w:val="16"/>
              </w:rPr>
              <w:t>14,525</w:t>
            </w:r>
          </w:p>
        </w:tc>
        <w:tc>
          <w:tcPr>
            <w:tcW w:w="1080" w:type="dxa"/>
            <w:tcBorders>
              <w:top w:val="nil"/>
              <w:left w:val="nil"/>
              <w:bottom w:val="nil"/>
              <w:right w:val="nil"/>
            </w:tcBorders>
            <w:shd w:val="clear" w:color="000000" w:fill="FFFFE1"/>
            <w:noWrap/>
            <w:vAlign w:val="center"/>
          </w:tcPr>
          <w:p w:rsidR="005C5F6F" w:rsidRPr="00786105" w:rsidRDefault="005C5F6F" w:rsidP="002074BB">
            <w:pPr>
              <w:pStyle w:val="NoSpacing"/>
              <w:jc w:val="center"/>
              <w:rPr>
                <w:rFonts w:ascii="Arial" w:hAnsi="Arial" w:cs="Arial"/>
                <w:sz w:val="16"/>
                <w:szCs w:val="16"/>
              </w:rPr>
            </w:pPr>
            <w:r w:rsidRPr="00786105">
              <w:rPr>
                <w:rFonts w:ascii="Arial" w:hAnsi="Arial" w:cs="Arial"/>
                <w:sz w:val="16"/>
                <w:szCs w:val="16"/>
              </w:rPr>
              <w:t>505</w:t>
            </w:r>
          </w:p>
        </w:tc>
        <w:tc>
          <w:tcPr>
            <w:tcW w:w="1080" w:type="dxa"/>
            <w:tcBorders>
              <w:top w:val="nil"/>
              <w:left w:val="nil"/>
              <w:bottom w:val="nil"/>
              <w:right w:val="nil"/>
            </w:tcBorders>
            <w:shd w:val="clear" w:color="000000" w:fill="FFFFE1"/>
            <w:noWrap/>
            <w:vAlign w:val="center"/>
          </w:tcPr>
          <w:p w:rsidR="005C5F6F" w:rsidRPr="00786105" w:rsidRDefault="005C5F6F" w:rsidP="002074BB">
            <w:pPr>
              <w:pStyle w:val="NoSpacing"/>
              <w:jc w:val="center"/>
              <w:rPr>
                <w:rFonts w:ascii="Arial" w:hAnsi="Arial" w:cs="Arial"/>
                <w:sz w:val="16"/>
                <w:szCs w:val="16"/>
              </w:rPr>
            </w:pPr>
            <w:r w:rsidRPr="00786105">
              <w:rPr>
                <w:rFonts w:ascii="Arial" w:hAnsi="Arial" w:cs="Arial"/>
                <w:sz w:val="16"/>
                <w:szCs w:val="16"/>
              </w:rPr>
              <w:t>250</w:t>
            </w:r>
          </w:p>
        </w:tc>
        <w:tc>
          <w:tcPr>
            <w:tcW w:w="1080" w:type="dxa"/>
            <w:tcBorders>
              <w:top w:val="nil"/>
              <w:left w:val="nil"/>
              <w:bottom w:val="nil"/>
              <w:right w:val="nil"/>
            </w:tcBorders>
            <w:shd w:val="clear" w:color="000000" w:fill="FFFFE1"/>
            <w:noWrap/>
            <w:vAlign w:val="center"/>
          </w:tcPr>
          <w:p w:rsidR="005C5F6F" w:rsidRPr="00786105" w:rsidRDefault="005C5F6F" w:rsidP="002074BB">
            <w:pPr>
              <w:pStyle w:val="NoSpacing"/>
              <w:jc w:val="center"/>
              <w:rPr>
                <w:rFonts w:ascii="Arial" w:hAnsi="Arial" w:cs="Arial"/>
                <w:sz w:val="16"/>
                <w:szCs w:val="16"/>
              </w:rPr>
            </w:pPr>
            <w:r w:rsidRPr="00786105">
              <w:rPr>
                <w:rFonts w:ascii="Arial" w:hAnsi="Arial" w:cs="Arial"/>
                <w:sz w:val="16"/>
                <w:szCs w:val="16"/>
              </w:rPr>
              <w:t>5,235</w:t>
            </w:r>
          </w:p>
        </w:tc>
        <w:tc>
          <w:tcPr>
            <w:tcW w:w="1080" w:type="dxa"/>
            <w:tcBorders>
              <w:top w:val="nil"/>
              <w:left w:val="nil"/>
              <w:bottom w:val="nil"/>
              <w:right w:val="nil"/>
            </w:tcBorders>
            <w:shd w:val="clear" w:color="000000" w:fill="FFFFE1"/>
            <w:noWrap/>
            <w:vAlign w:val="center"/>
          </w:tcPr>
          <w:p w:rsidR="005C5F6F" w:rsidRPr="00786105" w:rsidRDefault="005C5F6F" w:rsidP="002074BB">
            <w:pPr>
              <w:pStyle w:val="NoSpacing"/>
              <w:jc w:val="center"/>
              <w:rPr>
                <w:rFonts w:ascii="Arial" w:hAnsi="Arial" w:cs="Arial"/>
                <w:sz w:val="16"/>
                <w:szCs w:val="16"/>
              </w:rPr>
            </w:pPr>
            <w:r w:rsidRPr="00786105">
              <w:rPr>
                <w:rFonts w:ascii="Arial" w:hAnsi="Arial" w:cs="Arial"/>
                <w:sz w:val="16"/>
                <w:szCs w:val="16"/>
              </w:rPr>
              <w:t>0</w:t>
            </w:r>
          </w:p>
        </w:tc>
        <w:tc>
          <w:tcPr>
            <w:tcW w:w="1080" w:type="dxa"/>
            <w:tcBorders>
              <w:top w:val="nil"/>
              <w:left w:val="nil"/>
              <w:bottom w:val="nil"/>
              <w:right w:val="nil"/>
            </w:tcBorders>
            <w:shd w:val="clear" w:color="000000" w:fill="FFFFE1"/>
            <w:noWrap/>
            <w:vAlign w:val="center"/>
          </w:tcPr>
          <w:p w:rsidR="005C5F6F" w:rsidRPr="00786105" w:rsidRDefault="005C5F6F" w:rsidP="002074BB">
            <w:pPr>
              <w:pStyle w:val="NoSpacing"/>
              <w:jc w:val="center"/>
              <w:rPr>
                <w:rFonts w:ascii="Arial" w:hAnsi="Arial" w:cs="Arial"/>
                <w:sz w:val="16"/>
                <w:szCs w:val="16"/>
              </w:rPr>
            </w:pPr>
            <w:r w:rsidRPr="00786105">
              <w:rPr>
                <w:rFonts w:ascii="Arial" w:hAnsi="Arial" w:cs="Arial"/>
                <w:sz w:val="16"/>
                <w:szCs w:val="16"/>
              </w:rPr>
              <w:t>330</w:t>
            </w:r>
          </w:p>
        </w:tc>
        <w:tc>
          <w:tcPr>
            <w:tcW w:w="1080" w:type="dxa"/>
            <w:tcBorders>
              <w:top w:val="nil"/>
              <w:left w:val="nil"/>
              <w:bottom w:val="nil"/>
              <w:right w:val="nil"/>
            </w:tcBorders>
            <w:shd w:val="clear" w:color="000000" w:fill="FFFFE1"/>
            <w:noWrap/>
            <w:vAlign w:val="center"/>
          </w:tcPr>
          <w:p w:rsidR="005C5F6F" w:rsidRPr="00786105" w:rsidRDefault="005C5F6F" w:rsidP="002074BB">
            <w:pPr>
              <w:pStyle w:val="NoSpacing"/>
              <w:jc w:val="center"/>
              <w:rPr>
                <w:rFonts w:ascii="Arial" w:hAnsi="Arial" w:cs="Arial"/>
                <w:sz w:val="16"/>
                <w:szCs w:val="16"/>
              </w:rPr>
            </w:pPr>
            <w:r w:rsidRPr="00786105">
              <w:rPr>
                <w:rFonts w:ascii="Arial" w:hAnsi="Arial" w:cs="Arial"/>
                <w:sz w:val="16"/>
                <w:szCs w:val="16"/>
              </w:rPr>
              <w:t>17,800</w:t>
            </w:r>
          </w:p>
        </w:tc>
        <w:tc>
          <w:tcPr>
            <w:tcW w:w="800" w:type="dxa"/>
            <w:tcBorders>
              <w:top w:val="nil"/>
              <w:left w:val="nil"/>
              <w:bottom w:val="nil"/>
              <w:right w:val="single" w:sz="4" w:space="0" w:color="009900"/>
            </w:tcBorders>
            <w:shd w:val="clear" w:color="000000" w:fill="FFFFE1"/>
            <w:noWrap/>
            <w:vAlign w:val="center"/>
          </w:tcPr>
          <w:p w:rsidR="005C5F6F" w:rsidRPr="00786105" w:rsidRDefault="005C5F6F" w:rsidP="002074BB">
            <w:pPr>
              <w:pStyle w:val="NoSpacing"/>
              <w:jc w:val="center"/>
              <w:rPr>
                <w:rFonts w:ascii="Arial" w:hAnsi="Arial" w:cs="Arial"/>
                <w:sz w:val="16"/>
                <w:szCs w:val="16"/>
              </w:rPr>
            </w:pPr>
            <w:r w:rsidRPr="00786105">
              <w:rPr>
                <w:rFonts w:ascii="Arial" w:hAnsi="Arial" w:cs="Arial"/>
                <w:sz w:val="16"/>
                <w:szCs w:val="16"/>
              </w:rPr>
              <w:t>38,645</w:t>
            </w:r>
          </w:p>
        </w:tc>
      </w:tr>
      <w:tr w:rsidR="005C5F6F" w:rsidRPr="0056256A" w:rsidTr="002074BB">
        <w:trPr>
          <w:trHeight w:val="216"/>
          <w:jc w:val="center"/>
        </w:trPr>
        <w:tc>
          <w:tcPr>
            <w:tcW w:w="2140" w:type="dxa"/>
            <w:tcBorders>
              <w:top w:val="nil"/>
              <w:left w:val="single" w:sz="4" w:space="0" w:color="009900"/>
              <w:bottom w:val="nil"/>
              <w:right w:val="nil"/>
            </w:tcBorders>
            <w:shd w:val="clear" w:color="FFFFFF" w:fill="FFFFE1"/>
            <w:vAlign w:val="center"/>
            <w:hideMark/>
          </w:tcPr>
          <w:p w:rsidR="005C5F6F" w:rsidRPr="0056256A" w:rsidRDefault="005C5F6F" w:rsidP="002074BB">
            <w:pPr>
              <w:jc w:val="center"/>
              <w:rPr>
                <w:rFonts w:ascii="Arial" w:hAnsi="Arial" w:cs="Arial"/>
                <w:color w:val="000000"/>
                <w:sz w:val="16"/>
                <w:szCs w:val="16"/>
              </w:rPr>
            </w:pPr>
            <w:r w:rsidRPr="0056256A">
              <w:rPr>
                <w:rFonts w:ascii="Arial" w:hAnsi="Arial" w:cs="Arial"/>
                <w:color w:val="000000"/>
                <w:sz w:val="16"/>
                <w:szCs w:val="16"/>
              </w:rPr>
              <w:t>30.1-50% HAMFI</w:t>
            </w:r>
          </w:p>
        </w:tc>
        <w:tc>
          <w:tcPr>
            <w:tcW w:w="940" w:type="dxa"/>
            <w:tcBorders>
              <w:top w:val="nil"/>
              <w:left w:val="nil"/>
              <w:bottom w:val="nil"/>
              <w:right w:val="nil"/>
            </w:tcBorders>
            <w:shd w:val="clear" w:color="000000" w:fill="FFFFE1"/>
            <w:noWrap/>
            <w:vAlign w:val="center"/>
          </w:tcPr>
          <w:p w:rsidR="005C5F6F" w:rsidRPr="00786105" w:rsidRDefault="005C5F6F" w:rsidP="002074BB">
            <w:pPr>
              <w:pStyle w:val="NoSpacing"/>
              <w:jc w:val="center"/>
              <w:rPr>
                <w:rFonts w:ascii="Arial" w:hAnsi="Arial" w:cs="Arial"/>
                <w:sz w:val="16"/>
                <w:szCs w:val="16"/>
              </w:rPr>
            </w:pPr>
            <w:r w:rsidRPr="00786105">
              <w:rPr>
                <w:rFonts w:ascii="Arial" w:hAnsi="Arial" w:cs="Arial"/>
                <w:sz w:val="16"/>
                <w:szCs w:val="16"/>
              </w:rPr>
              <w:t>19,815</w:t>
            </w:r>
          </w:p>
        </w:tc>
        <w:tc>
          <w:tcPr>
            <w:tcW w:w="1080" w:type="dxa"/>
            <w:tcBorders>
              <w:top w:val="nil"/>
              <w:left w:val="nil"/>
              <w:bottom w:val="nil"/>
              <w:right w:val="nil"/>
            </w:tcBorders>
            <w:shd w:val="clear" w:color="000000" w:fill="FFFFE1"/>
            <w:noWrap/>
            <w:vAlign w:val="center"/>
          </w:tcPr>
          <w:p w:rsidR="005C5F6F" w:rsidRPr="00786105" w:rsidRDefault="005C5F6F" w:rsidP="002074BB">
            <w:pPr>
              <w:pStyle w:val="NoSpacing"/>
              <w:jc w:val="center"/>
              <w:rPr>
                <w:rFonts w:ascii="Arial" w:hAnsi="Arial" w:cs="Arial"/>
                <w:sz w:val="16"/>
                <w:szCs w:val="16"/>
              </w:rPr>
            </w:pPr>
            <w:r w:rsidRPr="00786105">
              <w:rPr>
                <w:rFonts w:ascii="Arial" w:hAnsi="Arial" w:cs="Arial"/>
                <w:sz w:val="16"/>
                <w:szCs w:val="16"/>
              </w:rPr>
              <w:t>550</w:t>
            </w:r>
          </w:p>
        </w:tc>
        <w:tc>
          <w:tcPr>
            <w:tcW w:w="1080" w:type="dxa"/>
            <w:tcBorders>
              <w:top w:val="nil"/>
              <w:left w:val="nil"/>
              <w:bottom w:val="nil"/>
              <w:right w:val="nil"/>
            </w:tcBorders>
            <w:shd w:val="clear" w:color="000000" w:fill="FFFFE1"/>
            <w:noWrap/>
            <w:vAlign w:val="center"/>
          </w:tcPr>
          <w:p w:rsidR="005C5F6F" w:rsidRPr="00786105" w:rsidRDefault="005C5F6F" w:rsidP="002074BB">
            <w:pPr>
              <w:pStyle w:val="NoSpacing"/>
              <w:jc w:val="center"/>
              <w:rPr>
                <w:rFonts w:ascii="Arial" w:hAnsi="Arial" w:cs="Arial"/>
                <w:sz w:val="16"/>
                <w:szCs w:val="16"/>
              </w:rPr>
            </w:pPr>
            <w:r w:rsidRPr="00786105">
              <w:rPr>
                <w:rFonts w:ascii="Arial" w:hAnsi="Arial" w:cs="Arial"/>
                <w:sz w:val="16"/>
                <w:szCs w:val="16"/>
              </w:rPr>
              <w:t>440</w:t>
            </w:r>
          </w:p>
        </w:tc>
        <w:tc>
          <w:tcPr>
            <w:tcW w:w="1080" w:type="dxa"/>
            <w:tcBorders>
              <w:top w:val="nil"/>
              <w:left w:val="nil"/>
              <w:bottom w:val="nil"/>
              <w:right w:val="nil"/>
            </w:tcBorders>
            <w:shd w:val="clear" w:color="000000" w:fill="FFFFE1"/>
            <w:noWrap/>
            <w:vAlign w:val="center"/>
          </w:tcPr>
          <w:p w:rsidR="005C5F6F" w:rsidRPr="00786105" w:rsidRDefault="005C5F6F" w:rsidP="002074BB">
            <w:pPr>
              <w:pStyle w:val="NoSpacing"/>
              <w:jc w:val="center"/>
              <w:rPr>
                <w:rFonts w:ascii="Arial" w:hAnsi="Arial" w:cs="Arial"/>
                <w:sz w:val="16"/>
                <w:szCs w:val="16"/>
              </w:rPr>
            </w:pPr>
            <w:r w:rsidRPr="00786105">
              <w:rPr>
                <w:rFonts w:ascii="Arial" w:hAnsi="Arial" w:cs="Arial"/>
                <w:sz w:val="16"/>
                <w:szCs w:val="16"/>
              </w:rPr>
              <w:t>4,190</w:t>
            </w:r>
          </w:p>
        </w:tc>
        <w:tc>
          <w:tcPr>
            <w:tcW w:w="1080" w:type="dxa"/>
            <w:tcBorders>
              <w:top w:val="nil"/>
              <w:left w:val="nil"/>
              <w:bottom w:val="nil"/>
              <w:right w:val="nil"/>
            </w:tcBorders>
            <w:shd w:val="clear" w:color="000000" w:fill="FFFFE1"/>
            <w:noWrap/>
            <w:vAlign w:val="center"/>
          </w:tcPr>
          <w:p w:rsidR="005C5F6F" w:rsidRPr="00786105" w:rsidRDefault="005C5F6F" w:rsidP="002074BB">
            <w:pPr>
              <w:pStyle w:val="NoSpacing"/>
              <w:jc w:val="center"/>
              <w:rPr>
                <w:rFonts w:ascii="Arial" w:hAnsi="Arial" w:cs="Arial"/>
                <w:sz w:val="16"/>
                <w:szCs w:val="16"/>
              </w:rPr>
            </w:pPr>
            <w:r w:rsidRPr="00786105">
              <w:rPr>
                <w:rFonts w:ascii="Arial" w:hAnsi="Arial" w:cs="Arial"/>
                <w:sz w:val="16"/>
                <w:szCs w:val="16"/>
              </w:rPr>
              <w:t>0</w:t>
            </w:r>
          </w:p>
        </w:tc>
        <w:tc>
          <w:tcPr>
            <w:tcW w:w="1080" w:type="dxa"/>
            <w:tcBorders>
              <w:top w:val="nil"/>
              <w:left w:val="nil"/>
              <w:bottom w:val="nil"/>
              <w:right w:val="nil"/>
            </w:tcBorders>
            <w:shd w:val="clear" w:color="000000" w:fill="FFFFE1"/>
            <w:noWrap/>
            <w:vAlign w:val="center"/>
          </w:tcPr>
          <w:p w:rsidR="005C5F6F" w:rsidRPr="00786105" w:rsidRDefault="005C5F6F" w:rsidP="002074BB">
            <w:pPr>
              <w:pStyle w:val="NoSpacing"/>
              <w:jc w:val="center"/>
              <w:rPr>
                <w:rFonts w:ascii="Arial" w:hAnsi="Arial" w:cs="Arial"/>
                <w:sz w:val="16"/>
                <w:szCs w:val="16"/>
              </w:rPr>
            </w:pPr>
            <w:r w:rsidRPr="00786105">
              <w:rPr>
                <w:rFonts w:ascii="Arial" w:hAnsi="Arial" w:cs="Arial"/>
                <w:sz w:val="16"/>
                <w:szCs w:val="16"/>
              </w:rPr>
              <w:t>525</w:t>
            </w:r>
          </w:p>
        </w:tc>
        <w:tc>
          <w:tcPr>
            <w:tcW w:w="1080" w:type="dxa"/>
            <w:tcBorders>
              <w:top w:val="nil"/>
              <w:left w:val="nil"/>
              <w:bottom w:val="nil"/>
              <w:right w:val="nil"/>
            </w:tcBorders>
            <w:shd w:val="clear" w:color="000000" w:fill="FFFFE1"/>
            <w:noWrap/>
            <w:vAlign w:val="center"/>
          </w:tcPr>
          <w:p w:rsidR="005C5F6F" w:rsidRPr="00786105" w:rsidRDefault="005C5F6F" w:rsidP="002074BB">
            <w:pPr>
              <w:pStyle w:val="NoSpacing"/>
              <w:jc w:val="center"/>
              <w:rPr>
                <w:rFonts w:ascii="Arial" w:hAnsi="Arial" w:cs="Arial"/>
                <w:sz w:val="16"/>
                <w:szCs w:val="16"/>
              </w:rPr>
            </w:pPr>
            <w:r w:rsidRPr="00786105">
              <w:rPr>
                <w:rFonts w:ascii="Arial" w:hAnsi="Arial" w:cs="Arial"/>
                <w:sz w:val="16"/>
                <w:szCs w:val="16"/>
              </w:rPr>
              <w:t>24,710</w:t>
            </w:r>
          </w:p>
        </w:tc>
        <w:tc>
          <w:tcPr>
            <w:tcW w:w="800" w:type="dxa"/>
            <w:tcBorders>
              <w:top w:val="nil"/>
              <w:left w:val="nil"/>
              <w:bottom w:val="nil"/>
              <w:right w:val="single" w:sz="4" w:space="0" w:color="009900"/>
            </w:tcBorders>
            <w:shd w:val="clear" w:color="000000" w:fill="FFFFE1"/>
            <w:noWrap/>
            <w:vAlign w:val="center"/>
          </w:tcPr>
          <w:p w:rsidR="005C5F6F" w:rsidRPr="00786105" w:rsidRDefault="005C5F6F" w:rsidP="002074BB">
            <w:pPr>
              <w:pStyle w:val="NoSpacing"/>
              <w:jc w:val="center"/>
              <w:rPr>
                <w:rFonts w:ascii="Arial" w:hAnsi="Arial" w:cs="Arial"/>
                <w:sz w:val="16"/>
                <w:szCs w:val="16"/>
              </w:rPr>
            </w:pPr>
            <w:r w:rsidRPr="00786105">
              <w:rPr>
                <w:rFonts w:ascii="Arial" w:hAnsi="Arial" w:cs="Arial"/>
                <w:sz w:val="16"/>
                <w:szCs w:val="16"/>
              </w:rPr>
              <w:t>50,230</w:t>
            </w:r>
          </w:p>
        </w:tc>
      </w:tr>
      <w:tr w:rsidR="005C5F6F" w:rsidRPr="0056256A" w:rsidTr="002074BB">
        <w:trPr>
          <w:trHeight w:val="216"/>
          <w:jc w:val="center"/>
        </w:trPr>
        <w:tc>
          <w:tcPr>
            <w:tcW w:w="2140" w:type="dxa"/>
            <w:tcBorders>
              <w:top w:val="nil"/>
              <w:left w:val="single" w:sz="4" w:space="0" w:color="009900"/>
              <w:bottom w:val="nil"/>
              <w:right w:val="nil"/>
            </w:tcBorders>
            <w:shd w:val="clear" w:color="FFFFFF" w:fill="FFFFE1"/>
            <w:vAlign w:val="center"/>
            <w:hideMark/>
          </w:tcPr>
          <w:p w:rsidR="005C5F6F" w:rsidRPr="0056256A" w:rsidRDefault="005C5F6F" w:rsidP="002074BB">
            <w:pPr>
              <w:jc w:val="center"/>
              <w:rPr>
                <w:rFonts w:ascii="Arial" w:hAnsi="Arial" w:cs="Arial"/>
                <w:color w:val="000000"/>
                <w:sz w:val="16"/>
                <w:szCs w:val="16"/>
              </w:rPr>
            </w:pPr>
            <w:r w:rsidRPr="0056256A">
              <w:rPr>
                <w:rFonts w:ascii="Arial" w:hAnsi="Arial" w:cs="Arial"/>
                <w:color w:val="000000"/>
                <w:sz w:val="16"/>
                <w:szCs w:val="16"/>
              </w:rPr>
              <w:t>50.1-80% HAMFI</w:t>
            </w:r>
          </w:p>
        </w:tc>
        <w:tc>
          <w:tcPr>
            <w:tcW w:w="940" w:type="dxa"/>
            <w:tcBorders>
              <w:top w:val="nil"/>
              <w:left w:val="nil"/>
              <w:bottom w:val="nil"/>
              <w:right w:val="nil"/>
            </w:tcBorders>
            <w:shd w:val="clear" w:color="000000" w:fill="FFFFE1"/>
            <w:noWrap/>
            <w:vAlign w:val="center"/>
          </w:tcPr>
          <w:p w:rsidR="005C5F6F" w:rsidRPr="00786105" w:rsidRDefault="005C5F6F" w:rsidP="002074BB">
            <w:pPr>
              <w:pStyle w:val="NoSpacing"/>
              <w:jc w:val="center"/>
              <w:rPr>
                <w:rFonts w:ascii="Arial" w:hAnsi="Arial" w:cs="Arial"/>
                <w:sz w:val="16"/>
                <w:szCs w:val="16"/>
              </w:rPr>
            </w:pPr>
            <w:r w:rsidRPr="00786105">
              <w:rPr>
                <w:rFonts w:ascii="Arial" w:hAnsi="Arial" w:cs="Arial"/>
                <w:sz w:val="16"/>
                <w:szCs w:val="16"/>
              </w:rPr>
              <w:t>34,200</w:t>
            </w:r>
          </w:p>
        </w:tc>
        <w:tc>
          <w:tcPr>
            <w:tcW w:w="1080" w:type="dxa"/>
            <w:tcBorders>
              <w:top w:val="nil"/>
              <w:left w:val="nil"/>
              <w:bottom w:val="nil"/>
              <w:right w:val="nil"/>
            </w:tcBorders>
            <w:shd w:val="clear" w:color="000000" w:fill="FFFFE1"/>
            <w:noWrap/>
            <w:vAlign w:val="center"/>
          </w:tcPr>
          <w:p w:rsidR="005C5F6F" w:rsidRPr="00786105" w:rsidRDefault="005C5F6F" w:rsidP="002074BB">
            <w:pPr>
              <w:pStyle w:val="NoSpacing"/>
              <w:jc w:val="center"/>
              <w:rPr>
                <w:rFonts w:ascii="Arial" w:hAnsi="Arial" w:cs="Arial"/>
                <w:sz w:val="16"/>
                <w:szCs w:val="16"/>
              </w:rPr>
            </w:pPr>
            <w:r w:rsidRPr="00786105">
              <w:rPr>
                <w:rFonts w:ascii="Arial" w:hAnsi="Arial" w:cs="Arial"/>
                <w:sz w:val="16"/>
                <w:szCs w:val="16"/>
              </w:rPr>
              <w:t>870</w:t>
            </w:r>
          </w:p>
        </w:tc>
        <w:tc>
          <w:tcPr>
            <w:tcW w:w="1080" w:type="dxa"/>
            <w:tcBorders>
              <w:top w:val="nil"/>
              <w:left w:val="nil"/>
              <w:bottom w:val="nil"/>
              <w:right w:val="nil"/>
            </w:tcBorders>
            <w:shd w:val="clear" w:color="000000" w:fill="FFFFE1"/>
            <w:noWrap/>
            <w:vAlign w:val="center"/>
          </w:tcPr>
          <w:p w:rsidR="005C5F6F" w:rsidRPr="00786105" w:rsidRDefault="005C5F6F" w:rsidP="002074BB">
            <w:pPr>
              <w:pStyle w:val="NoSpacing"/>
              <w:jc w:val="center"/>
              <w:rPr>
                <w:rFonts w:ascii="Arial" w:hAnsi="Arial" w:cs="Arial"/>
                <w:sz w:val="16"/>
                <w:szCs w:val="16"/>
              </w:rPr>
            </w:pPr>
            <w:r w:rsidRPr="00786105">
              <w:rPr>
                <w:rFonts w:ascii="Arial" w:hAnsi="Arial" w:cs="Arial"/>
                <w:sz w:val="16"/>
                <w:szCs w:val="16"/>
              </w:rPr>
              <w:t>640</w:t>
            </w:r>
          </w:p>
        </w:tc>
        <w:tc>
          <w:tcPr>
            <w:tcW w:w="1080" w:type="dxa"/>
            <w:tcBorders>
              <w:top w:val="nil"/>
              <w:left w:val="nil"/>
              <w:bottom w:val="nil"/>
              <w:right w:val="nil"/>
            </w:tcBorders>
            <w:shd w:val="clear" w:color="000000" w:fill="FFFFE1"/>
            <w:noWrap/>
            <w:vAlign w:val="center"/>
          </w:tcPr>
          <w:p w:rsidR="005C5F6F" w:rsidRPr="00786105" w:rsidRDefault="005C5F6F" w:rsidP="002074BB">
            <w:pPr>
              <w:pStyle w:val="NoSpacing"/>
              <w:jc w:val="center"/>
              <w:rPr>
                <w:rFonts w:ascii="Arial" w:hAnsi="Arial" w:cs="Arial"/>
                <w:sz w:val="16"/>
                <w:szCs w:val="16"/>
              </w:rPr>
            </w:pPr>
            <w:r w:rsidRPr="00786105">
              <w:rPr>
                <w:rFonts w:ascii="Arial" w:hAnsi="Arial" w:cs="Arial"/>
                <w:sz w:val="16"/>
                <w:szCs w:val="16"/>
              </w:rPr>
              <w:t>4,980</w:t>
            </w:r>
          </w:p>
        </w:tc>
        <w:tc>
          <w:tcPr>
            <w:tcW w:w="1080" w:type="dxa"/>
            <w:tcBorders>
              <w:top w:val="nil"/>
              <w:left w:val="nil"/>
              <w:bottom w:val="nil"/>
              <w:right w:val="nil"/>
            </w:tcBorders>
            <w:shd w:val="clear" w:color="000000" w:fill="FFFFE1"/>
            <w:noWrap/>
            <w:vAlign w:val="center"/>
          </w:tcPr>
          <w:p w:rsidR="005C5F6F" w:rsidRPr="00786105" w:rsidRDefault="005C5F6F" w:rsidP="002074BB">
            <w:pPr>
              <w:pStyle w:val="NoSpacing"/>
              <w:jc w:val="center"/>
              <w:rPr>
                <w:rFonts w:ascii="Arial" w:hAnsi="Arial" w:cs="Arial"/>
                <w:sz w:val="16"/>
                <w:szCs w:val="16"/>
              </w:rPr>
            </w:pPr>
            <w:r w:rsidRPr="00786105">
              <w:rPr>
                <w:rFonts w:ascii="Arial" w:hAnsi="Arial" w:cs="Arial"/>
                <w:sz w:val="16"/>
                <w:szCs w:val="16"/>
              </w:rPr>
              <w:t>15</w:t>
            </w:r>
          </w:p>
        </w:tc>
        <w:tc>
          <w:tcPr>
            <w:tcW w:w="1080" w:type="dxa"/>
            <w:tcBorders>
              <w:top w:val="nil"/>
              <w:left w:val="nil"/>
              <w:bottom w:val="nil"/>
              <w:right w:val="nil"/>
            </w:tcBorders>
            <w:shd w:val="clear" w:color="000000" w:fill="FFFFE1"/>
            <w:noWrap/>
            <w:vAlign w:val="center"/>
          </w:tcPr>
          <w:p w:rsidR="005C5F6F" w:rsidRPr="00786105" w:rsidRDefault="005C5F6F" w:rsidP="002074BB">
            <w:pPr>
              <w:pStyle w:val="NoSpacing"/>
              <w:jc w:val="center"/>
              <w:rPr>
                <w:rFonts w:ascii="Arial" w:hAnsi="Arial" w:cs="Arial"/>
                <w:sz w:val="16"/>
                <w:szCs w:val="16"/>
              </w:rPr>
            </w:pPr>
            <w:r w:rsidRPr="00786105">
              <w:rPr>
                <w:rFonts w:ascii="Arial" w:hAnsi="Arial" w:cs="Arial"/>
                <w:sz w:val="16"/>
                <w:szCs w:val="16"/>
              </w:rPr>
              <w:t>660</w:t>
            </w:r>
          </w:p>
        </w:tc>
        <w:tc>
          <w:tcPr>
            <w:tcW w:w="1080" w:type="dxa"/>
            <w:tcBorders>
              <w:top w:val="nil"/>
              <w:left w:val="nil"/>
              <w:bottom w:val="nil"/>
              <w:right w:val="nil"/>
            </w:tcBorders>
            <w:shd w:val="clear" w:color="000000" w:fill="FFFFE1"/>
            <w:noWrap/>
            <w:vAlign w:val="center"/>
          </w:tcPr>
          <w:p w:rsidR="005C5F6F" w:rsidRPr="00786105" w:rsidRDefault="005C5F6F" w:rsidP="002074BB">
            <w:pPr>
              <w:pStyle w:val="NoSpacing"/>
              <w:jc w:val="center"/>
              <w:rPr>
                <w:rFonts w:ascii="Arial" w:hAnsi="Arial" w:cs="Arial"/>
                <w:sz w:val="16"/>
                <w:szCs w:val="16"/>
              </w:rPr>
            </w:pPr>
            <w:r w:rsidRPr="00786105">
              <w:rPr>
                <w:rFonts w:ascii="Arial" w:hAnsi="Arial" w:cs="Arial"/>
                <w:sz w:val="16"/>
                <w:szCs w:val="16"/>
              </w:rPr>
              <w:t>38,115</w:t>
            </w:r>
          </w:p>
        </w:tc>
        <w:tc>
          <w:tcPr>
            <w:tcW w:w="800" w:type="dxa"/>
            <w:tcBorders>
              <w:top w:val="nil"/>
              <w:left w:val="nil"/>
              <w:bottom w:val="nil"/>
              <w:right w:val="single" w:sz="4" w:space="0" w:color="009900"/>
            </w:tcBorders>
            <w:shd w:val="clear" w:color="000000" w:fill="FFFFE1"/>
            <w:noWrap/>
            <w:vAlign w:val="center"/>
          </w:tcPr>
          <w:p w:rsidR="005C5F6F" w:rsidRPr="00786105" w:rsidRDefault="005C5F6F" w:rsidP="002074BB">
            <w:pPr>
              <w:pStyle w:val="NoSpacing"/>
              <w:jc w:val="center"/>
              <w:rPr>
                <w:rFonts w:ascii="Arial" w:hAnsi="Arial" w:cs="Arial"/>
                <w:sz w:val="16"/>
                <w:szCs w:val="16"/>
              </w:rPr>
            </w:pPr>
            <w:r w:rsidRPr="00786105">
              <w:rPr>
                <w:rFonts w:ascii="Arial" w:hAnsi="Arial" w:cs="Arial"/>
                <w:sz w:val="16"/>
                <w:szCs w:val="16"/>
              </w:rPr>
              <w:t>79,480</w:t>
            </w:r>
          </w:p>
        </w:tc>
      </w:tr>
      <w:tr w:rsidR="005C5F6F" w:rsidRPr="0056256A" w:rsidTr="002074BB">
        <w:trPr>
          <w:trHeight w:val="216"/>
          <w:jc w:val="center"/>
        </w:trPr>
        <w:tc>
          <w:tcPr>
            <w:tcW w:w="2140" w:type="dxa"/>
            <w:tcBorders>
              <w:top w:val="nil"/>
              <w:left w:val="single" w:sz="4" w:space="0" w:color="009900"/>
              <w:bottom w:val="nil"/>
              <w:right w:val="nil"/>
            </w:tcBorders>
            <w:shd w:val="clear" w:color="FFFFFF" w:fill="FFFFE1"/>
            <w:vAlign w:val="center"/>
            <w:hideMark/>
          </w:tcPr>
          <w:p w:rsidR="005C5F6F" w:rsidRPr="0056256A" w:rsidRDefault="005C5F6F" w:rsidP="002074BB">
            <w:pPr>
              <w:jc w:val="center"/>
              <w:rPr>
                <w:rFonts w:ascii="Arial" w:hAnsi="Arial" w:cs="Arial"/>
                <w:color w:val="000000"/>
                <w:sz w:val="16"/>
                <w:szCs w:val="16"/>
              </w:rPr>
            </w:pPr>
            <w:r w:rsidRPr="0056256A">
              <w:rPr>
                <w:rFonts w:ascii="Arial" w:hAnsi="Arial" w:cs="Arial"/>
                <w:color w:val="000000"/>
                <w:sz w:val="16"/>
                <w:szCs w:val="16"/>
              </w:rPr>
              <w:t>80.1-100% HAMFI</w:t>
            </w:r>
          </w:p>
        </w:tc>
        <w:tc>
          <w:tcPr>
            <w:tcW w:w="940" w:type="dxa"/>
            <w:tcBorders>
              <w:top w:val="nil"/>
              <w:left w:val="nil"/>
              <w:bottom w:val="nil"/>
              <w:right w:val="nil"/>
            </w:tcBorders>
            <w:shd w:val="clear" w:color="000000" w:fill="FFFFE1"/>
            <w:noWrap/>
            <w:vAlign w:val="center"/>
          </w:tcPr>
          <w:p w:rsidR="005C5F6F" w:rsidRPr="00786105" w:rsidRDefault="005C5F6F" w:rsidP="002074BB">
            <w:pPr>
              <w:pStyle w:val="NoSpacing"/>
              <w:jc w:val="center"/>
              <w:rPr>
                <w:rFonts w:ascii="Arial" w:hAnsi="Arial" w:cs="Arial"/>
                <w:sz w:val="16"/>
                <w:szCs w:val="16"/>
              </w:rPr>
            </w:pPr>
            <w:r w:rsidRPr="00786105">
              <w:rPr>
                <w:rFonts w:ascii="Arial" w:hAnsi="Arial" w:cs="Arial"/>
                <w:sz w:val="16"/>
                <w:szCs w:val="16"/>
              </w:rPr>
              <w:t>24,230</w:t>
            </w:r>
          </w:p>
        </w:tc>
        <w:tc>
          <w:tcPr>
            <w:tcW w:w="1080" w:type="dxa"/>
            <w:tcBorders>
              <w:top w:val="nil"/>
              <w:left w:val="nil"/>
              <w:bottom w:val="nil"/>
              <w:right w:val="nil"/>
            </w:tcBorders>
            <w:shd w:val="clear" w:color="000000" w:fill="FFFFE1"/>
            <w:noWrap/>
            <w:vAlign w:val="center"/>
          </w:tcPr>
          <w:p w:rsidR="005C5F6F" w:rsidRPr="00786105" w:rsidRDefault="005C5F6F" w:rsidP="002074BB">
            <w:pPr>
              <w:pStyle w:val="NoSpacing"/>
              <w:jc w:val="center"/>
              <w:rPr>
                <w:rFonts w:ascii="Arial" w:hAnsi="Arial" w:cs="Arial"/>
                <w:sz w:val="16"/>
                <w:szCs w:val="16"/>
              </w:rPr>
            </w:pPr>
            <w:r w:rsidRPr="00786105">
              <w:rPr>
                <w:rFonts w:ascii="Arial" w:hAnsi="Arial" w:cs="Arial"/>
                <w:sz w:val="16"/>
                <w:szCs w:val="16"/>
              </w:rPr>
              <w:t>665</w:t>
            </w:r>
          </w:p>
        </w:tc>
        <w:tc>
          <w:tcPr>
            <w:tcW w:w="1080" w:type="dxa"/>
            <w:tcBorders>
              <w:top w:val="nil"/>
              <w:left w:val="nil"/>
              <w:bottom w:val="nil"/>
              <w:right w:val="nil"/>
            </w:tcBorders>
            <w:shd w:val="clear" w:color="000000" w:fill="FFFFE1"/>
            <w:noWrap/>
            <w:vAlign w:val="center"/>
          </w:tcPr>
          <w:p w:rsidR="005C5F6F" w:rsidRPr="00786105" w:rsidRDefault="005C5F6F" w:rsidP="002074BB">
            <w:pPr>
              <w:pStyle w:val="NoSpacing"/>
              <w:jc w:val="center"/>
              <w:rPr>
                <w:rFonts w:ascii="Arial" w:hAnsi="Arial" w:cs="Arial"/>
                <w:sz w:val="16"/>
                <w:szCs w:val="16"/>
              </w:rPr>
            </w:pPr>
            <w:r w:rsidRPr="00786105">
              <w:rPr>
                <w:rFonts w:ascii="Arial" w:hAnsi="Arial" w:cs="Arial"/>
                <w:sz w:val="16"/>
                <w:szCs w:val="16"/>
              </w:rPr>
              <w:t>355</w:t>
            </w:r>
          </w:p>
        </w:tc>
        <w:tc>
          <w:tcPr>
            <w:tcW w:w="1080" w:type="dxa"/>
            <w:tcBorders>
              <w:top w:val="nil"/>
              <w:left w:val="nil"/>
              <w:bottom w:val="nil"/>
              <w:right w:val="nil"/>
            </w:tcBorders>
            <w:shd w:val="clear" w:color="000000" w:fill="FFFFE1"/>
            <w:noWrap/>
            <w:vAlign w:val="center"/>
          </w:tcPr>
          <w:p w:rsidR="005C5F6F" w:rsidRPr="00786105" w:rsidRDefault="005C5F6F" w:rsidP="002074BB">
            <w:pPr>
              <w:pStyle w:val="NoSpacing"/>
              <w:jc w:val="center"/>
              <w:rPr>
                <w:rFonts w:ascii="Arial" w:hAnsi="Arial" w:cs="Arial"/>
                <w:sz w:val="16"/>
                <w:szCs w:val="16"/>
              </w:rPr>
            </w:pPr>
            <w:r w:rsidRPr="00786105">
              <w:rPr>
                <w:rFonts w:ascii="Arial" w:hAnsi="Arial" w:cs="Arial"/>
                <w:sz w:val="16"/>
                <w:szCs w:val="16"/>
              </w:rPr>
              <w:t>2,825</w:t>
            </w:r>
          </w:p>
        </w:tc>
        <w:tc>
          <w:tcPr>
            <w:tcW w:w="1080" w:type="dxa"/>
            <w:tcBorders>
              <w:top w:val="nil"/>
              <w:left w:val="nil"/>
              <w:bottom w:val="nil"/>
              <w:right w:val="nil"/>
            </w:tcBorders>
            <w:shd w:val="clear" w:color="000000" w:fill="FFFFE1"/>
            <w:noWrap/>
            <w:vAlign w:val="center"/>
          </w:tcPr>
          <w:p w:rsidR="005C5F6F" w:rsidRPr="00786105" w:rsidRDefault="005C5F6F" w:rsidP="002074BB">
            <w:pPr>
              <w:pStyle w:val="NoSpacing"/>
              <w:jc w:val="center"/>
              <w:rPr>
                <w:rFonts w:ascii="Arial" w:hAnsi="Arial" w:cs="Arial"/>
                <w:sz w:val="16"/>
                <w:szCs w:val="16"/>
              </w:rPr>
            </w:pPr>
            <w:r w:rsidRPr="00786105">
              <w:rPr>
                <w:rFonts w:ascii="Arial" w:hAnsi="Arial" w:cs="Arial"/>
                <w:sz w:val="16"/>
                <w:szCs w:val="16"/>
              </w:rPr>
              <w:t>20</w:t>
            </w:r>
          </w:p>
        </w:tc>
        <w:tc>
          <w:tcPr>
            <w:tcW w:w="1080" w:type="dxa"/>
            <w:tcBorders>
              <w:top w:val="nil"/>
              <w:left w:val="nil"/>
              <w:bottom w:val="nil"/>
              <w:right w:val="nil"/>
            </w:tcBorders>
            <w:shd w:val="clear" w:color="000000" w:fill="FFFFE1"/>
            <w:noWrap/>
            <w:vAlign w:val="center"/>
          </w:tcPr>
          <w:p w:rsidR="005C5F6F" w:rsidRPr="00786105" w:rsidRDefault="005C5F6F" w:rsidP="002074BB">
            <w:pPr>
              <w:pStyle w:val="NoSpacing"/>
              <w:jc w:val="center"/>
              <w:rPr>
                <w:rFonts w:ascii="Arial" w:hAnsi="Arial" w:cs="Arial"/>
                <w:sz w:val="16"/>
                <w:szCs w:val="16"/>
              </w:rPr>
            </w:pPr>
            <w:r w:rsidRPr="00786105">
              <w:rPr>
                <w:rFonts w:ascii="Arial" w:hAnsi="Arial" w:cs="Arial"/>
                <w:sz w:val="16"/>
                <w:szCs w:val="16"/>
              </w:rPr>
              <w:t>665</w:t>
            </w:r>
          </w:p>
        </w:tc>
        <w:tc>
          <w:tcPr>
            <w:tcW w:w="1080" w:type="dxa"/>
            <w:tcBorders>
              <w:top w:val="nil"/>
              <w:left w:val="nil"/>
              <w:bottom w:val="nil"/>
              <w:right w:val="nil"/>
            </w:tcBorders>
            <w:shd w:val="clear" w:color="000000" w:fill="FFFFE1"/>
            <w:noWrap/>
            <w:vAlign w:val="center"/>
          </w:tcPr>
          <w:p w:rsidR="005C5F6F" w:rsidRPr="00786105" w:rsidRDefault="005C5F6F" w:rsidP="002074BB">
            <w:pPr>
              <w:pStyle w:val="NoSpacing"/>
              <w:jc w:val="center"/>
              <w:rPr>
                <w:rFonts w:ascii="Arial" w:hAnsi="Arial" w:cs="Arial"/>
                <w:sz w:val="16"/>
                <w:szCs w:val="16"/>
              </w:rPr>
            </w:pPr>
            <w:r w:rsidRPr="00786105">
              <w:rPr>
                <w:rFonts w:ascii="Arial" w:hAnsi="Arial" w:cs="Arial"/>
                <w:sz w:val="16"/>
                <w:szCs w:val="16"/>
              </w:rPr>
              <w:t>21,815</w:t>
            </w:r>
          </w:p>
        </w:tc>
        <w:tc>
          <w:tcPr>
            <w:tcW w:w="800" w:type="dxa"/>
            <w:tcBorders>
              <w:top w:val="nil"/>
              <w:left w:val="nil"/>
              <w:bottom w:val="nil"/>
              <w:right w:val="single" w:sz="4" w:space="0" w:color="009900"/>
            </w:tcBorders>
            <w:shd w:val="clear" w:color="000000" w:fill="FFFFE1"/>
            <w:noWrap/>
            <w:vAlign w:val="center"/>
          </w:tcPr>
          <w:p w:rsidR="005C5F6F" w:rsidRPr="00786105" w:rsidRDefault="005C5F6F" w:rsidP="002074BB">
            <w:pPr>
              <w:pStyle w:val="NoSpacing"/>
              <w:jc w:val="center"/>
              <w:rPr>
                <w:rFonts w:ascii="Arial" w:hAnsi="Arial" w:cs="Arial"/>
                <w:sz w:val="16"/>
                <w:szCs w:val="16"/>
              </w:rPr>
            </w:pPr>
            <w:r w:rsidRPr="00786105">
              <w:rPr>
                <w:rFonts w:ascii="Arial" w:hAnsi="Arial" w:cs="Arial"/>
                <w:sz w:val="16"/>
                <w:szCs w:val="16"/>
              </w:rPr>
              <w:t>50,575</w:t>
            </w:r>
          </w:p>
        </w:tc>
      </w:tr>
      <w:tr w:rsidR="005C5F6F" w:rsidRPr="0056256A" w:rsidTr="002074BB">
        <w:trPr>
          <w:trHeight w:val="216"/>
          <w:jc w:val="center"/>
        </w:trPr>
        <w:tc>
          <w:tcPr>
            <w:tcW w:w="2140" w:type="dxa"/>
            <w:tcBorders>
              <w:top w:val="nil"/>
              <w:left w:val="single" w:sz="4" w:space="0" w:color="009900"/>
              <w:bottom w:val="nil"/>
              <w:right w:val="nil"/>
            </w:tcBorders>
            <w:shd w:val="clear" w:color="FFFFFF" w:fill="FFFFE1"/>
            <w:vAlign w:val="center"/>
            <w:hideMark/>
          </w:tcPr>
          <w:p w:rsidR="005C5F6F" w:rsidRPr="0056256A" w:rsidRDefault="005C5F6F" w:rsidP="002074BB">
            <w:pPr>
              <w:jc w:val="center"/>
              <w:rPr>
                <w:rFonts w:ascii="Arial" w:hAnsi="Arial" w:cs="Arial"/>
                <w:color w:val="000000"/>
                <w:sz w:val="16"/>
                <w:szCs w:val="16"/>
              </w:rPr>
            </w:pPr>
            <w:r w:rsidRPr="0056256A">
              <w:rPr>
                <w:rFonts w:ascii="Arial" w:hAnsi="Arial" w:cs="Arial"/>
                <w:color w:val="000000"/>
                <w:sz w:val="16"/>
                <w:szCs w:val="16"/>
              </w:rPr>
              <w:t>100.1% HAMFI or more</w:t>
            </w:r>
          </w:p>
        </w:tc>
        <w:tc>
          <w:tcPr>
            <w:tcW w:w="940" w:type="dxa"/>
            <w:tcBorders>
              <w:top w:val="nil"/>
              <w:left w:val="nil"/>
              <w:bottom w:val="nil"/>
              <w:right w:val="nil"/>
            </w:tcBorders>
            <w:shd w:val="clear" w:color="000000" w:fill="FFFFE1"/>
            <w:noWrap/>
            <w:vAlign w:val="center"/>
          </w:tcPr>
          <w:p w:rsidR="005C5F6F" w:rsidRPr="00786105" w:rsidRDefault="005C5F6F" w:rsidP="002074BB">
            <w:pPr>
              <w:pStyle w:val="NoSpacing"/>
              <w:jc w:val="center"/>
              <w:rPr>
                <w:rFonts w:ascii="Arial" w:hAnsi="Arial" w:cs="Arial"/>
                <w:sz w:val="16"/>
                <w:szCs w:val="16"/>
              </w:rPr>
            </w:pPr>
            <w:r w:rsidRPr="00786105">
              <w:rPr>
                <w:rFonts w:ascii="Arial" w:hAnsi="Arial" w:cs="Arial"/>
                <w:sz w:val="16"/>
                <w:szCs w:val="16"/>
              </w:rPr>
              <w:t>186,880</w:t>
            </w:r>
          </w:p>
        </w:tc>
        <w:tc>
          <w:tcPr>
            <w:tcW w:w="1080" w:type="dxa"/>
            <w:tcBorders>
              <w:top w:val="nil"/>
              <w:left w:val="nil"/>
              <w:bottom w:val="nil"/>
              <w:right w:val="nil"/>
            </w:tcBorders>
            <w:shd w:val="clear" w:color="000000" w:fill="FFFFE1"/>
            <w:noWrap/>
            <w:vAlign w:val="center"/>
          </w:tcPr>
          <w:p w:rsidR="005C5F6F" w:rsidRPr="00786105" w:rsidRDefault="005C5F6F" w:rsidP="002074BB">
            <w:pPr>
              <w:pStyle w:val="NoSpacing"/>
              <w:jc w:val="center"/>
              <w:rPr>
                <w:rFonts w:ascii="Arial" w:hAnsi="Arial" w:cs="Arial"/>
                <w:sz w:val="16"/>
                <w:szCs w:val="16"/>
              </w:rPr>
            </w:pPr>
            <w:r w:rsidRPr="00786105">
              <w:rPr>
                <w:rFonts w:ascii="Arial" w:hAnsi="Arial" w:cs="Arial"/>
                <w:sz w:val="16"/>
                <w:szCs w:val="16"/>
              </w:rPr>
              <w:t>3,625</w:t>
            </w:r>
          </w:p>
        </w:tc>
        <w:tc>
          <w:tcPr>
            <w:tcW w:w="1080" w:type="dxa"/>
            <w:tcBorders>
              <w:top w:val="nil"/>
              <w:left w:val="nil"/>
              <w:bottom w:val="nil"/>
              <w:right w:val="nil"/>
            </w:tcBorders>
            <w:shd w:val="clear" w:color="000000" w:fill="FFFFE1"/>
            <w:noWrap/>
            <w:vAlign w:val="center"/>
          </w:tcPr>
          <w:p w:rsidR="005C5F6F" w:rsidRPr="00786105" w:rsidRDefault="005C5F6F" w:rsidP="002074BB">
            <w:pPr>
              <w:pStyle w:val="NoSpacing"/>
              <w:jc w:val="center"/>
              <w:rPr>
                <w:rFonts w:ascii="Arial" w:hAnsi="Arial" w:cs="Arial"/>
                <w:sz w:val="16"/>
                <w:szCs w:val="16"/>
              </w:rPr>
            </w:pPr>
            <w:r w:rsidRPr="00786105">
              <w:rPr>
                <w:rFonts w:ascii="Arial" w:hAnsi="Arial" w:cs="Arial"/>
                <w:sz w:val="16"/>
                <w:szCs w:val="16"/>
              </w:rPr>
              <w:t>3,785</w:t>
            </w:r>
          </w:p>
        </w:tc>
        <w:tc>
          <w:tcPr>
            <w:tcW w:w="1080" w:type="dxa"/>
            <w:tcBorders>
              <w:top w:val="nil"/>
              <w:left w:val="nil"/>
              <w:bottom w:val="nil"/>
              <w:right w:val="nil"/>
            </w:tcBorders>
            <w:shd w:val="clear" w:color="000000" w:fill="FFFFE1"/>
            <w:noWrap/>
            <w:vAlign w:val="center"/>
          </w:tcPr>
          <w:p w:rsidR="005C5F6F" w:rsidRPr="00786105" w:rsidRDefault="005C5F6F" w:rsidP="002074BB">
            <w:pPr>
              <w:pStyle w:val="NoSpacing"/>
              <w:jc w:val="center"/>
              <w:rPr>
                <w:rFonts w:ascii="Arial" w:hAnsi="Arial" w:cs="Arial"/>
                <w:sz w:val="16"/>
                <w:szCs w:val="16"/>
              </w:rPr>
            </w:pPr>
            <w:r w:rsidRPr="00786105">
              <w:rPr>
                <w:rFonts w:ascii="Arial" w:hAnsi="Arial" w:cs="Arial"/>
                <w:sz w:val="16"/>
                <w:szCs w:val="16"/>
              </w:rPr>
              <w:t>12,535</w:t>
            </w:r>
          </w:p>
        </w:tc>
        <w:tc>
          <w:tcPr>
            <w:tcW w:w="1080" w:type="dxa"/>
            <w:tcBorders>
              <w:top w:val="nil"/>
              <w:left w:val="nil"/>
              <w:bottom w:val="nil"/>
              <w:right w:val="nil"/>
            </w:tcBorders>
            <w:shd w:val="clear" w:color="000000" w:fill="FFFFE1"/>
            <w:noWrap/>
            <w:vAlign w:val="center"/>
          </w:tcPr>
          <w:p w:rsidR="005C5F6F" w:rsidRPr="00786105" w:rsidRDefault="005C5F6F" w:rsidP="002074BB">
            <w:pPr>
              <w:pStyle w:val="NoSpacing"/>
              <w:jc w:val="center"/>
              <w:rPr>
                <w:rFonts w:ascii="Arial" w:hAnsi="Arial" w:cs="Arial"/>
                <w:sz w:val="16"/>
                <w:szCs w:val="16"/>
              </w:rPr>
            </w:pPr>
            <w:r w:rsidRPr="00786105">
              <w:rPr>
                <w:rFonts w:ascii="Arial" w:hAnsi="Arial" w:cs="Arial"/>
                <w:sz w:val="16"/>
                <w:szCs w:val="16"/>
              </w:rPr>
              <w:t>90</w:t>
            </w:r>
          </w:p>
        </w:tc>
        <w:tc>
          <w:tcPr>
            <w:tcW w:w="1080" w:type="dxa"/>
            <w:tcBorders>
              <w:top w:val="nil"/>
              <w:left w:val="nil"/>
              <w:bottom w:val="nil"/>
              <w:right w:val="nil"/>
            </w:tcBorders>
            <w:shd w:val="clear" w:color="000000" w:fill="FFFFE1"/>
            <w:noWrap/>
            <w:vAlign w:val="center"/>
          </w:tcPr>
          <w:p w:rsidR="005C5F6F" w:rsidRPr="00786105" w:rsidRDefault="005C5F6F" w:rsidP="002074BB">
            <w:pPr>
              <w:pStyle w:val="NoSpacing"/>
              <w:jc w:val="center"/>
              <w:rPr>
                <w:rFonts w:ascii="Arial" w:hAnsi="Arial" w:cs="Arial"/>
                <w:sz w:val="16"/>
                <w:szCs w:val="16"/>
              </w:rPr>
            </w:pPr>
            <w:r w:rsidRPr="00786105">
              <w:rPr>
                <w:rFonts w:ascii="Arial" w:hAnsi="Arial" w:cs="Arial"/>
                <w:sz w:val="16"/>
                <w:szCs w:val="16"/>
              </w:rPr>
              <w:t>3,220</w:t>
            </w:r>
          </w:p>
        </w:tc>
        <w:tc>
          <w:tcPr>
            <w:tcW w:w="1080" w:type="dxa"/>
            <w:tcBorders>
              <w:top w:val="nil"/>
              <w:left w:val="nil"/>
              <w:bottom w:val="nil"/>
              <w:right w:val="nil"/>
            </w:tcBorders>
            <w:shd w:val="clear" w:color="000000" w:fill="FFFFE1"/>
            <w:noWrap/>
            <w:vAlign w:val="center"/>
          </w:tcPr>
          <w:p w:rsidR="005C5F6F" w:rsidRPr="00786105" w:rsidRDefault="005C5F6F" w:rsidP="002074BB">
            <w:pPr>
              <w:pStyle w:val="NoSpacing"/>
              <w:jc w:val="center"/>
              <w:rPr>
                <w:rFonts w:ascii="Arial" w:hAnsi="Arial" w:cs="Arial"/>
                <w:sz w:val="16"/>
                <w:szCs w:val="16"/>
              </w:rPr>
            </w:pPr>
            <w:r w:rsidRPr="00786105">
              <w:rPr>
                <w:rFonts w:ascii="Arial" w:hAnsi="Arial" w:cs="Arial"/>
                <w:sz w:val="16"/>
                <w:szCs w:val="16"/>
              </w:rPr>
              <w:t>96,445</w:t>
            </w:r>
          </w:p>
        </w:tc>
        <w:tc>
          <w:tcPr>
            <w:tcW w:w="800" w:type="dxa"/>
            <w:tcBorders>
              <w:top w:val="nil"/>
              <w:left w:val="nil"/>
              <w:bottom w:val="nil"/>
              <w:right w:val="single" w:sz="4" w:space="0" w:color="009900"/>
            </w:tcBorders>
            <w:shd w:val="clear" w:color="000000" w:fill="FFFFE1"/>
            <w:noWrap/>
            <w:vAlign w:val="center"/>
          </w:tcPr>
          <w:p w:rsidR="005C5F6F" w:rsidRPr="00786105" w:rsidRDefault="005C5F6F" w:rsidP="002074BB">
            <w:pPr>
              <w:pStyle w:val="NoSpacing"/>
              <w:jc w:val="center"/>
              <w:rPr>
                <w:rFonts w:ascii="Arial" w:hAnsi="Arial" w:cs="Arial"/>
                <w:sz w:val="16"/>
                <w:szCs w:val="16"/>
              </w:rPr>
            </w:pPr>
            <w:r w:rsidRPr="00786105">
              <w:rPr>
                <w:rFonts w:ascii="Arial" w:hAnsi="Arial" w:cs="Arial"/>
                <w:sz w:val="16"/>
                <w:szCs w:val="16"/>
              </w:rPr>
              <w:t>306,580</w:t>
            </w:r>
          </w:p>
        </w:tc>
      </w:tr>
      <w:tr w:rsidR="005C5F6F" w:rsidRPr="0056256A" w:rsidTr="002074BB">
        <w:trPr>
          <w:trHeight w:val="216"/>
          <w:jc w:val="center"/>
        </w:trPr>
        <w:tc>
          <w:tcPr>
            <w:tcW w:w="2140" w:type="dxa"/>
            <w:tcBorders>
              <w:top w:val="double" w:sz="6" w:space="0" w:color="009900"/>
              <w:left w:val="single" w:sz="4" w:space="0" w:color="009900"/>
              <w:bottom w:val="single" w:sz="4" w:space="0" w:color="009900"/>
              <w:right w:val="nil"/>
            </w:tcBorders>
            <w:shd w:val="clear" w:color="000000" w:fill="FFFFE1"/>
            <w:noWrap/>
            <w:vAlign w:val="center"/>
            <w:hideMark/>
          </w:tcPr>
          <w:p w:rsidR="005C5F6F" w:rsidRPr="0056256A" w:rsidRDefault="005C5F6F" w:rsidP="002074BB">
            <w:pPr>
              <w:jc w:val="center"/>
              <w:rPr>
                <w:rFonts w:ascii="Arial" w:hAnsi="Arial" w:cs="Arial"/>
                <w:b/>
                <w:bCs/>
                <w:sz w:val="16"/>
                <w:szCs w:val="16"/>
              </w:rPr>
            </w:pPr>
            <w:r w:rsidRPr="0056256A">
              <w:rPr>
                <w:rFonts w:ascii="Arial" w:hAnsi="Arial" w:cs="Arial"/>
                <w:b/>
                <w:bCs/>
                <w:sz w:val="16"/>
                <w:szCs w:val="16"/>
              </w:rPr>
              <w:t>Total</w:t>
            </w:r>
          </w:p>
        </w:tc>
        <w:tc>
          <w:tcPr>
            <w:tcW w:w="940" w:type="dxa"/>
            <w:tcBorders>
              <w:top w:val="double" w:sz="6" w:space="0" w:color="009900"/>
              <w:left w:val="nil"/>
              <w:bottom w:val="single" w:sz="4" w:space="0" w:color="009900"/>
              <w:right w:val="nil"/>
            </w:tcBorders>
            <w:shd w:val="clear" w:color="000000" w:fill="FFFFE1"/>
            <w:noWrap/>
            <w:vAlign w:val="center"/>
          </w:tcPr>
          <w:p w:rsidR="005C5F6F" w:rsidRPr="00786105" w:rsidRDefault="005C5F6F" w:rsidP="002074BB">
            <w:pPr>
              <w:pStyle w:val="NoSpacing"/>
              <w:jc w:val="center"/>
              <w:rPr>
                <w:rFonts w:ascii="Arial" w:hAnsi="Arial" w:cs="Arial"/>
                <w:b/>
                <w:bCs/>
                <w:sz w:val="16"/>
                <w:szCs w:val="16"/>
              </w:rPr>
            </w:pPr>
            <w:r w:rsidRPr="00786105">
              <w:rPr>
                <w:rFonts w:ascii="Arial" w:hAnsi="Arial" w:cs="Arial"/>
                <w:b/>
                <w:bCs/>
                <w:sz w:val="16"/>
                <w:szCs w:val="16"/>
              </w:rPr>
              <w:t>279,650</w:t>
            </w:r>
          </w:p>
        </w:tc>
        <w:tc>
          <w:tcPr>
            <w:tcW w:w="1080" w:type="dxa"/>
            <w:tcBorders>
              <w:top w:val="double" w:sz="6" w:space="0" w:color="009900"/>
              <w:left w:val="nil"/>
              <w:bottom w:val="single" w:sz="4" w:space="0" w:color="009900"/>
              <w:right w:val="nil"/>
            </w:tcBorders>
            <w:shd w:val="clear" w:color="000000" w:fill="FFFFE1"/>
            <w:noWrap/>
            <w:vAlign w:val="center"/>
          </w:tcPr>
          <w:p w:rsidR="005C5F6F" w:rsidRPr="00786105" w:rsidRDefault="005C5F6F" w:rsidP="002074BB">
            <w:pPr>
              <w:pStyle w:val="NoSpacing"/>
              <w:jc w:val="center"/>
              <w:rPr>
                <w:rFonts w:ascii="Arial" w:hAnsi="Arial" w:cs="Arial"/>
                <w:b/>
                <w:bCs/>
                <w:sz w:val="16"/>
                <w:szCs w:val="16"/>
              </w:rPr>
            </w:pPr>
            <w:r w:rsidRPr="00786105">
              <w:rPr>
                <w:rFonts w:ascii="Arial" w:hAnsi="Arial" w:cs="Arial"/>
                <w:b/>
                <w:bCs/>
                <w:sz w:val="16"/>
                <w:szCs w:val="16"/>
              </w:rPr>
              <w:t>6,215</w:t>
            </w:r>
          </w:p>
        </w:tc>
        <w:tc>
          <w:tcPr>
            <w:tcW w:w="1080" w:type="dxa"/>
            <w:tcBorders>
              <w:top w:val="double" w:sz="6" w:space="0" w:color="009900"/>
              <w:left w:val="nil"/>
              <w:bottom w:val="single" w:sz="4" w:space="0" w:color="009900"/>
              <w:right w:val="nil"/>
            </w:tcBorders>
            <w:shd w:val="clear" w:color="000000" w:fill="FFFFE1"/>
            <w:noWrap/>
            <w:vAlign w:val="center"/>
          </w:tcPr>
          <w:p w:rsidR="005C5F6F" w:rsidRPr="00786105" w:rsidRDefault="005C5F6F" w:rsidP="002074BB">
            <w:pPr>
              <w:pStyle w:val="NoSpacing"/>
              <w:jc w:val="center"/>
              <w:rPr>
                <w:rFonts w:ascii="Arial" w:hAnsi="Arial" w:cs="Arial"/>
                <w:b/>
                <w:bCs/>
                <w:sz w:val="16"/>
                <w:szCs w:val="16"/>
              </w:rPr>
            </w:pPr>
            <w:r w:rsidRPr="00786105">
              <w:rPr>
                <w:rFonts w:ascii="Arial" w:hAnsi="Arial" w:cs="Arial"/>
                <w:b/>
                <w:bCs/>
                <w:sz w:val="16"/>
                <w:szCs w:val="16"/>
              </w:rPr>
              <w:t>5,470</w:t>
            </w:r>
          </w:p>
        </w:tc>
        <w:tc>
          <w:tcPr>
            <w:tcW w:w="1080" w:type="dxa"/>
            <w:tcBorders>
              <w:top w:val="double" w:sz="6" w:space="0" w:color="009900"/>
              <w:left w:val="nil"/>
              <w:bottom w:val="single" w:sz="4" w:space="0" w:color="009900"/>
              <w:right w:val="nil"/>
            </w:tcBorders>
            <w:shd w:val="clear" w:color="000000" w:fill="FFFFE1"/>
            <w:noWrap/>
            <w:vAlign w:val="center"/>
          </w:tcPr>
          <w:p w:rsidR="005C5F6F" w:rsidRPr="00786105" w:rsidRDefault="005C5F6F" w:rsidP="002074BB">
            <w:pPr>
              <w:pStyle w:val="NoSpacing"/>
              <w:jc w:val="center"/>
              <w:rPr>
                <w:rFonts w:ascii="Arial" w:hAnsi="Arial" w:cs="Arial"/>
                <w:b/>
                <w:bCs/>
                <w:sz w:val="16"/>
                <w:szCs w:val="16"/>
              </w:rPr>
            </w:pPr>
            <w:r w:rsidRPr="00786105">
              <w:rPr>
                <w:rFonts w:ascii="Arial" w:hAnsi="Arial" w:cs="Arial"/>
                <w:b/>
                <w:bCs/>
                <w:sz w:val="16"/>
                <w:szCs w:val="16"/>
              </w:rPr>
              <w:t>29,765</w:t>
            </w:r>
          </w:p>
        </w:tc>
        <w:tc>
          <w:tcPr>
            <w:tcW w:w="1080" w:type="dxa"/>
            <w:tcBorders>
              <w:top w:val="double" w:sz="6" w:space="0" w:color="009900"/>
              <w:left w:val="nil"/>
              <w:bottom w:val="single" w:sz="4" w:space="0" w:color="009900"/>
              <w:right w:val="nil"/>
            </w:tcBorders>
            <w:shd w:val="clear" w:color="000000" w:fill="FFFFE1"/>
            <w:noWrap/>
            <w:vAlign w:val="center"/>
          </w:tcPr>
          <w:p w:rsidR="005C5F6F" w:rsidRPr="00786105" w:rsidRDefault="005C5F6F" w:rsidP="002074BB">
            <w:pPr>
              <w:pStyle w:val="NoSpacing"/>
              <w:jc w:val="center"/>
              <w:rPr>
                <w:rFonts w:ascii="Arial" w:hAnsi="Arial" w:cs="Arial"/>
                <w:b/>
                <w:bCs/>
                <w:sz w:val="16"/>
                <w:szCs w:val="16"/>
              </w:rPr>
            </w:pPr>
            <w:r w:rsidRPr="00786105">
              <w:rPr>
                <w:rFonts w:ascii="Arial" w:hAnsi="Arial" w:cs="Arial"/>
                <w:b/>
                <w:bCs/>
                <w:sz w:val="16"/>
                <w:szCs w:val="16"/>
              </w:rPr>
              <w:t>125</w:t>
            </w:r>
          </w:p>
        </w:tc>
        <w:tc>
          <w:tcPr>
            <w:tcW w:w="1080" w:type="dxa"/>
            <w:tcBorders>
              <w:top w:val="double" w:sz="6" w:space="0" w:color="009900"/>
              <w:left w:val="nil"/>
              <w:bottom w:val="single" w:sz="4" w:space="0" w:color="009900"/>
              <w:right w:val="nil"/>
            </w:tcBorders>
            <w:shd w:val="clear" w:color="000000" w:fill="FFFFE1"/>
            <w:noWrap/>
            <w:vAlign w:val="center"/>
          </w:tcPr>
          <w:p w:rsidR="005C5F6F" w:rsidRPr="00786105" w:rsidRDefault="005C5F6F" w:rsidP="002074BB">
            <w:pPr>
              <w:pStyle w:val="NoSpacing"/>
              <w:jc w:val="center"/>
              <w:rPr>
                <w:rFonts w:ascii="Arial" w:hAnsi="Arial" w:cs="Arial"/>
                <w:b/>
                <w:bCs/>
                <w:sz w:val="16"/>
                <w:szCs w:val="16"/>
              </w:rPr>
            </w:pPr>
            <w:r w:rsidRPr="00786105">
              <w:rPr>
                <w:rFonts w:ascii="Arial" w:hAnsi="Arial" w:cs="Arial"/>
                <w:b/>
                <w:bCs/>
                <w:sz w:val="16"/>
                <w:szCs w:val="16"/>
              </w:rPr>
              <w:t>5,400</w:t>
            </w:r>
          </w:p>
        </w:tc>
        <w:tc>
          <w:tcPr>
            <w:tcW w:w="1080" w:type="dxa"/>
            <w:tcBorders>
              <w:top w:val="double" w:sz="6" w:space="0" w:color="009900"/>
              <w:left w:val="nil"/>
              <w:bottom w:val="single" w:sz="4" w:space="0" w:color="009900"/>
              <w:right w:val="nil"/>
            </w:tcBorders>
            <w:shd w:val="clear" w:color="000000" w:fill="FFFFE1"/>
            <w:noWrap/>
            <w:vAlign w:val="center"/>
          </w:tcPr>
          <w:p w:rsidR="005C5F6F" w:rsidRPr="00786105" w:rsidRDefault="005C5F6F" w:rsidP="002074BB">
            <w:pPr>
              <w:pStyle w:val="NoSpacing"/>
              <w:jc w:val="center"/>
              <w:rPr>
                <w:rFonts w:ascii="Arial" w:hAnsi="Arial" w:cs="Arial"/>
                <w:b/>
                <w:bCs/>
                <w:sz w:val="16"/>
                <w:szCs w:val="16"/>
              </w:rPr>
            </w:pPr>
            <w:r w:rsidRPr="00786105">
              <w:rPr>
                <w:rFonts w:ascii="Arial" w:hAnsi="Arial" w:cs="Arial"/>
                <w:b/>
                <w:bCs/>
                <w:sz w:val="16"/>
                <w:szCs w:val="16"/>
              </w:rPr>
              <w:t>198,885</w:t>
            </w:r>
          </w:p>
        </w:tc>
        <w:tc>
          <w:tcPr>
            <w:tcW w:w="800" w:type="dxa"/>
            <w:tcBorders>
              <w:top w:val="double" w:sz="6" w:space="0" w:color="009900"/>
              <w:left w:val="nil"/>
              <w:bottom w:val="single" w:sz="4" w:space="0" w:color="009900"/>
              <w:right w:val="single" w:sz="4" w:space="0" w:color="009900"/>
            </w:tcBorders>
            <w:shd w:val="clear" w:color="000000" w:fill="FFFFE1"/>
            <w:noWrap/>
            <w:vAlign w:val="center"/>
          </w:tcPr>
          <w:p w:rsidR="005C5F6F" w:rsidRPr="00786105" w:rsidRDefault="005C5F6F" w:rsidP="002074BB">
            <w:pPr>
              <w:pStyle w:val="NoSpacing"/>
              <w:jc w:val="center"/>
              <w:rPr>
                <w:rFonts w:ascii="Arial" w:hAnsi="Arial" w:cs="Arial"/>
                <w:b/>
                <w:bCs/>
                <w:sz w:val="16"/>
                <w:szCs w:val="16"/>
              </w:rPr>
            </w:pPr>
            <w:r w:rsidRPr="00786105">
              <w:rPr>
                <w:rFonts w:ascii="Arial" w:hAnsi="Arial" w:cs="Arial"/>
                <w:b/>
                <w:bCs/>
                <w:sz w:val="16"/>
                <w:szCs w:val="16"/>
              </w:rPr>
              <w:t>525,510</w:t>
            </w:r>
          </w:p>
        </w:tc>
      </w:tr>
    </w:tbl>
    <w:p w:rsidR="005C5F6F" w:rsidRDefault="005C5F6F" w:rsidP="005C5F6F"/>
    <w:tbl>
      <w:tblPr>
        <w:tblW w:w="9840" w:type="dxa"/>
        <w:jc w:val="center"/>
        <w:tblLook w:val="04A0" w:firstRow="1" w:lastRow="0" w:firstColumn="1" w:lastColumn="0" w:noHBand="0" w:noVBand="1"/>
      </w:tblPr>
      <w:tblGrid>
        <w:gridCol w:w="1820"/>
        <w:gridCol w:w="1080"/>
        <w:gridCol w:w="1020"/>
        <w:gridCol w:w="1120"/>
        <w:gridCol w:w="960"/>
        <w:gridCol w:w="960"/>
        <w:gridCol w:w="960"/>
        <w:gridCol w:w="960"/>
        <w:gridCol w:w="960"/>
      </w:tblGrid>
      <w:tr w:rsidR="005C5F6F" w:rsidRPr="00283FD1" w:rsidTr="002074BB">
        <w:trPr>
          <w:trHeight w:val="315"/>
          <w:jc w:val="center"/>
        </w:trPr>
        <w:tc>
          <w:tcPr>
            <w:tcW w:w="9840" w:type="dxa"/>
            <w:gridSpan w:val="9"/>
            <w:tcBorders>
              <w:top w:val="nil"/>
              <w:left w:val="nil"/>
              <w:bottom w:val="nil"/>
              <w:right w:val="nil"/>
            </w:tcBorders>
            <w:shd w:val="clear" w:color="000000" w:fill="FFFFFF"/>
            <w:noWrap/>
            <w:vAlign w:val="center"/>
            <w:hideMark/>
          </w:tcPr>
          <w:p w:rsidR="005C5F6F" w:rsidRPr="00283FD1" w:rsidRDefault="005C5F6F" w:rsidP="002074BB">
            <w:pPr>
              <w:jc w:val="center"/>
              <w:rPr>
                <w:rFonts w:ascii="Arial" w:hAnsi="Arial" w:cs="Arial"/>
                <w:b/>
                <w:bCs/>
                <w:color w:val="000000"/>
              </w:rPr>
            </w:pPr>
            <w:r w:rsidRPr="00283FD1">
              <w:rPr>
                <w:rFonts w:ascii="Arial" w:hAnsi="Arial" w:cs="Arial"/>
                <w:b/>
                <w:bCs/>
                <w:color w:val="000000"/>
              </w:rPr>
              <w:t>Table IV.19</w:t>
            </w:r>
          </w:p>
        </w:tc>
      </w:tr>
      <w:tr w:rsidR="005C5F6F" w:rsidRPr="00283FD1" w:rsidTr="002074BB">
        <w:trPr>
          <w:trHeight w:val="255"/>
          <w:jc w:val="center"/>
        </w:trPr>
        <w:tc>
          <w:tcPr>
            <w:tcW w:w="9840" w:type="dxa"/>
            <w:gridSpan w:val="9"/>
            <w:tcBorders>
              <w:top w:val="nil"/>
              <w:left w:val="nil"/>
              <w:bottom w:val="nil"/>
              <w:right w:val="nil"/>
            </w:tcBorders>
            <w:shd w:val="clear" w:color="000000" w:fill="FFFFFF"/>
            <w:noWrap/>
            <w:vAlign w:val="center"/>
            <w:hideMark/>
          </w:tcPr>
          <w:p w:rsidR="005C5F6F" w:rsidRPr="00283FD1" w:rsidRDefault="005C5F6F" w:rsidP="002074BB">
            <w:pPr>
              <w:jc w:val="center"/>
              <w:rPr>
                <w:rFonts w:ascii="Arial" w:hAnsi="Arial" w:cs="Arial"/>
                <w:b/>
                <w:bCs/>
                <w:color w:val="000000"/>
                <w:sz w:val="20"/>
                <w:szCs w:val="20"/>
              </w:rPr>
            </w:pPr>
            <w:r w:rsidRPr="00283FD1">
              <w:rPr>
                <w:rFonts w:ascii="Arial" w:hAnsi="Arial" w:cs="Arial"/>
                <w:b/>
                <w:bCs/>
                <w:color w:val="000000"/>
                <w:sz w:val="20"/>
                <w:szCs w:val="20"/>
              </w:rPr>
              <w:t>Renter-Occupied Households with Housing Problems by Income and Race</w:t>
            </w:r>
          </w:p>
        </w:tc>
      </w:tr>
      <w:tr w:rsidR="005C5F6F" w:rsidRPr="00283FD1" w:rsidTr="002074BB">
        <w:trPr>
          <w:trHeight w:val="195"/>
          <w:jc w:val="center"/>
        </w:trPr>
        <w:tc>
          <w:tcPr>
            <w:tcW w:w="9840" w:type="dxa"/>
            <w:gridSpan w:val="9"/>
            <w:tcBorders>
              <w:top w:val="nil"/>
              <w:left w:val="nil"/>
              <w:bottom w:val="nil"/>
              <w:right w:val="nil"/>
            </w:tcBorders>
            <w:shd w:val="clear" w:color="000000" w:fill="FFFFFF"/>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State of New Mexico</w:t>
            </w:r>
          </w:p>
        </w:tc>
      </w:tr>
      <w:tr w:rsidR="005C5F6F" w:rsidRPr="00283FD1" w:rsidTr="002074BB">
        <w:trPr>
          <w:trHeight w:val="255"/>
          <w:jc w:val="center"/>
        </w:trPr>
        <w:tc>
          <w:tcPr>
            <w:tcW w:w="9840" w:type="dxa"/>
            <w:gridSpan w:val="9"/>
            <w:tcBorders>
              <w:top w:val="nil"/>
              <w:left w:val="nil"/>
              <w:bottom w:val="single" w:sz="8" w:space="0" w:color="009900"/>
              <w:right w:val="nil"/>
            </w:tcBorders>
            <w:shd w:val="clear" w:color="000000" w:fill="FFFFFF"/>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2006–2010 HUD CHAS Data</w:t>
            </w:r>
          </w:p>
        </w:tc>
      </w:tr>
      <w:tr w:rsidR="005C5F6F" w:rsidRPr="00283FD1" w:rsidTr="002074BB">
        <w:trPr>
          <w:trHeight w:val="300"/>
          <w:jc w:val="center"/>
        </w:trPr>
        <w:tc>
          <w:tcPr>
            <w:tcW w:w="1820" w:type="dxa"/>
            <w:vMerge w:val="restart"/>
            <w:tcBorders>
              <w:top w:val="nil"/>
              <w:left w:val="single" w:sz="8" w:space="0" w:color="009900"/>
              <w:bottom w:val="single" w:sz="8" w:space="0" w:color="009900"/>
              <w:right w:val="nil"/>
            </w:tcBorders>
            <w:shd w:val="clear" w:color="000000" w:fill="FFFFE1"/>
            <w:vAlign w:val="center"/>
            <w:hideMark/>
          </w:tcPr>
          <w:p w:rsidR="005C5F6F" w:rsidRPr="00283FD1" w:rsidRDefault="005C5F6F" w:rsidP="002074BB">
            <w:pPr>
              <w:rPr>
                <w:rFonts w:ascii="Arial" w:hAnsi="Arial" w:cs="Arial"/>
                <w:b/>
                <w:bCs/>
                <w:color w:val="000000"/>
                <w:sz w:val="16"/>
                <w:szCs w:val="16"/>
              </w:rPr>
            </w:pPr>
            <w:r w:rsidRPr="00283FD1">
              <w:rPr>
                <w:rFonts w:ascii="Arial" w:hAnsi="Arial" w:cs="Arial"/>
                <w:b/>
                <w:bCs/>
                <w:color w:val="000000"/>
                <w:sz w:val="16"/>
                <w:szCs w:val="16"/>
              </w:rPr>
              <w:t>Income</w:t>
            </w:r>
          </w:p>
        </w:tc>
        <w:tc>
          <w:tcPr>
            <w:tcW w:w="6100" w:type="dxa"/>
            <w:gridSpan w:val="6"/>
            <w:tcBorders>
              <w:top w:val="single" w:sz="8" w:space="0" w:color="009900"/>
              <w:left w:val="nil"/>
              <w:bottom w:val="dotted" w:sz="4" w:space="0" w:color="009900"/>
              <w:right w:val="dotted" w:sz="4" w:space="0" w:color="009900"/>
            </w:tcBorders>
            <w:shd w:val="clear" w:color="000000" w:fill="FFFFE1"/>
            <w:noWrap/>
            <w:vAlign w:val="center"/>
            <w:hideMark/>
          </w:tcPr>
          <w:p w:rsidR="005C5F6F" w:rsidRPr="00283FD1" w:rsidRDefault="005C5F6F" w:rsidP="002074BB">
            <w:pPr>
              <w:jc w:val="center"/>
              <w:rPr>
                <w:rFonts w:ascii="Arial" w:hAnsi="Arial" w:cs="Arial"/>
                <w:b/>
                <w:bCs/>
                <w:color w:val="000000"/>
                <w:sz w:val="16"/>
                <w:szCs w:val="16"/>
              </w:rPr>
            </w:pPr>
            <w:r w:rsidRPr="00283FD1">
              <w:rPr>
                <w:rFonts w:ascii="Arial" w:hAnsi="Arial" w:cs="Arial"/>
                <w:b/>
                <w:bCs/>
                <w:color w:val="000000"/>
                <w:sz w:val="16"/>
                <w:szCs w:val="16"/>
              </w:rPr>
              <w:t>Non-Hispanic by Race/Ethnicity</w:t>
            </w:r>
          </w:p>
        </w:tc>
        <w:tc>
          <w:tcPr>
            <w:tcW w:w="960" w:type="dxa"/>
            <w:vMerge w:val="restart"/>
            <w:tcBorders>
              <w:top w:val="nil"/>
              <w:left w:val="dotted" w:sz="4" w:space="0" w:color="009900"/>
              <w:bottom w:val="single" w:sz="8" w:space="0" w:color="009900"/>
              <w:right w:val="nil"/>
            </w:tcBorders>
            <w:shd w:val="clear" w:color="000000" w:fill="FFFFE1"/>
            <w:vAlign w:val="center"/>
            <w:hideMark/>
          </w:tcPr>
          <w:p w:rsidR="005C5F6F" w:rsidRPr="00283FD1" w:rsidRDefault="005C5F6F" w:rsidP="002074BB">
            <w:pPr>
              <w:jc w:val="center"/>
              <w:rPr>
                <w:rFonts w:ascii="Arial" w:hAnsi="Arial" w:cs="Arial"/>
                <w:b/>
                <w:bCs/>
                <w:color w:val="000000"/>
                <w:sz w:val="16"/>
                <w:szCs w:val="16"/>
              </w:rPr>
            </w:pPr>
            <w:r w:rsidRPr="00283FD1">
              <w:rPr>
                <w:rFonts w:ascii="Arial" w:hAnsi="Arial" w:cs="Arial"/>
                <w:b/>
                <w:bCs/>
                <w:color w:val="000000"/>
                <w:sz w:val="16"/>
                <w:szCs w:val="16"/>
              </w:rPr>
              <w:t>Hispanic (Any Race)</w:t>
            </w:r>
          </w:p>
        </w:tc>
        <w:tc>
          <w:tcPr>
            <w:tcW w:w="960" w:type="dxa"/>
            <w:vMerge w:val="restart"/>
            <w:tcBorders>
              <w:top w:val="nil"/>
              <w:left w:val="nil"/>
              <w:bottom w:val="single" w:sz="8" w:space="0" w:color="009900"/>
              <w:right w:val="single" w:sz="8" w:space="0" w:color="009900"/>
            </w:tcBorders>
            <w:shd w:val="clear" w:color="000000" w:fill="FFFFE1"/>
            <w:vAlign w:val="center"/>
            <w:hideMark/>
          </w:tcPr>
          <w:p w:rsidR="005C5F6F" w:rsidRPr="00283FD1" w:rsidRDefault="005C5F6F" w:rsidP="002074BB">
            <w:pPr>
              <w:jc w:val="center"/>
              <w:rPr>
                <w:rFonts w:ascii="Arial" w:hAnsi="Arial" w:cs="Arial"/>
                <w:b/>
                <w:bCs/>
                <w:color w:val="000000"/>
                <w:sz w:val="16"/>
                <w:szCs w:val="16"/>
              </w:rPr>
            </w:pPr>
            <w:r w:rsidRPr="00283FD1">
              <w:rPr>
                <w:rFonts w:ascii="Arial" w:hAnsi="Arial" w:cs="Arial"/>
                <w:b/>
                <w:bCs/>
                <w:color w:val="000000"/>
                <w:sz w:val="16"/>
                <w:szCs w:val="16"/>
              </w:rPr>
              <w:t>Total</w:t>
            </w:r>
          </w:p>
        </w:tc>
      </w:tr>
      <w:tr w:rsidR="005C5F6F" w:rsidRPr="00283FD1" w:rsidTr="002074BB">
        <w:trPr>
          <w:trHeight w:val="465"/>
          <w:jc w:val="center"/>
        </w:trPr>
        <w:tc>
          <w:tcPr>
            <w:tcW w:w="1820" w:type="dxa"/>
            <w:vMerge/>
            <w:tcBorders>
              <w:top w:val="nil"/>
              <w:left w:val="single" w:sz="8" w:space="0" w:color="009900"/>
              <w:bottom w:val="single" w:sz="8" w:space="0" w:color="009900"/>
              <w:right w:val="nil"/>
            </w:tcBorders>
            <w:vAlign w:val="center"/>
            <w:hideMark/>
          </w:tcPr>
          <w:p w:rsidR="005C5F6F" w:rsidRPr="00283FD1" w:rsidRDefault="005C5F6F" w:rsidP="002074BB">
            <w:pPr>
              <w:rPr>
                <w:rFonts w:ascii="Arial" w:hAnsi="Arial" w:cs="Arial"/>
                <w:b/>
                <w:bCs/>
                <w:color w:val="000000"/>
                <w:sz w:val="16"/>
                <w:szCs w:val="16"/>
              </w:rPr>
            </w:pPr>
          </w:p>
        </w:tc>
        <w:tc>
          <w:tcPr>
            <w:tcW w:w="1080" w:type="dxa"/>
            <w:tcBorders>
              <w:top w:val="nil"/>
              <w:left w:val="nil"/>
              <w:bottom w:val="single" w:sz="8" w:space="0" w:color="009900"/>
              <w:right w:val="nil"/>
            </w:tcBorders>
            <w:shd w:val="clear" w:color="000000" w:fill="FFFFE1"/>
            <w:vAlign w:val="center"/>
            <w:hideMark/>
          </w:tcPr>
          <w:p w:rsidR="005C5F6F" w:rsidRPr="00283FD1" w:rsidRDefault="005C5F6F" w:rsidP="002074BB">
            <w:pPr>
              <w:jc w:val="center"/>
              <w:rPr>
                <w:rFonts w:ascii="Arial" w:hAnsi="Arial" w:cs="Arial"/>
                <w:b/>
                <w:bCs/>
                <w:color w:val="000000"/>
                <w:sz w:val="16"/>
                <w:szCs w:val="16"/>
              </w:rPr>
            </w:pPr>
            <w:r w:rsidRPr="00283FD1">
              <w:rPr>
                <w:rFonts w:ascii="Arial" w:hAnsi="Arial" w:cs="Arial"/>
                <w:b/>
                <w:bCs/>
                <w:color w:val="000000"/>
                <w:sz w:val="16"/>
                <w:szCs w:val="16"/>
              </w:rPr>
              <w:t>White</w:t>
            </w:r>
          </w:p>
        </w:tc>
        <w:tc>
          <w:tcPr>
            <w:tcW w:w="1020" w:type="dxa"/>
            <w:tcBorders>
              <w:top w:val="nil"/>
              <w:left w:val="nil"/>
              <w:bottom w:val="single" w:sz="8" w:space="0" w:color="009900"/>
              <w:right w:val="nil"/>
            </w:tcBorders>
            <w:shd w:val="clear" w:color="000000" w:fill="FFFFE1"/>
            <w:vAlign w:val="center"/>
            <w:hideMark/>
          </w:tcPr>
          <w:p w:rsidR="005C5F6F" w:rsidRPr="00283FD1" w:rsidRDefault="005C5F6F" w:rsidP="002074BB">
            <w:pPr>
              <w:jc w:val="center"/>
              <w:rPr>
                <w:rFonts w:ascii="Arial" w:hAnsi="Arial" w:cs="Arial"/>
                <w:b/>
                <w:bCs/>
                <w:color w:val="000000"/>
                <w:sz w:val="16"/>
                <w:szCs w:val="16"/>
              </w:rPr>
            </w:pPr>
            <w:r w:rsidRPr="00283FD1">
              <w:rPr>
                <w:rFonts w:ascii="Arial" w:hAnsi="Arial" w:cs="Arial"/>
                <w:b/>
                <w:bCs/>
                <w:color w:val="000000"/>
                <w:sz w:val="16"/>
                <w:szCs w:val="16"/>
              </w:rPr>
              <w:t>Black</w:t>
            </w:r>
          </w:p>
        </w:tc>
        <w:tc>
          <w:tcPr>
            <w:tcW w:w="1120" w:type="dxa"/>
            <w:tcBorders>
              <w:top w:val="nil"/>
              <w:left w:val="nil"/>
              <w:bottom w:val="single" w:sz="8" w:space="0" w:color="009900"/>
              <w:right w:val="nil"/>
            </w:tcBorders>
            <w:shd w:val="clear" w:color="000000" w:fill="FFFFE1"/>
            <w:vAlign w:val="center"/>
            <w:hideMark/>
          </w:tcPr>
          <w:p w:rsidR="005C5F6F" w:rsidRPr="00283FD1" w:rsidRDefault="005C5F6F" w:rsidP="002074BB">
            <w:pPr>
              <w:jc w:val="center"/>
              <w:rPr>
                <w:rFonts w:ascii="Arial" w:hAnsi="Arial" w:cs="Arial"/>
                <w:b/>
                <w:bCs/>
                <w:color w:val="000000"/>
                <w:sz w:val="16"/>
                <w:szCs w:val="16"/>
              </w:rPr>
            </w:pPr>
            <w:r w:rsidRPr="00283FD1">
              <w:rPr>
                <w:rFonts w:ascii="Arial" w:hAnsi="Arial" w:cs="Arial"/>
                <w:b/>
                <w:bCs/>
                <w:color w:val="000000"/>
                <w:sz w:val="16"/>
                <w:szCs w:val="16"/>
              </w:rPr>
              <w:t>Asian</w:t>
            </w:r>
          </w:p>
        </w:tc>
        <w:tc>
          <w:tcPr>
            <w:tcW w:w="960" w:type="dxa"/>
            <w:tcBorders>
              <w:top w:val="nil"/>
              <w:left w:val="nil"/>
              <w:bottom w:val="single" w:sz="8" w:space="0" w:color="009900"/>
              <w:right w:val="nil"/>
            </w:tcBorders>
            <w:shd w:val="clear" w:color="000000" w:fill="FFFFE1"/>
            <w:vAlign w:val="center"/>
            <w:hideMark/>
          </w:tcPr>
          <w:p w:rsidR="005C5F6F" w:rsidRPr="00283FD1" w:rsidRDefault="005C5F6F" w:rsidP="002074BB">
            <w:pPr>
              <w:jc w:val="center"/>
              <w:rPr>
                <w:rFonts w:ascii="Arial" w:hAnsi="Arial" w:cs="Arial"/>
                <w:b/>
                <w:bCs/>
                <w:color w:val="000000"/>
                <w:sz w:val="16"/>
                <w:szCs w:val="16"/>
              </w:rPr>
            </w:pPr>
            <w:r w:rsidRPr="00283FD1">
              <w:rPr>
                <w:rFonts w:ascii="Arial" w:hAnsi="Arial" w:cs="Arial"/>
                <w:b/>
                <w:bCs/>
                <w:color w:val="000000"/>
                <w:sz w:val="16"/>
                <w:szCs w:val="16"/>
              </w:rPr>
              <w:t>American Indian</w:t>
            </w:r>
          </w:p>
        </w:tc>
        <w:tc>
          <w:tcPr>
            <w:tcW w:w="960" w:type="dxa"/>
            <w:tcBorders>
              <w:top w:val="nil"/>
              <w:left w:val="nil"/>
              <w:bottom w:val="single" w:sz="8" w:space="0" w:color="009900"/>
              <w:right w:val="nil"/>
            </w:tcBorders>
            <w:shd w:val="clear" w:color="000000" w:fill="FFFFE1"/>
            <w:vAlign w:val="center"/>
            <w:hideMark/>
          </w:tcPr>
          <w:p w:rsidR="005C5F6F" w:rsidRPr="00283FD1" w:rsidRDefault="005C5F6F" w:rsidP="002074BB">
            <w:pPr>
              <w:jc w:val="center"/>
              <w:rPr>
                <w:rFonts w:ascii="Arial" w:hAnsi="Arial" w:cs="Arial"/>
                <w:b/>
                <w:bCs/>
                <w:color w:val="000000"/>
                <w:sz w:val="16"/>
                <w:szCs w:val="16"/>
              </w:rPr>
            </w:pPr>
            <w:r w:rsidRPr="00283FD1">
              <w:rPr>
                <w:rFonts w:ascii="Arial" w:hAnsi="Arial" w:cs="Arial"/>
                <w:b/>
                <w:bCs/>
                <w:color w:val="000000"/>
                <w:sz w:val="16"/>
                <w:szCs w:val="16"/>
              </w:rPr>
              <w:t>Pacific Islander</w:t>
            </w:r>
          </w:p>
        </w:tc>
        <w:tc>
          <w:tcPr>
            <w:tcW w:w="960" w:type="dxa"/>
            <w:tcBorders>
              <w:top w:val="nil"/>
              <w:left w:val="nil"/>
              <w:bottom w:val="single" w:sz="8" w:space="0" w:color="009900"/>
              <w:right w:val="nil"/>
            </w:tcBorders>
            <w:shd w:val="clear" w:color="000000" w:fill="FFFFE1"/>
            <w:vAlign w:val="center"/>
            <w:hideMark/>
          </w:tcPr>
          <w:p w:rsidR="005C5F6F" w:rsidRPr="00283FD1" w:rsidRDefault="005C5F6F" w:rsidP="002074BB">
            <w:pPr>
              <w:jc w:val="center"/>
              <w:rPr>
                <w:rFonts w:ascii="Arial" w:hAnsi="Arial" w:cs="Arial"/>
                <w:b/>
                <w:bCs/>
                <w:color w:val="000000"/>
                <w:sz w:val="16"/>
                <w:szCs w:val="16"/>
              </w:rPr>
            </w:pPr>
            <w:r w:rsidRPr="00283FD1">
              <w:rPr>
                <w:rFonts w:ascii="Arial" w:hAnsi="Arial" w:cs="Arial"/>
                <w:b/>
                <w:bCs/>
                <w:color w:val="000000"/>
                <w:sz w:val="16"/>
                <w:szCs w:val="16"/>
              </w:rPr>
              <w:t>Other Race</w:t>
            </w:r>
          </w:p>
        </w:tc>
        <w:tc>
          <w:tcPr>
            <w:tcW w:w="960" w:type="dxa"/>
            <w:vMerge/>
            <w:tcBorders>
              <w:top w:val="nil"/>
              <w:left w:val="dotted" w:sz="4" w:space="0" w:color="009900"/>
              <w:bottom w:val="single" w:sz="8" w:space="0" w:color="009900"/>
              <w:right w:val="nil"/>
            </w:tcBorders>
            <w:vAlign w:val="center"/>
            <w:hideMark/>
          </w:tcPr>
          <w:p w:rsidR="005C5F6F" w:rsidRPr="00283FD1" w:rsidRDefault="005C5F6F" w:rsidP="002074BB">
            <w:pPr>
              <w:rPr>
                <w:rFonts w:ascii="Arial" w:hAnsi="Arial" w:cs="Arial"/>
                <w:b/>
                <w:bCs/>
                <w:color w:val="000000"/>
                <w:sz w:val="16"/>
                <w:szCs w:val="16"/>
              </w:rPr>
            </w:pPr>
          </w:p>
        </w:tc>
        <w:tc>
          <w:tcPr>
            <w:tcW w:w="960" w:type="dxa"/>
            <w:vMerge/>
            <w:tcBorders>
              <w:top w:val="nil"/>
              <w:left w:val="nil"/>
              <w:bottom w:val="single" w:sz="8" w:space="0" w:color="009900"/>
              <w:right w:val="single" w:sz="8" w:space="0" w:color="009900"/>
            </w:tcBorders>
            <w:vAlign w:val="center"/>
            <w:hideMark/>
          </w:tcPr>
          <w:p w:rsidR="005C5F6F" w:rsidRPr="00283FD1" w:rsidRDefault="005C5F6F" w:rsidP="002074BB">
            <w:pPr>
              <w:rPr>
                <w:rFonts w:ascii="Arial" w:hAnsi="Arial" w:cs="Arial"/>
                <w:b/>
                <w:bCs/>
                <w:color w:val="000000"/>
                <w:sz w:val="16"/>
                <w:szCs w:val="16"/>
              </w:rPr>
            </w:pPr>
          </w:p>
        </w:tc>
      </w:tr>
      <w:tr w:rsidR="005C5F6F" w:rsidRPr="00283FD1" w:rsidTr="002074BB">
        <w:trPr>
          <w:trHeight w:val="315"/>
          <w:jc w:val="center"/>
        </w:trPr>
        <w:tc>
          <w:tcPr>
            <w:tcW w:w="9840" w:type="dxa"/>
            <w:gridSpan w:val="9"/>
            <w:tcBorders>
              <w:top w:val="single" w:sz="8" w:space="0" w:color="009900"/>
              <w:left w:val="single" w:sz="8" w:space="0" w:color="009900"/>
              <w:bottom w:val="single" w:sz="8" w:space="0" w:color="009900"/>
              <w:right w:val="single" w:sz="8" w:space="0" w:color="009900"/>
            </w:tcBorders>
            <w:shd w:val="clear" w:color="000000" w:fill="FFFFE1"/>
            <w:noWrap/>
            <w:vAlign w:val="center"/>
            <w:hideMark/>
          </w:tcPr>
          <w:p w:rsidR="005C5F6F" w:rsidRPr="00283FD1" w:rsidRDefault="005C5F6F" w:rsidP="002074BB">
            <w:pPr>
              <w:jc w:val="center"/>
              <w:rPr>
                <w:rFonts w:ascii="Arial" w:hAnsi="Arial" w:cs="Arial"/>
                <w:b/>
                <w:bCs/>
                <w:color w:val="000000"/>
                <w:sz w:val="16"/>
                <w:szCs w:val="16"/>
              </w:rPr>
            </w:pPr>
            <w:r w:rsidRPr="00283FD1">
              <w:rPr>
                <w:rFonts w:ascii="Arial" w:hAnsi="Arial" w:cs="Arial"/>
                <w:b/>
                <w:bCs/>
                <w:color w:val="000000"/>
                <w:sz w:val="16"/>
                <w:szCs w:val="16"/>
              </w:rPr>
              <w:t>With Housing Problems</w:t>
            </w:r>
          </w:p>
        </w:tc>
      </w:tr>
      <w:tr w:rsidR="005C5F6F" w:rsidRPr="00283FD1" w:rsidTr="002074BB">
        <w:trPr>
          <w:trHeight w:val="300"/>
          <w:jc w:val="center"/>
        </w:trPr>
        <w:tc>
          <w:tcPr>
            <w:tcW w:w="1820" w:type="dxa"/>
            <w:tcBorders>
              <w:top w:val="nil"/>
              <w:left w:val="single" w:sz="8" w:space="0" w:color="009900"/>
              <w:bottom w:val="nil"/>
              <w:right w:val="nil"/>
            </w:tcBorders>
            <w:shd w:val="clear" w:color="000000" w:fill="FFFFE1"/>
            <w:vAlign w:val="center"/>
            <w:hideMark/>
          </w:tcPr>
          <w:p w:rsidR="005C5F6F" w:rsidRPr="00283FD1" w:rsidRDefault="005C5F6F" w:rsidP="002074BB">
            <w:pPr>
              <w:rPr>
                <w:rFonts w:ascii="Arial" w:hAnsi="Arial" w:cs="Arial"/>
                <w:color w:val="000000"/>
                <w:sz w:val="16"/>
                <w:szCs w:val="16"/>
              </w:rPr>
            </w:pPr>
            <w:r w:rsidRPr="00283FD1">
              <w:rPr>
                <w:rFonts w:ascii="Arial" w:hAnsi="Arial" w:cs="Arial"/>
                <w:color w:val="000000"/>
                <w:sz w:val="16"/>
                <w:szCs w:val="16"/>
              </w:rPr>
              <w:t>30% HAMFI or less</w:t>
            </w:r>
          </w:p>
        </w:tc>
        <w:tc>
          <w:tcPr>
            <w:tcW w:w="108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13,755</w:t>
            </w:r>
          </w:p>
        </w:tc>
        <w:tc>
          <w:tcPr>
            <w:tcW w:w="102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1,635</w:t>
            </w:r>
          </w:p>
        </w:tc>
        <w:tc>
          <w:tcPr>
            <w:tcW w:w="112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405</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3,250</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25</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585</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20,215</w:t>
            </w:r>
          </w:p>
        </w:tc>
        <w:tc>
          <w:tcPr>
            <w:tcW w:w="960" w:type="dxa"/>
            <w:tcBorders>
              <w:top w:val="nil"/>
              <w:left w:val="nil"/>
              <w:bottom w:val="nil"/>
              <w:right w:val="single" w:sz="8" w:space="0" w:color="009900"/>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39,870</w:t>
            </w:r>
          </w:p>
        </w:tc>
      </w:tr>
      <w:tr w:rsidR="005C5F6F" w:rsidRPr="00283FD1" w:rsidTr="002074BB">
        <w:trPr>
          <w:trHeight w:val="300"/>
          <w:jc w:val="center"/>
        </w:trPr>
        <w:tc>
          <w:tcPr>
            <w:tcW w:w="1820" w:type="dxa"/>
            <w:tcBorders>
              <w:top w:val="nil"/>
              <w:left w:val="single" w:sz="8" w:space="0" w:color="009900"/>
              <w:bottom w:val="nil"/>
              <w:right w:val="nil"/>
            </w:tcBorders>
            <w:shd w:val="clear" w:color="000000" w:fill="FFFFE1"/>
            <w:vAlign w:val="center"/>
            <w:hideMark/>
          </w:tcPr>
          <w:p w:rsidR="005C5F6F" w:rsidRPr="00283FD1" w:rsidRDefault="005C5F6F" w:rsidP="002074BB">
            <w:pPr>
              <w:rPr>
                <w:rFonts w:ascii="Arial" w:hAnsi="Arial" w:cs="Arial"/>
                <w:color w:val="000000"/>
                <w:sz w:val="16"/>
                <w:szCs w:val="16"/>
              </w:rPr>
            </w:pPr>
            <w:r w:rsidRPr="00283FD1">
              <w:rPr>
                <w:rFonts w:ascii="Arial" w:hAnsi="Arial" w:cs="Arial"/>
                <w:color w:val="000000"/>
                <w:sz w:val="16"/>
                <w:szCs w:val="16"/>
              </w:rPr>
              <w:t>30.1-50% HAMFI</w:t>
            </w:r>
          </w:p>
        </w:tc>
        <w:tc>
          <w:tcPr>
            <w:tcW w:w="108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11,485</w:t>
            </w:r>
          </w:p>
        </w:tc>
        <w:tc>
          <w:tcPr>
            <w:tcW w:w="102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700</w:t>
            </w:r>
          </w:p>
        </w:tc>
        <w:tc>
          <w:tcPr>
            <w:tcW w:w="112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430</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2,150</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4</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400</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14,760</w:t>
            </w:r>
          </w:p>
        </w:tc>
        <w:tc>
          <w:tcPr>
            <w:tcW w:w="960" w:type="dxa"/>
            <w:tcBorders>
              <w:top w:val="nil"/>
              <w:left w:val="nil"/>
              <w:bottom w:val="nil"/>
              <w:right w:val="single" w:sz="8" w:space="0" w:color="009900"/>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29,929</w:t>
            </w:r>
          </w:p>
        </w:tc>
      </w:tr>
      <w:tr w:rsidR="005C5F6F" w:rsidRPr="00283FD1" w:rsidTr="002074BB">
        <w:trPr>
          <w:trHeight w:val="300"/>
          <w:jc w:val="center"/>
        </w:trPr>
        <w:tc>
          <w:tcPr>
            <w:tcW w:w="1820" w:type="dxa"/>
            <w:tcBorders>
              <w:top w:val="nil"/>
              <w:left w:val="single" w:sz="8" w:space="0" w:color="009900"/>
              <w:bottom w:val="nil"/>
              <w:right w:val="nil"/>
            </w:tcBorders>
            <w:shd w:val="clear" w:color="000000" w:fill="FFFFE1"/>
            <w:vAlign w:val="center"/>
            <w:hideMark/>
          </w:tcPr>
          <w:p w:rsidR="005C5F6F" w:rsidRPr="00283FD1" w:rsidRDefault="005C5F6F" w:rsidP="002074BB">
            <w:pPr>
              <w:rPr>
                <w:rFonts w:ascii="Arial" w:hAnsi="Arial" w:cs="Arial"/>
                <w:color w:val="000000"/>
                <w:sz w:val="16"/>
                <w:szCs w:val="16"/>
              </w:rPr>
            </w:pPr>
            <w:r w:rsidRPr="00283FD1">
              <w:rPr>
                <w:rFonts w:ascii="Arial" w:hAnsi="Arial" w:cs="Arial"/>
                <w:color w:val="000000"/>
                <w:sz w:val="16"/>
                <w:szCs w:val="16"/>
              </w:rPr>
              <w:t>50.1-80% HAMFI</w:t>
            </w:r>
          </w:p>
        </w:tc>
        <w:tc>
          <w:tcPr>
            <w:tcW w:w="108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10,485</w:t>
            </w:r>
          </w:p>
        </w:tc>
        <w:tc>
          <w:tcPr>
            <w:tcW w:w="102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755</w:t>
            </w:r>
          </w:p>
        </w:tc>
        <w:tc>
          <w:tcPr>
            <w:tcW w:w="112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155</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1,245</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0</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250</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9,360</w:t>
            </w:r>
          </w:p>
        </w:tc>
        <w:tc>
          <w:tcPr>
            <w:tcW w:w="960" w:type="dxa"/>
            <w:tcBorders>
              <w:top w:val="nil"/>
              <w:left w:val="nil"/>
              <w:bottom w:val="nil"/>
              <w:right w:val="single" w:sz="8" w:space="0" w:color="009900"/>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22,250</w:t>
            </w:r>
          </w:p>
        </w:tc>
      </w:tr>
      <w:tr w:rsidR="005C5F6F" w:rsidRPr="00283FD1" w:rsidTr="002074BB">
        <w:trPr>
          <w:trHeight w:val="300"/>
          <w:jc w:val="center"/>
        </w:trPr>
        <w:tc>
          <w:tcPr>
            <w:tcW w:w="1820" w:type="dxa"/>
            <w:tcBorders>
              <w:top w:val="nil"/>
              <w:left w:val="single" w:sz="8" w:space="0" w:color="009900"/>
              <w:bottom w:val="nil"/>
              <w:right w:val="nil"/>
            </w:tcBorders>
            <w:shd w:val="clear" w:color="000000" w:fill="FFFFE1"/>
            <w:vAlign w:val="center"/>
            <w:hideMark/>
          </w:tcPr>
          <w:p w:rsidR="005C5F6F" w:rsidRPr="00283FD1" w:rsidRDefault="005C5F6F" w:rsidP="002074BB">
            <w:pPr>
              <w:rPr>
                <w:rFonts w:ascii="Arial" w:hAnsi="Arial" w:cs="Arial"/>
                <w:color w:val="000000"/>
                <w:sz w:val="16"/>
                <w:szCs w:val="16"/>
              </w:rPr>
            </w:pPr>
            <w:r w:rsidRPr="00283FD1">
              <w:rPr>
                <w:rFonts w:ascii="Arial" w:hAnsi="Arial" w:cs="Arial"/>
                <w:color w:val="000000"/>
                <w:sz w:val="16"/>
                <w:szCs w:val="16"/>
              </w:rPr>
              <w:t>80.1-100% HAMFI</w:t>
            </w:r>
          </w:p>
        </w:tc>
        <w:tc>
          <w:tcPr>
            <w:tcW w:w="108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2,610</w:t>
            </w:r>
          </w:p>
        </w:tc>
        <w:tc>
          <w:tcPr>
            <w:tcW w:w="102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275</w:t>
            </w:r>
          </w:p>
        </w:tc>
        <w:tc>
          <w:tcPr>
            <w:tcW w:w="112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50</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285</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10</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45</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1,695</w:t>
            </w:r>
          </w:p>
        </w:tc>
        <w:tc>
          <w:tcPr>
            <w:tcW w:w="960" w:type="dxa"/>
            <w:tcBorders>
              <w:top w:val="nil"/>
              <w:left w:val="nil"/>
              <w:bottom w:val="nil"/>
              <w:right w:val="single" w:sz="8" w:space="0" w:color="009900"/>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4,970</w:t>
            </w:r>
          </w:p>
        </w:tc>
      </w:tr>
      <w:tr w:rsidR="005C5F6F" w:rsidRPr="00283FD1" w:rsidTr="002074BB">
        <w:trPr>
          <w:trHeight w:val="300"/>
          <w:jc w:val="center"/>
        </w:trPr>
        <w:tc>
          <w:tcPr>
            <w:tcW w:w="1820" w:type="dxa"/>
            <w:tcBorders>
              <w:top w:val="nil"/>
              <w:left w:val="single" w:sz="8" w:space="0" w:color="009900"/>
              <w:bottom w:val="nil"/>
              <w:right w:val="nil"/>
            </w:tcBorders>
            <w:shd w:val="clear" w:color="000000" w:fill="FFFFE1"/>
            <w:vAlign w:val="center"/>
            <w:hideMark/>
          </w:tcPr>
          <w:p w:rsidR="005C5F6F" w:rsidRPr="00283FD1" w:rsidRDefault="005C5F6F" w:rsidP="002074BB">
            <w:pPr>
              <w:rPr>
                <w:rFonts w:ascii="Arial" w:hAnsi="Arial" w:cs="Arial"/>
                <w:color w:val="000000"/>
                <w:sz w:val="16"/>
                <w:szCs w:val="16"/>
              </w:rPr>
            </w:pPr>
            <w:r w:rsidRPr="00283FD1">
              <w:rPr>
                <w:rFonts w:ascii="Arial" w:hAnsi="Arial" w:cs="Arial"/>
                <w:color w:val="000000"/>
                <w:sz w:val="16"/>
                <w:szCs w:val="16"/>
              </w:rPr>
              <w:t>100.1% HAMFI or more</w:t>
            </w:r>
          </w:p>
        </w:tc>
        <w:tc>
          <w:tcPr>
            <w:tcW w:w="108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2,745</w:t>
            </w:r>
          </w:p>
        </w:tc>
        <w:tc>
          <w:tcPr>
            <w:tcW w:w="102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205</w:t>
            </w:r>
          </w:p>
        </w:tc>
        <w:tc>
          <w:tcPr>
            <w:tcW w:w="112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105</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695</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0</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25</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1,200</w:t>
            </w:r>
          </w:p>
        </w:tc>
        <w:tc>
          <w:tcPr>
            <w:tcW w:w="960" w:type="dxa"/>
            <w:tcBorders>
              <w:top w:val="nil"/>
              <w:left w:val="nil"/>
              <w:bottom w:val="nil"/>
              <w:right w:val="single" w:sz="8" w:space="0" w:color="009900"/>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4,975</w:t>
            </w:r>
          </w:p>
        </w:tc>
      </w:tr>
      <w:tr w:rsidR="005C5F6F" w:rsidRPr="00283FD1" w:rsidTr="002074BB">
        <w:trPr>
          <w:trHeight w:val="315"/>
          <w:jc w:val="center"/>
        </w:trPr>
        <w:tc>
          <w:tcPr>
            <w:tcW w:w="1820" w:type="dxa"/>
            <w:tcBorders>
              <w:top w:val="dotted" w:sz="4" w:space="0" w:color="009900"/>
              <w:left w:val="single" w:sz="8" w:space="0" w:color="009900"/>
              <w:bottom w:val="single" w:sz="8" w:space="0" w:color="009900"/>
              <w:right w:val="nil"/>
            </w:tcBorders>
            <w:shd w:val="clear" w:color="000000" w:fill="FFFFE1"/>
            <w:noWrap/>
            <w:vAlign w:val="center"/>
            <w:hideMark/>
          </w:tcPr>
          <w:p w:rsidR="005C5F6F" w:rsidRPr="00283FD1" w:rsidRDefault="005C5F6F" w:rsidP="002074BB">
            <w:pPr>
              <w:rPr>
                <w:rFonts w:ascii="Arial" w:hAnsi="Arial" w:cs="Arial"/>
                <w:color w:val="000000"/>
                <w:sz w:val="16"/>
                <w:szCs w:val="16"/>
              </w:rPr>
            </w:pPr>
            <w:r w:rsidRPr="00283FD1">
              <w:rPr>
                <w:rFonts w:ascii="Arial" w:hAnsi="Arial" w:cs="Arial"/>
                <w:color w:val="000000"/>
                <w:sz w:val="16"/>
                <w:szCs w:val="16"/>
              </w:rPr>
              <w:t>Total</w:t>
            </w:r>
          </w:p>
        </w:tc>
        <w:tc>
          <w:tcPr>
            <w:tcW w:w="1080" w:type="dxa"/>
            <w:tcBorders>
              <w:top w:val="dotted" w:sz="4" w:space="0" w:color="009900"/>
              <w:left w:val="nil"/>
              <w:bottom w:val="single" w:sz="8" w:space="0" w:color="009900"/>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41,080</w:t>
            </w:r>
          </w:p>
        </w:tc>
        <w:tc>
          <w:tcPr>
            <w:tcW w:w="1020" w:type="dxa"/>
            <w:tcBorders>
              <w:top w:val="dotted" w:sz="4" w:space="0" w:color="009900"/>
              <w:left w:val="nil"/>
              <w:bottom w:val="single" w:sz="8" w:space="0" w:color="009900"/>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3,570</w:t>
            </w:r>
          </w:p>
        </w:tc>
        <w:tc>
          <w:tcPr>
            <w:tcW w:w="1120" w:type="dxa"/>
            <w:tcBorders>
              <w:top w:val="dotted" w:sz="4" w:space="0" w:color="009900"/>
              <w:left w:val="nil"/>
              <w:bottom w:val="single" w:sz="8" w:space="0" w:color="009900"/>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1,145</w:t>
            </w:r>
          </w:p>
        </w:tc>
        <w:tc>
          <w:tcPr>
            <w:tcW w:w="960" w:type="dxa"/>
            <w:tcBorders>
              <w:top w:val="dotted" w:sz="4" w:space="0" w:color="009900"/>
              <w:left w:val="nil"/>
              <w:bottom w:val="single" w:sz="8" w:space="0" w:color="009900"/>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7,625</w:t>
            </w:r>
          </w:p>
        </w:tc>
        <w:tc>
          <w:tcPr>
            <w:tcW w:w="960" w:type="dxa"/>
            <w:tcBorders>
              <w:top w:val="dotted" w:sz="4" w:space="0" w:color="009900"/>
              <w:left w:val="nil"/>
              <w:bottom w:val="single" w:sz="8" w:space="0" w:color="009900"/>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39</w:t>
            </w:r>
          </w:p>
        </w:tc>
        <w:tc>
          <w:tcPr>
            <w:tcW w:w="960" w:type="dxa"/>
            <w:tcBorders>
              <w:top w:val="dotted" w:sz="4" w:space="0" w:color="009900"/>
              <w:left w:val="nil"/>
              <w:bottom w:val="single" w:sz="8" w:space="0" w:color="009900"/>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1,305</w:t>
            </w:r>
          </w:p>
        </w:tc>
        <w:tc>
          <w:tcPr>
            <w:tcW w:w="960" w:type="dxa"/>
            <w:tcBorders>
              <w:top w:val="dotted" w:sz="4" w:space="0" w:color="009900"/>
              <w:left w:val="nil"/>
              <w:bottom w:val="single" w:sz="8" w:space="0" w:color="009900"/>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47,230</w:t>
            </w:r>
          </w:p>
        </w:tc>
        <w:tc>
          <w:tcPr>
            <w:tcW w:w="960" w:type="dxa"/>
            <w:tcBorders>
              <w:top w:val="dotted" w:sz="4" w:space="0" w:color="009900"/>
              <w:left w:val="nil"/>
              <w:bottom w:val="single" w:sz="8" w:space="0" w:color="009900"/>
              <w:right w:val="single" w:sz="8" w:space="0" w:color="009900"/>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101,994</w:t>
            </w:r>
          </w:p>
        </w:tc>
      </w:tr>
      <w:tr w:rsidR="005C5F6F" w:rsidRPr="00283FD1" w:rsidTr="002074BB">
        <w:trPr>
          <w:trHeight w:val="315"/>
          <w:jc w:val="center"/>
        </w:trPr>
        <w:tc>
          <w:tcPr>
            <w:tcW w:w="9840" w:type="dxa"/>
            <w:gridSpan w:val="9"/>
            <w:tcBorders>
              <w:top w:val="single" w:sz="8" w:space="0" w:color="009900"/>
              <w:left w:val="single" w:sz="8" w:space="0" w:color="009900"/>
              <w:bottom w:val="single" w:sz="8" w:space="0" w:color="009900"/>
              <w:right w:val="single" w:sz="8" w:space="0" w:color="009900"/>
            </w:tcBorders>
            <w:shd w:val="clear" w:color="000000" w:fill="FFFFE1"/>
            <w:noWrap/>
            <w:vAlign w:val="center"/>
            <w:hideMark/>
          </w:tcPr>
          <w:p w:rsidR="005C5F6F" w:rsidRPr="00283FD1" w:rsidRDefault="005C5F6F" w:rsidP="002074BB">
            <w:pPr>
              <w:jc w:val="center"/>
              <w:rPr>
                <w:rFonts w:ascii="Arial" w:hAnsi="Arial" w:cs="Arial"/>
                <w:b/>
                <w:bCs/>
                <w:color w:val="000000"/>
                <w:sz w:val="16"/>
                <w:szCs w:val="16"/>
              </w:rPr>
            </w:pPr>
            <w:r w:rsidRPr="00283FD1">
              <w:rPr>
                <w:rFonts w:ascii="Arial" w:hAnsi="Arial" w:cs="Arial"/>
                <w:b/>
                <w:bCs/>
                <w:color w:val="000000"/>
                <w:sz w:val="16"/>
                <w:szCs w:val="16"/>
              </w:rPr>
              <w:t>Without Housing Problems</w:t>
            </w:r>
          </w:p>
        </w:tc>
      </w:tr>
      <w:tr w:rsidR="005C5F6F" w:rsidRPr="00283FD1" w:rsidTr="002074BB">
        <w:trPr>
          <w:trHeight w:val="300"/>
          <w:jc w:val="center"/>
        </w:trPr>
        <w:tc>
          <w:tcPr>
            <w:tcW w:w="1820" w:type="dxa"/>
            <w:tcBorders>
              <w:top w:val="nil"/>
              <w:left w:val="single" w:sz="8" w:space="0" w:color="009900"/>
              <w:bottom w:val="nil"/>
              <w:right w:val="nil"/>
            </w:tcBorders>
            <w:shd w:val="clear" w:color="000000" w:fill="FFFFE1"/>
            <w:vAlign w:val="center"/>
            <w:hideMark/>
          </w:tcPr>
          <w:p w:rsidR="005C5F6F" w:rsidRPr="00283FD1" w:rsidRDefault="005C5F6F" w:rsidP="002074BB">
            <w:pPr>
              <w:rPr>
                <w:rFonts w:ascii="Arial" w:hAnsi="Arial" w:cs="Arial"/>
                <w:color w:val="000000"/>
                <w:sz w:val="16"/>
                <w:szCs w:val="16"/>
              </w:rPr>
            </w:pPr>
            <w:r w:rsidRPr="00283FD1">
              <w:rPr>
                <w:rFonts w:ascii="Arial" w:hAnsi="Arial" w:cs="Arial"/>
                <w:color w:val="000000"/>
                <w:sz w:val="16"/>
                <w:szCs w:val="16"/>
              </w:rPr>
              <w:t>30% HAMFI or less</w:t>
            </w:r>
          </w:p>
        </w:tc>
        <w:tc>
          <w:tcPr>
            <w:tcW w:w="108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3,170</w:t>
            </w:r>
          </w:p>
        </w:tc>
        <w:tc>
          <w:tcPr>
            <w:tcW w:w="102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205</w:t>
            </w:r>
          </w:p>
        </w:tc>
        <w:tc>
          <w:tcPr>
            <w:tcW w:w="112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95</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645</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0</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180</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4,475</w:t>
            </w:r>
          </w:p>
        </w:tc>
        <w:tc>
          <w:tcPr>
            <w:tcW w:w="960" w:type="dxa"/>
            <w:tcBorders>
              <w:top w:val="nil"/>
              <w:left w:val="nil"/>
              <w:bottom w:val="nil"/>
              <w:right w:val="single" w:sz="8" w:space="0" w:color="009900"/>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8,770</w:t>
            </w:r>
          </w:p>
        </w:tc>
      </w:tr>
      <w:tr w:rsidR="005C5F6F" w:rsidRPr="00283FD1" w:rsidTr="002074BB">
        <w:trPr>
          <w:trHeight w:val="300"/>
          <w:jc w:val="center"/>
        </w:trPr>
        <w:tc>
          <w:tcPr>
            <w:tcW w:w="1820" w:type="dxa"/>
            <w:tcBorders>
              <w:top w:val="nil"/>
              <w:left w:val="single" w:sz="8" w:space="0" w:color="009900"/>
              <w:bottom w:val="nil"/>
              <w:right w:val="nil"/>
            </w:tcBorders>
            <w:shd w:val="clear" w:color="000000" w:fill="FFFFE1"/>
            <w:vAlign w:val="center"/>
            <w:hideMark/>
          </w:tcPr>
          <w:p w:rsidR="005C5F6F" w:rsidRPr="00283FD1" w:rsidRDefault="005C5F6F" w:rsidP="002074BB">
            <w:pPr>
              <w:rPr>
                <w:rFonts w:ascii="Arial" w:hAnsi="Arial" w:cs="Arial"/>
                <w:color w:val="000000"/>
                <w:sz w:val="16"/>
                <w:szCs w:val="16"/>
              </w:rPr>
            </w:pPr>
            <w:r w:rsidRPr="00283FD1">
              <w:rPr>
                <w:rFonts w:ascii="Arial" w:hAnsi="Arial" w:cs="Arial"/>
                <w:color w:val="000000"/>
                <w:sz w:val="16"/>
                <w:szCs w:val="16"/>
              </w:rPr>
              <w:t>30.1-50% HAMFI</w:t>
            </w:r>
          </w:p>
        </w:tc>
        <w:tc>
          <w:tcPr>
            <w:tcW w:w="108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3,530</w:t>
            </w:r>
          </w:p>
        </w:tc>
        <w:tc>
          <w:tcPr>
            <w:tcW w:w="102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205</w:t>
            </w:r>
          </w:p>
        </w:tc>
        <w:tc>
          <w:tcPr>
            <w:tcW w:w="112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165</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1,000</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0</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185</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4,815</w:t>
            </w:r>
          </w:p>
        </w:tc>
        <w:tc>
          <w:tcPr>
            <w:tcW w:w="960" w:type="dxa"/>
            <w:tcBorders>
              <w:top w:val="nil"/>
              <w:left w:val="nil"/>
              <w:bottom w:val="nil"/>
              <w:right w:val="single" w:sz="8" w:space="0" w:color="009900"/>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9,900</w:t>
            </w:r>
          </w:p>
        </w:tc>
      </w:tr>
      <w:tr w:rsidR="005C5F6F" w:rsidRPr="00283FD1" w:rsidTr="002074BB">
        <w:trPr>
          <w:trHeight w:val="300"/>
          <w:jc w:val="center"/>
        </w:trPr>
        <w:tc>
          <w:tcPr>
            <w:tcW w:w="1820" w:type="dxa"/>
            <w:tcBorders>
              <w:top w:val="nil"/>
              <w:left w:val="single" w:sz="8" w:space="0" w:color="009900"/>
              <w:bottom w:val="nil"/>
              <w:right w:val="nil"/>
            </w:tcBorders>
            <w:shd w:val="clear" w:color="000000" w:fill="FFFFE1"/>
            <w:vAlign w:val="center"/>
            <w:hideMark/>
          </w:tcPr>
          <w:p w:rsidR="005C5F6F" w:rsidRPr="00283FD1" w:rsidRDefault="005C5F6F" w:rsidP="002074BB">
            <w:pPr>
              <w:rPr>
                <w:rFonts w:ascii="Arial" w:hAnsi="Arial" w:cs="Arial"/>
                <w:color w:val="000000"/>
                <w:sz w:val="16"/>
                <w:szCs w:val="16"/>
              </w:rPr>
            </w:pPr>
            <w:r w:rsidRPr="00283FD1">
              <w:rPr>
                <w:rFonts w:ascii="Arial" w:hAnsi="Arial" w:cs="Arial"/>
                <w:color w:val="000000"/>
                <w:sz w:val="16"/>
                <w:szCs w:val="16"/>
              </w:rPr>
              <w:t>50.1-80% HAMFI</w:t>
            </w:r>
          </w:p>
        </w:tc>
        <w:tc>
          <w:tcPr>
            <w:tcW w:w="108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10,760</w:t>
            </w:r>
          </w:p>
        </w:tc>
        <w:tc>
          <w:tcPr>
            <w:tcW w:w="102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605</w:t>
            </w:r>
          </w:p>
        </w:tc>
        <w:tc>
          <w:tcPr>
            <w:tcW w:w="112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435</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2,075</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85</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510</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12,010</w:t>
            </w:r>
          </w:p>
        </w:tc>
        <w:tc>
          <w:tcPr>
            <w:tcW w:w="960" w:type="dxa"/>
            <w:tcBorders>
              <w:top w:val="nil"/>
              <w:left w:val="nil"/>
              <w:bottom w:val="nil"/>
              <w:right w:val="single" w:sz="8" w:space="0" w:color="009900"/>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26,480</w:t>
            </w:r>
          </w:p>
        </w:tc>
      </w:tr>
      <w:tr w:rsidR="005C5F6F" w:rsidRPr="00283FD1" w:rsidTr="002074BB">
        <w:trPr>
          <w:trHeight w:val="300"/>
          <w:jc w:val="center"/>
        </w:trPr>
        <w:tc>
          <w:tcPr>
            <w:tcW w:w="1820" w:type="dxa"/>
            <w:tcBorders>
              <w:top w:val="nil"/>
              <w:left w:val="single" w:sz="8" w:space="0" w:color="009900"/>
              <w:bottom w:val="nil"/>
              <w:right w:val="nil"/>
            </w:tcBorders>
            <w:shd w:val="clear" w:color="000000" w:fill="FFFFE1"/>
            <w:vAlign w:val="center"/>
            <w:hideMark/>
          </w:tcPr>
          <w:p w:rsidR="005C5F6F" w:rsidRPr="00283FD1" w:rsidRDefault="005C5F6F" w:rsidP="002074BB">
            <w:pPr>
              <w:rPr>
                <w:rFonts w:ascii="Arial" w:hAnsi="Arial" w:cs="Arial"/>
                <w:color w:val="000000"/>
                <w:sz w:val="16"/>
                <w:szCs w:val="16"/>
              </w:rPr>
            </w:pPr>
            <w:r w:rsidRPr="00283FD1">
              <w:rPr>
                <w:rFonts w:ascii="Arial" w:hAnsi="Arial" w:cs="Arial"/>
                <w:color w:val="000000"/>
                <w:sz w:val="16"/>
                <w:szCs w:val="16"/>
              </w:rPr>
              <w:t>80.1-100% HAMFI</w:t>
            </w:r>
          </w:p>
        </w:tc>
        <w:tc>
          <w:tcPr>
            <w:tcW w:w="108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7,175</w:t>
            </w:r>
          </w:p>
        </w:tc>
        <w:tc>
          <w:tcPr>
            <w:tcW w:w="102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725</w:t>
            </w:r>
          </w:p>
        </w:tc>
        <w:tc>
          <w:tcPr>
            <w:tcW w:w="112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395</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1,465</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25</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255</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7,270</w:t>
            </w:r>
          </w:p>
        </w:tc>
        <w:tc>
          <w:tcPr>
            <w:tcW w:w="960" w:type="dxa"/>
            <w:tcBorders>
              <w:top w:val="nil"/>
              <w:left w:val="nil"/>
              <w:bottom w:val="nil"/>
              <w:right w:val="single" w:sz="8" w:space="0" w:color="009900"/>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17,310</w:t>
            </w:r>
          </w:p>
        </w:tc>
      </w:tr>
      <w:tr w:rsidR="005C5F6F" w:rsidRPr="00283FD1" w:rsidTr="002074BB">
        <w:trPr>
          <w:trHeight w:val="300"/>
          <w:jc w:val="center"/>
        </w:trPr>
        <w:tc>
          <w:tcPr>
            <w:tcW w:w="1820" w:type="dxa"/>
            <w:tcBorders>
              <w:top w:val="nil"/>
              <w:left w:val="single" w:sz="8" w:space="0" w:color="009900"/>
              <w:bottom w:val="nil"/>
              <w:right w:val="nil"/>
            </w:tcBorders>
            <w:shd w:val="clear" w:color="000000" w:fill="FFFFE1"/>
            <w:vAlign w:val="center"/>
            <w:hideMark/>
          </w:tcPr>
          <w:p w:rsidR="005C5F6F" w:rsidRPr="00283FD1" w:rsidRDefault="005C5F6F" w:rsidP="002074BB">
            <w:pPr>
              <w:rPr>
                <w:rFonts w:ascii="Arial" w:hAnsi="Arial" w:cs="Arial"/>
                <w:color w:val="000000"/>
                <w:sz w:val="16"/>
                <w:szCs w:val="16"/>
              </w:rPr>
            </w:pPr>
            <w:r w:rsidRPr="00283FD1">
              <w:rPr>
                <w:rFonts w:ascii="Arial" w:hAnsi="Arial" w:cs="Arial"/>
                <w:color w:val="000000"/>
                <w:sz w:val="16"/>
                <w:szCs w:val="16"/>
              </w:rPr>
              <w:t>100.1% HAMFI or more</w:t>
            </w:r>
          </w:p>
        </w:tc>
        <w:tc>
          <w:tcPr>
            <w:tcW w:w="108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35,260</w:t>
            </w:r>
          </w:p>
        </w:tc>
        <w:tc>
          <w:tcPr>
            <w:tcW w:w="102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1,890</w:t>
            </w:r>
          </w:p>
        </w:tc>
        <w:tc>
          <w:tcPr>
            <w:tcW w:w="112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1,180</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3,210</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35</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810</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17,475</w:t>
            </w:r>
          </w:p>
        </w:tc>
        <w:tc>
          <w:tcPr>
            <w:tcW w:w="960" w:type="dxa"/>
            <w:tcBorders>
              <w:top w:val="nil"/>
              <w:left w:val="nil"/>
              <w:bottom w:val="nil"/>
              <w:right w:val="single" w:sz="8" w:space="0" w:color="009900"/>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59,860</w:t>
            </w:r>
          </w:p>
        </w:tc>
      </w:tr>
      <w:tr w:rsidR="005C5F6F" w:rsidRPr="00283FD1" w:rsidTr="002074BB">
        <w:trPr>
          <w:trHeight w:val="315"/>
          <w:jc w:val="center"/>
        </w:trPr>
        <w:tc>
          <w:tcPr>
            <w:tcW w:w="1820" w:type="dxa"/>
            <w:tcBorders>
              <w:top w:val="dotted" w:sz="4" w:space="0" w:color="009900"/>
              <w:left w:val="single" w:sz="8" w:space="0" w:color="009900"/>
              <w:bottom w:val="single" w:sz="8" w:space="0" w:color="009900"/>
              <w:right w:val="nil"/>
            </w:tcBorders>
            <w:shd w:val="clear" w:color="000000" w:fill="FFFFE1"/>
            <w:noWrap/>
            <w:vAlign w:val="center"/>
            <w:hideMark/>
          </w:tcPr>
          <w:p w:rsidR="005C5F6F" w:rsidRPr="00283FD1" w:rsidRDefault="005C5F6F" w:rsidP="002074BB">
            <w:pPr>
              <w:rPr>
                <w:rFonts w:ascii="Arial" w:hAnsi="Arial" w:cs="Arial"/>
                <w:color w:val="000000"/>
                <w:sz w:val="16"/>
                <w:szCs w:val="16"/>
              </w:rPr>
            </w:pPr>
            <w:r w:rsidRPr="00283FD1">
              <w:rPr>
                <w:rFonts w:ascii="Arial" w:hAnsi="Arial" w:cs="Arial"/>
                <w:color w:val="000000"/>
                <w:sz w:val="16"/>
                <w:szCs w:val="16"/>
              </w:rPr>
              <w:t>Total</w:t>
            </w:r>
          </w:p>
        </w:tc>
        <w:tc>
          <w:tcPr>
            <w:tcW w:w="1080" w:type="dxa"/>
            <w:tcBorders>
              <w:top w:val="dotted" w:sz="4" w:space="0" w:color="009900"/>
              <w:left w:val="nil"/>
              <w:bottom w:val="single" w:sz="8" w:space="0" w:color="009900"/>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59,895</w:t>
            </w:r>
          </w:p>
        </w:tc>
        <w:tc>
          <w:tcPr>
            <w:tcW w:w="1020" w:type="dxa"/>
            <w:tcBorders>
              <w:top w:val="dotted" w:sz="4" w:space="0" w:color="009900"/>
              <w:left w:val="nil"/>
              <w:bottom w:val="single" w:sz="8" w:space="0" w:color="009900"/>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3,630</w:t>
            </w:r>
          </w:p>
        </w:tc>
        <w:tc>
          <w:tcPr>
            <w:tcW w:w="1120" w:type="dxa"/>
            <w:tcBorders>
              <w:top w:val="dotted" w:sz="4" w:space="0" w:color="009900"/>
              <w:left w:val="nil"/>
              <w:bottom w:val="single" w:sz="8" w:space="0" w:color="009900"/>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2,270</w:t>
            </w:r>
          </w:p>
        </w:tc>
        <w:tc>
          <w:tcPr>
            <w:tcW w:w="960" w:type="dxa"/>
            <w:tcBorders>
              <w:top w:val="dotted" w:sz="4" w:space="0" w:color="009900"/>
              <w:left w:val="nil"/>
              <w:bottom w:val="single" w:sz="8" w:space="0" w:color="009900"/>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8,395</w:t>
            </w:r>
          </w:p>
        </w:tc>
        <w:tc>
          <w:tcPr>
            <w:tcW w:w="960" w:type="dxa"/>
            <w:tcBorders>
              <w:top w:val="dotted" w:sz="4" w:space="0" w:color="009900"/>
              <w:left w:val="nil"/>
              <w:bottom w:val="single" w:sz="8" w:space="0" w:color="009900"/>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145</w:t>
            </w:r>
          </w:p>
        </w:tc>
        <w:tc>
          <w:tcPr>
            <w:tcW w:w="960" w:type="dxa"/>
            <w:tcBorders>
              <w:top w:val="dotted" w:sz="4" w:space="0" w:color="009900"/>
              <w:left w:val="nil"/>
              <w:bottom w:val="single" w:sz="8" w:space="0" w:color="009900"/>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1,940</w:t>
            </w:r>
          </w:p>
        </w:tc>
        <w:tc>
          <w:tcPr>
            <w:tcW w:w="960" w:type="dxa"/>
            <w:tcBorders>
              <w:top w:val="dotted" w:sz="4" w:space="0" w:color="009900"/>
              <w:left w:val="nil"/>
              <w:bottom w:val="single" w:sz="8" w:space="0" w:color="009900"/>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46,045</w:t>
            </w:r>
          </w:p>
        </w:tc>
        <w:tc>
          <w:tcPr>
            <w:tcW w:w="960" w:type="dxa"/>
            <w:tcBorders>
              <w:top w:val="dotted" w:sz="4" w:space="0" w:color="009900"/>
              <w:left w:val="nil"/>
              <w:bottom w:val="single" w:sz="8" w:space="0" w:color="009900"/>
              <w:right w:val="single" w:sz="8" w:space="0" w:color="009900"/>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122,320</w:t>
            </w:r>
          </w:p>
        </w:tc>
      </w:tr>
      <w:tr w:rsidR="005C5F6F" w:rsidRPr="00283FD1" w:rsidTr="002074BB">
        <w:trPr>
          <w:trHeight w:val="315"/>
          <w:jc w:val="center"/>
        </w:trPr>
        <w:tc>
          <w:tcPr>
            <w:tcW w:w="9840" w:type="dxa"/>
            <w:gridSpan w:val="9"/>
            <w:tcBorders>
              <w:top w:val="single" w:sz="8" w:space="0" w:color="009900"/>
              <w:left w:val="single" w:sz="8" w:space="0" w:color="009900"/>
              <w:bottom w:val="single" w:sz="8" w:space="0" w:color="009900"/>
              <w:right w:val="single" w:sz="8" w:space="0" w:color="009900"/>
            </w:tcBorders>
            <w:shd w:val="clear" w:color="000000" w:fill="FFFFE1"/>
            <w:noWrap/>
            <w:vAlign w:val="center"/>
            <w:hideMark/>
          </w:tcPr>
          <w:p w:rsidR="005C5F6F" w:rsidRPr="00283FD1" w:rsidRDefault="005C5F6F" w:rsidP="002074BB">
            <w:pPr>
              <w:jc w:val="center"/>
              <w:rPr>
                <w:rFonts w:ascii="Arial" w:hAnsi="Arial" w:cs="Arial"/>
                <w:b/>
                <w:bCs/>
                <w:color w:val="000000"/>
                <w:sz w:val="16"/>
                <w:szCs w:val="16"/>
              </w:rPr>
            </w:pPr>
            <w:r w:rsidRPr="00283FD1">
              <w:rPr>
                <w:rFonts w:ascii="Arial" w:hAnsi="Arial" w:cs="Arial"/>
                <w:b/>
                <w:bCs/>
                <w:color w:val="000000"/>
                <w:sz w:val="16"/>
                <w:szCs w:val="16"/>
              </w:rPr>
              <w:t xml:space="preserve">Housing Problems Not Computed </w:t>
            </w:r>
          </w:p>
        </w:tc>
      </w:tr>
      <w:tr w:rsidR="005C5F6F" w:rsidRPr="00283FD1" w:rsidTr="002074BB">
        <w:trPr>
          <w:trHeight w:val="300"/>
          <w:jc w:val="center"/>
        </w:trPr>
        <w:tc>
          <w:tcPr>
            <w:tcW w:w="1820" w:type="dxa"/>
            <w:tcBorders>
              <w:top w:val="nil"/>
              <w:left w:val="single" w:sz="8" w:space="0" w:color="009900"/>
              <w:bottom w:val="nil"/>
              <w:right w:val="nil"/>
            </w:tcBorders>
            <w:shd w:val="clear" w:color="000000" w:fill="FFFFE1"/>
            <w:vAlign w:val="center"/>
            <w:hideMark/>
          </w:tcPr>
          <w:p w:rsidR="005C5F6F" w:rsidRPr="00283FD1" w:rsidRDefault="005C5F6F" w:rsidP="002074BB">
            <w:pPr>
              <w:rPr>
                <w:rFonts w:ascii="Arial" w:hAnsi="Arial" w:cs="Arial"/>
                <w:color w:val="000000"/>
                <w:sz w:val="16"/>
                <w:szCs w:val="16"/>
              </w:rPr>
            </w:pPr>
            <w:r w:rsidRPr="00283FD1">
              <w:rPr>
                <w:rFonts w:ascii="Arial" w:hAnsi="Arial" w:cs="Arial"/>
                <w:color w:val="000000"/>
                <w:sz w:val="16"/>
                <w:szCs w:val="16"/>
              </w:rPr>
              <w:t>30% HAMFI or less</w:t>
            </w:r>
          </w:p>
        </w:tc>
        <w:tc>
          <w:tcPr>
            <w:tcW w:w="108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1,605</w:t>
            </w:r>
          </w:p>
        </w:tc>
        <w:tc>
          <w:tcPr>
            <w:tcW w:w="102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285</w:t>
            </w:r>
          </w:p>
        </w:tc>
        <w:tc>
          <w:tcPr>
            <w:tcW w:w="112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260</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455</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35</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55</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2,505</w:t>
            </w:r>
          </w:p>
        </w:tc>
        <w:tc>
          <w:tcPr>
            <w:tcW w:w="960" w:type="dxa"/>
            <w:tcBorders>
              <w:top w:val="nil"/>
              <w:left w:val="nil"/>
              <w:bottom w:val="nil"/>
              <w:right w:val="single" w:sz="8" w:space="0" w:color="009900"/>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5,200</w:t>
            </w:r>
          </w:p>
        </w:tc>
      </w:tr>
      <w:tr w:rsidR="005C5F6F" w:rsidRPr="00283FD1" w:rsidTr="002074BB">
        <w:trPr>
          <w:trHeight w:val="300"/>
          <w:jc w:val="center"/>
        </w:trPr>
        <w:tc>
          <w:tcPr>
            <w:tcW w:w="1820" w:type="dxa"/>
            <w:tcBorders>
              <w:top w:val="nil"/>
              <w:left w:val="single" w:sz="8" w:space="0" w:color="009900"/>
              <w:bottom w:val="nil"/>
              <w:right w:val="nil"/>
            </w:tcBorders>
            <w:shd w:val="clear" w:color="000000" w:fill="FFFFE1"/>
            <w:vAlign w:val="center"/>
            <w:hideMark/>
          </w:tcPr>
          <w:p w:rsidR="005C5F6F" w:rsidRPr="00283FD1" w:rsidRDefault="005C5F6F" w:rsidP="002074BB">
            <w:pPr>
              <w:rPr>
                <w:rFonts w:ascii="Arial" w:hAnsi="Arial" w:cs="Arial"/>
                <w:color w:val="000000"/>
                <w:sz w:val="16"/>
                <w:szCs w:val="16"/>
              </w:rPr>
            </w:pPr>
            <w:r w:rsidRPr="00283FD1">
              <w:rPr>
                <w:rFonts w:ascii="Arial" w:hAnsi="Arial" w:cs="Arial"/>
                <w:color w:val="000000"/>
                <w:sz w:val="16"/>
                <w:szCs w:val="16"/>
              </w:rPr>
              <w:t>30.1-50% HAMFI</w:t>
            </w:r>
          </w:p>
        </w:tc>
        <w:tc>
          <w:tcPr>
            <w:tcW w:w="108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0</w:t>
            </w:r>
          </w:p>
        </w:tc>
        <w:tc>
          <w:tcPr>
            <w:tcW w:w="102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0</w:t>
            </w:r>
          </w:p>
        </w:tc>
        <w:tc>
          <w:tcPr>
            <w:tcW w:w="112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0</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0</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0</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0</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0</w:t>
            </w:r>
          </w:p>
        </w:tc>
        <w:tc>
          <w:tcPr>
            <w:tcW w:w="960" w:type="dxa"/>
            <w:tcBorders>
              <w:top w:val="nil"/>
              <w:left w:val="nil"/>
              <w:bottom w:val="nil"/>
              <w:right w:val="single" w:sz="8" w:space="0" w:color="009900"/>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0</w:t>
            </w:r>
          </w:p>
        </w:tc>
      </w:tr>
      <w:tr w:rsidR="005C5F6F" w:rsidRPr="00283FD1" w:rsidTr="002074BB">
        <w:trPr>
          <w:trHeight w:val="300"/>
          <w:jc w:val="center"/>
        </w:trPr>
        <w:tc>
          <w:tcPr>
            <w:tcW w:w="1820" w:type="dxa"/>
            <w:tcBorders>
              <w:top w:val="nil"/>
              <w:left w:val="single" w:sz="8" w:space="0" w:color="009900"/>
              <w:bottom w:val="nil"/>
              <w:right w:val="nil"/>
            </w:tcBorders>
            <w:shd w:val="clear" w:color="000000" w:fill="FFFFE1"/>
            <w:vAlign w:val="center"/>
            <w:hideMark/>
          </w:tcPr>
          <w:p w:rsidR="005C5F6F" w:rsidRPr="00283FD1" w:rsidRDefault="005C5F6F" w:rsidP="002074BB">
            <w:pPr>
              <w:rPr>
                <w:rFonts w:ascii="Arial" w:hAnsi="Arial" w:cs="Arial"/>
                <w:color w:val="000000"/>
                <w:sz w:val="16"/>
                <w:szCs w:val="16"/>
              </w:rPr>
            </w:pPr>
            <w:r w:rsidRPr="00283FD1">
              <w:rPr>
                <w:rFonts w:ascii="Arial" w:hAnsi="Arial" w:cs="Arial"/>
                <w:color w:val="000000"/>
                <w:sz w:val="16"/>
                <w:szCs w:val="16"/>
              </w:rPr>
              <w:t>50.1-80% HAMFI</w:t>
            </w:r>
          </w:p>
        </w:tc>
        <w:tc>
          <w:tcPr>
            <w:tcW w:w="108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0</w:t>
            </w:r>
          </w:p>
        </w:tc>
        <w:tc>
          <w:tcPr>
            <w:tcW w:w="102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0</w:t>
            </w:r>
          </w:p>
        </w:tc>
        <w:tc>
          <w:tcPr>
            <w:tcW w:w="112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0</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0</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0</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0</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0</w:t>
            </w:r>
          </w:p>
        </w:tc>
        <w:tc>
          <w:tcPr>
            <w:tcW w:w="960" w:type="dxa"/>
            <w:tcBorders>
              <w:top w:val="nil"/>
              <w:left w:val="nil"/>
              <w:bottom w:val="nil"/>
              <w:right w:val="single" w:sz="8" w:space="0" w:color="009900"/>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0</w:t>
            </w:r>
          </w:p>
        </w:tc>
      </w:tr>
      <w:tr w:rsidR="005C5F6F" w:rsidRPr="00283FD1" w:rsidTr="002074BB">
        <w:trPr>
          <w:trHeight w:val="300"/>
          <w:jc w:val="center"/>
        </w:trPr>
        <w:tc>
          <w:tcPr>
            <w:tcW w:w="1820" w:type="dxa"/>
            <w:tcBorders>
              <w:top w:val="nil"/>
              <w:left w:val="single" w:sz="8" w:space="0" w:color="009900"/>
              <w:bottom w:val="nil"/>
              <w:right w:val="nil"/>
            </w:tcBorders>
            <w:shd w:val="clear" w:color="000000" w:fill="FFFFE1"/>
            <w:vAlign w:val="center"/>
            <w:hideMark/>
          </w:tcPr>
          <w:p w:rsidR="005C5F6F" w:rsidRPr="00283FD1" w:rsidRDefault="005C5F6F" w:rsidP="002074BB">
            <w:pPr>
              <w:rPr>
                <w:rFonts w:ascii="Arial" w:hAnsi="Arial" w:cs="Arial"/>
                <w:color w:val="000000"/>
                <w:sz w:val="16"/>
                <w:szCs w:val="16"/>
              </w:rPr>
            </w:pPr>
            <w:r w:rsidRPr="00283FD1">
              <w:rPr>
                <w:rFonts w:ascii="Arial" w:hAnsi="Arial" w:cs="Arial"/>
                <w:color w:val="000000"/>
                <w:sz w:val="16"/>
                <w:szCs w:val="16"/>
              </w:rPr>
              <w:t>80.1-100% HAMFI</w:t>
            </w:r>
          </w:p>
        </w:tc>
        <w:tc>
          <w:tcPr>
            <w:tcW w:w="108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0</w:t>
            </w:r>
          </w:p>
        </w:tc>
        <w:tc>
          <w:tcPr>
            <w:tcW w:w="102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0</w:t>
            </w:r>
          </w:p>
        </w:tc>
        <w:tc>
          <w:tcPr>
            <w:tcW w:w="112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0</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0</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0</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0</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0</w:t>
            </w:r>
          </w:p>
        </w:tc>
        <w:tc>
          <w:tcPr>
            <w:tcW w:w="960" w:type="dxa"/>
            <w:tcBorders>
              <w:top w:val="nil"/>
              <w:left w:val="nil"/>
              <w:bottom w:val="nil"/>
              <w:right w:val="single" w:sz="8" w:space="0" w:color="009900"/>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0</w:t>
            </w:r>
          </w:p>
        </w:tc>
      </w:tr>
      <w:tr w:rsidR="005C5F6F" w:rsidRPr="00283FD1" w:rsidTr="002074BB">
        <w:trPr>
          <w:trHeight w:val="300"/>
          <w:jc w:val="center"/>
        </w:trPr>
        <w:tc>
          <w:tcPr>
            <w:tcW w:w="1820" w:type="dxa"/>
            <w:tcBorders>
              <w:top w:val="nil"/>
              <w:left w:val="single" w:sz="8" w:space="0" w:color="009900"/>
              <w:bottom w:val="nil"/>
              <w:right w:val="nil"/>
            </w:tcBorders>
            <w:shd w:val="clear" w:color="000000" w:fill="FFFFE1"/>
            <w:vAlign w:val="center"/>
            <w:hideMark/>
          </w:tcPr>
          <w:p w:rsidR="005C5F6F" w:rsidRPr="00283FD1" w:rsidRDefault="005C5F6F" w:rsidP="002074BB">
            <w:pPr>
              <w:rPr>
                <w:rFonts w:ascii="Arial" w:hAnsi="Arial" w:cs="Arial"/>
                <w:color w:val="000000"/>
                <w:sz w:val="16"/>
                <w:szCs w:val="16"/>
              </w:rPr>
            </w:pPr>
            <w:r w:rsidRPr="00283FD1">
              <w:rPr>
                <w:rFonts w:ascii="Arial" w:hAnsi="Arial" w:cs="Arial"/>
                <w:color w:val="000000"/>
                <w:sz w:val="16"/>
                <w:szCs w:val="16"/>
              </w:rPr>
              <w:t>100.1% HAMFI or more</w:t>
            </w:r>
          </w:p>
        </w:tc>
        <w:tc>
          <w:tcPr>
            <w:tcW w:w="108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0</w:t>
            </w:r>
          </w:p>
        </w:tc>
        <w:tc>
          <w:tcPr>
            <w:tcW w:w="102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0</w:t>
            </w:r>
          </w:p>
        </w:tc>
        <w:tc>
          <w:tcPr>
            <w:tcW w:w="112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0</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0</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0</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0</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0</w:t>
            </w:r>
          </w:p>
        </w:tc>
        <w:tc>
          <w:tcPr>
            <w:tcW w:w="960" w:type="dxa"/>
            <w:tcBorders>
              <w:top w:val="nil"/>
              <w:left w:val="nil"/>
              <w:bottom w:val="nil"/>
              <w:right w:val="single" w:sz="8" w:space="0" w:color="009900"/>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0</w:t>
            </w:r>
          </w:p>
        </w:tc>
      </w:tr>
      <w:tr w:rsidR="005C5F6F" w:rsidRPr="00283FD1" w:rsidTr="002074BB">
        <w:trPr>
          <w:trHeight w:val="315"/>
          <w:jc w:val="center"/>
        </w:trPr>
        <w:tc>
          <w:tcPr>
            <w:tcW w:w="1820" w:type="dxa"/>
            <w:tcBorders>
              <w:top w:val="dotted" w:sz="4" w:space="0" w:color="009900"/>
              <w:left w:val="single" w:sz="8" w:space="0" w:color="009900"/>
              <w:bottom w:val="single" w:sz="8" w:space="0" w:color="009900"/>
              <w:right w:val="nil"/>
            </w:tcBorders>
            <w:shd w:val="clear" w:color="000000" w:fill="FFFFE1"/>
            <w:noWrap/>
            <w:vAlign w:val="center"/>
            <w:hideMark/>
          </w:tcPr>
          <w:p w:rsidR="005C5F6F" w:rsidRPr="00283FD1" w:rsidRDefault="005C5F6F" w:rsidP="002074BB">
            <w:pPr>
              <w:rPr>
                <w:rFonts w:ascii="Arial" w:hAnsi="Arial" w:cs="Arial"/>
                <w:color w:val="000000"/>
                <w:sz w:val="16"/>
                <w:szCs w:val="16"/>
              </w:rPr>
            </w:pPr>
            <w:r w:rsidRPr="00283FD1">
              <w:rPr>
                <w:rFonts w:ascii="Arial" w:hAnsi="Arial" w:cs="Arial"/>
                <w:color w:val="000000"/>
                <w:sz w:val="16"/>
                <w:szCs w:val="16"/>
              </w:rPr>
              <w:t>Total</w:t>
            </w:r>
          </w:p>
        </w:tc>
        <w:tc>
          <w:tcPr>
            <w:tcW w:w="1080" w:type="dxa"/>
            <w:tcBorders>
              <w:top w:val="dotted" w:sz="4" w:space="0" w:color="009900"/>
              <w:left w:val="nil"/>
              <w:bottom w:val="single" w:sz="8" w:space="0" w:color="009900"/>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1,605</w:t>
            </w:r>
          </w:p>
        </w:tc>
        <w:tc>
          <w:tcPr>
            <w:tcW w:w="1020" w:type="dxa"/>
            <w:tcBorders>
              <w:top w:val="dotted" w:sz="4" w:space="0" w:color="009900"/>
              <w:left w:val="nil"/>
              <w:bottom w:val="single" w:sz="8" w:space="0" w:color="009900"/>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285</w:t>
            </w:r>
          </w:p>
        </w:tc>
        <w:tc>
          <w:tcPr>
            <w:tcW w:w="1120" w:type="dxa"/>
            <w:tcBorders>
              <w:top w:val="dotted" w:sz="4" w:space="0" w:color="009900"/>
              <w:left w:val="nil"/>
              <w:bottom w:val="single" w:sz="8" w:space="0" w:color="009900"/>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260</w:t>
            </w:r>
          </w:p>
        </w:tc>
        <w:tc>
          <w:tcPr>
            <w:tcW w:w="960" w:type="dxa"/>
            <w:tcBorders>
              <w:top w:val="dotted" w:sz="4" w:space="0" w:color="009900"/>
              <w:left w:val="nil"/>
              <w:bottom w:val="single" w:sz="8" w:space="0" w:color="009900"/>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455</w:t>
            </w:r>
          </w:p>
        </w:tc>
        <w:tc>
          <w:tcPr>
            <w:tcW w:w="960" w:type="dxa"/>
            <w:tcBorders>
              <w:top w:val="dotted" w:sz="4" w:space="0" w:color="009900"/>
              <w:left w:val="nil"/>
              <w:bottom w:val="single" w:sz="8" w:space="0" w:color="009900"/>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35</w:t>
            </w:r>
          </w:p>
        </w:tc>
        <w:tc>
          <w:tcPr>
            <w:tcW w:w="960" w:type="dxa"/>
            <w:tcBorders>
              <w:top w:val="dotted" w:sz="4" w:space="0" w:color="009900"/>
              <w:left w:val="nil"/>
              <w:bottom w:val="single" w:sz="8" w:space="0" w:color="009900"/>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55</w:t>
            </w:r>
          </w:p>
        </w:tc>
        <w:tc>
          <w:tcPr>
            <w:tcW w:w="960" w:type="dxa"/>
            <w:tcBorders>
              <w:top w:val="dotted" w:sz="4" w:space="0" w:color="009900"/>
              <w:left w:val="nil"/>
              <w:bottom w:val="single" w:sz="8" w:space="0" w:color="009900"/>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2,505</w:t>
            </w:r>
          </w:p>
        </w:tc>
        <w:tc>
          <w:tcPr>
            <w:tcW w:w="960" w:type="dxa"/>
            <w:tcBorders>
              <w:top w:val="dotted" w:sz="4" w:space="0" w:color="009900"/>
              <w:left w:val="nil"/>
              <w:bottom w:val="single" w:sz="8" w:space="0" w:color="009900"/>
              <w:right w:val="single" w:sz="8" w:space="0" w:color="009900"/>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5,200</w:t>
            </w:r>
          </w:p>
        </w:tc>
      </w:tr>
      <w:tr w:rsidR="005C5F6F" w:rsidRPr="00283FD1" w:rsidTr="002074BB">
        <w:trPr>
          <w:trHeight w:val="315"/>
          <w:jc w:val="center"/>
        </w:trPr>
        <w:tc>
          <w:tcPr>
            <w:tcW w:w="9840" w:type="dxa"/>
            <w:gridSpan w:val="9"/>
            <w:tcBorders>
              <w:top w:val="single" w:sz="8" w:space="0" w:color="009900"/>
              <w:left w:val="single" w:sz="8" w:space="0" w:color="009900"/>
              <w:bottom w:val="single" w:sz="8" w:space="0" w:color="009900"/>
              <w:right w:val="single" w:sz="8" w:space="0" w:color="009900"/>
            </w:tcBorders>
            <w:shd w:val="clear" w:color="000000" w:fill="FFFFE1"/>
            <w:noWrap/>
            <w:vAlign w:val="center"/>
            <w:hideMark/>
          </w:tcPr>
          <w:p w:rsidR="005C5F6F" w:rsidRPr="00283FD1" w:rsidRDefault="005C5F6F" w:rsidP="002074BB">
            <w:pPr>
              <w:jc w:val="center"/>
              <w:rPr>
                <w:rFonts w:ascii="Arial" w:hAnsi="Arial" w:cs="Arial"/>
                <w:b/>
                <w:bCs/>
                <w:color w:val="000000"/>
                <w:sz w:val="16"/>
                <w:szCs w:val="16"/>
              </w:rPr>
            </w:pPr>
            <w:r w:rsidRPr="00283FD1">
              <w:rPr>
                <w:rFonts w:ascii="Arial" w:hAnsi="Arial" w:cs="Arial"/>
                <w:b/>
                <w:bCs/>
                <w:color w:val="000000"/>
                <w:sz w:val="16"/>
                <w:szCs w:val="16"/>
              </w:rPr>
              <w:t>Total</w:t>
            </w:r>
          </w:p>
        </w:tc>
      </w:tr>
      <w:tr w:rsidR="005C5F6F" w:rsidRPr="00283FD1" w:rsidTr="002074BB">
        <w:trPr>
          <w:trHeight w:val="300"/>
          <w:jc w:val="center"/>
        </w:trPr>
        <w:tc>
          <w:tcPr>
            <w:tcW w:w="1820" w:type="dxa"/>
            <w:tcBorders>
              <w:top w:val="nil"/>
              <w:left w:val="single" w:sz="8" w:space="0" w:color="009900"/>
              <w:bottom w:val="nil"/>
              <w:right w:val="nil"/>
            </w:tcBorders>
            <w:shd w:val="clear" w:color="000000" w:fill="FFFFE1"/>
            <w:vAlign w:val="center"/>
            <w:hideMark/>
          </w:tcPr>
          <w:p w:rsidR="005C5F6F" w:rsidRPr="00283FD1" w:rsidRDefault="005C5F6F" w:rsidP="002074BB">
            <w:pPr>
              <w:rPr>
                <w:rFonts w:ascii="Arial" w:hAnsi="Arial" w:cs="Arial"/>
                <w:color w:val="000000"/>
                <w:sz w:val="16"/>
                <w:szCs w:val="16"/>
              </w:rPr>
            </w:pPr>
            <w:r w:rsidRPr="00283FD1">
              <w:rPr>
                <w:rFonts w:ascii="Arial" w:hAnsi="Arial" w:cs="Arial"/>
                <w:color w:val="000000"/>
                <w:sz w:val="16"/>
                <w:szCs w:val="16"/>
              </w:rPr>
              <w:t>30% HAMFI or less</w:t>
            </w:r>
          </w:p>
        </w:tc>
        <w:tc>
          <w:tcPr>
            <w:tcW w:w="108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18,530</w:t>
            </w:r>
          </w:p>
        </w:tc>
        <w:tc>
          <w:tcPr>
            <w:tcW w:w="102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2,125</w:t>
            </w:r>
          </w:p>
        </w:tc>
        <w:tc>
          <w:tcPr>
            <w:tcW w:w="112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760</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4,350</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60</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820</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27,195</w:t>
            </w:r>
          </w:p>
        </w:tc>
        <w:tc>
          <w:tcPr>
            <w:tcW w:w="960" w:type="dxa"/>
            <w:tcBorders>
              <w:top w:val="nil"/>
              <w:left w:val="nil"/>
              <w:bottom w:val="nil"/>
              <w:right w:val="single" w:sz="8" w:space="0" w:color="009900"/>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53,840</w:t>
            </w:r>
          </w:p>
        </w:tc>
      </w:tr>
      <w:tr w:rsidR="005C5F6F" w:rsidRPr="00283FD1" w:rsidTr="002074BB">
        <w:trPr>
          <w:trHeight w:val="300"/>
          <w:jc w:val="center"/>
        </w:trPr>
        <w:tc>
          <w:tcPr>
            <w:tcW w:w="1820" w:type="dxa"/>
            <w:tcBorders>
              <w:top w:val="nil"/>
              <w:left w:val="single" w:sz="8" w:space="0" w:color="009900"/>
              <w:bottom w:val="nil"/>
              <w:right w:val="nil"/>
            </w:tcBorders>
            <w:shd w:val="clear" w:color="000000" w:fill="FFFFE1"/>
            <w:vAlign w:val="center"/>
            <w:hideMark/>
          </w:tcPr>
          <w:p w:rsidR="005C5F6F" w:rsidRPr="00283FD1" w:rsidRDefault="005C5F6F" w:rsidP="002074BB">
            <w:pPr>
              <w:rPr>
                <w:rFonts w:ascii="Arial" w:hAnsi="Arial" w:cs="Arial"/>
                <w:color w:val="000000"/>
                <w:sz w:val="16"/>
                <w:szCs w:val="16"/>
              </w:rPr>
            </w:pPr>
            <w:r w:rsidRPr="00283FD1">
              <w:rPr>
                <w:rFonts w:ascii="Arial" w:hAnsi="Arial" w:cs="Arial"/>
                <w:color w:val="000000"/>
                <w:sz w:val="16"/>
                <w:szCs w:val="16"/>
              </w:rPr>
              <w:t>30.1-50% HAMFI</w:t>
            </w:r>
          </w:p>
        </w:tc>
        <w:tc>
          <w:tcPr>
            <w:tcW w:w="108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15,015</w:t>
            </w:r>
          </w:p>
        </w:tc>
        <w:tc>
          <w:tcPr>
            <w:tcW w:w="102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905</w:t>
            </w:r>
          </w:p>
        </w:tc>
        <w:tc>
          <w:tcPr>
            <w:tcW w:w="112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595</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3,150</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4</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585</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19,575</w:t>
            </w:r>
          </w:p>
        </w:tc>
        <w:tc>
          <w:tcPr>
            <w:tcW w:w="960" w:type="dxa"/>
            <w:tcBorders>
              <w:top w:val="nil"/>
              <w:left w:val="nil"/>
              <w:bottom w:val="nil"/>
              <w:right w:val="single" w:sz="8" w:space="0" w:color="009900"/>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39,829</w:t>
            </w:r>
          </w:p>
        </w:tc>
      </w:tr>
      <w:tr w:rsidR="005C5F6F" w:rsidRPr="00283FD1" w:rsidTr="002074BB">
        <w:trPr>
          <w:trHeight w:val="300"/>
          <w:jc w:val="center"/>
        </w:trPr>
        <w:tc>
          <w:tcPr>
            <w:tcW w:w="1820" w:type="dxa"/>
            <w:tcBorders>
              <w:top w:val="nil"/>
              <w:left w:val="single" w:sz="8" w:space="0" w:color="009900"/>
              <w:bottom w:val="nil"/>
              <w:right w:val="nil"/>
            </w:tcBorders>
            <w:shd w:val="clear" w:color="000000" w:fill="FFFFE1"/>
            <w:vAlign w:val="center"/>
            <w:hideMark/>
          </w:tcPr>
          <w:p w:rsidR="005C5F6F" w:rsidRPr="00283FD1" w:rsidRDefault="005C5F6F" w:rsidP="002074BB">
            <w:pPr>
              <w:rPr>
                <w:rFonts w:ascii="Arial" w:hAnsi="Arial" w:cs="Arial"/>
                <w:color w:val="000000"/>
                <w:sz w:val="16"/>
                <w:szCs w:val="16"/>
              </w:rPr>
            </w:pPr>
            <w:r w:rsidRPr="00283FD1">
              <w:rPr>
                <w:rFonts w:ascii="Arial" w:hAnsi="Arial" w:cs="Arial"/>
                <w:color w:val="000000"/>
                <w:sz w:val="16"/>
                <w:szCs w:val="16"/>
              </w:rPr>
              <w:t>50.1-80% HAMFI</w:t>
            </w:r>
          </w:p>
        </w:tc>
        <w:tc>
          <w:tcPr>
            <w:tcW w:w="108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21,245</w:t>
            </w:r>
          </w:p>
        </w:tc>
        <w:tc>
          <w:tcPr>
            <w:tcW w:w="102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1,360</w:t>
            </w:r>
          </w:p>
        </w:tc>
        <w:tc>
          <w:tcPr>
            <w:tcW w:w="112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590</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3,320</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85</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760</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21,370</w:t>
            </w:r>
          </w:p>
        </w:tc>
        <w:tc>
          <w:tcPr>
            <w:tcW w:w="960" w:type="dxa"/>
            <w:tcBorders>
              <w:top w:val="nil"/>
              <w:left w:val="nil"/>
              <w:bottom w:val="nil"/>
              <w:right w:val="single" w:sz="8" w:space="0" w:color="009900"/>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48,730</w:t>
            </w:r>
          </w:p>
        </w:tc>
      </w:tr>
      <w:tr w:rsidR="005C5F6F" w:rsidRPr="00283FD1" w:rsidTr="002074BB">
        <w:trPr>
          <w:trHeight w:val="300"/>
          <w:jc w:val="center"/>
        </w:trPr>
        <w:tc>
          <w:tcPr>
            <w:tcW w:w="1820" w:type="dxa"/>
            <w:tcBorders>
              <w:top w:val="nil"/>
              <w:left w:val="single" w:sz="8" w:space="0" w:color="009900"/>
              <w:bottom w:val="nil"/>
              <w:right w:val="nil"/>
            </w:tcBorders>
            <w:shd w:val="clear" w:color="000000" w:fill="FFFFE1"/>
            <w:vAlign w:val="center"/>
            <w:hideMark/>
          </w:tcPr>
          <w:p w:rsidR="005C5F6F" w:rsidRPr="00283FD1" w:rsidRDefault="005C5F6F" w:rsidP="002074BB">
            <w:pPr>
              <w:rPr>
                <w:rFonts w:ascii="Arial" w:hAnsi="Arial" w:cs="Arial"/>
                <w:color w:val="000000"/>
                <w:sz w:val="16"/>
                <w:szCs w:val="16"/>
              </w:rPr>
            </w:pPr>
            <w:r w:rsidRPr="00283FD1">
              <w:rPr>
                <w:rFonts w:ascii="Arial" w:hAnsi="Arial" w:cs="Arial"/>
                <w:color w:val="000000"/>
                <w:sz w:val="16"/>
                <w:szCs w:val="16"/>
              </w:rPr>
              <w:t>80.1-100% HAMFI</w:t>
            </w:r>
          </w:p>
        </w:tc>
        <w:tc>
          <w:tcPr>
            <w:tcW w:w="108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9,785</w:t>
            </w:r>
          </w:p>
        </w:tc>
        <w:tc>
          <w:tcPr>
            <w:tcW w:w="102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1,000</w:t>
            </w:r>
          </w:p>
        </w:tc>
        <w:tc>
          <w:tcPr>
            <w:tcW w:w="112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445</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1,750</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35</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300</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8,965</w:t>
            </w:r>
          </w:p>
        </w:tc>
        <w:tc>
          <w:tcPr>
            <w:tcW w:w="960" w:type="dxa"/>
            <w:tcBorders>
              <w:top w:val="nil"/>
              <w:left w:val="nil"/>
              <w:bottom w:val="nil"/>
              <w:right w:val="single" w:sz="8" w:space="0" w:color="009900"/>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22,280</w:t>
            </w:r>
          </w:p>
        </w:tc>
      </w:tr>
      <w:tr w:rsidR="005C5F6F" w:rsidRPr="00283FD1" w:rsidTr="002074BB">
        <w:trPr>
          <w:trHeight w:val="315"/>
          <w:jc w:val="center"/>
        </w:trPr>
        <w:tc>
          <w:tcPr>
            <w:tcW w:w="1820" w:type="dxa"/>
            <w:tcBorders>
              <w:top w:val="nil"/>
              <w:left w:val="single" w:sz="8" w:space="0" w:color="009900"/>
              <w:bottom w:val="nil"/>
              <w:right w:val="nil"/>
            </w:tcBorders>
            <w:shd w:val="clear" w:color="000000" w:fill="FFFFE1"/>
            <w:vAlign w:val="center"/>
            <w:hideMark/>
          </w:tcPr>
          <w:p w:rsidR="005C5F6F" w:rsidRPr="00283FD1" w:rsidRDefault="005C5F6F" w:rsidP="002074BB">
            <w:pPr>
              <w:rPr>
                <w:rFonts w:ascii="Arial" w:hAnsi="Arial" w:cs="Arial"/>
                <w:color w:val="000000"/>
                <w:sz w:val="16"/>
                <w:szCs w:val="16"/>
              </w:rPr>
            </w:pPr>
            <w:r w:rsidRPr="00283FD1">
              <w:rPr>
                <w:rFonts w:ascii="Arial" w:hAnsi="Arial" w:cs="Arial"/>
                <w:color w:val="000000"/>
                <w:sz w:val="16"/>
                <w:szCs w:val="16"/>
              </w:rPr>
              <w:t>100.1% HAMFI or more</w:t>
            </w:r>
          </w:p>
        </w:tc>
        <w:tc>
          <w:tcPr>
            <w:tcW w:w="108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38,005</w:t>
            </w:r>
          </w:p>
        </w:tc>
        <w:tc>
          <w:tcPr>
            <w:tcW w:w="102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2,095</w:t>
            </w:r>
          </w:p>
        </w:tc>
        <w:tc>
          <w:tcPr>
            <w:tcW w:w="112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1,285</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3,905</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35</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835</w:t>
            </w:r>
          </w:p>
        </w:tc>
        <w:tc>
          <w:tcPr>
            <w:tcW w:w="960" w:type="dxa"/>
            <w:tcBorders>
              <w:top w:val="nil"/>
              <w:left w:val="nil"/>
              <w:bottom w:val="nil"/>
              <w:right w:val="nil"/>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18,675</w:t>
            </w:r>
          </w:p>
        </w:tc>
        <w:tc>
          <w:tcPr>
            <w:tcW w:w="960" w:type="dxa"/>
            <w:tcBorders>
              <w:top w:val="nil"/>
              <w:left w:val="nil"/>
              <w:bottom w:val="nil"/>
              <w:right w:val="single" w:sz="8" w:space="0" w:color="009900"/>
            </w:tcBorders>
            <w:shd w:val="clear" w:color="000000" w:fill="FFFFE1"/>
            <w:noWrap/>
            <w:vAlign w:val="center"/>
            <w:hideMark/>
          </w:tcPr>
          <w:p w:rsidR="005C5F6F" w:rsidRPr="00283FD1" w:rsidRDefault="005C5F6F" w:rsidP="002074BB">
            <w:pPr>
              <w:jc w:val="center"/>
              <w:rPr>
                <w:rFonts w:ascii="Arial" w:hAnsi="Arial" w:cs="Arial"/>
                <w:color w:val="000000"/>
                <w:sz w:val="16"/>
                <w:szCs w:val="16"/>
              </w:rPr>
            </w:pPr>
            <w:r w:rsidRPr="00283FD1">
              <w:rPr>
                <w:rFonts w:ascii="Arial" w:hAnsi="Arial" w:cs="Arial"/>
                <w:color w:val="000000"/>
                <w:sz w:val="16"/>
                <w:szCs w:val="16"/>
              </w:rPr>
              <w:t>64,835</w:t>
            </w:r>
          </w:p>
        </w:tc>
      </w:tr>
      <w:tr w:rsidR="005C5F6F" w:rsidRPr="00283FD1" w:rsidTr="002074BB">
        <w:trPr>
          <w:trHeight w:val="330"/>
          <w:jc w:val="center"/>
        </w:trPr>
        <w:tc>
          <w:tcPr>
            <w:tcW w:w="1820" w:type="dxa"/>
            <w:tcBorders>
              <w:top w:val="double" w:sz="6" w:space="0" w:color="009900"/>
              <w:left w:val="single" w:sz="8" w:space="0" w:color="009900"/>
              <w:bottom w:val="single" w:sz="8" w:space="0" w:color="009900"/>
              <w:right w:val="nil"/>
            </w:tcBorders>
            <w:shd w:val="clear" w:color="000000" w:fill="FFFFE1"/>
            <w:noWrap/>
            <w:vAlign w:val="center"/>
            <w:hideMark/>
          </w:tcPr>
          <w:p w:rsidR="005C5F6F" w:rsidRPr="00283FD1" w:rsidRDefault="005C5F6F" w:rsidP="002074BB">
            <w:pPr>
              <w:rPr>
                <w:rFonts w:ascii="Arial" w:hAnsi="Arial" w:cs="Arial"/>
                <w:b/>
                <w:bCs/>
                <w:color w:val="000000"/>
                <w:sz w:val="16"/>
                <w:szCs w:val="16"/>
              </w:rPr>
            </w:pPr>
            <w:r w:rsidRPr="00283FD1">
              <w:rPr>
                <w:rFonts w:ascii="Arial" w:hAnsi="Arial" w:cs="Arial"/>
                <w:b/>
                <w:bCs/>
                <w:color w:val="000000"/>
                <w:sz w:val="16"/>
                <w:szCs w:val="16"/>
              </w:rPr>
              <w:t>Total</w:t>
            </w:r>
          </w:p>
        </w:tc>
        <w:tc>
          <w:tcPr>
            <w:tcW w:w="1080" w:type="dxa"/>
            <w:tcBorders>
              <w:top w:val="double" w:sz="6" w:space="0" w:color="009900"/>
              <w:left w:val="nil"/>
              <w:bottom w:val="single" w:sz="8" w:space="0" w:color="009900"/>
              <w:right w:val="nil"/>
            </w:tcBorders>
            <w:shd w:val="clear" w:color="000000" w:fill="FFFFE1"/>
            <w:noWrap/>
            <w:vAlign w:val="center"/>
            <w:hideMark/>
          </w:tcPr>
          <w:p w:rsidR="005C5F6F" w:rsidRPr="00283FD1" w:rsidRDefault="005C5F6F" w:rsidP="002074BB">
            <w:pPr>
              <w:jc w:val="center"/>
              <w:rPr>
                <w:rFonts w:ascii="Arial" w:hAnsi="Arial" w:cs="Arial"/>
                <w:b/>
                <w:bCs/>
                <w:color w:val="000000"/>
                <w:sz w:val="16"/>
                <w:szCs w:val="16"/>
              </w:rPr>
            </w:pPr>
            <w:r w:rsidRPr="00283FD1">
              <w:rPr>
                <w:rFonts w:ascii="Arial" w:hAnsi="Arial" w:cs="Arial"/>
                <w:b/>
                <w:bCs/>
                <w:color w:val="000000"/>
                <w:sz w:val="16"/>
                <w:szCs w:val="16"/>
              </w:rPr>
              <w:t>102,580</w:t>
            </w:r>
          </w:p>
        </w:tc>
        <w:tc>
          <w:tcPr>
            <w:tcW w:w="1020" w:type="dxa"/>
            <w:tcBorders>
              <w:top w:val="double" w:sz="6" w:space="0" w:color="009900"/>
              <w:left w:val="nil"/>
              <w:bottom w:val="single" w:sz="8" w:space="0" w:color="009900"/>
              <w:right w:val="nil"/>
            </w:tcBorders>
            <w:shd w:val="clear" w:color="000000" w:fill="FFFFE1"/>
            <w:noWrap/>
            <w:vAlign w:val="center"/>
            <w:hideMark/>
          </w:tcPr>
          <w:p w:rsidR="005C5F6F" w:rsidRPr="00283FD1" w:rsidRDefault="005C5F6F" w:rsidP="002074BB">
            <w:pPr>
              <w:jc w:val="center"/>
              <w:rPr>
                <w:rFonts w:ascii="Arial" w:hAnsi="Arial" w:cs="Arial"/>
                <w:b/>
                <w:bCs/>
                <w:color w:val="000000"/>
                <w:sz w:val="16"/>
                <w:szCs w:val="16"/>
              </w:rPr>
            </w:pPr>
            <w:r w:rsidRPr="00283FD1">
              <w:rPr>
                <w:rFonts w:ascii="Arial" w:hAnsi="Arial" w:cs="Arial"/>
                <w:b/>
                <w:bCs/>
                <w:color w:val="000000"/>
                <w:sz w:val="16"/>
                <w:szCs w:val="16"/>
              </w:rPr>
              <w:t>7,485</w:t>
            </w:r>
          </w:p>
        </w:tc>
        <w:tc>
          <w:tcPr>
            <w:tcW w:w="1120" w:type="dxa"/>
            <w:tcBorders>
              <w:top w:val="double" w:sz="6" w:space="0" w:color="009900"/>
              <w:left w:val="nil"/>
              <w:bottom w:val="single" w:sz="8" w:space="0" w:color="009900"/>
              <w:right w:val="nil"/>
            </w:tcBorders>
            <w:shd w:val="clear" w:color="000000" w:fill="FFFFE1"/>
            <w:noWrap/>
            <w:vAlign w:val="center"/>
            <w:hideMark/>
          </w:tcPr>
          <w:p w:rsidR="005C5F6F" w:rsidRPr="00283FD1" w:rsidRDefault="005C5F6F" w:rsidP="002074BB">
            <w:pPr>
              <w:jc w:val="center"/>
              <w:rPr>
                <w:rFonts w:ascii="Arial" w:hAnsi="Arial" w:cs="Arial"/>
                <w:b/>
                <w:bCs/>
                <w:color w:val="000000"/>
                <w:sz w:val="16"/>
                <w:szCs w:val="16"/>
              </w:rPr>
            </w:pPr>
            <w:r w:rsidRPr="00283FD1">
              <w:rPr>
                <w:rFonts w:ascii="Arial" w:hAnsi="Arial" w:cs="Arial"/>
                <w:b/>
                <w:bCs/>
                <w:color w:val="000000"/>
                <w:sz w:val="16"/>
                <w:szCs w:val="16"/>
              </w:rPr>
              <w:t>3,675</w:t>
            </w:r>
          </w:p>
        </w:tc>
        <w:tc>
          <w:tcPr>
            <w:tcW w:w="960" w:type="dxa"/>
            <w:tcBorders>
              <w:top w:val="double" w:sz="6" w:space="0" w:color="009900"/>
              <w:left w:val="nil"/>
              <w:bottom w:val="single" w:sz="8" w:space="0" w:color="009900"/>
              <w:right w:val="nil"/>
            </w:tcBorders>
            <w:shd w:val="clear" w:color="000000" w:fill="FFFFE1"/>
            <w:noWrap/>
            <w:vAlign w:val="center"/>
            <w:hideMark/>
          </w:tcPr>
          <w:p w:rsidR="005C5F6F" w:rsidRPr="00283FD1" w:rsidRDefault="005C5F6F" w:rsidP="002074BB">
            <w:pPr>
              <w:jc w:val="center"/>
              <w:rPr>
                <w:rFonts w:ascii="Arial" w:hAnsi="Arial" w:cs="Arial"/>
                <w:b/>
                <w:bCs/>
                <w:color w:val="000000"/>
                <w:sz w:val="16"/>
                <w:szCs w:val="16"/>
              </w:rPr>
            </w:pPr>
            <w:r w:rsidRPr="00283FD1">
              <w:rPr>
                <w:rFonts w:ascii="Arial" w:hAnsi="Arial" w:cs="Arial"/>
                <w:b/>
                <w:bCs/>
                <w:color w:val="000000"/>
                <w:sz w:val="16"/>
                <w:szCs w:val="16"/>
              </w:rPr>
              <w:t>16,475</w:t>
            </w:r>
          </w:p>
        </w:tc>
        <w:tc>
          <w:tcPr>
            <w:tcW w:w="960" w:type="dxa"/>
            <w:tcBorders>
              <w:top w:val="double" w:sz="6" w:space="0" w:color="009900"/>
              <w:left w:val="nil"/>
              <w:bottom w:val="single" w:sz="8" w:space="0" w:color="009900"/>
              <w:right w:val="nil"/>
            </w:tcBorders>
            <w:shd w:val="clear" w:color="000000" w:fill="FFFFE1"/>
            <w:noWrap/>
            <w:vAlign w:val="center"/>
            <w:hideMark/>
          </w:tcPr>
          <w:p w:rsidR="005C5F6F" w:rsidRPr="00283FD1" w:rsidRDefault="005C5F6F" w:rsidP="002074BB">
            <w:pPr>
              <w:jc w:val="center"/>
              <w:rPr>
                <w:rFonts w:ascii="Arial" w:hAnsi="Arial" w:cs="Arial"/>
                <w:b/>
                <w:bCs/>
                <w:color w:val="000000"/>
                <w:sz w:val="16"/>
                <w:szCs w:val="16"/>
              </w:rPr>
            </w:pPr>
            <w:r w:rsidRPr="00283FD1">
              <w:rPr>
                <w:rFonts w:ascii="Arial" w:hAnsi="Arial" w:cs="Arial"/>
                <w:b/>
                <w:bCs/>
                <w:color w:val="000000"/>
                <w:sz w:val="16"/>
                <w:szCs w:val="16"/>
              </w:rPr>
              <w:t>219</w:t>
            </w:r>
          </w:p>
        </w:tc>
        <w:tc>
          <w:tcPr>
            <w:tcW w:w="960" w:type="dxa"/>
            <w:tcBorders>
              <w:top w:val="double" w:sz="6" w:space="0" w:color="009900"/>
              <w:left w:val="nil"/>
              <w:bottom w:val="single" w:sz="8" w:space="0" w:color="009900"/>
              <w:right w:val="nil"/>
            </w:tcBorders>
            <w:shd w:val="clear" w:color="000000" w:fill="FFFFE1"/>
            <w:noWrap/>
            <w:vAlign w:val="center"/>
            <w:hideMark/>
          </w:tcPr>
          <w:p w:rsidR="005C5F6F" w:rsidRPr="00283FD1" w:rsidRDefault="005C5F6F" w:rsidP="002074BB">
            <w:pPr>
              <w:jc w:val="center"/>
              <w:rPr>
                <w:rFonts w:ascii="Arial" w:hAnsi="Arial" w:cs="Arial"/>
                <w:b/>
                <w:bCs/>
                <w:color w:val="000000"/>
                <w:sz w:val="16"/>
                <w:szCs w:val="16"/>
              </w:rPr>
            </w:pPr>
            <w:r w:rsidRPr="00283FD1">
              <w:rPr>
                <w:rFonts w:ascii="Arial" w:hAnsi="Arial" w:cs="Arial"/>
                <w:b/>
                <w:bCs/>
                <w:color w:val="000000"/>
                <w:sz w:val="16"/>
                <w:szCs w:val="16"/>
              </w:rPr>
              <w:t>3,300</w:t>
            </w:r>
          </w:p>
        </w:tc>
        <w:tc>
          <w:tcPr>
            <w:tcW w:w="960" w:type="dxa"/>
            <w:tcBorders>
              <w:top w:val="double" w:sz="6" w:space="0" w:color="009900"/>
              <w:left w:val="nil"/>
              <w:bottom w:val="single" w:sz="8" w:space="0" w:color="009900"/>
              <w:right w:val="nil"/>
            </w:tcBorders>
            <w:shd w:val="clear" w:color="000000" w:fill="FFFFE1"/>
            <w:noWrap/>
            <w:vAlign w:val="center"/>
            <w:hideMark/>
          </w:tcPr>
          <w:p w:rsidR="005C5F6F" w:rsidRPr="00283FD1" w:rsidRDefault="005C5F6F" w:rsidP="002074BB">
            <w:pPr>
              <w:jc w:val="center"/>
              <w:rPr>
                <w:rFonts w:ascii="Arial" w:hAnsi="Arial" w:cs="Arial"/>
                <w:b/>
                <w:bCs/>
                <w:color w:val="000000"/>
                <w:sz w:val="16"/>
                <w:szCs w:val="16"/>
              </w:rPr>
            </w:pPr>
            <w:r w:rsidRPr="00283FD1">
              <w:rPr>
                <w:rFonts w:ascii="Arial" w:hAnsi="Arial" w:cs="Arial"/>
                <w:b/>
                <w:bCs/>
                <w:color w:val="000000"/>
                <w:sz w:val="16"/>
                <w:szCs w:val="16"/>
              </w:rPr>
              <w:t>95,780</w:t>
            </w:r>
          </w:p>
        </w:tc>
        <w:tc>
          <w:tcPr>
            <w:tcW w:w="960" w:type="dxa"/>
            <w:tcBorders>
              <w:top w:val="double" w:sz="6" w:space="0" w:color="009900"/>
              <w:left w:val="nil"/>
              <w:bottom w:val="single" w:sz="8" w:space="0" w:color="009900"/>
              <w:right w:val="single" w:sz="8" w:space="0" w:color="009900"/>
            </w:tcBorders>
            <w:shd w:val="clear" w:color="000000" w:fill="FFFFE1"/>
            <w:noWrap/>
            <w:vAlign w:val="center"/>
            <w:hideMark/>
          </w:tcPr>
          <w:p w:rsidR="005C5F6F" w:rsidRPr="00283FD1" w:rsidRDefault="005C5F6F" w:rsidP="002074BB">
            <w:pPr>
              <w:jc w:val="center"/>
              <w:rPr>
                <w:rFonts w:ascii="Arial" w:hAnsi="Arial" w:cs="Arial"/>
                <w:b/>
                <w:bCs/>
                <w:color w:val="000000"/>
                <w:sz w:val="16"/>
                <w:szCs w:val="16"/>
              </w:rPr>
            </w:pPr>
            <w:r w:rsidRPr="00283FD1">
              <w:rPr>
                <w:rFonts w:ascii="Arial" w:hAnsi="Arial" w:cs="Arial"/>
                <w:b/>
                <w:bCs/>
                <w:color w:val="000000"/>
                <w:sz w:val="16"/>
                <w:szCs w:val="16"/>
              </w:rPr>
              <w:t>229,514</w:t>
            </w:r>
          </w:p>
        </w:tc>
      </w:tr>
    </w:tbl>
    <w:p w:rsidR="005C5F6F" w:rsidRDefault="005C5F6F" w:rsidP="005C5F6F">
      <w:pPr>
        <w:jc w:val="center"/>
      </w:pPr>
    </w:p>
    <w:p w:rsidR="00D075E5" w:rsidRDefault="00D075E5" w:rsidP="005C5F6F">
      <w:pPr>
        <w:jc w:val="center"/>
      </w:pPr>
    </w:p>
    <w:p w:rsidR="00D075E5" w:rsidRDefault="00D075E5" w:rsidP="005C5F6F">
      <w:pPr>
        <w:jc w:val="center"/>
      </w:pPr>
    </w:p>
    <w:tbl>
      <w:tblPr>
        <w:tblW w:w="9576" w:type="dxa"/>
        <w:jc w:val="center"/>
        <w:tblLook w:val="04A0" w:firstRow="1" w:lastRow="0" w:firstColumn="1" w:lastColumn="0" w:noHBand="0" w:noVBand="1"/>
      </w:tblPr>
      <w:tblGrid>
        <w:gridCol w:w="9576"/>
      </w:tblGrid>
      <w:tr w:rsidR="00D075E5" w:rsidRPr="004E6BED" w:rsidTr="009B1655">
        <w:trPr>
          <w:trHeight w:val="173"/>
          <w:jc w:val="center"/>
        </w:trPr>
        <w:tc>
          <w:tcPr>
            <w:tcW w:w="9576" w:type="dxa"/>
            <w:tcBorders>
              <w:bottom w:val="single" w:sz="4" w:space="0" w:color="009900"/>
            </w:tcBorders>
            <w:shd w:val="clear" w:color="000000" w:fill="FFFFFF" w:themeFill="background1"/>
            <w:noWrap/>
            <w:vAlign w:val="center"/>
            <w:hideMark/>
          </w:tcPr>
          <w:p w:rsidR="00D075E5" w:rsidRPr="004E6BED" w:rsidRDefault="00D075E5" w:rsidP="00D075E5">
            <w:pPr>
              <w:keepNext/>
              <w:keepLines/>
              <w:suppressAutoHyphens/>
              <w:jc w:val="center"/>
              <w:rPr>
                <w:rFonts w:ascii="Arial" w:eastAsiaTheme="majorEastAsia" w:hAnsi="Arial" w:cstheme="majorBidi"/>
                <w:b/>
                <w:iCs/>
                <w:szCs w:val="23"/>
              </w:rPr>
            </w:pPr>
            <w:r w:rsidRPr="004E6BED">
              <w:rPr>
                <w:rFonts w:ascii="Arial" w:eastAsiaTheme="majorEastAsia" w:hAnsi="Arial" w:cstheme="majorBidi"/>
                <w:b/>
                <w:iCs/>
                <w:szCs w:val="23"/>
              </w:rPr>
              <w:t>Table</w:t>
            </w:r>
            <w:r>
              <w:rPr>
                <w:rFonts w:ascii="Arial" w:eastAsiaTheme="majorEastAsia" w:hAnsi="Arial" w:cstheme="majorBidi"/>
                <w:b/>
                <w:iCs/>
                <w:szCs w:val="23"/>
              </w:rPr>
              <w:t xml:space="preserve"> C.1</w:t>
            </w:r>
          </w:p>
          <w:p w:rsidR="00D075E5" w:rsidRPr="004E6BED" w:rsidRDefault="00D075E5" w:rsidP="009B1655">
            <w:pPr>
              <w:keepNext/>
              <w:keepLines/>
              <w:suppressAutoHyphens/>
              <w:jc w:val="center"/>
              <w:rPr>
                <w:rFonts w:ascii="Arial" w:eastAsia="Calibri" w:hAnsi="Arial"/>
                <w:b/>
                <w:bCs/>
                <w:sz w:val="20"/>
                <w:szCs w:val="23"/>
              </w:rPr>
            </w:pPr>
            <w:r w:rsidRPr="004E6BED">
              <w:rPr>
                <w:rFonts w:ascii="Arial" w:eastAsia="Calibri" w:hAnsi="Arial"/>
                <w:b/>
                <w:bCs/>
                <w:sz w:val="20"/>
                <w:szCs w:val="23"/>
              </w:rPr>
              <w:t>What other type of housing activity are you considering?</w:t>
            </w:r>
          </w:p>
          <w:p w:rsidR="00D075E5" w:rsidRPr="004E6BED" w:rsidRDefault="00D075E5" w:rsidP="009B1655">
            <w:pPr>
              <w:suppressAutoHyphens/>
              <w:jc w:val="center"/>
              <w:rPr>
                <w:rFonts w:ascii="Arial" w:eastAsia="Calibri" w:hAnsi="Arial"/>
                <w:sz w:val="16"/>
                <w:szCs w:val="16"/>
              </w:rPr>
            </w:pPr>
            <w:r w:rsidRPr="004E6BED">
              <w:rPr>
                <w:rFonts w:ascii="Arial" w:eastAsia="Calibri" w:hAnsi="Arial"/>
                <w:sz w:val="16"/>
                <w:szCs w:val="16"/>
              </w:rPr>
              <w:t>State of New Mexico</w:t>
            </w:r>
          </w:p>
          <w:p w:rsidR="00D075E5" w:rsidRPr="004E6BED" w:rsidRDefault="00D075E5" w:rsidP="009B1655">
            <w:pPr>
              <w:suppressAutoHyphens/>
              <w:jc w:val="center"/>
              <w:rPr>
                <w:rFonts w:ascii="Arial" w:eastAsia="Calibri" w:hAnsi="Arial"/>
                <w:bCs/>
                <w:sz w:val="16"/>
                <w:szCs w:val="23"/>
              </w:rPr>
            </w:pPr>
            <w:r w:rsidRPr="004E6BED">
              <w:rPr>
                <w:rFonts w:ascii="Arial" w:eastAsia="Calibri" w:hAnsi="Arial"/>
                <w:sz w:val="16"/>
                <w:szCs w:val="16"/>
              </w:rPr>
              <w:t>2013 Fair Housing Survey Data</w:t>
            </w:r>
          </w:p>
        </w:tc>
      </w:tr>
      <w:tr w:rsidR="00D075E5" w:rsidRPr="004E6BED" w:rsidTr="009B1655">
        <w:trPr>
          <w:trHeight w:val="173"/>
          <w:jc w:val="center"/>
        </w:trPr>
        <w:tc>
          <w:tcPr>
            <w:tcW w:w="9576" w:type="dxa"/>
            <w:tcBorders>
              <w:top w:val="single" w:sz="4" w:space="0" w:color="009900"/>
              <w:left w:val="single" w:sz="4" w:space="0" w:color="009900"/>
              <w:bottom w:val="single" w:sz="4" w:space="0" w:color="009900"/>
              <w:right w:val="single" w:sz="4" w:space="0" w:color="009900"/>
            </w:tcBorders>
            <w:shd w:val="clear" w:color="000000" w:fill="FFFFE1"/>
            <w:noWrap/>
            <w:vAlign w:val="bottom"/>
            <w:hideMark/>
          </w:tcPr>
          <w:p w:rsidR="00D075E5" w:rsidRPr="004E6BED" w:rsidRDefault="00D075E5" w:rsidP="009B1655">
            <w:pPr>
              <w:suppressAutoHyphens/>
              <w:jc w:val="center"/>
              <w:rPr>
                <w:rFonts w:ascii="Arial" w:eastAsia="Calibri" w:hAnsi="Arial"/>
                <w:b/>
                <w:bCs/>
                <w:sz w:val="16"/>
                <w:szCs w:val="16"/>
              </w:rPr>
            </w:pPr>
            <w:r w:rsidRPr="004E6BED">
              <w:rPr>
                <w:rFonts w:ascii="Arial" w:eastAsia="Calibri" w:hAnsi="Arial"/>
                <w:b/>
                <w:bCs/>
                <w:sz w:val="16"/>
                <w:szCs w:val="16"/>
              </w:rPr>
              <w:t>Comments:</w:t>
            </w:r>
          </w:p>
        </w:tc>
      </w:tr>
      <w:tr w:rsidR="00D075E5" w:rsidRPr="004E6BED" w:rsidTr="009B1655">
        <w:trPr>
          <w:trHeight w:val="173"/>
          <w:jc w:val="center"/>
        </w:trPr>
        <w:tc>
          <w:tcPr>
            <w:tcW w:w="9576" w:type="dxa"/>
            <w:tcBorders>
              <w:top w:val="nil"/>
              <w:left w:val="single" w:sz="4" w:space="0" w:color="009900"/>
              <w:bottom w:val="single" w:sz="4" w:space="0" w:color="009900"/>
              <w:right w:val="single" w:sz="4" w:space="0" w:color="009900"/>
            </w:tcBorders>
            <w:shd w:val="clear" w:color="000000" w:fill="FFFFE1"/>
            <w:noWrap/>
            <w:vAlign w:val="center"/>
          </w:tcPr>
          <w:p w:rsidR="00D075E5" w:rsidRPr="004E6BED" w:rsidRDefault="00D075E5" w:rsidP="009B1655">
            <w:pPr>
              <w:rPr>
                <w:rFonts w:ascii="Arial" w:hAnsi="Arial" w:cs="Arial"/>
                <w:sz w:val="16"/>
                <w:szCs w:val="16"/>
              </w:rPr>
            </w:pPr>
            <w:r w:rsidRPr="004E6BED">
              <w:rPr>
                <w:rFonts w:ascii="Arial" w:hAnsi="Arial" w:cs="Arial"/>
                <w:sz w:val="16"/>
                <w:szCs w:val="16"/>
              </w:rPr>
              <w:t>Affordable housing adjacent to transit and close to services.</w:t>
            </w:r>
          </w:p>
          <w:p w:rsidR="00D075E5" w:rsidRPr="004E6BED" w:rsidRDefault="00D075E5" w:rsidP="009B1655">
            <w:pPr>
              <w:rPr>
                <w:rFonts w:ascii="Arial" w:hAnsi="Arial" w:cs="Arial"/>
                <w:sz w:val="16"/>
                <w:szCs w:val="16"/>
              </w:rPr>
            </w:pPr>
            <w:r w:rsidRPr="004E6BED">
              <w:rPr>
                <w:rFonts w:ascii="Arial" w:hAnsi="Arial" w:cs="Arial"/>
                <w:sz w:val="16"/>
                <w:szCs w:val="16"/>
              </w:rPr>
              <w:t>Assisted living for seniors</w:t>
            </w:r>
          </w:p>
          <w:p w:rsidR="00D075E5" w:rsidRPr="004E6BED" w:rsidRDefault="00D075E5" w:rsidP="009B1655">
            <w:pPr>
              <w:rPr>
                <w:rFonts w:ascii="Arial" w:hAnsi="Arial" w:cs="Arial"/>
                <w:sz w:val="16"/>
                <w:szCs w:val="16"/>
              </w:rPr>
            </w:pPr>
            <w:r w:rsidRPr="004E6BED">
              <w:rPr>
                <w:rFonts w:ascii="Arial" w:hAnsi="Arial" w:cs="Arial"/>
                <w:sz w:val="16"/>
                <w:szCs w:val="16"/>
              </w:rPr>
              <w:t>Assisted Living for veterans and seniors</w:t>
            </w:r>
          </w:p>
          <w:p w:rsidR="00D075E5" w:rsidRPr="004E6BED" w:rsidRDefault="00D075E5" w:rsidP="009B1655">
            <w:pPr>
              <w:rPr>
                <w:rFonts w:ascii="Arial" w:hAnsi="Arial" w:cs="Arial"/>
                <w:sz w:val="16"/>
                <w:szCs w:val="16"/>
              </w:rPr>
            </w:pPr>
            <w:r w:rsidRPr="004E6BED">
              <w:rPr>
                <w:rFonts w:ascii="Arial" w:hAnsi="Arial" w:cs="Arial"/>
                <w:sz w:val="16"/>
                <w:szCs w:val="16"/>
              </w:rPr>
              <w:t>Better real estate disclosure laws in the state to protect consumers</w:t>
            </w:r>
          </w:p>
          <w:p w:rsidR="00D075E5" w:rsidRPr="004E6BED" w:rsidRDefault="00D075E5" w:rsidP="009B1655">
            <w:pPr>
              <w:rPr>
                <w:rFonts w:ascii="Arial" w:hAnsi="Arial" w:cs="Arial"/>
                <w:sz w:val="16"/>
                <w:szCs w:val="16"/>
              </w:rPr>
            </w:pPr>
            <w:r w:rsidRPr="004E6BED">
              <w:rPr>
                <w:rFonts w:ascii="Arial" w:hAnsi="Arial" w:cs="Arial"/>
                <w:sz w:val="16"/>
                <w:szCs w:val="16"/>
              </w:rPr>
              <w:t>Continuing Care Senior Housing</w:t>
            </w:r>
          </w:p>
          <w:p w:rsidR="00D075E5" w:rsidRPr="004E6BED" w:rsidRDefault="00D075E5" w:rsidP="009B1655">
            <w:pPr>
              <w:rPr>
                <w:rFonts w:ascii="Arial" w:hAnsi="Arial" w:cs="Arial"/>
                <w:sz w:val="16"/>
                <w:szCs w:val="16"/>
              </w:rPr>
            </w:pPr>
            <w:r w:rsidRPr="004E6BED">
              <w:rPr>
                <w:rFonts w:ascii="Arial" w:hAnsi="Arial" w:cs="Arial"/>
                <w:sz w:val="16"/>
                <w:szCs w:val="16"/>
              </w:rPr>
              <w:t>Continuum of Care senior housing.</w:t>
            </w:r>
          </w:p>
          <w:p w:rsidR="00D075E5" w:rsidRPr="004E6BED" w:rsidRDefault="00D075E5" w:rsidP="009B1655">
            <w:pPr>
              <w:rPr>
                <w:rFonts w:ascii="Arial" w:hAnsi="Arial" w:cs="Arial"/>
                <w:sz w:val="16"/>
                <w:szCs w:val="16"/>
              </w:rPr>
            </w:pPr>
            <w:r w:rsidRPr="004E6BED">
              <w:rPr>
                <w:rFonts w:ascii="Arial" w:hAnsi="Arial" w:cs="Arial"/>
                <w:sz w:val="16"/>
                <w:szCs w:val="16"/>
              </w:rPr>
              <w:t>Conv. Rental housing</w:t>
            </w:r>
          </w:p>
          <w:p w:rsidR="00D075E5" w:rsidRPr="004E6BED" w:rsidRDefault="00D075E5" w:rsidP="009B1655">
            <w:pPr>
              <w:rPr>
                <w:rFonts w:ascii="Arial" w:hAnsi="Arial" w:cs="Arial"/>
                <w:sz w:val="16"/>
                <w:szCs w:val="16"/>
              </w:rPr>
            </w:pPr>
            <w:r w:rsidRPr="004E6BED">
              <w:rPr>
                <w:rFonts w:ascii="Arial" w:hAnsi="Arial" w:cs="Arial"/>
                <w:sz w:val="16"/>
                <w:szCs w:val="16"/>
              </w:rPr>
              <w:t>downtown restoration mixed use</w:t>
            </w:r>
          </w:p>
          <w:p w:rsidR="00D075E5" w:rsidRPr="004E6BED" w:rsidRDefault="00D075E5" w:rsidP="009B1655">
            <w:pPr>
              <w:rPr>
                <w:rFonts w:ascii="Arial" w:hAnsi="Arial" w:cs="Arial"/>
                <w:sz w:val="16"/>
                <w:szCs w:val="16"/>
              </w:rPr>
            </w:pPr>
            <w:r w:rsidRPr="004E6BED">
              <w:rPr>
                <w:rFonts w:ascii="Arial" w:hAnsi="Arial" w:cs="Arial"/>
                <w:sz w:val="16"/>
                <w:szCs w:val="16"/>
              </w:rPr>
              <w:t>Elder care facility</w:t>
            </w:r>
          </w:p>
          <w:p w:rsidR="00D075E5" w:rsidRPr="004E6BED" w:rsidRDefault="00D075E5" w:rsidP="009B1655">
            <w:pPr>
              <w:rPr>
                <w:rFonts w:ascii="Arial" w:hAnsi="Arial" w:cs="Arial"/>
                <w:sz w:val="16"/>
                <w:szCs w:val="16"/>
              </w:rPr>
            </w:pPr>
            <w:r w:rsidRPr="004E6BED">
              <w:rPr>
                <w:rFonts w:ascii="Arial" w:hAnsi="Arial" w:cs="Arial"/>
                <w:sz w:val="16"/>
                <w:szCs w:val="16"/>
              </w:rPr>
              <w:t>Emphasis on housing for very low income families</w:t>
            </w:r>
          </w:p>
          <w:p w:rsidR="00D075E5" w:rsidRPr="004E6BED" w:rsidRDefault="00D075E5" w:rsidP="009B1655">
            <w:pPr>
              <w:rPr>
                <w:rFonts w:ascii="Arial" w:hAnsi="Arial" w:cs="Arial"/>
                <w:sz w:val="16"/>
                <w:szCs w:val="16"/>
              </w:rPr>
            </w:pPr>
            <w:r w:rsidRPr="004E6BED">
              <w:rPr>
                <w:rFonts w:ascii="Arial" w:hAnsi="Arial" w:cs="Arial"/>
                <w:sz w:val="16"/>
                <w:szCs w:val="16"/>
              </w:rPr>
              <w:t>Formerly incarcerated individuals</w:t>
            </w:r>
          </w:p>
          <w:p w:rsidR="00D075E5" w:rsidRPr="004E6BED" w:rsidRDefault="00D075E5" w:rsidP="009B1655">
            <w:pPr>
              <w:rPr>
                <w:rFonts w:ascii="Arial" w:hAnsi="Arial" w:cs="Arial"/>
                <w:sz w:val="16"/>
                <w:szCs w:val="16"/>
              </w:rPr>
            </w:pPr>
            <w:r w:rsidRPr="004E6BED">
              <w:rPr>
                <w:rFonts w:ascii="Arial" w:hAnsi="Arial" w:cs="Arial"/>
                <w:sz w:val="16"/>
                <w:szCs w:val="16"/>
              </w:rPr>
              <w:t>Green retro fit of older units into trendy apartment spaces like StageCoach Apt on Cerrillos</w:t>
            </w:r>
          </w:p>
          <w:p w:rsidR="00D075E5" w:rsidRPr="004E6BED" w:rsidRDefault="00D075E5" w:rsidP="009B1655">
            <w:pPr>
              <w:rPr>
                <w:rFonts w:ascii="Arial" w:hAnsi="Arial" w:cs="Arial"/>
                <w:sz w:val="16"/>
                <w:szCs w:val="16"/>
              </w:rPr>
            </w:pPr>
            <w:r w:rsidRPr="004E6BED">
              <w:rPr>
                <w:rFonts w:ascii="Arial" w:hAnsi="Arial" w:cs="Arial"/>
                <w:sz w:val="16"/>
                <w:szCs w:val="16"/>
              </w:rPr>
              <w:t>Higher FMR</w:t>
            </w:r>
          </w:p>
          <w:p w:rsidR="00D075E5" w:rsidRPr="004E6BED" w:rsidRDefault="00D075E5" w:rsidP="009B1655">
            <w:pPr>
              <w:rPr>
                <w:rFonts w:ascii="Arial" w:hAnsi="Arial" w:cs="Arial"/>
                <w:sz w:val="16"/>
                <w:szCs w:val="16"/>
              </w:rPr>
            </w:pPr>
            <w:r w:rsidRPr="004E6BED">
              <w:rPr>
                <w:rFonts w:ascii="Arial" w:hAnsi="Arial" w:cs="Arial"/>
                <w:sz w:val="16"/>
                <w:szCs w:val="16"/>
              </w:rPr>
              <w:t>homeowner assist in construction</w:t>
            </w:r>
          </w:p>
          <w:p w:rsidR="00D075E5" w:rsidRPr="004E6BED" w:rsidRDefault="00D075E5" w:rsidP="009B1655">
            <w:pPr>
              <w:rPr>
                <w:rFonts w:ascii="Arial" w:hAnsi="Arial" w:cs="Arial"/>
                <w:sz w:val="16"/>
                <w:szCs w:val="16"/>
              </w:rPr>
            </w:pPr>
            <w:r w:rsidRPr="004E6BED">
              <w:rPr>
                <w:rFonts w:ascii="Arial" w:hAnsi="Arial" w:cs="Arial"/>
                <w:sz w:val="16"/>
                <w:szCs w:val="16"/>
              </w:rPr>
              <w:t>Housing on and near Indian Reservations</w:t>
            </w:r>
          </w:p>
          <w:p w:rsidR="00D075E5" w:rsidRPr="004E6BED" w:rsidRDefault="00D075E5" w:rsidP="009B1655">
            <w:pPr>
              <w:rPr>
                <w:rFonts w:ascii="Arial" w:hAnsi="Arial" w:cs="Arial"/>
                <w:sz w:val="16"/>
                <w:szCs w:val="16"/>
              </w:rPr>
            </w:pPr>
            <w:r w:rsidRPr="004E6BED">
              <w:rPr>
                <w:rFonts w:ascii="Arial" w:hAnsi="Arial" w:cs="Arial"/>
                <w:sz w:val="16"/>
                <w:szCs w:val="16"/>
              </w:rPr>
              <w:t xml:space="preserve">Rapid </w:t>
            </w:r>
            <w:r w:rsidR="00CC3344">
              <w:rPr>
                <w:rFonts w:ascii="Arial" w:hAnsi="Arial" w:cs="Arial"/>
                <w:sz w:val="16"/>
                <w:szCs w:val="16"/>
              </w:rPr>
              <w:t>Re-housing</w:t>
            </w:r>
            <w:r w:rsidRPr="004E6BED">
              <w:rPr>
                <w:rFonts w:ascii="Arial" w:hAnsi="Arial" w:cs="Arial"/>
                <w:sz w:val="16"/>
                <w:szCs w:val="16"/>
              </w:rPr>
              <w:t xml:space="preserve"> for persons who are newly, situationally homeless</w:t>
            </w:r>
          </w:p>
          <w:p w:rsidR="00D075E5" w:rsidRPr="004E6BED" w:rsidRDefault="00D075E5" w:rsidP="009B1655">
            <w:pPr>
              <w:rPr>
                <w:rFonts w:ascii="Arial" w:hAnsi="Arial" w:cs="Arial"/>
                <w:sz w:val="16"/>
                <w:szCs w:val="16"/>
              </w:rPr>
            </w:pPr>
            <w:r w:rsidRPr="004E6BED">
              <w:rPr>
                <w:rFonts w:ascii="Arial" w:hAnsi="Arial" w:cs="Arial"/>
                <w:sz w:val="16"/>
                <w:szCs w:val="16"/>
              </w:rPr>
              <w:t>rental assistance for one bedroom apts only</w:t>
            </w:r>
          </w:p>
          <w:p w:rsidR="00D075E5" w:rsidRPr="004E6BED" w:rsidRDefault="00D075E5" w:rsidP="009B1655">
            <w:pPr>
              <w:rPr>
                <w:rFonts w:ascii="Arial" w:hAnsi="Arial" w:cs="Arial"/>
                <w:sz w:val="16"/>
                <w:szCs w:val="16"/>
              </w:rPr>
            </w:pPr>
            <w:r w:rsidRPr="004E6BED">
              <w:rPr>
                <w:rFonts w:ascii="Arial" w:hAnsi="Arial" w:cs="Arial"/>
                <w:sz w:val="16"/>
                <w:szCs w:val="16"/>
              </w:rPr>
              <w:t>Renters Counseling Services - not our agency but it would be good if there was a nonprofit or governmental resource that could guide folks through their rental options.  I know of no clearinghouse that can guide people to affordable rentals in their town.</w:t>
            </w:r>
          </w:p>
          <w:p w:rsidR="00D075E5" w:rsidRPr="004E6BED" w:rsidRDefault="00D075E5" w:rsidP="009B1655">
            <w:pPr>
              <w:rPr>
                <w:rFonts w:ascii="Arial" w:hAnsi="Arial" w:cs="Arial"/>
                <w:sz w:val="16"/>
                <w:szCs w:val="16"/>
              </w:rPr>
            </w:pPr>
            <w:r w:rsidRPr="004E6BED">
              <w:rPr>
                <w:rFonts w:ascii="Arial" w:hAnsi="Arial" w:cs="Arial"/>
                <w:sz w:val="16"/>
                <w:szCs w:val="16"/>
              </w:rPr>
              <w:t>Rural Communities Housing</w:t>
            </w:r>
          </w:p>
          <w:p w:rsidR="00D075E5" w:rsidRPr="004E6BED" w:rsidRDefault="00D075E5" w:rsidP="009B1655">
            <w:pPr>
              <w:rPr>
                <w:rFonts w:ascii="Arial" w:hAnsi="Arial" w:cs="Arial"/>
                <w:sz w:val="16"/>
                <w:szCs w:val="16"/>
              </w:rPr>
            </w:pPr>
            <w:r w:rsidRPr="004E6BED">
              <w:rPr>
                <w:rFonts w:ascii="Arial" w:hAnsi="Arial" w:cs="Arial"/>
                <w:sz w:val="16"/>
                <w:szCs w:val="16"/>
              </w:rPr>
              <w:t>secured housing property--homes to close to each other.</w:t>
            </w:r>
          </w:p>
          <w:p w:rsidR="00D075E5" w:rsidRPr="004E6BED" w:rsidRDefault="00D075E5" w:rsidP="009B1655">
            <w:pPr>
              <w:rPr>
                <w:rFonts w:ascii="Arial" w:hAnsi="Arial" w:cs="Arial"/>
                <w:sz w:val="16"/>
                <w:szCs w:val="16"/>
              </w:rPr>
            </w:pPr>
            <w:r w:rsidRPr="004E6BED">
              <w:rPr>
                <w:rFonts w:ascii="Arial" w:hAnsi="Arial" w:cs="Arial"/>
                <w:sz w:val="16"/>
                <w:szCs w:val="16"/>
              </w:rPr>
              <w:t>senior communities for abled, assisted living, alzheimers, etc.</w:t>
            </w:r>
          </w:p>
          <w:p w:rsidR="00D075E5" w:rsidRPr="004E6BED" w:rsidRDefault="00D075E5" w:rsidP="009B1655">
            <w:pPr>
              <w:rPr>
                <w:rFonts w:ascii="Arial" w:hAnsi="Arial" w:cs="Arial"/>
                <w:sz w:val="16"/>
                <w:szCs w:val="16"/>
              </w:rPr>
            </w:pPr>
            <w:r w:rsidRPr="004E6BED">
              <w:rPr>
                <w:rFonts w:ascii="Arial" w:hAnsi="Arial" w:cs="Arial"/>
                <w:sz w:val="16"/>
                <w:szCs w:val="16"/>
              </w:rPr>
              <w:t>Senior continuum of care hosing that is affordable-independant living,assisted living,skilled nursing,memory care,alzheimers,hospice all on one campus</w:t>
            </w:r>
          </w:p>
          <w:p w:rsidR="00D075E5" w:rsidRPr="004E6BED" w:rsidRDefault="00D075E5" w:rsidP="009B1655">
            <w:pPr>
              <w:rPr>
                <w:rFonts w:ascii="Arial" w:hAnsi="Arial" w:cs="Arial"/>
                <w:sz w:val="16"/>
                <w:szCs w:val="16"/>
              </w:rPr>
            </w:pPr>
            <w:r w:rsidRPr="004E6BED">
              <w:rPr>
                <w:rFonts w:ascii="Arial" w:hAnsi="Arial" w:cs="Arial"/>
                <w:sz w:val="16"/>
                <w:szCs w:val="16"/>
              </w:rPr>
              <w:t>Something needs to get started at least one.</w:t>
            </w:r>
          </w:p>
          <w:p w:rsidR="00D075E5" w:rsidRPr="004E6BED" w:rsidRDefault="00D075E5" w:rsidP="009B1655">
            <w:pPr>
              <w:rPr>
                <w:rFonts w:ascii="Arial" w:hAnsi="Arial" w:cs="Arial"/>
                <w:sz w:val="16"/>
                <w:szCs w:val="16"/>
              </w:rPr>
            </w:pPr>
            <w:r w:rsidRPr="004E6BED">
              <w:rPr>
                <w:rFonts w:ascii="Arial" w:hAnsi="Arial" w:cs="Arial"/>
                <w:sz w:val="16"/>
                <w:szCs w:val="16"/>
              </w:rPr>
              <w:t xml:space="preserve">Support </w:t>
            </w:r>
            <w:r w:rsidR="005347C1">
              <w:rPr>
                <w:rFonts w:ascii="Arial" w:hAnsi="Arial" w:cs="Arial"/>
                <w:sz w:val="16"/>
                <w:szCs w:val="16"/>
              </w:rPr>
              <w:t>nonprofit</w:t>
            </w:r>
            <w:r w:rsidRPr="004E6BED">
              <w:rPr>
                <w:rFonts w:ascii="Arial" w:hAnsi="Arial" w:cs="Arial"/>
                <w:sz w:val="16"/>
                <w:szCs w:val="16"/>
              </w:rPr>
              <w:t>s who are doing housing for farmworkers</w:t>
            </w:r>
          </w:p>
          <w:p w:rsidR="00D075E5" w:rsidRPr="004E6BED" w:rsidRDefault="00D075E5" w:rsidP="009B1655">
            <w:pPr>
              <w:rPr>
                <w:rFonts w:ascii="Arial" w:hAnsi="Arial" w:cs="Arial"/>
                <w:sz w:val="16"/>
                <w:szCs w:val="16"/>
              </w:rPr>
            </w:pPr>
            <w:r w:rsidRPr="004E6BED">
              <w:rPr>
                <w:rFonts w:ascii="Arial" w:hAnsi="Arial" w:cs="Arial"/>
                <w:sz w:val="16"/>
                <w:szCs w:val="16"/>
              </w:rPr>
              <w:t>There is a great need for government to get out of the business of owning and maintaining housing. The term "affordability" is a meaningless term. Affordable to whom?</w:t>
            </w:r>
          </w:p>
          <w:p w:rsidR="00D075E5" w:rsidRPr="004E6BED" w:rsidRDefault="00D075E5" w:rsidP="009B1655">
            <w:pPr>
              <w:rPr>
                <w:rFonts w:ascii="Arial" w:hAnsi="Arial" w:cs="Arial"/>
                <w:sz w:val="16"/>
                <w:szCs w:val="16"/>
              </w:rPr>
            </w:pPr>
            <w:r w:rsidRPr="004E6BED">
              <w:rPr>
                <w:rFonts w:ascii="Arial" w:hAnsi="Arial" w:cs="Arial"/>
                <w:sz w:val="16"/>
                <w:szCs w:val="16"/>
              </w:rPr>
              <w:t>Transitional Housing for individuals in domestic violence.</w:t>
            </w:r>
          </w:p>
          <w:p w:rsidR="00D075E5" w:rsidRPr="004E6BED" w:rsidRDefault="00D075E5" w:rsidP="009B1655">
            <w:pPr>
              <w:rPr>
                <w:rFonts w:ascii="Arial" w:hAnsi="Arial" w:cs="Arial"/>
                <w:sz w:val="16"/>
                <w:szCs w:val="16"/>
              </w:rPr>
            </w:pPr>
            <w:r w:rsidRPr="004E6BED">
              <w:rPr>
                <w:rFonts w:ascii="Arial" w:hAnsi="Arial" w:cs="Arial"/>
                <w:sz w:val="16"/>
                <w:szCs w:val="16"/>
              </w:rPr>
              <w:t>veterans, refugees, chronically mentally ill</w:t>
            </w:r>
          </w:p>
          <w:p w:rsidR="00D075E5" w:rsidRPr="004E6BED" w:rsidRDefault="00D075E5" w:rsidP="009B1655">
            <w:pPr>
              <w:rPr>
                <w:rFonts w:ascii="Arial" w:hAnsi="Arial" w:cs="Arial"/>
                <w:sz w:val="16"/>
                <w:szCs w:val="16"/>
              </w:rPr>
            </w:pPr>
            <w:r w:rsidRPr="004E6BED">
              <w:rPr>
                <w:rFonts w:ascii="Arial" w:hAnsi="Arial" w:cs="Arial"/>
                <w:sz w:val="16"/>
                <w:szCs w:val="16"/>
              </w:rPr>
              <w:t>water and sewer systems</w:t>
            </w:r>
          </w:p>
          <w:p w:rsidR="00D075E5" w:rsidRPr="004E6BED" w:rsidRDefault="00D075E5" w:rsidP="009B1655">
            <w:pPr>
              <w:rPr>
                <w:rFonts w:ascii="Arial" w:hAnsi="Arial" w:cs="Arial"/>
                <w:sz w:val="16"/>
                <w:szCs w:val="16"/>
              </w:rPr>
            </w:pPr>
            <w:r w:rsidRPr="004E6BED">
              <w:rPr>
                <w:rFonts w:ascii="Arial" w:hAnsi="Arial" w:cs="Arial"/>
                <w:sz w:val="16"/>
                <w:szCs w:val="16"/>
              </w:rPr>
              <w:t>Worker Housing</w:t>
            </w:r>
          </w:p>
        </w:tc>
      </w:tr>
    </w:tbl>
    <w:p w:rsidR="005C5F6F" w:rsidRPr="00955C8C" w:rsidRDefault="005C5F6F" w:rsidP="007A505D">
      <w:pPr>
        <w:tabs>
          <w:tab w:val="left" w:pos="-1440"/>
          <w:tab w:val="left" w:pos="-720"/>
          <w:tab w:val="left" w:pos="0"/>
          <w:tab w:val="left" w:pos="2160"/>
          <w:tab w:val="left" w:pos="2556"/>
          <w:tab w:val="left" w:pos="2880"/>
          <w:tab w:val="left" w:pos="3600"/>
          <w:tab w:val="left" w:pos="4320"/>
          <w:tab w:val="left" w:pos="5040"/>
          <w:tab w:val="left" w:pos="5760"/>
          <w:tab w:val="left" w:pos="6480"/>
          <w:tab w:val="left" w:pos="7200"/>
          <w:tab w:val="left" w:pos="7920"/>
          <w:tab w:val="left" w:pos="8640"/>
        </w:tabs>
        <w:spacing w:line="1" w:lineRule="atLeast"/>
        <w:jc w:val="both"/>
        <w:rPr>
          <w:rFonts w:ascii="CG Omega" w:hAnsi="CG Omega"/>
          <w:sz w:val="22"/>
          <w:szCs w:val="22"/>
          <w:highlight w:val="yellow"/>
        </w:rPr>
      </w:pPr>
    </w:p>
    <w:tbl>
      <w:tblPr>
        <w:tblW w:w="9576" w:type="dxa"/>
        <w:jc w:val="center"/>
        <w:tblLook w:val="04A0" w:firstRow="1" w:lastRow="0" w:firstColumn="1" w:lastColumn="0" w:noHBand="0" w:noVBand="1"/>
      </w:tblPr>
      <w:tblGrid>
        <w:gridCol w:w="9576"/>
      </w:tblGrid>
      <w:tr w:rsidR="00D075E5" w:rsidRPr="004E6BED" w:rsidTr="009B1655">
        <w:trPr>
          <w:trHeight w:val="173"/>
          <w:jc w:val="center"/>
        </w:trPr>
        <w:tc>
          <w:tcPr>
            <w:tcW w:w="9576" w:type="dxa"/>
            <w:tcBorders>
              <w:bottom w:val="single" w:sz="4" w:space="0" w:color="009900"/>
            </w:tcBorders>
            <w:shd w:val="clear" w:color="000000" w:fill="FFFFFF" w:themeFill="background1"/>
            <w:noWrap/>
            <w:vAlign w:val="center"/>
            <w:hideMark/>
          </w:tcPr>
          <w:p w:rsidR="00D075E5" w:rsidRPr="004E6BED" w:rsidRDefault="00D075E5" w:rsidP="009B1655">
            <w:pPr>
              <w:keepNext/>
              <w:keepLines/>
              <w:suppressAutoHyphens/>
              <w:jc w:val="center"/>
              <w:rPr>
                <w:rFonts w:ascii="Arial" w:eastAsiaTheme="majorEastAsia" w:hAnsi="Arial" w:cstheme="majorBidi"/>
                <w:b/>
                <w:iCs/>
                <w:szCs w:val="23"/>
              </w:rPr>
            </w:pPr>
            <w:r w:rsidRPr="004E6BED">
              <w:rPr>
                <w:rFonts w:ascii="Arial" w:eastAsiaTheme="majorEastAsia" w:hAnsi="Arial" w:cstheme="majorBidi"/>
                <w:b/>
                <w:iCs/>
                <w:szCs w:val="23"/>
              </w:rPr>
              <w:t xml:space="preserve">Table </w:t>
            </w:r>
            <w:r>
              <w:rPr>
                <w:rFonts w:ascii="Arial" w:eastAsiaTheme="majorEastAsia" w:hAnsi="Arial" w:cstheme="majorBidi"/>
                <w:b/>
                <w:iCs/>
                <w:szCs w:val="23"/>
              </w:rPr>
              <w:t>C.2</w:t>
            </w:r>
          </w:p>
          <w:p w:rsidR="00D075E5" w:rsidRPr="004E6BED" w:rsidRDefault="00D075E5" w:rsidP="009B1655">
            <w:pPr>
              <w:keepNext/>
              <w:keepLines/>
              <w:suppressAutoHyphens/>
              <w:jc w:val="center"/>
              <w:rPr>
                <w:rFonts w:ascii="Arial" w:eastAsia="Calibri" w:hAnsi="Arial"/>
                <w:b/>
                <w:bCs/>
                <w:sz w:val="20"/>
                <w:szCs w:val="23"/>
              </w:rPr>
            </w:pPr>
            <w:r w:rsidRPr="004E6BED">
              <w:rPr>
                <w:rFonts w:ascii="Arial" w:eastAsia="Calibri" w:hAnsi="Arial"/>
                <w:b/>
                <w:bCs/>
                <w:sz w:val="20"/>
                <w:szCs w:val="23"/>
              </w:rPr>
              <w:t>Please describe any other barriers and the best way you think we can overcome it.</w:t>
            </w:r>
          </w:p>
          <w:p w:rsidR="00D075E5" w:rsidRPr="004E6BED" w:rsidRDefault="00D075E5" w:rsidP="009B1655">
            <w:pPr>
              <w:suppressAutoHyphens/>
              <w:jc w:val="center"/>
              <w:rPr>
                <w:rFonts w:ascii="Arial" w:eastAsia="Calibri" w:hAnsi="Arial"/>
                <w:sz w:val="16"/>
                <w:szCs w:val="16"/>
              </w:rPr>
            </w:pPr>
            <w:r w:rsidRPr="004E6BED">
              <w:rPr>
                <w:rFonts w:ascii="Arial" w:eastAsia="Calibri" w:hAnsi="Arial"/>
                <w:sz w:val="16"/>
                <w:szCs w:val="16"/>
              </w:rPr>
              <w:t>State of New Mexico</w:t>
            </w:r>
          </w:p>
          <w:p w:rsidR="00D075E5" w:rsidRPr="004E6BED" w:rsidRDefault="00D075E5" w:rsidP="009B1655">
            <w:pPr>
              <w:suppressAutoHyphens/>
              <w:jc w:val="center"/>
              <w:rPr>
                <w:rFonts w:ascii="Arial" w:eastAsia="Calibri" w:hAnsi="Arial"/>
                <w:bCs/>
                <w:sz w:val="16"/>
                <w:szCs w:val="23"/>
              </w:rPr>
            </w:pPr>
            <w:r w:rsidRPr="004E6BED">
              <w:rPr>
                <w:rFonts w:ascii="Arial" w:eastAsia="Calibri" w:hAnsi="Arial"/>
                <w:sz w:val="16"/>
                <w:szCs w:val="16"/>
              </w:rPr>
              <w:t>2013 Fair Housing Survey Data</w:t>
            </w:r>
          </w:p>
        </w:tc>
      </w:tr>
      <w:tr w:rsidR="00D075E5" w:rsidRPr="004E6BED" w:rsidTr="009B1655">
        <w:trPr>
          <w:trHeight w:val="173"/>
          <w:jc w:val="center"/>
        </w:trPr>
        <w:tc>
          <w:tcPr>
            <w:tcW w:w="9576" w:type="dxa"/>
            <w:tcBorders>
              <w:top w:val="single" w:sz="4" w:space="0" w:color="009900"/>
              <w:left w:val="single" w:sz="4" w:space="0" w:color="009900"/>
              <w:bottom w:val="single" w:sz="4" w:space="0" w:color="009900"/>
              <w:right w:val="single" w:sz="4" w:space="0" w:color="009900"/>
            </w:tcBorders>
            <w:shd w:val="clear" w:color="000000" w:fill="FFFFE1"/>
            <w:noWrap/>
            <w:vAlign w:val="bottom"/>
            <w:hideMark/>
          </w:tcPr>
          <w:p w:rsidR="00D075E5" w:rsidRPr="004E6BED" w:rsidRDefault="00D075E5" w:rsidP="009B1655">
            <w:pPr>
              <w:suppressAutoHyphens/>
              <w:jc w:val="center"/>
              <w:rPr>
                <w:rFonts w:ascii="Arial" w:eastAsia="Calibri" w:hAnsi="Arial"/>
                <w:b/>
                <w:bCs/>
                <w:sz w:val="16"/>
                <w:szCs w:val="16"/>
              </w:rPr>
            </w:pPr>
            <w:r w:rsidRPr="004E6BED">
              <w:rPr>
                <w:rFonts w:ascii="Arial" w:eastAsia="Calibri" w:hAnsi="Arial"/>
                <w:b/>
                <w:bCs/>
                <w:sz w:val="16"/>
                <w:szCs w:val="16"/>
              </w:rPr>
              <w:t>Comments:</w:t>
            </w:r>
          </w:p>
        </w:tc>
      </w:tr>
      <w:tr w:rsidR="00D075E5" w:rsidRPr="004E6BED" w:rsidTr="009B1655">
        <w:trPr>
          <w:trHeight w:val="173"/>
          <w:jc w:val="center"/>
        </w:trPr>
        <w:tc>
          <w:tcPr>
            <w:tcW w:w="9576" w:type="dxa"/>
            <w:tcBorders>
              <w:top w:val="nil"/>
              <w:left w:val="single" w:sz="4" w:space="0" w:color="009900"/>
              <w:bottom w:val="single" w:sz="4" w:space="0" w:color="009900"/>
              <w:right w:val="single" w:sz="4" w:space="0" w:color="009900"/>
            </w:tcBorders>
            <w:shd w:val="clear" w:color="000000" w:fill="FFFFE1"/>
            <w:noWrap/>
            <w:vAlign w:val="center"/>
          </w:tcPr>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1.  There is a financial gap in all rental housing projects in NM.  Filling that gap is our challenge.  The gap can be repaid over time through refinancing or through sale of apartments as condos.  2.  Walkable and complete neighborhoods, with good transit service, can free those of modest means from car ownership - which can cost more than housing.</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1. Land bank, CLT model   2. Increase land donation incentives.   Provide data bank for existing federal/state/local land holdings (eg state owned mobile home park at Eubank/Central) and streamline process where dormant or outdated public assets can be repurposed, to include an affordable housing component.  3. Ensure product continues to be high quality. QAP should add scoring category for revitalization and fiscal impact studies.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After hurricane Katrina, the cost of materials rose dramatically.  Since then, they have not gone done as much as they should.  That is something the "free market" won't solve.  Maybe some other intervention would be appropriate.</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Allow for reuse of water/wastewater, with less regulatory impedance.  Utilize the concept of renovation before allowing new construction.  Completely restructure the NM regulations and permitting process.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Basic infrastructure is an issue throughout Dona Ana County specifically in the 37 colonia communities.  Land prices, while not always an issue, the availability of smaller developable lots is an issue.  Dona Ana County is in need of consistent affordable housing policies and incentives necessary to encourage developers to incorporate affordable housing into plans.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Be friendly when dealing with rural communities - there is fear of change. It is good to get local people involved in communicating housing issues, as it is hard for local people to see their communities the other's see them.   Permitting, inspections, construction costs, lack of a work force on the local level are huge barriers to getting things done. Lack of qualified electricians, plumbers, carpenters make it very difficult to complete jobs in a timely manner.   The most challenging barrier of all is getting people to work together.</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better permitting process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better planning be for done</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Build water, waste water and utilities infrastructure in rural communities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Change lifestyles on water usage. Replumb old buildings to reuse bath water and dish water. Encourage collection of rainwater.</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Comprehensive Affordable Housing Plan</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Construction regulations need to be revamped and some of the requirements relaxed.</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cost of land.  convince landowners their property is not that valuable</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Density, is a key issue; city and county zone changes allowing for greater no of units per acare from 30 to 50 and parking of 1 per unit to reduce the parking burden.</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Develop a system that can access folks in need. There are lots of opportunities out there, but few people know about finding them.</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do it</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Due to drought conditions in the Southwest many NM communities don't have enough water to allow further development. There are huge underground aquifers in NM, but in order to use the water the state or water companies would have to build de-salinization plants. There's lots of land in NM, too, but within communities it can be very expensive.  Cost of materials is going up because gas prices have risen and therefore it costs more to get materials to rural areas of the state.  The cost of labor is rising and will continue to rise if the current administration continues on its present course.  In order to meet zoning requirements, projects need more land - which is more expensive.  Rural communities can't really afford to give money to projects; sometimes they own land they can contribute.  ADA codes only add to the cost of the project - as do the "Green" and "Sustainable" requirements.  The only way to overcome these is to make sure that the initial project is feasible and continues to be feasible by limiting construction costs per unit for tax credit projects.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Due to economy it has increased the costs of all goods as well as labor to do so.</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Educating the community on the positive socioeconomic outcomes for the state when we house individuals who would otherwise not have a home if they weren't assisted.</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Education and meeting with neighbors who object.</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Education of benefits available</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Education of officials, funding for infrastructure, water and sewer systems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Encourage qualified builders to expand within their regions  Contribution of land to projects at discounted rates - this is mostly a help in urban areas; rural land costs are low</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For building codes the difficulty lies in the unavailability of state inspectors to ok projects and allow construction to stay on schedule. One solution is for counties to staff building inspectors.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For Multiple Funding Mechanisms -- Experience and Persistence</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for the santa fe market, nimby and the hidden costs of housing development built in to the development review and public hearing process are a giant barrier, and segregating affordable housing at the fringes of the community.</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Funding and planning are the primary obstacles.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Funding seems to be the issue for most of the items checked above.</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Funding, Education</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Get out of the housing business. Turn it over to contractors like DoD has been doing for about 20 years.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Give a tax-credit priority to the areas of the state most in need of housing.</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Government must have a comprehensive affordable housing program that combines city, county and state interests.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Have political leasdership and support.</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Having the money to do an assement on the whole county on what we need and whats going to work for us.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Higher density!</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Higher lot cost increase home price.  Increasing material cost make home price higher.</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Homes in are area are older adobe homes and most people are opting for mobile homes that are an eye sore to the community. People are installing un-regulated wood stoves in these mobile homes which are becoming a fire hazard to the families. Historical adobe homes are being abandoned. Most individuals, although they own the homes can not afford to renovate them or do not realize their value. People who have renovated these older adobe homes have seen values in their homes quadruple thus creating wealth for their families.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I believe everything is so over politicized and there is so much "government" things move too slowly to get projects created and completed. Having less red tape. NIMBY - inform communities that everyone needs a safe, affordable place to live.</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I believe once the ball starts rolling with just ONE of the concerns and I mean really start rolling other will follow. We need to get over the barriers that keep this from moving forward.</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i'm more familiar with barriers that aren't listed above such as lack of living wage jobs, the extreme difficulties/costs of getting education, then no jobs available, the plethora of rules and regs that make helping people almost impossible, (such as no weatherization assistance for single wides)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If there could be some funding for special projects on preservation for home ownership units in Pueblos, that could be a form of how we can address our substandard housing in our Pueblos.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impact fees are in "limbo" with staff not ready to bring to council.    NIMBY was shown when a groupd home for homeless women was put into a neighborhood</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In the Village of Tularosa we have a hard time finding lots that are affordable and have sewer system.  The lots that are affordable don't have a sewer system to it.  It is difficult to find infill lots within Alamogordo mainly because of NIMBY.  A viable water plan needs to be developed for Otero County.</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Inadequate or lack of sewer systems prevent higher density development. It is difficult to overcome the NIMBY mentality. The elected officials have to face angry residents, which makes it difficult for the officials to support these projects.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Invest in water and wastewater systems and other infrastructure.  Streamline and standardize permitting processes.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It is ALWAYS difficult to get affordable housing developed in safe areas of town.</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It is very difficult to obtain a permit in the City or County and it is very expensive-make the process more efficient and affordable  Lack of Water - everywhere in the South West - no solution except rain  Impact Fees were raised by over $4000 per new home in 2013- find some other way to fund infrastructure  NIMBY mentality - education  Affordable housing policies - craft them and implement them</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It's pretty tough to reduce costs, so I think subsidization (temporary) is the best offer.</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Lack of builders - many builders left the market in 2008 and have found other jobs.  Too many also filed bankruptcy or have so much bad debt they cannot go back into business again.  Could the state look at some kind of surety bond or debt forgiveness for those contractors who met certain criteria?    Lack of available land.  Communities in Northern NM are landlocked by federal, state and tribal lands.  Scarcity drives up costs.  Can we engage with land grants to see if they are willing to pursue development?  Can we help rural communities redevelop or develop downtown areas to better use existing property for housing and business?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Lack of qualified builders, cost of materisal and labor.      Perhaps a closer inspection of county or state, while construction is going on.</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Lack of sewer system in extraterritorial area outside town limits.  Limited natural gas outside town limits.  High cost of solar installation.  Generally poor infrastructure outside and sometimes inside smaller municipalities.  Double water rates outside city limits.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Lack of water - fight to keep water in New Mexico.  Lack of Infrastructure - More funding for Colonias Grants.  Cost of land - Many areas of the state are surrounded by government owned land, therefore driving up the costs.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Lack of water and sewer systems can be solved through improved planning</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Lack of Water:  we must build "up" (higher) and develop land within the city limits.  Stop developing desert where there is no water and extremely costly to build a water and sewer system.  Cost of Materials and Labor:  it is what it is.  Impact Fees and Construction Fees:  lower them for affordable housing projects.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Lack of will to provide safe, clean affordable housing is primary.  Once the city, state leaders affirm we must support this housing, it will happen.</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Land Bank or other ways to fund land for affordable housing  Create strong local policies to influence the funding of affordable housing projects at the state and national levels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Limited or no infrastructure, most notably lack of water, sewer, storm and street access, serve as a major barrier to the development of affordable housing in rural New Mexico.  Lack of affordable housing development policies also hamper development. Finally there is often neighborhood opposition to affordable housing development.</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Local governments are simply not aware of how the process works, so they don't have and in some cases don't have the qualified staff to put the necessary policies in place.  MFA needs to contract with these local governments, to put these policies in place</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Lots of problems with CID approvals to continue construction and delays all the time.</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Low cost leverage funding, like the HTF, to support scale infrastructure development. Help to devising advanced cross cutting policy and guidance on blending resources and compliance with Fair Housing.  Educating Congressional reps on need and results of using fed funding that have worked.  So key in these budget shrinking times.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lower cost of land  and lots available to jump start the economy</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mandatory inclusional zoning for new subdivisions,  education for all residents as to what affordable housing is.  If you can fix the nations economy....well run for president.....then it will trickle down to the local economy.</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Many of our clients who live on the reservation would like to stay there but are unable to due to lack of access to electric, gas and water.  There are not funds available to install these things and without them their health suffers so they must move.  Having funds for new construction would be very helpful.</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Many of the areas we work in, Tribal Lands, don't have infrastructure in place (water, sewer, electricity, gas, etc.) and the cost to bring these in can be a barrier to building new homes.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Maximize the low income housing tax credits!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My family owns 40 rural lots which we developed for housing sales. Since they are rural there is no sewer services and the main water source would be a well, however the City has bought up all of the old farms in the area for their water rights, built more water storage facilities and now water in the area is unstable. My personal well in the same area went dry 2 summers ago forcing me to tie into the city water system which I was not happy about. The depth that someone building on our land would have to go to try to ensure ample water supply is very costly. I think if Cities are going to buy up all of the water rights and start lowering the water tables for wells that they should have to provide water service to those areas.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My main concern is the lack for public transportation. How can we expect low income households to afford a vehicle when they can not afford a decent apartment. The transportation is there but it is under served in a lot of the city</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Negotiate land sale with BLM, Open bids statewide for materials and labor.</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New Mexico has it's paws in every aspect of building, so that even a homeowner can't add a deck without state and local permissions, permits, fees, interference, ridiculous codes, unlawful taxation- until just wanting to  replace a window is ridiculously difficult.  The state government needs to get its hands out of everybody's business and let people live, build and renovate without crazy micromanaging oversight that creates prohibitive costs and fees!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NIMBY folks make assumptions their value of  the homes will depreciate their homes, we must eduation them and provide evidence and testimonies from other neighborhoods that housing can be and should be for everyone and if everyone works together it will become a valuable asset for all families.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NIMBY Mentality can be overcome by increasing the stock of high-quality affordable housing projects that employ a mixed-income mixed-use philosophy, promoting commercial development and neighborhood revitalization.</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NIMBY---impossible--anti-stigma--conversations, meetings; the lack of water/sewer systems/water systems is almost an insurmountable barrier--in Las Vegas there is the issue of a leaking dam that will cost millions of dollars--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NIMBYism-public education to demonstrate the value of quality built, well managed communities, to neighborhoods.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NM is in drought, and as average temperatures warm and population increases, the water we do get will evaporate faster and be more in demand. Unless we were to buy land outside the city limits and increase our commute time, we could not afford $80K for a lot plus house on our annual income of $43K (just about the NM median).</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Not much can be done about any of these barriers.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Not much you can do about NIMBY mentality.  Expand the availability of land so that cost is not so much a consideration.</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not sure how to overcome fee process other than grants.  many affordable units were built in late 60's and early 70s need asbestos remediation.  state funding should be sought for these issues.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Partnering with developers to set aside housing for low income and mixed uses!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permitting process is difficult and onerous.  get rid of half the state regulations and get more inspectors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permitting process is slow and ends up costing builders with delays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Planning and money.</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Proper water conservation and design. Waste water remediation systems are critical for water reuse or infiltration.</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Public subsidy of the advance infrastructure (sewer, land) so that private development can move forward with rehab or construction.  Waive fees and expedite permitting to incentivize.</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Raton, New Mexico is a small, rural, poverty stricken, old coal mining town.  We are attempting to write grants to refurbish the homes of  the low income people in our community.</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Real estate in Taos County is very high. Most inquires are just looking for rentals due to cannot afford to buy a home. More Medium Income apartments needed without rental assistance . Rent is outrages here in Taos .</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Reduce or remove impact fees for affordable housing development. Streamline permitting process.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Rural area face the lack of qualified contractors who meet federal and state procurement requirements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Subdivision Development including infrastructure</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Subsidies need to be available for renovation of housing for homeowners, given the above list.</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Subsidize mandated ADA &amp; Code required modifications if it will increase affordability of construction</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Subsidizing or providing funding for infrastructure to all affordable housing projects would allow for developers to be interested in these projects.  Land costs are way too high, especially in Los Alamos County and surrounding counties and the cost of placing infractructure is outrageous. In Los Alamos County for example, the soil conditions here are nearly impossible to penetrate, developers do not want to absorb the cost of blasting and preparing the soil for infrastructure.  If subsidies were in place to assist in funding the infrastructure costs developers would be more likely to respond to RFP's and projects.  Change some guidelines regarding grants and loans, lessen the restrictive nature.</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Texas Building subcontractors are not required to have extensive contractor licenses in Texas and it is much cheaper to construct homes and apartments in Texas. Please review the Texas Subcontractor licensing requirements and see if we can make the NM process more like theirs.  We are losing our subcontractors to Texas.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The Albuquerque area has limited land available for new construction. Not sure what the solution is in this location.</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The availability of infrastructure and costs of producing housing go hand in hand.  Lack of unified storm water control system is a high cost because handling of storm water has to be handled onsite requiring more land.  The gross receipts tax is a big factor in costs.      A few places have more intense and time consuming land use approval processes.  While the increased scrutiny may improve the outcome, the protracted timeframe has many negative ramifications.      Conversely, those places with minimal land use processes usually do not have pro-affordable development policies.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The cost of land and housing/rental asking prices are overly inflated due to the boom cycle of the oil/gas industry. Due to the fact that everyone's opinion is extremely subjective when it comes to a fair asking price based on the structure or land as it exists in place, no one will ever feel obligated to lower their prices until the oil/gas industry enters into another "bust" cycle. That being said, perhaps some type of policy could be written based on a tier system. Develop a historical mean average for different square footage housing/land to use as a benchmark regardless of the economic standing of the region at that time. Factor inflation and cost of labor/materials at the present time and create housing/land tiers with a minimum/maximum asking price. Create an opportunity for low and middle class to have some bargaining power when looking to buy.</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The cost of new &amp; rehab housing exceeds the affordability of those needing homes.  Builders don't s will not go through the process of qualifying low income families to get the money MFA could give them to build.  The public and private sectors all have to get on the same page as to affordability requirments and definitions.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The problem in our community is the lack of land. No one will sale or they put a price so high on it so it wont sell because they do not want affordable housing in their neighborhood. Until we change the way the landowners see it we want have any growth or development in our community.</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The two largest barriers are NIMBYism and costs.  Need to explain to neighbors exactly what the proposed housing looks like and who will live there.  Costs - find more money</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The use of State backed Mandates should help overcome the biggest problem NIMBY!</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There is simply not enough money available to meet housing needs. We are a very poor state with many low income people. The funding available for housing does not come close to meeting the need.</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There seems to be a lack of affordable housing in Farmington, and as far as I know there are no development policies.  I t would be great if this area could adopt what Santa Fe has done for affordable housing</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These barriers are specific to Santa Fe. Lack of water = ensure that all new affordable housing is built with water efficiency as a priority, and that rehab resources emphasize conservation retrofits; cost of land/lot = higher densities may bring down land costs in high cost areas; cost of materials/labor = always higher in Santa Fe because most comes from ABQ so not sure if there's a solution but probably just a factor of economics; density/zoning/NIMBY = need better outreach from gov't and nonprofits about affordable housing, who benefits, why there's overall positive effect on economy when workforce is housed affordably.</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 xml:space="preserve">This list says a lot.  MFA spends too much time worrying about costs, land use regs, and exacting policies and painstaking needs studies to back them up, and not enough on "get the money and get priority needs met somehow."   Needs studies/plan specs should be trimmed down in scope for smaller communities, with at least half of </w:t>
            </w:r>
            <w:r w:rsidR="00CC3344">
              <w:rPr>
                <w:rFonts w:ascii="Arial" w:eastAsia="Calibri" w:hAnsi="Arial"/>
                <w:sz w:val="16"/>
                <w:szCs w:val="16"/>
              </w:rPr>
              <w:t>MFA</w:t>
            </w:r>
            <w:r w:rsidRPr="004E6BED">
              <w:rPr>
                <w:rFonts w:ascii="Arial" w:eastAsia="Calibri" w:hAnsi="Arial"/>
                <w:sz w:val="16"/>
                <w:szCs w:val="16"/>
              </w:rPr>
              <w:t xml:space="preserve"> and local dollars for studies/plans devoted to initial implementation of the plan and more TA $$ for follow-on. A simpler template for plans would look mainly at maybe a dozen prime indicators--like vacant homes off the market, quick impressionistic windshield surveys of rehab needs, home prices and # on market, vacancy rates in existing subsidized housing. Needs for land use code reforms could be trimmed to a simple list where only serious, costly requirements are flagged--and something is really done about them. The demand in smaller communities is always naturally for slightly lower densities. There is so little by-right zoning in these places that density bonuses make little or no sense. The QAP should give more scoring incentives for small communities, which as-is makes the best sense for larger communities--also slightly stronger incentives for developers in terms of fee or whatever it takes.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Thought must be given to young professionals and young families that have some means that want to live in an active, green and community minded space.</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Through education and better communcation</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to many rules or laws stop people from being able to afford homes or a decent living in small communities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Too much of our affordable housing is in rural areas where land is cheap.  Then residents incur high transportation costs so that H+T is 40% of 50% of their income.  Integrate housing and public transportation planning, allow higher density along transit corridors, allow more accessory housing.</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Up to date comprehensive development policies/plan and improved coordination among the agencies involved</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Update zoning requirements to allow higher density multifamily housing in Albuquerque</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We are in a desert and do not need more aggressive growth.  If we tap the water underneath ranches and farms for the urban areas, we have ruined their opportunities forever.  This state is so Albq.-centric, they don't care much about outlying communities and ranchers.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We live in the high desert with limited water.  To continue to build, we need to build "up," not "out."  The taxpayer can't continue to pay for more water and sewer systems spreading out over the desert. Higher rise apartment buildings and zero-lot-line homes and develop the vacant land within the city limits.  Lower impact fees and construction fees for affordable housing developers.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We need better job opportunities which will lead to higher rent which will lead to more infill opportunities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We need contractors and materials in Hobbs to assist bringing the cost of new development down to reasonable prices.  Current housing is high because the supply is so low.</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We need to build the infrastructure for the future now. Not build infrastructure that is outdated before it is built.</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We need to purchase a building large enough to assist those who are afflicted, yet give them the ability to move forward in the light.  The current building is 6,000 sq. ft. and it is too small for transition services (offices).  This building also needs to be on the city bus route for ease of transportation...</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We need to sit down and look over the cost and the fees of all groups of people and see how to make it fit for all not just one group of people.</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We would like to build an assisted living facility, but would need some type of subsidy for the units.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Work on acquiring more federal tax credits. Create some new state tax credits.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You can't have housing without water and sewer. It is more beneficial to a community to have a water system and wastewater system instead of having a well, septic tank or individual treatment system per house hold.</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zoning - remove density restriction and remove parking requirements  focus on costs of housing+transportation</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Zoning and housing policies need to be revisitied and revised.</w:t>
            </w:r>
          </w:p>
        </w:tc>
      </w:tr>
    </w:tbl>
    <w:p w:rsidR="00D075E5" w:rsidRPr="004E6BED" w:rsidRDefault="00D075E5" w:rsidP="00D075E5">
      <w:pPr>
        <w:jc w:val="center"/>
      </w:pPr>
    </w:p>
    <w:tbl>
      <w:tblPr>
        <w:tblW w:w="9576" w:type="dxa"/>
        <w:jc w:val="center"/>
        <w:tblLook w:val="04A0" w:firstRow="1" w:lastRow="0" w:firstColumn="1" w:lastColumn="0" w:noHBand="0" w:noVBand="1"/>
      </w:tblPr>
      <w:tblGrid>
        <w:gridCol w:w="9576"/>
      </w:tblGrid>
      <w:tr w:rsidR="00D075E5" w:rsidRPr="004E6BED" w:rsidTr="009B1655">
        <w:trPr>
          <w:trHeight w:val="173"/>
          <w:jc w:val="center"/>
        </w:trPr>
        <w:tc>
          <w:tcPr>
            <w:tcW w:w="9576" w:type="dxa"/>
            <w:tcBorders>
              <w:bottom w:val="single" w:sz="4" w:space="0" w:color="009900"/>
            </w:tcBorders>
            <w:shd w:val="clear" w:color="000000" w:fill="FFFFFF" w:themeFill="background1"/>
            <w:noWrap/>
            <w:vAlign w:val="center"/>
            <w:hideMark/>
          </w:tcPr>
          <w:p w:rsidR="00D075E5" w:rsidRPr="004E6BED" w:rsidRDefault="00D075E5" w:rsidP="009B1655">
            <w:pPr>
              <w:keepNext/>
              <w:keepLines/>
              <w:suppressAutoHyphens/>
              <w:jc w:val="center"/>
              <w:rPr>
                <w:rFonts w:ascii="Arial" w:eastAsiaTheme="majorEastAsia" w:hAnsi="Arial" w:cstheme="majorBidi"/>
                <w:b/>
                <w:iCs/>
                <w:szCs w:val="23"/>
              </w:rPr>
            </w:pPr>
            <w:r w:rsidRPr="004E6BED">
              <w:rPr>
                <w:rFonts w:ascii="Arial" w:eastAsiaTheme="majorEastAsia" w:hAnsi="Arial" w:cstheme="majorBidi"/>
                <w:b/>
                <w:iCs/>
                <w:szCs w:val="23"/>
              </w:rPr>
              <w:t xml:space="preserve">Table </w:t>
            </w:r>
            <w:r>
              <w:rPr>
                <w:rFonts w:ascii="Arial" w:eastAsiaTheme="majorEastAsia" w:hAnsi="Arial" w:cstheme="majorBidi"/>
                <w:b/>
                <w:iCs/>
                <w:szCs w:val="23"/>
              </w:rPr>
              <w:t>C.3</w:t>
            </w:r>
          </w:p>
          <w:p w:rsidR="00D075E5" w:rsidRPr="004E6BED" w:rsidRDefault="00D075E5" w:rsidP="009B1655">
            <w:pPr>
              <w:keepNext/>
              <w:keepLines/>
              <w:suppressAutoHyphens/>
              <w:jc w:val="center"/>
              <w:rPr>
                <w:rFonts w:ascii="Arial" w:eastAsia="Calibri" w:hAnsi="Arial"/>
                <w:b/>
                <w:bCs/>
                <w:sz w:val="20"/>
                <w:szCs w:val="23"/>
              </w:rPr>
            </w:pPr>
            <w:r w:rsidRPr="004E6BED">
              <w:rPr>
                <w:rFonts w:ascii="Arial" w:eastAsia="Calibri" w:hAnsi="Arial"/>
                <w:b/>
                <w:bCs/>
                <w:sz w:val="20"/>
                <w:szCs w:val="23"/>
              </w:rPr>
              <w:t>What other business and economic development activities are you considering?</w:t>
            </w:r>
          </w:p>
          <w:p w:rsidR="00D075E5" w:rsidRPr="004E6BED" w:rsidRDefault="00D075E5" w:rsidP="009B1655">
            <w:pPr>
              <w:suppressAutoHyphens/>
              <w:jc w:val="center"/>
              <w:rPr>
                <w:rFonts w:ascii="Arial" w:eastAsia="Calibri" w:hAnsi="Arial"/>
                <w:sz w:val="16"/>
                <w:szCs w:val="16"/>
              </w:rPr>
            </w:pPr>
            <w:r w:rsidRPr="004E6BED">
              <w:rPr>
                <w:rFonts w:ascii="Arial" w:eastAsia="Calibri" w:hAnsi="Arial"/>
                <w:sz w:val="16"/>
                <w:szCs w:val="16"/>
              </w:rPr>
              <w:t>State of New Mexico</w:t>
            </w:r>
          </w:p>
          <w:p w:rsidR="00D075E5" w:rsidRPr="004E6BED" w:rsidRDefault="00D075E5" w:rsidP="009B1655">
            <w:pPr>
              <w:suppressAutoHyphens/>
              <w:jc w:val="center"/>
              <w:rPr>
                <w:rFonts w:ascii="Arial" w:eastAsia="Calibri" w:hAnsi="Arial"/>
                <w:bCs/>
                <w:sz w:val="16"/>
                <w:szCs w:val="23"/>
              </w:rPr>
            </w:pPr>
            <w:r w:rsidRPr="004E6BED">
              <w:rPr>
                <w:rFonts w:ascii="Arial" w:eastAsia="Calibri" w:hAnsi="Arial"/>
                <w:sz w:val="16"/>
                <w:szCs w:val="16"/>
              </w:rPr>
              <w:t>2013 Fair Housing Survey Data</w:t>
            </w:r>
          </w:p>
        </w:tc>
      </w:tr>
      <w:tr w:rsidR="00D075E5" w:rsidRPr="004E6BED" w:rsidTr="009B1655">
        <w:trPr>
          <w:trHeight w:val="173"/>
          <w:jc w:val="center"/>
        </w:trPr>
        <w:tc>
          <w:tcPr>
            <w:tcW w:w="9576" w:type="dxa"/>
            <w:tcBorders>
              <w:top w:val="single" w:sz="4" w:space="0" w:color="009900"/>
              <w:left w:val="single" w:sz="4" w:space="0" w:color="009900"/>
              <w:bottom w:val="single" w:sz="4" w:space="0" w:color="009900"/>
              <w:right w:val="single" w:sz="4" w:space="0" w:color="009900"/>
            </w:tcBorders>
            <w:shd w:val="clear" w:color="000000" w:fill="FFFFE1"/>
            <w:noWrap/>
            <w:vAlign w:val="bottom"/>
            <w:hideMark/>
          </w:tcPr>
          <w:p w:rsidR="00D075E5" w:rsidRPr="004E6BED" w:rsidRDefault="00D075E5" w:rsidP="009B1655">
            <w:pPr>
              <w:suppressAutoHyphens/>
              <w:jc w:val="center"/>
              <w:rPr>
                <w:rFonts w:ascii="Arial" w:eastAsia="Calibri" w:hAnsi="Arial"/>
                <w:b/>
                <w:bCs/>
                <w:sz w:val="16"/>
                <w:szCs w:val="16"/>
              </w:rPr>
            </w:pPr>
            <w:r w:rsidRPr="004E6BED">
              <w:rPr>
                <w:rFonts w:ascii="Arial" w:eastAsia="Calibri" w:hAnsi="Arial"/>
                <w:b/>
                <w:bCs/>
                <w:sz w:val="16"/>
                <w:szCs w:val="16"/>
              </w:rPr>
              <w:t>Comments:</w:t>
            </w:r>
          </w:p>
        </w:tc>
      </w:tr>
      <w:tr w:rsidR="00D075E5" w:rsidRPr="004E6BED" w:rsidTr="009B1655">
        <w:trPr>
          <w:trHeight w:val="173"/>
          <w:jc w:val="center"/>
        </w:trPr>
        <w:tc>
          <w:tcPr>
            <w:tcW w:w="9576" w:type="dxa"/>
            <w:tcBorders>
              <w:top w:val="nil"/>
              <w:left w:val="single" w:sz="4" w:space="0" w:color="009900"/>
              <w:bottom w:val="single" w:sz="4" w:space="0" w:color="009900"/>
              <w:right w:val="single" w:sz="4" w:space="0" w:color="009900"/>
            </w:tcBorders>
            <w:shd w:val="clear" w:color="000000" w:fill="FFFFE1"/>
            <w:noWrap/>
            <w:vAlign w:val="center"/>
          </w:tcPr>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all needed in rural areas of NM</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All of these activities should be led by the PRIVATE sector, with help from the PUBLIC sector.  Entrepreneurs/banks/investors should lead, government should supplement their leadership.</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An educated work force. Less reliance on federal dollars ...Sandia, Phillips, to employ people.</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Attract high tech/low water usage businesses-i.e elrctronics,computer technology, aeronautics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Being more realistic about where to invest scarce funds, triage small dying communities with little potential, recognize that most job training has proved ineffective and fund only programs that show rises in graduates' income</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Custermer Service Training - many business owners in our community are rude to customers.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develop downtowns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entrepreneurship</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Exploit (mine) more minerals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Farm land owners need to learn skills to enhance the value of their lands and utilize then to build their wealth through sustainable agriculture.</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Foster businesses that capitalize on NM's assets like abundant sunshine.</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Government should provide policy that improves the business climate. In NM that would mean eliminating GRT, among a host of other things. I don't know what is meant or the government's role in the questions above I did not respond to.</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High level interconnective internet resource</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Improve general education; entrepreneurship training; help local businesses market their products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incentives to be tied to support of job training--$ in state</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infrastrucutre and construction neeeds of new or expanding companies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More enhancement for locally owned businesses as apposed to bringing in big national chains.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Need a strong Economic Gardening program to help exisitng businesses grow and prosper.</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Need better rated schools for people to move here who have businesses --for their skilled, professionals to follow. Higher education in growing fields.  Outsourcing, and diversification of industry here --really just gov't, some tourism</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need for improved image re: Schools, Crime and CYFD</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NM needs to support alternative energy development and manufacturing.</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Rational analysis of economic development effects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We need housing so we can staff new business in Hobbs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we need to stop focusing on bringing outside business in and start focusing on developing locally owned business, improving and expanding existing business and provide tax benefits, access to capital etc to local folks !!! the solutions are in our communities, not outside somewhere.</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workforce training, retraining.  Basic and technical.</w:t>
            </w:r>
          </w:p>
        </w:tc>
      </w:tr>
    </w:tbl>
    <w:p w:rsidR="00D075E5" w:rsidRDefault="00D075E5" w:rsidP="00D075E5">
      <w:pPr>
        <w:jc w:val="center"/>
      </w:pPr>
    </w:p>
    <w:p w:rsidR="00D075E5" w:rsidRDefault="00D075E5" w:rsidP="00D075E5">
      <w:pPr>
        <w:jc w:val="center"/>
      </w:pPr>
    </w:p>
    <w:p w:rsidR="00D075E5" w:rsidRDefault="00D075E5" w:rsidP="00D075E5">
      <w:pPr>
        <w:jc w:val="center"/>
      </w:pPr>
    </w:p>
    <w:p w:rsidR="00D075E5" w:rsidRDefault="00D075E5" w:rsidP="00D075E5">
      <w:pPr>
        <w:jc w:val="center"/>
      </w:pPr>
    </w:p>
    <w:p w:rsidR="00D075E5" w:rsidRDefault="00D075E5" w:rsidP="00D075E5">
      <w:pPr>
        <w:jc w:val="center"/>
      </w:pPr>
    </w:p>
    <w:p w:rsidR="00D075E5" w:rsidRDefault="00D075E5" w:rsidP="00D075E5">
      <w:pPr>
        <w:jc w:val="center"/>
      </w:pPr>
    </w:p>
    <w:p w:rsidR="00D075E5" w:rsidRPr="004E6BED" w:rsidRDefault="00D075E5" w:rsidP="00D075E5">
      <w:pPr>
        <w:jc w:val="center"/>
      </w:pPr>
    </w:p>
    <w:tbl>
      <w:tblPr>
        <w:tblW w:w="9576" w:type="dxa"/>
        <w:jc w:val="center"/>
        <w:tblLook w:val="04A0" w:firstRow="1" w:lastRow="0" w:firstColumn="1" w:lastColumn="0" w:noHBand="0" w:noVBand="1"/>
      </w:tblPr>
      <w:tblGrid>
        <w:gridCol w:w="9576"/>
      </w:tblGrid>
      <w:tr w:rsidR="00D075E5" w:rsidRPr="004E6BED" w:rsidTr="009B1655">
        <w:trPr>
          <w:trHeight w:val="173"/>
          <w:jc w:val="center"/>
        </w:trPr>
        <w:tc>
          <w:tcPr>
            <w:tcW w:w="9576" w:type="dxa"/>
            <w:tcBorders>
              <w:bottom w:val="single" w:sz="4" w:space="0" w:color="009900"/>
            </w:tcBorders>
            <w:shd w:val="clear" w:color="000000" w:fill="FFFFFF" w:themeFill="background1"/>
            <w:noWrap/>
            <w:vAlign w:val="center"/>
            <w:hideMark/>
          </w:tcPr>
          <w:p w:rsidR="00D075E5" w:rsidRPr="004E6BED" w:rsidRDefault="00D075E5" w:rsidP="009B1655">
            <w:pPr>
              <w:keepNext/>
              <w:keepLines/>
              <w:suppressAutoHyphens/>
              <w:jc w:val="center"/>
              <w:rPr>
                <w:rFonts w:ascii="Arial" w:eastAsiaTheme="majorEastAsia" w:hAnsi="Arial" w:cstheme="majorBidi"/>
                <w:b/>
                <w:iCs/>
                <w:szCs w:val="23"/>
              </w:rPr>
            </w:pPr>
            <w:r w:rsidRPr="004E6BED">
              <w:rPr>
                <w:rFonts w:ascii="Arial" w:eastAsiaTheme="majorEastAsia" w:hAnsi="Arial" w:cstheme="majorBidi"/>
                <w:b/>
                <w:iCs/>
                <w:szCs w:val="23"/>
              </w:rPr>
              <w:t xml:space="preserve">Table </w:t>
            </w:r>
            <w:r>
              <w:rPr>
                <w:rFonts w:ascii="Arial" w:eastAsiaTheme="majorEastAsia" w:hAnsi="Arial" w:cstheme="majorBidi"/>
                <w:b/>
                <w:iCs/>
                <w:szCs w:val="23"/>
              </w:rPr>
              <w:t>C.4</w:t>
            </w:r>
          </w:p>
          <w:p w:rsidR="00D075E5" w:rsidRPr="004E6BED" w:rsidRDefault="00D075E5" w:rsidP="009B1655">
            <w:pPr>
              <w:keepNext/>
              <w:keepLines/>
              <w:suppressAutoHyphens/>
              <w:jc w:val="center"/>
              <w:rPr>
                <w:rFonts w:ascii="Arial" w:eastAsia="Calibri" w:hAnsi="Arial"/>
                <w:b/>
                <w:bCs/>
                <w:sz w:val="20"/>
                <w:szCs w:val="23"/>
              </w:rPr>
            </w:pPr>
            <w:r w:rsidRPr="004E6BED">
              <w:rPr>
                <w:rFonts w:ascii="Arial" w:eastAsia="Calibri" w:hAnsi="Arial"/>
                <w:b/>
                <w:bCs/>
                <w:sz w:val="20"/>
                <w:szCs w:val="23"/>
              </w:rPr>
              <w:t>What other infrastructure needs are you considering?</w:t>
            </w:r>
          </w:p>
          <w:p w:rsidR="00D075E5" w:rsidRPr="004E6BED" w:rsidRDefault="00D075E5" w:rsidP="009B1655">
            <w:pPr>
              <w:suppressAutoHyphens/>
              <w:jc w:val="center"/>
              <w:rPr>
                <w:rFonts w:ascii="Arial" w:eastAsia="Calibri" w:hAnsi="Arial"/>
                <w:sz w:val="16"/>
                <w:szCs w:val="16"/>
              </w:rPr>
            </w:pPr>
            <w:r w:rsidRPr="004E6BED">
              <w:rPr>
                <w:rFonts w:ascii="Arial" w:eastAsia="Calibri" w:hAnsi="Arial"/>
                <w:sz w:val="16"/>
                <w:szCs w:val="16"/>
              </w:rPr>
              <w:t>State of New Mexico</w:t>
            </w:r>
          </w:p>
          <w:p w:rsidR="00D075E5" w:rsidRPr="004E6BED" w:rsidRDefault="00D075E5" w:rsidP="009B1655">
            <w:pPr>
              <w:suppressAutoHyphens/>
              <w:jc w:val="center"/>
              <w:rPr>
                <w:rFonts w:ascii="Arial" w:eastAsia="Calibri" w:hAnsi="Arial"/>
                <w:bCs/>
                <w:sz w:val="16"/>
                <w:szCs w:val="23"/>
              </w:rPr>
            </w:pPr>
            <w:r w:rsidRPr="004E6BED">
              <w:rPr>
                <w:rFonts w:ascii="Arial" w:eastAsia="Calibri" w:hAnsi="Arial"/>
                <w:sz w:val="16"/>
                <w:szCs w:val="16"/>
              </w:rPr>
              <w:t>2013 Fair Housing Survey Data</w:t>
            </w:r>
          </w:p>
        </w:tc>
      </w:tr>
      <w:tr w:rsidR="00D075E5" w:rsidRPr="004E6BED" w:rsidTr="009B1655">
        <w:trPr>
          <w:trHeight w:val="173"/>
          <w:jc w:val="center"/>
        </w:trPr>
        <w:tc>
          <w:tcPr>
            <w:tcW w:w="9576" w:type="dxa"/>
            <w:tcBorders>
              <w:top w:val="single" w:sz="4" w:space="0" w:color="009900"/>
              <w:left w:val="single" w:sz="4" w:space="0" w:color="009900"/>
              <w:bottom w:val="single" w:sz="4" w:space="0" w:color="009900"/>
              <w:right w:val="single" w:sz="4" w:space="0" w:color="009900"/>
            </w:tcBorders>
            <w:shd w:val="clear" w:color="000000" w:fill="FFFFE1"/>
            <w:noWrap/>
            <w:vAlign w:val="bottom"/>
            <w:hideMark/>
          </w:tcPr>
          <w:p w:rsidR="00D075E5" w:rsidRPr="004E6BED" w:rsidRDefault="00D075E5" w:rsidP="009B1655">
            <w:pPr>
              <w:suppressAutoHyphens/>
              <w:jc w:val="center"/>
              <w:rPr>
                <w:rFonts w:ascii="Arial" w:eastAsia="Calibri" w:hAnsi="Arial"/>
                <w:b/>
                <w:bCs/>
                <w:sz w:val="16"/>
                <w:szCs w:val="16"/>
              </w:rPr>
            </w:pPr>
            <w:r w:rsidRPr="004E6BED">
              <w:rPr>
                <w:rFonts w:ascii="Arial" w:eastAsia="Calibri" w:hAnsi="Arial"/>
                <w:b/>
                <w:bCs/>
                <w:sz w:val="16"/>
                <w:szCs w:val="16"/>
              </w:rPr>
              <w:t>Comments:</w:t>
            </w:r>
          </w:p>
        </w:tc>
      </w:tr>
      <w:tr w:rsidR="00D075E5" w:rsidRPr="004E6BED" w:rsidTr="009B1655">
        <w:trPr>
          <w:trHeight w:val="173"/>
          <w:jc w:val="center"/>
        </w:trPr>
        <w:tc>
          <w:tcPr>
            <w:tcW w:w="9576" w:type="dxa"/>
            <w:tcBorders>
              <w:top w:val="single" w:sz="4" w:space="0" w:color="009900"/>
              <w:left w:val="single" w:sz="4" w:space="0" w:color="009900"/>
              <w:bottom w:val="single" w:sz="4" w:space="0" w:color="009900"/>
              <w:right w:val="single" w:sz="4" w:space="0" w:color="009900"/>
            </w:tcBorders>
            <w:shd w:val="clear" w:color="000000" w:fill="FFFFE1"/>
            <w:noWrap/>
            <w:vAlign w:val="bottom"/>
          </w:tcPr>
          <w:p w:rsidR="00D075E5" w:rsidRPr="004E6BED" w:rsidRDefault="00D075E5" w:rsidP="009B1655">
            <w:pPr>
              <w:suppressAutoHyphens/>
              <w:rPr>
                <w:rFonts w:ascii="Arial" w:eastAsia="Calibri" w:hAnsi="Arial"/>
                <w:bCs/>
                <w:sz w:val="16"/>
                <w:szCs w:val="16"/>
              </w:rPr>
            </w:pPr>
            <w:r w:rsidRPr="004E6BED">
              <w:rPr>
                <w:rFonts w:ascii="Arial" w:eastAsia="Calibri" w:hAnsi="Arial"/>
                <w:bCs/>
                <w:sz w:val="16"/>
                <w:szCs w:val="16"/>
              </w:rPr>
              <w:t>beatification investments</w:t>
            </w:r>
          </w:p>
          <w:p w:rsidR="00D075E5" w:rsidRPr="004E6BED" w:rsidRDefault="00D075E5" w:rsidP="009B1655">
            <w:pPr>
              <w:suppressAutoHyphens/>
              <w:rPr>
                <w:rFonts w:ascii="Arial" w:eastAsia="Calibri" w:hAnsi="Arial"/>
                <w:bCs/>
                <w:sz w:val="16"/>
                <w:szCs w:val="16"/>
              </w:rPr>
            </w:pPr>
            <w:r w:rsidRPr="004E6BED">
              <w:rPr>
                <w:rFonts w:ascii="Arial" w:eastAsia="Calibri" w:hAnsi="Arial"/>
                <w:bCs/>
                <w:sz w:val="16"/>
                <w:szCs w:val="16"/>
              </w:rPr>
              <w:t>Best practices stormwatwer management</w:t>
            </w:r>
          </w:p>
          <w:p w:rsidR="00D075E5" w:rsidRPr="004E6BED" w:rsidRDefault="00D075E5" w:rsidP="009B1655">
            <w:pPr>
              <w:suppressAutoHyphens/>
              <w:rPr>
                <w:rFonts w:ascii="Arial" w:eastAsia="Calibri" w:hAnsi="Arial"/>
                <w:bCs/>
                <w:sz w:val="16"/>
                <w:szCs w:val="16"/>
              </w:rPr>
            </w:pPr>
            <w:r w:rsidRPr="004E6BED">
              <w:rPr>
                <w:rFonts w:ascii="Arial" w:eastAsia="Calibri" w:hAnsi="Arial"/>
                <w:bCs/>
                <w:sz w:val="16"/>
                <w:szCs w:val="16"/>
              </w:rPr>
              <w:t>bicycle paths are a low priority. Something worthy of consideration after we've figured out how to solve our water/stormwater issues.</w:t>
            </w:r>
          </w:p>
          <w:p w:rsidR="00D075E5" w:rsidRPr="004E6BED" w:rsidRDefault="00D075E5" w:rsidP="009B1655">
            <w:pPr>
              <w:suppressAutoHyphens/>
              <w:rPr>
                <w:rFonts w:ascii="Arial" w:eastAsia="Calibri" w:hAnsi="Arial"/>
                <w:bCs/>
                <w:sz w:val="16"/>
                <w:szCs w:val="16"/>
              </w:rPr>
            </w:pPr>
            <w:r w:rsidRPr="004E6BED">
              <w:rPr>
                <w:rFonts w:ascii="Arial" w:eastAsia="Calibri" w:hAnsi="Arial"/>
                <w:bCs/>
                <w:sz w:val="16"/>
                <w:szCs w:val="16"/>
              </w:rPr>
              <w:t>bosque improvements</w:t>
            </w:r>
          </w:p>
          <w:p w:rsidR="00D075E5" w:rsidRPr="004E6BED" w:rsidRDefault="00D075E5" w:rsidP="009B1655">
            <w:pPr>
              <w:suppressAutoHyphens/>
              <w:rPr>
                <w:rFonts w:ascii="Arial" w:eastAsia="Calibri" w:hAnsi="Arial"/>
                <w:bCs/>
                <w:sz w:val="16"/>
                <w:szCs w:val="16"/>
              </w:rPr>
            </w:pPr>
            <w:r w:rsidRPr="004E6BED">
              <w:rPr>
                <w:rFonts w:ascii="Arial" w:eastAsia="Calibri" w:hAnsi="Arial"/>
                <w:bCs/>
                <w:sz w:val="16"/>
                <w:szCs w:val="16"/>
              </w:rPr>
              <w:t>BRT</w:t>
            </w:r>
          </w:p>
          <w:p w:rsidR="00D075E5" w:rsidRPr="004E6BED" w:rsidRDefault="00D075E5" w:rsidP="009B1655">
            <w:pPr>
              <w:suppressAutoHyphens/>
              <w:rPr>
                <w:rFonts w:ascii="Arial" w:eastAsia="Calibri" w:hAnsi="Arial"/>
                <w:bCs/>
                <w:sz w:val="16"/>
                <w:szCs w:val="16"/>
              </w:rPr>
            </w:pPr>
            <w:r w:rsidRPr="004E6BED">
              <w:rPr>
                <w:rFonts w:ascii="Arial" w:eastAsia="Calibri" w:hAnsi="Arial"/>
                <w:bCs/>
                <w:sz w:val="16"/>
                <w:szCs w:val="16"/>
              </w:rPr>
              <w:t>Depending on location, any of these could be a high priority</w:t>
            </w:r>
          </w:p>
          <w:p w:rsidR="00D075E5" w:rsidRPr="004E6BED" w:rsidRDefault="00D075E5" w:rsidP="009B1655">
            <w:pPr>
              <w:suppressAutoHyphens/>
              <w:rPr>
                <w:rFonts w:ascii="Arial" w:eastAsia="Calibri" w:hAnsi="Arial"/>
                <w:bCs/>
                <w:sz w:val="16"/>
                <w:szCs w:val="16"/>
              </w:rPr>
            </w:pPr>
            <w:r w:rsidRPr="004E6BED">
              <w:rPr>
                <w:rFonts w:ascii="Arial" w:eastAsia="Calibri" w:hAnsi="Arial"/>
                <w:bCs/>
                <w:sz w:val="16"/>
                <w:szCs w:val="16"/>
              </w:rPr>
              <w:t>Every nebarhood needs to have a safe place for our youth to walk in out side of the street.sidewalk improvements</w:t>
            </w:r>
          </w:p>
          <w:p w:rsidR="00D075E5" w:rsidRPr="004E6BED" w:rsidRDefault="00D075E5" w:rsidP="009B1655">
            <w:pPr>
              <w:suppressAutoHyphens/>
              <w:rPr>
                <w:rFonts w:ascii="Arial" w:eastAsia="Calibri" w:hAnsi="Arial"/>
                <w:bCs/>
                <w:sz w:val="16"/>
                <w:szCs w:val="16"/>
              </w:rPr>
            </w:pPr>
            <w:r w:rsidRPr="004E6BED">
              <w:rPr>
                <w:rFonts w:ascii="Arial" w:eastAsia="Calibri" w:hAnsi="Arial"/>
                <w:bCs/>
                <w:sz w:val="16"/>
                <w:szCs w:val="16"/>
              </w:rPr>
              <w:t>fuel spill cleanup at Kirtland Air Force Base</w:t>
            </w:r>
          </w:p>
          <w:p w:rsidR="00D075E5" w:rsidRPr="004E6BED" w:rsidRDefault="00D075E5" w:rsidP="009B1655">
            <w:pPr>
              <w:suppressAutoHyphens/>
              <w:rPr>
                <w:rFonts w:ascii="Arial" w:eastAsia="Calibri" w:hAnsi="Arial"/>
                <w:bCs/>
                <w:sz w:val="16"/>
                <w:szCs w:val="16"/>
              </w:rPr>
            </w:pPr>
            <w:r w:rsidRPr="004E6BED">
              <w:rPr>
                <w:rFonts w:ascii="Arial" w:eastAsia="Calibri" w:hAnsi="Arial"/>
                <w:bCs/>
                <w:sz w:val="16"/>
                <w:szCs w:val="16"/>
              </w:rPr>
              <w:t>Irrigation system improvements</w:t>
            </w:r>
          </w:p>
          <w:p w:rsidR="00D075E5" w:rsidRPr="004E6BED" w:rsidRDefault="00D075E5" w:rsidP="009B1655">
            <w:pPr>
              <w:suppressAutoHyphens/>
              <w:rPr>
                <w:rFonts w:ascii="Arial" w:eastAsia="Calibri" w:hAnsi="Arial"/>
                <w:bCs/>
                <w:sz w:val="16"/>
                <w:szCs w:val="16"/>
              </w:rPr>
            </w:pPr>
            <w:r w:rsidRPr="004E6BED">
              <w:rPr>
                <w:rFonts w:ascii="Arial" w:eastAsia="Calibri" w:hAnsi="Arial"/>
                <w:bCs/>
                <w:sz w:val="16"/>
                <w:szCs w:val="16"/>
              </w:rPr>
              <w:t>Lighting sidewalks in neighborhoods of Hobbs</w:t>
            </w:r>
          </w:p>
          <w:p w:rsidR="00D075E5" w:rsidRPr="004E6BED" w:rsidRDefault="00D075E5" w:rsidP="009B1655">
            <w:pPr>
              <w:suppressAutoHyphens/>
              <w:rPr>
                <w:rFonts w:ascii="Arial" w:eastAsia="Calibri" w:hAnsi="Arial"/>
                <w:bCs/>
                <w:sz w:val="16"/>
                <w:szCs w:val="16"/>
              </w:rPr>
            </w:pPr>
            <w:r w:rsidRPr="004E6BED">
              <w:rPr>
                <w:rFonts w:ascii="Arial" w:eastAsia="Calibri" w:hAnsi="Arial"/>
                <w:bCs/>
                <w:sz w:val="16"/>
                <w:szCs w:val="16"/>
              </w:rPr>
              <w:t>More open space requirements and attendant funding to build/upkeep.</w:t>
            </w:r>
          </w:p>
          <w:p w:rsidR="00D075E5" w:rsidRPr="004E6BED" w:rsidRDefault="00D075E5" w:rsidP="009B1655">
            <w:pPr>
              <w:suppressAutoHyphens/>
              <w:rPr>
                <w:rFonts w:ascii="Arial" w:eastAsia="Calibri" w:hAnsi="Arial"/>
                <w:bCs/>
                <w:sz w:val="16"/>
                <w:szCs w:val="16"/>
              </w:rPr>
            </w:pPr>
            <w:r w:rsidRPr="004E6BED">
              <w:rPr>
                <w:rFonts w:ascii="Arial" w:eastAsia="Calibri" w:hAnsi="Arial"/>
                <w:bCs/>
                <w:sz w:val="16"/>
                <w:szCs w:val="16"/>
              </w:rPr>
              <w:t>Most the above has a medium to high level of need; however, resources and monies are finite!!!  There is always more demand than supply for these infrastructural considerations.  Becuase of this regional and local authorities need a thoughtful, deliberate, and defensible approach to allocating resouces/monies to such infrastructural desires.</w:t>
            </w:r>
          </w:p>
          <w:p w:rsidR="00D075E5" w:rsidRPr="004E6BED" w:rsidRDefault="00D075E5" w:rsidP="009B1655">
            <w:pPr>
              <w:suppressAutoHyphens/>
              <w:rPr>
                <w:rFonts w:ascii="Arial" w:eastAsia="Calibri" w:hAnsi="Arial"/>
                <w:bCs/>
                <w:sz w:val="16"/>
                <w:szCs w:val="16"/>
              </w:rPr>
            </w:pPr>
            <w:r w:rsidRPr="004E6BED">
              <w:rPr>
                <w:rFonts w:ascii="Arial" w:eastAsia="Calibri" w:hAnsi="Arial"/>
                <w:bCs/>
                <w:sz w:val="16"/>
                <w:szCs w:val="16"/>
              </w:rPr>
              <w:t>Providing Safe Routes to School for students.</w:t>
            </w:r>
          </w:p>
          <w:p w:rsidR="00D075E5" w:rsidRPr="004E6BED" w:rsidRDefault="00D075E5" w:rsidP="009B1655">
            <w:pPr>
              <w:suppressAutoHyphens/>
              <w:rPr>
                <w:rFonts w:ascii="Arial" w:eastAsia="Calibri" w:hAnsi="Arial"/>
                <w:bCs/>
                <w:sz w:val="16"/>
                <w:szCs w:val="16"/>
              </w:rPr>
            </w:pPr>
            <w:r w:rsidRPr="004E6BED">
              <w:rPr>
                <w:rFonts w:ascii="Arial" w:eastAsia="Calibri" w:hAnsi="Arial"/>
                <w:bCs/>
                <w:sz w:val="16"/>
                <w:szCs w:val="16"/>
              </w:rPr>
              <w:t>Put the focus on how all infrastructure activities (which are needed in varying degrees) can support complete streets and complete neighborhoods, that put the pedestrian first.</w:t>
            </w:r>
          </w:p>
          <w:p w:rsidR="00D075E5" w:rsidRPr="004E6BED" w:rsidRDefault="00D075E5" w:rsidP="009B1655">
            <w:pPr>
              <w:suppressAutoHyphens/>
              <w:rPr>
                <w:rFonts w:ascii="Arial" w:eastAsia="Calibri" w:hAnsi="Arial"/>
                <w:bCs/>
                <w:sz w:val="16"/>
                <w:szCs w:val="16"/>
              </w:rPr>
            </w:pPr>
            <w:r w:rsidRPr="004E6BED">
              <w:rPr>
                <w:rFonts w:ascii="Arial" w:eastAsia="Calibri" w:hAnsi="Arial"/>
                <w:bCs/>
                <w:sz w:val="16"/>
                <w:szCs w:val="16"/>
              </w:rPr>
              <w:t>Riverwalk development for tourist destinations and vendor space for local festivals and enterpreneural development.</w:t>
            </w:r>
          </w:p>
          <w:p w:rsidR="00D075E5" w:rsidRPr="004E6BED" w:rsidRDefault="00D075E5" w:rsidP="009B1655">
            <w:pPr>
              <w:suppressAutoHyphens/>
              <w:rPr>
                <w:rFonts w:ascii="Arial" w:eastAsia="Calibri" w:hAnsi="Arial"/>
                <w:bCs/>
                <w:sz w:val="16"/>
                <w:szCs w:val="16"/>
              </w:rPr>
            </w:pPr>
            <w:r w:rsidRPr="004E6BED">
              <w:rPr>
                <w:rFonts w:ascii="Arial" w:eastAsia="Calibri" w:hAnsi="Arial"/>
                <w:bCs/>
                <w:sz w:val="16"/>
                <w:szCs w:val="16"/>
              </w:rPr>
              <w:t>Water harvesting from street and roof runoff</w:t>
            </w:r>
          </w:p>
          <w:p w:rsidR="00D075E5" w:rsidRPr="004E6BED" w:rsidRDefault="00D075E5" w:rsidP="009B1655">
            <w:pPr>
              <w:suppressAutoHyphens/>
              <w:rPr>
                <w:rFonts w:ascii="Arial" w:eastAsia="Calibri" w:hAnsi="Arial"/>
                <w:bCs/>
                <w:sz w:val="16"/>
                <w:szCs w:val="16"/>
              </w:rPr>
            </w:pPr>
            <w:r w:rsidRPr="004E6BED">
              <w:rPr>
                <w:rFonts w:ascii="Arial" w:eastAsia="Calibri" w:hAnsi="Arial"/>
                <w:bCs/>
                <w:sz w:val="16"/>
                <w:szCs w:val="16"/>
              </w:rPr>
              <w:t>water system capacity improvements must include gray water recovery, rain water harvesting etc. we must expand our thinking to be holistic, system-wide thinking that includes things like considering how additional taxation for water system improvements impacts low income families.</w:t>
            </w:r>
          </w:p>
          <w:p w:rsidR="00D075E5" w:rsidRPr="004E6BED" w:rsidRDefault="00D075E5" w:rsidP="009B1655">
            <w:pPr>
              <w:suppressAutoHyphens/>
              <w:rPr>
                <w:rFonts w:ascii="Arial" w:eastAsia="Calibri" w:hAnsi="Arial"/>
                <w:b/>
                <w:bCs/>
                <w:sz w:val="16"/>
                <w:szCs w:val="16"/>
              </w:rPr>
            </w:pPr>
            <w:r w:rsidRPr="004E6BED">
              <w:rPr>
                <w:rFonts w:ascii="Arial" w:eastAsia="Calibri" w:hAnsi="Arial"/>
                <w:bCs/>
                <w:sz w:val="16"/>
                <w:szCs w:val="16"/>
              </w:rPr>
              <w:t>We'd like to have community gardens and a Botanic Garden. We need a Nature/Travel  Center</w:t>
            </w:r>
          </w:p>
        </w:tc>
      </w:tr>
    </w:tbl>
    <w:p w:rsidR="00D075E5" w:rsidRPr="004E6BED" w:rsidRDefault="00D075E5" w:rsidP="00D075E5">
      <w:pPr>
        <w:jc w:val="center"/>
      </w:pPr>
    </w:p>
    <w:tbl>
      <w:tblPr>
        <w:tblW w:w="9576" w:type="dxa"/>
        <w:jc w:val="center"/>
        <w:tblLook w:val="04A0" w:firstRow="1" w:lastRow="0" w:firstColumn="1" w:lastColumn="0" w:noHBand="0" w:noVBand="1"/>
      </w:tblPr>
      <w:tblGrid>
        <w:gridCol w:w="9576"/>
      </w:tblGrid>
      <w:tr w:rsidR="00D075E5" w:rsidRPr="004E6BED" w:rsidTr="009B1655">
        <w:trPr>
          <w:trHeight w:val="173"/>
          <w:jc w:val="center"/>
        </w:trPr>
        <w:tc>
          <w:tcPr>
            <w:tcW w:w="9576" w:type="dxa"/>
            <w:tcBorders>
              <w:bottom w:val="single" w:sz="4" w:space="0" w:color="009900"/>
            </w:tcBorders>
            <w:shd w:val="clear" w:color="000000" w:fill="FFFFFF" w:themeFill="background1"/>
            <w:noWrap/>
            <w:vAlign w:val="center"/>
            <w:hideMark/>
          </w:tcPr>
          <w:p w:rsidR="00D075E5" w:rsidRPr="004E6BED" w:rsidRDefault="00D075E5" w:rsidP="009B1655">
            <w:pPr>
              <w:keepNext/>
              <w:keepLines/>
              <w:suppressAutoHyphens/>
              <w:jc w:val="center"/>
              <w:rPr>
                <w:rFonts w:ascii="Arial" w:eastAsiaTheme="majorEastAsia" w:hAnsi="Arial" w:cstheme="majorBidi"/>
                <w:b/>
                <w:iCs/>
                <w:szCs w:val="23"/>
              </w:rPr>
            </w:pPr>
            <w:r w:rsidRPr="004E6BED">
              <w:rPr>
                <w:rFonts w:ascii="Arial" w:eastAsiaTheme="majorEastAsia" w:hAnsi="Arial" w:cstheme="majorBidi"/>
                <w:b/>
                <w:iCs/>
                <w:szCs w:val="23"/>
              </w:rPr>
              <w:t xml:space="preserve">Table </w:t>
            </w:r>
            <w:r>
              <w:rPr>
                <w:rFonts w:ascii="Arial" w:eastAsiaTheme="majorEastAsia" w:hAnsi="Arial" w:cstheme="majorBidi"/>
                <w:b/>
                <w:iCs/>
                <w:szCs w:val="23"/>
              </w:rPr>
              <w:t>C.5</w:t>
            </w:r>
          </w:p>
          <w:p w:rsidR="00D075E5" w:rsidRPr="004E6BED" w:rsidRDefault="00D075E5" w:rsidP="009B1655">
            <w:pPr>
              <w:keepNext/>
              <w:keepLines/>
              <w:suppressAutoHyphens/>
              <w:jc w:val="center"/>
              <w:rPr>
                <w:rFonts w:ascii="Arial" w:eastAsia="Calibri" w:hAnsi="Arial"/>
                <w:b/>
                <w:bCs/>
                <w:sz w:val="20"/>
                <w:szCs w:val="23"/>
              </w:rPr>
            </w:pPr>
            <w:r w:rsidRPr="004E6BED">
              <w:rPr>
                <w:rFonts w:ascii="Arial" w:eastAsia="Calibri" w:hAnsi="Arial"/>
                <w:b/>
                <w:bCs/>
                <w:sz w:val="20"/>
                <w:szCs w:val="23"/>
              </w:rPr>
              <w:t>Are there any other community and public facility needs that should be considered?</w:t>
            </w:r>
          </w:p>
          <w:p w:rsidR="00D075E5" w:rsidRPr="004E6BED" w:rsidRDefault="00D075E5" w:rsidP="009B1655">
            <w:pPr>
              <w:suppressAutoHyphens/>
              <w:jc w:val="center"/>
              <w:rPr>
                <w:rFonts w:ascii="Arial" w:eastAsia="Calibri" w:hAnsi="Arial"/>
                <w:sz w:val="16"/>
                <w:szCs w:val="16"/>
              </w:rPr>
            </w:pPr>
            <w:r w:rsidRPr="004E6BED">
              <w:rPr>
                <w:rFonts w:ascii="Arial" w:eastAsia="Calibri" w:hAnsi="Arial"/>
                <w:sz w:val="16"/>
                <w:szCs w:val="16"/>
              </w:rPr>
              <w:t>State of New Mexico</w:t>
            </w:r>
          </w:p>
          <w:p w:rsidR="00D075E5" w:rsidRPr="004E6BED" w:rsidRDefault="00D075E5" w:rsidP="009B1655">
            <w:pPr>
              <w:suppressAutoHyphens/>
              <w:jc w:val="center"/>
              <w:rPr>
                <w:rFonts w:ascii="Arial" w:eastAsia="Calibri" w:hAnsi="Arial"/>
                <w:bCs/>
                <w:sz w:val="16"/>
                <w:szCs w:val="23"/>
              </w:rPr>
            </w:pPr>
            <w:r w:rsidRPr="004E6BED">
              <w:rPr>
                <w:rFonts w:ascii="Arial" w:eastAsia="Calibri" w:hAnsi="Arial"/>
                <w:sz w:val="16"/>
                <w:szCs w:val="16"/>
              </w:rPr>
              <w:t>2013 Fair Housing Survey Data</w:t>
            </w:r>
          </w:p>
        </w:tc>
      </w:tr>
      <w:tr w:rsidR="00D075E5" w:rsidRPr="004E6BED" w:rsidTr="009B1655">
        <w:trPr>
          <w:trHeight w:val="173"/>
          <w:jc w:val="center"/>
        </w:trPr>
        <w:tc>
          <w:tcPr>
            <w:tcW w:w="9576" w:type="dxa"/>
            <w:tcBorders>
              <w:top w:val="single" w:sz="4" w:space="0" w:color="009900"/>
              <w:left w:val="single" w:sz="4" w:space="0" w:color="009900"/>
              <w:bottom w:val="single" w:sz="4" w:space="0" w:color="009900"/>
              <w:right w:val="single" w:sz="4" w:space="0" w:color="009900"/>
            </w:tcBorders>
            <w:shd w:val="clear" w:color="000000" w:fill="FFFFE1"/>
            <w:noWrap/>
            <w:vAlign w:val="bottom"/>
            <w:hideMark/>
          </w:tcPr>
          <w:p w:rsidR="00D075E5" w:rsidRPr="004E6BED" w:rsidRDefault="00D075E5" w:rsidP="009B1655">
            <w:pPr>
              <w:suppressAutoHyphens/>
              <w:jc w:val="center"/>
              <w:rPr>
                <w:rFonts w:ascii="Arial" w:eastAsia="Calibri" w:hAnsi="Arial"/>
                <w:b/>
                <w:bCs/>
                <w:sz w:val="16"/>
                <w:szCs w:val="16"/>
              </w:rPr>
            </w:pPr>
            <w:r w:rsidRPr="004E6BED">
              <w:rPr>
                <w:rFonts w:ascii="Arial" w:eastAsia="Calibri" w:hAnsi="Arial"/>
                <w:b/>
                <w:bCs/>
                <w:sz w:val="16"/>
                <w:szCs w:val="16"/>
              </w:rPr>
              <w:t>Comments:</w:t>
            </w:r>
          </w:p>
        </w:tc>
      </w:tr>
      <w:tr w:rsidR="00D075E5" w:rsidRPr="004E6BED" w:rsidTr="009B1655">
        <w:trPr>
          <w:trHeight w:val="173"/>
          <w:jc w:val="center"/>
        </w:trPr>
        <w:tc>
          <w:tcPr>
            <w:tcW w:w="9576" w:type="dxa"/>
            <w:tcBorders>
              <w:top w:val="nil"/>
              <w:left w:val="single" w:sz="4" w:space="0" w:color="009900"/>
              <w:bottom w:val="single" w:sz="4" w:space="0" w:color="009900"/>
              <w:right w:val="single" w:sz="4" w:space="0" w:color="009900"/>
            </w:tcBorders>
            <w:shd w:val="clear" w:color="000000" w:fill="FFFFE1"/>
            <w:noWrap/>
            <w:vAlign w:val="center"/>
          </w:tcPr>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"Public buildings with improved accessibility"??? accessibility as in universal/ADA access; or accessibility as in transportation options that allow the community greater access to public buildings/community services.... the question is unclear.</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affordable adult day care facilities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As above, needs vary by community</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Assisted Living Facilities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Central gathering places for all neighborhoods.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Childcare facilities with weekend hours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Community agency offices and shelters.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community gardens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I don't know what a residential treatment center is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If communities had new jobs and increased revenues - they would have revenues to invest in these facilities.  Invest in economic development.</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In rural communities with little infastructure availablity it is important that schools provide access to other public entities and organization for community events with minimal costs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Long term Drug and Alcohol treatment is lacking</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Our Comunity Building needs upgrading and we need a library and a movie theater and a gas station and cafe in one of the small villages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Rather than placing every convicted felon who was convited of a crime because of his/her need for drugs, into a prison facility, GET THEM HELP! We need mandated 1 to 2 year stays in drug/alcohol facilites that are staffed with qualified drug counselors, nurses, doctors and staff who can deal with the citizens of our state/country while they are enduring their rehabilitation.  Families are begging for judges to mandate them to these facilities and judges won't for fear of not getting relected or appointed.  Our youth are dying or rotting in prison because they wont get the help on their own and we can't force them except through the law and if the law enforces it, they have to have facilities in place to accommodate.</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safe walkways along parks/sidewalks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Same comment as with infrastructure - stop building places that require driving rather than making it an option.</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Seniors and disabled.</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separate parlks from rec centers ....ball fields...trees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Transit</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Transportation from rural places  Doctors,Stores.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Water Treatment facilities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We already have an excellent park system.</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We need quality day cares where one can feel confident leaving their child.  It would be nice to have outside Monday-Friday 9-5 hours as well for those employees who do not work that shift.</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we need to think about intergenerational community centers that meet the needs of multiple at risk populations</w:t>
            </w:r>
          </w:p>
        </w:tc>
      </w:tr>
    </w:tbl>
    <w:p w:rsidR="00D075E5" w:rsidRPr="004E6BED" w:rsidRDefault="00D075E5" w:rsidP="00D075E5"/>
    <w:tbl>
      <w:tblPr>
        <w:tblW w:w="9576" w:type="dxa"/>
        <w:jc w:val="center"/>
        <w:tblLook w:val="04A0" w:firstRow="1" w:lastRow="0" w:firstColumn="1" w:lastColumn="0" w:noHBand="0" w:noVBand="1"/>
      </w:tblPr>
      <w:tblGrid>
        <w:gridCol w:w="9576"/>
      </w:tblGrid>
      <w:tr w:rsidR="00D075E5" w:rsidRPr="004E6BED" w:rsidTr="009B1655">
        <w:trPr>
          <w:trHeight w:val="173"/>
          <w:jc w:val="center"/>
        </w:trPr>
        <w:tc>
          <w:tcPr>
            <w:tcW w:w="9576" w:type="dxa"/>
            <w:tcBorders>
              <w:bottom w:val="single" w:sz="4" w:space="0" w:color="009900"/>
            </w:tcBorders>
            <w:shd w:val="clear" w:color="000000" w:fill="FFFFFF" w:themeFill="background1"/>
            <w:noWrap/>
            <w:vAlign w:val="center"/>
            <w:hideMark/>
          </w:tcPr>
          <w:p w:rsidR="00D075E5" w:rsidRPr="004E6BED" w:rsidRDefault="00D075E5" w:rsidP="009B1655">
            <w:pPr>
              <w:keepNext/>
              <w:keepLines/>
              <w:suppressAutoHyphens/>
              <w:jc w:val="center"/>
              <w:rPr>
                <w:rFonts w:ascii="Arial" w:eastAsiaTheme="majorEastAsia" w:hAnsi="Arial" w:cstheme="majorBidi"/>
                <w:b/>
                <w:iCs/>
                <w:szCs w:val="23"/>
              </w:rPr>
            </w:pPr>
            <w:r w:rsidRPr="004E6BED">
              <w:rPr>
                <w:rFonts w:ascii="Arial" w:eastAsiaTheme="majorEastAsia" w:hAnsi="Arial" w:cstheme="majorBidi"/>
                <w:b/>
                <w:iCs/>
                <w:szCs w:val="23"/>
              </w:rPr>
              <w:t xml:space="preserve">Table </w:t>
            </w:r>
            <w:r>
              <w:rPr>
                <w:rFonts w:ascii="Arial" w:eastAsiaTheme="majorEastAsia" w:hAnsi="Arial" w:cstheme="majorBidi"/>
                <w:b/>
                <w:iCs/>
                <w:szCs w:val="23"/>
              </w:rPr>
              <w:t>C.6</w:t>
            </w:r>
          </w:p>
          <w:p w:rsidR="00D075E5" w:rsidRPr="004E6BED" w:rsidRDefault="00D075E5" w:rsidP="009B1655">
            <w:pPr>
              <w:keepNext/>
              <w:keepLines/>
              <w:suppressAutoHyphens/>
              <w:jc w:val="center"/>
              <w:rPr>
                <w:rFonts w:ascii="Arial" w:eastAsia="Calibri" w:hAnsi="Arial"/>
                <w:b/>
                <w:bCs/>
                <w:sz w:val="20"/>
                <w:szCs w:val="23"/>
              </w:rPr>
            </w:pPr>
            <w:r w:rsidRPr="004E6BED">
              <w:rPr>
                <w:rFonts w:ascii="Arial" w:eastAsia="Calibri" w:hAnsi="Arial"/>
                <w:b/>
                <w:bCs/>
                <w:sz w:val="20"/>
                <w:szCs w:val="23"/>
              </w:rPr>
              <w:t>What other human and public service needs are you considering?</w:t>
            </w:r>
          </w:p>
          <w:p w:rsidR="00D075E5" w:rsidRPr="004E6BED" w:rsidRDefault="00D075E5" w:rsidP="009B1655">
            <w:pPr>
              <w:suppressAutoHyphens/>
              <w:jc w:val="center"/>
              <w:rPr>
                <w:rFonts w:ascii="Arial" w:eastAsia="Calibri" w:hAnsi="Arial"/>
                <w:sz w:val="16"/>
                <w:szCs w:val="16"/>
              </w:rPr>
            </w:pPr>
            <w:r w:rsidRPr="004E6BED">
              <w:rPr>
                <w:rFonts w:ascii="Arial" w:eastAsia="Calibri" w:hAnsi="Arial"/>
                <w:sz w:val="16"/>
                <w:szCs w:val="16"/>
              </w:rPr>
              <w:t>State of New Mexico</w:t>
            </w:r>
          </w:p>
          <w:p w:rsidR="00D075E5" w:rsidRPr="004E6BED" w:rsidRDefault="00D075E5" w:rsidP="009B1655">
            <w:pPr>
              <w:suppressAutoHyphens/>
              <w:jc w:val="center"/>
              <w:rPr>
                <w:rFonts w:ascii="Arial" w:eastAsia="Calibri" w:hAnsi="Arial"/>
                <w:bCs/>
                <w:sz w:val="16"/>
                <w:szCs w:val="23"/>
              </w:rPr>
            </w:pPr>
            <w:r w:rsidRPr="004E6BED">
              <w:rPr>
                <w:rFonts w:ascii="Arial" w:eastAsia="Calibri" w:hAnsi="Arial"/>
                <w:sz w:val="16"/>
                <w:szCs w:val="16"/>
              </w:rPr>
              <w:t>2013 Fair Housing Survey Data</w:t>
            </w:r>
          </w:p>
        </w:tc>
      </w:tr>
      <w:tr w:rsidR="00D075E5" w:rsidRPr="004E6BED" w:rsidTr="009B1655">
        <w:trPr>
          <w:trHeight w:val="173"/>
          <w:jc w:val="center"/>
        </w:trPr>
        <w:tc>
          <w:tcPr>
            <w:tcW w:w="9576" w:type="dxa"/>
            <w:tcBorders>
              <w:top w:val="single" w:sz="4" w:space="0" w:color="009900"/>
              <w:left w:val="single" w:sz="4" w:space="0" w:color="009900"/>
              <w:bottom w:val="single" w:sz="4" w:space="0" w:color="009900"/>
              <w:right w:val="single" w:sz="4" w:space="0" w:color="009900"/>
            </w:tcBorders>
            <w:shd w:val="clear" w:color="000000" w:fill="FFFFE1"/>
            <w:noWrap/>
            <w:vAlign w:val="bottom"/>
            <w:hideMark/>
          </w:tcPr>
          <w:p w:rsidR="00D075E5" w:rsidRPr="004E6BED" w:rsidRDefault="00D075E5" w:rsidP="009B1655">
            <w:pPr>
              <w:suppressAutoHyphens/>
              <w:jc w:val="center"/>
              <w:rPr>
                <w:rFonts w:ascii="Arial" w:eastAsia="Calibri" w:hAnsi="Arial"/>
                <w:b/>
                <w:bCs/>
                <w:sz w:val="16"/>
                <w:szCs w:val="16"/>
              </w:rPr>
            </w:pPr>
            <w:r w:rsidRPr="004E6BED">
              <w:rPr>
                <w:rFonts w:ascii="Arial" w:eastAsia="Calibri" w:hAnsi="Arial"/>
                <w:b/>
                <w:bCs/>
                <w:sz w:val="16"/>
                <w:szCs w:val="16"/>
              </w:rPr>
              <w:t>Comments:</w:t>
            </w:r>
          </w:p>
        </w:tc>
      </w:tr>
      <w:tr w:rsidR="00D075E5" w:rsidRPr="004E6BED" w:rsidTr="009B1655">
        <w:trPr>
          <w:trHeight w:val="173"/>
          <w:jc w:val="center"/>
        </w:trPr>
        <w:tc>
          <w:tcPr>
            <w:tcW w:w="9576" w:type="dxa"/>
            <w:tcBorders>
              <w:top w:val="nil"/>
              <w:left w:val="single" w:sz="4" w:space="0" w:color="009900"/>
              <w:bottom w:val="single" w:sz="4" w:space="0" w:color="009900"/>
              <w:right w:val="single" w:sz="4" w:space="0" w:color="009900"/>
            </w:tcBorders>
            <w:shd w:val="clear" w:color="000000" w:fill="FFFFE1"/>
            <w:noWrap/>
            <w:vAlign w:val="center"/>
          </w:tcPr>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Access to food.  Grocery prices in rural communities are high due to lack of competition and high transportation costs.  We need a public investment in good, affordable food sources.  For example, why are we not putting vegetable gardens in senior centers to give seniors access to produce?</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Adult Day Care Services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Assisted Living Center</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Build walkable places where people know one another.</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I think that we should enphazise higher education support for young girls. Studied have shown that a higher educated woman is less likely to have children at a young age thus curbing teen pregnancy rates.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Mental Health Services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Neighborhood identity and pride.</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outreach and education</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There is a high need to evaluate what the government should do and what it can actually do effectively</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Young family support systems</w:t>
            </w:r>
          </w:p>
        </w:tc>
      </w:tr>
    </w:tbl>
    <w:p w:rsidR="00D075E5" w:rsidRPr="004E6BED" w:rsidRDefault="00D075E5" w:rsidP="00D075E5"/>
    <w:tbl>
      <w:tblPr>
        <w:tblW w:w="9576" w:type="dxa"/>
        <w:jc w:val="center"/>
        <w:tblLook w:val="04A0" w:firstRow="1" w:lastRow="0" w:firstColumn="1" w:lastColumn="0" w:noHBand="0" w:noVBand="1"/>
      </w:tblPr>
      <w:tblGrid>
        <w:gridCol w:w="9576"/>
      </w:tblGrid>
      <w:tr w:rsidR="00D075E5" w:rsidRPr="004E6BED" w:rsidTr="009B1655">
        <w:trPr>
          <w:trHeight w:val="173"/>
          <w:jc w:val="center"/>
        </w:trPr>
        <w:tc>
          <w:tcPr>
            <w:tcW w:w="9576" w:type="dxa"/>
            <w:tcBorders>
              <w:bottom w:val="single" w:sz="4" w:space="0" w:color="009900"/>
            </w:tcBorders>
            <w:shd w:val="clear" w:color="000000" w:fill="FFFFFF" w:themeFill="background1"/>
            <w:noWrap/>
            <w:vAlign w:val="center"/>
            <w:hideMark/>
          </w:tcPr>
          <w:p w:rsidR="00D075E5" w:rsidRPr="004E6BED" w:rsidRDefault="00D075E5" w:rsidP="009B1655">
            <w:pPr>
              <w:keepNext/>
              <w:keepLines/>
              <w:suppressAutoHyphens/>
              <w:jc w:val="center"/>
              <w:rPr>
                <w:rFonts w:ascii="Arial" w:eastAsiaTheme="majorEastAsia" w:hAnsi="Arial" w:cstheme="majorBidi"/>
                <w:b/>
                <w:iCs/>
                <w:szCs w:val="23"/>
              </w:rPr>
            </w:pPr>
            <w:r w:rsidRPr="004E6BED">
              <w:rPr>
                <w:rFonts w:ascii="Arial" w:eastAsiaTheme="majorEastAsia" w:hAnsi="Arial" w:cstheme="majorBidi"/>
                <w:b/>
                <w:iCs/>
                <w:szCs w:val="23"/>
              </w:rPr>
              <w:t xml:space="preserve">Table </w:t>
            </w:r>
            <w:r>
              <w:rPr>
                <w:rFonts w:ascii="Arial" w:eastAsiaTheme="majorEastAsia" w:hAnsi="Arial" w:cstheme="majorBidi"/>
                <w:b/>
                <w:iCs/>
                <w:szCs w:val="23"/>
              </w:rPr>
              <w:t>C.7</w:t>
            </w:r>
          </w:p>
          <w:p w:rsidR="00D075E5" w:rsidRPr="004E6BED" w:rsidRDefault="00D075E5" w:rsidP="009B1655">
            <w:pPr>
              <w:keepNext/>
              <w:keepLines/>
              <w:suppressAutoHyphens/>
              <w:jc w:val="center"/>
              <w:rPr>
                <w:rFonts w:ascii="Arial" w:eastAsia="Calibri" w:hAnsi="Arial"/>
                <w:b/>
                <w:bCs/>
                <w:sz w:val="20"/>
                <w:szCs w:val="23"/>
              </w:rPr>
            </w:pPr>
            <w:r w:rsidRPr="004E6BED">
              <w:rPr>
                <w:rFonts w:ascii="Arial" w:eastAsia="Calibri" w:hAnsi="Arial"/>
                <w:b/>
                <w:bCs/>
                <w:sz w:val="20"/>
                <w:szCs w:val="23"/>
              </w:rPr>
              <w:t>What other housing activities for special needs populations are you considering?</w:t>
            </w:r>
          </w:p>
          <w:p w:rsidR="00D075E5" w:rsidRPr="004E6BED" w:rsidRDefault="00D075E5" w:rsidP="009B1655">
            <w:pPr>
              <w:suppressAutoHyphens/>
              <w:jc w:val="center"/>
              <w:rPr>
                <w:rFonts w:ascii="Arial" w:eastAsia="Calibri" w:hAnsi="Arial"/>
                <w:sz w:val="16"/>
                <w:szCs w:val="16"/>
              </w:rPr>
            </w:pPr>
            <w:r w:rsidRPr="004E6BED">
              <w:rPr>
                <w:rFonts w:ascii="Arial" w:eastAsia="Calibri" w:hAnsi="Arial"/>
                <w:sz w:val="16"/>
                <w:szCs w:val="16"/>
              </w:rPr>
              <w:t>State of New Mexico</w:t>
            </w:r>
          </w:p>
          <w:p w:rsidR="00D075E5" w:rsidRPr="004E6BED" w:rsidRDefault="00D075E5" w:rsidP="009B1655">
            <w:pPr>
              <w:suppressAutoHyphens/>
              <w:jc w:val="center"/>
              <w:rPr>
                <w:rFonts w:ascii="Arial" w:eastAsia="Calibri" w:hAnsi="Arial"/>
                <w:bCs/>
                <w:sz w:val="16"/>
                <w:szCs w:val="23"/>
              </w:rPr>
            </w:pPr>
            <w:r w:rsidRPr="004E6BED">
              <w:rPr>
                <w:rFonts w:ascii="Arial" w:eastAsia="Calibri" w:hAnsi="Arial"/>
                <w:sz w:val="16"/>
                <w:szCs w:val="16"/>
              </w:rPr>
              <w:t>2013 Fair Housing Survey Data</w:t>
            </w:r>
          </w:p>
        </w:tc>
      </w:tr>
      <w:tr w:rsidR="00D075E5" w:rsidRPr="004E6BED" w:rsidTr="009B1655">
        <w:trPr>
          <w:trHeight w:val="173"/>
          <w:jc w:val="center"/>
        </w:trPr>
        <w:tc>
          <w:tcPr>
            <w:tcW w:w="9576" w:type="dxa"/>
            <w:tcBorders>
              <w:top w:val="single" w:sz="4" w:space="0" w:color="009900"/>
              <w:left w:val="single" w:sz="4" w:space="0" w:color="009900"/>
              <w:bottom w:val="single" w:sz="4" w:space="0" w:color="009900"/>
              <w:right w:val="single" w:sz="4" w:space="0" w:color="009900"/>
            </w:tcBorders>
            <w:shd w:val="clear" w:color="000000" w:fill="FFFFE1"/>
            <w:noWrap/>
            <w:vAlign w:val="bottom"/>
            <w:hideMark/>
          </w:tcPr>
          <w:p w:rsidR="00D075E5" w:rsidRPr="004E6BED" w:rsidRDefault="00D075E5" w:rsidP="009B1655">
            <w:pPr>
              <w:suppressAutoHyphens/>
              <w:jc w:val="center"/>
              <w:rPr>
                <w:rFonts w:ascii="Arial" w:eastAsia="Calibri" w:hAnsi="Arial"/>
                <w:b/>
                <w:bCs/>
                <w:sz w:val="16"/>
                <w:szCs w:val="16"/>
              </w:rPr>
            </w:pPr>
            <w:r w:rsidRPr="004E6BED">
              <w:rPr>
                <w:rFonts w:ascii="Arial" w:eastAsia="Calibri" w:hAnsi="Arial"/>
                <w:b/>
                <w:bCs/>
                <w:sz w:val="16"/>
                <w:szCs w:val="16"/>
              </w:rPr>
              <w:t>Comments:</w:t>
            </w:r>
          </w:p>
        </w:tc>
      </w:tr>
      <w:tr w:rsidR="00D075E5" w:rsidRPr="004E6BED" w:rsidTr="009B1655">
        <w:trPr>
          <w:trHeight w:val="173"/>
          <w:jc w:val="center"/>
        </w:trPr>
        <w:tc>
          <w:tcPr>
            <w:tcW w:w="9576" w:type="dxa"/>
            <w:tcBorders>
              <w:top w:val="nil"/>
              <w:left w:val="single" w:sz="4" w:space="0" w:color="009900"/>
              <w:bottom w:val="single" w:sz="4" w:space="0" w:color="009900"/>
              <w:right w:val="single" w:sz="4" w:space="0" w:color="009900"/>
            </w:tcBorders>
            <w:shd w:val="clear" w:color="000000" w:fill="FFFFE1"/>
            <w:noWrap/>
            <w:vAlign w:val="center"/>
          </w:tcPr>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Emergency and homeless shelters for WOMEN</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Emergency funds need to be available withouth too much hassle for families who have lost their homes because of flood,wind, or fire.</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Emergency Receiving Homes for Youth</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Green affordable housing that attracts and supports young families and single professionals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high homeless families in county needing housing</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I am responding for "rest of state."  The need is there but many of these services are best and most cost-effectively provided in larger towns and cities.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Mental health housing with supportive services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Outside my expertise.  I'm sure there are needs.  Make sure private sector is involved.</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People with felonies getting out of prison looking for permanent housing</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Permanent independent living assistance for disabled.  The emphasis on transitioning doesn't work for folks who have a permanent disability and low income earning potential.  Stable, long term, permanent housing will help most.</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Transitional and Permanent Housing for Homeless Families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We have a resident run tent city in Las Cruces.  Next door to Community of Hope.  Easy to find and help those who would otherwise be homeless and wandering the county.</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We need rentals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With enough money government can do all of this. Is government the right agent? Up until quite recently in our history churches and private charitable organizations did these things.</w:t>
            </w:r>
          </w:p>
        </w:tc>
      </w:tr>
    </w:tbl>
    <w:p w:rsidR="00D075E5" w:rsidRPr="004E6BED" w:rsidRDefault="00D075E5" w:rsidP="00D075E5">
      <w:pPr>
        <w:jc w:val="center"/>
      </w:pPr>
    </w:p>
    <w:tbl>
      <w:tblPr>
        <w:tblW w:w="9576" w:type="dxa"/>
        <w:jc w:val="center"/>
        <w:tblLook w:val="04A0" w:firstRow="1" w:lastRow="0" w:firstColumn="1" w:lastColumn="0" w:noHBand="0" w:noVBand="1"/>
      </w:tblPr>
      <w:tblGrid>
        <w:gridCol w:w="9576"/>
      </w:tblGrid>
      <w:tr w:rsidR="00D075E5" w:rsidRPr="004E6BED" w:rsidTr="009B1655">
        <w:trPr>
          <w:trHeight w:val="173"/>
          <w:jc w:val="center"/>
        </w:trPr>
        <w:tc>
          <w:tcPr>
            <w:tcW w:w="9576" w:type="dxa"/>
            <w:tcBorders>
              <w:bottom w:val="single" w:sz="4" w:space="0" w:color="009900"/>
            </w:tcBorders>
            <w:shd w:val="clear" w:color="000000" w:fill="FFFFFF" w:themeFill="background1"/>
            <w:noWrap/>
            <w:vAlign w:val="center"/>
            <w:hideMark/>
          </w:tcPr>
          <w:p w:rsidR="00D075E5" w:rsidRPr="004E6BED" w:rsidRDefault="00D075E5" w:rsidP="009B1655">
            <w:pPr>
              <w:keepNext/>
              <w:keepLines/>
              <w:suppressAutoHyphens/>
              <w:jc w:val="center"/>
              <w:rPr>
                <w:rFonts w:ascii="Arial" w:eastAsiaTheme="majorEastAsia" w:hAnsi="Arial" w:cstheme="majorBidi"/>
                <w:b/>
                <w:iCs/>
                <w:szCs w:val="23"/>
              </w:rPr>
            </w:pPr>
            <w:r w:rsidRPr="004E6BED">
              <w:rPr>
                <w:rFonts w:ascii="Arial" w:eastAsiaTheme="majorEastAsia" w:hAnsi="Arial" w:cstheme="majorBidi"/>
                <w:b/>
                <w:iCs/>
                <w:szCs w:val="23"/>
              </w:rPr>
              <w:t xml:space="preserve">Table </w:t>
            </w:r>
            <w:r>
              <w:rPr>
                <w:rFonts w:ascii="Arial" w:eastAsiaTheme="majorEastAsia" w:hAnsi="Arial" w:cstheme="majorBidi"/>
                <w:b/>
                <w:iCs/>
                <w:szCs w:val="23"/>
              </w:rPr>
              <w:t>C.8</w:t>
            </w:r>
          </w:p>
          <w:p w:rsidR="00D075E5" w:rsidRPr="004E6BED" w:rsidRDefault="00D075E5" w:rsidP="009B1655">
            <w:pPr>
              <w:keepNext/>
              <w:keepLines/>
              <w:suppressAutoHyphens/>
              <w:jc w:val="center"/>
              <w:rPr>
                <w:rFonts w:ascii="Arial" w:eastAsia="Calibri" w:hAnsi="Arial"/>
                <w:b/>
                <w:bCs/>
                <w:sz w:val="20"/>
                <w:szCs w:val="23"/>
              </w:rPr>
            </w:pPr>
            <w:r w:rsidRPr="004E6BED">
              <w:rPr>
                <w:rFonts w:ascii="Arial" w:eastAsia="Calibri" w:hAnsi="Arial"/>
                <w:b/>
                <w:bCs/>
                <w:sz w:val="20"/>
                <w:szCs w:val="23"/>
              </w:rPr>
              <w:t>What other special needs groups are you considering?</w:t>
            </w:r>
          </w:p>
          <w:p w:rsidR="00D075E5" w:rsidRPr="004E6BED" w:rsidRDefault="00D075E5" w:rsidP="009B1655">
            <w:pPr>
              <w:suppressAutoHyphens/>
              <w:jc w:val="center"/>
              <w:rPr>
                <w:rFonts w:ascii="Arial" w:eastAsia="Calibri" w:hAnsi="Arial"/>
                <w:sz w:val="16"/>
                <w:szCs w:val="16"/>
              </w:rPr>
            </w:pPr>
            <w:r w:rsidRPr="004E6BED">
              <w:rPr>
                <w:rFonts w:ascii="Arial" w:eastAsia="Calibri" w:hAnsi="Arial"/>
                <w:sz w:val="16"/>
                <w:szCs w:val="16"/>
              </w:rPr>
              <w:t>State of New Mexico</w:t>
            </w:r>
          </w:p>
          <w:p w:rsidR="00D075E5" w:rsidRPr="004E6BED" w:rsidRDefault="00D075E5" w:rsidP="009B1655">
            <w:pPr>
              <w:suppressAutoHyphens/>
              <w:jc w:val="center"/>
              <w:rPr>
                <w:rFonts w:ascii="Arial" w:eastAsia="Calibri" w:hAnsi="Arial"/>
                <w:bCs/>
                <w:sz w:val="16"/>
                <w:szCs w:val="23"/>
              </w:rPr>
            </w:pPr>
            <w:r w:rsidRPr="004E6BED">
              <w:rPr>
                <w:rFonts w:ascii="Arial" w:eastAsia="Calibri" w:hAnsi="Arial"/>
                <w:sz w:val="16"/>
                <w:szCs w:val="16"/>
              </w:rPr>
              <w:t>2013 Fair Housing Survey Data</w:t>
            </w:r>
          </w:p>
        </w:tc>
      </w:tr>
      <w:tr w:rsidR="00D075E5" w:rsidRPr="004E6BED" w:rsidTr="009B1655">
        <w:trPr>
          <w:trHeight w:val="173"/>
          <w:jc w:val="center"/>
        </w:trPr>
        <w:tc>
          <w:tcPr>
            <w:tcW w:w="9576" w:type="dxa"/>
            <w:tcBorders>
              <w:top w:val="single" w:sz="4" w:space="0" w:color="009900"/>
              <w:left w:val="single" w:sz="4" w:space="0" w:color="009900"/>
              <w:bottom w:val="single" w:sz="4" w:space="0" w:color="009900"/>
              <w:right w:val="single" w:sz="4" w:space="0" w:color="009900"/>
            </w:tcBorders>
            <w:shd w:val="clear" w:color="000000" w:fill="FFFFE1"/>
            <w:noWrap/>
            <w:vAlign w:val="bottom"/>
            <w:hideMark/>
          </w:tcPr>
          <w:p w:rsidR="00D075E5" w:rsidRPr="004E6BED" w:rsidRDefault="00D075E5" w:rsidP="009B1655">
            <w:pPr>
              <w:suppressAutoHyphens/>
              <w:jc w:val="center"/>
              <w:rPr>
                <w:rFonts w:ascii="Arial" w:eastAsia="Calibri" w:hAnsi="Arial"/>
                <w:b/>
                <w:bCs/>
                <w:sz w:val="16"/>
                <w:szCs w:val="16"/>
              </w:rPr>
            </w:pPr>
            <w:r w:rsidRPr="004E6BED">
              <w:rPr>
                <w:rFonts w:ascii="Arial" w:eastAsia="Calibri" w:hAnsi="Arial"/>
                <w:b/>
                <w:bCs/>
                <w:sz w:val="16"/>
                <w:szCs w:val="16"/>
              </w:rPr>
              <w:t>Comments:</w:t>
            </w:r>
          </w:p>
        </w:tc>
      </w:tr>
      <w:tr w:rsidR="00D075E5" w:rsidRPr="004E6BED" w:rsidTr="009B1655">
        <w:trPr>
          <w:trHeight w:val="173"/>
          <w:jc w:val="center"/>
        </w:trPr>
        <w:tc>
          <w:tcPr>
            <w:tcW w:w="9576" w:type="dxa"/>
            <w:tcBorders>
              <w:top w:val="single" w:sz="4" w:space="0" w:color="009900"/>
              <w:left w:val="single" w:sz="4" w:space="0" w:color="009900"/>
              <w:bottom w:val="single" w:sz="4" w:space="0" w:color="009900"/>
              <w:right w:val="single" w:sz="4" w:space="0" w:color="009900"/>
            </w:tcBorders>
            <w:shd w:val="clear" w:color="000000" w:fill="FFFFE1"/>
            <w:noWrap/>
            <w:vAlign w:val="bottom"/>
            <w:hideMark/>
          </w:tcPr>
          <w:p w:rsidR="00D075E5" w:rsidRPr="004E6BED" w:rsidRDefault="00D075E5" w:rsidP="009B1655">
            <w:pPr>
              <w:suppressAutoHyphens/>
              <w:rPr>
                <w:rFonts w:ascii="Arial" w:eastAsia="Calibri" w:hAnsi="Arial"/>
                <w:bCs/>
                <w:sz w:val="16"/>
                <w:szCs w:val="16"/>
              </w:rPr>
            </w:pPr>
            <w:r w:rsidRPr="004E6BED">
              <w:rPr>
                <w:rFonts w:ascii="Arial" w:eastAsia="Calibri" w:hAnsi="Arial"/>
                <w:bCs/>
                <w:sz w:val="16"/>
                <w:szCs w:val="16"/>
              </w:rPr>
              <w:t>(Rated on the basis of quantity not relative severity of need.</w:t>
            </w:r>
          </w:p>
          <w:p w:rsidR="00D075E5" w:rsidRPr="004E6BED" w:rsidRDefault="00D075E5" w:rsidP="009B1655">
            <w:pPr>
              <w:suppressAutoHyphens/>
              <w:rPr>
                <w:rFonts w:ascii="Arial" w:eastAsia="Calibri" w:hAnsi="Arial"/>
                <w:bCs/>
                <w:sz w:val="16"/>
                <w:szCs w:val="16"/>
              </w:rPr>
            </w:pPr>
            <w:r w:rsidRPr="004E6BED">
              <w:rPr>
                <w:rFonts w:ascii="Arial" w:eastAsia="Calibri" w:hAnsi="Arial"/>
                <w:bCs/>
                <w:sz w:val="16"/>
                <w:szCs w:val="16"/>
              </w:rPr>
              <w:t>All the above</w:t>
            </w:r>
          </w:p>
          <w:p w:rsidR="00D075E5" w:rsidRPr="004E6BED" w:rsidRDefault="00D075E5" w:rsidP="009B1655">
            <w:pPr>
              <w:suppressAutoHyphens/>
              <w:rPr>
                <w:rFonts w:ascii="Arial" w:eastAsia="Calibri" w:hAnsi="Arial"/>
                <w:bCs/>
                <w:sz w:val="16"/>
                <w:szCs w:val="16"/>
              </w:rPr>
            </w:pPr>
            <w:r w:rsidRPr="004E6BED">
              <w:rPr>
                <w:rFonts w:ascii="Arial" w:eastAsia="Calibri" w:hAnsi="Arial"/>
                <w:bCs/>
                <w:sz w:val="16"/>
                <w:szCs w:val="16"/>
              </w:rPr>
              <w:t>is this realyy a rating?</w:t>
            </w:r>
          </w:p>
          <w:p w:rsidR="00D075E5" w:rsidRPr="004E6BED" w:rsidRDefault="00D075E5" w:rsidP="009B1655">
            <w:pPr>
              <w:suppressAutoHyphens/>
              <w:rPr>
                <w:rFonts w:ascii="Arial" w:eastAsia="Calibri" w:hAnsi="Arial"/>
                <w:bCs/>
                <w:sz w:val="16"/>
                <w:szCs w:val="16"/>
              </w:rPr>
            </w:pPr>
            <w:r w:rsidRPr="004E6BED">
              <w:rPr>
                <w:rFonts w:ascii="Arial" w:eastAsia="Calibri" w:hAnsi="Arial"/>
                <w:bCs/>
                <w:sz w:val="16"/>
                <w:szCs w:val="16"/>
              </w:rPr>
              <w:t>Needs vary by location, but few services are available. Need may be relatively few units, but is essential.</w:t>
            </w:r>
          </w:p>
          <w:p w:rsidR="00D075E5" w:rsidRPr="004E6BED" w:rsidRDefault="00D075E5" w:rsidP="009B1655">
            <w:pPr>
              <w:suppressAutoHyphens/>
              <w:rPr>
                <w:rFonts w:ascii="Arial" w:eastAsia="Calibri" w:hAnsi="Arial"/>
                <w:bCs/>
                <w:sz w:val="16"/>
                <w:szCs w:val="16"/>
              </w:rPr>
            </w:pPr>
            <w:r w:rsidRPr="004E6BED">
              <w:rPr>
                <w:rFonts w:ascii="Arial" w:eastAsia="Calibri" w:hAnsi="Arial"/>
                <w:bCs/>
                <w:sz w:val="16"/>
                <w:szCs w:val="16"/>
              </w:rPr>
              <w:t>Outside my expertise.  I'm sure there are needs.  Make sure private sector is involved.</w:t>
            </w:r>
          </w:p>
          <w:p w:rsidR="00D075E5" w:rsidRPr="004E6BED" w:rsidRDefault="00D075E5" w:rsidP="009B1655">
            <w:pPr>
              <w:suppressAutoHyphens/>
              <w:rPr>
                <w:rFonts w:ascii="Arial" w:eastAsia="Calibri" w:hAnsi="Arial"/>
                <w:bCs/>
                <w:sz w:val="16"/>
                <w:szCs w:val="16"/>
              </w:rPr>
            </w:pPr>
            <w:r w:rsidRPr="004E6BED">
              <w:rPr>
                <w:rFonts w:ascii="Arial" w:eastAsia="Calibri" w:hAnsi="Arial"/>
                <w:bCs/>
                <w:sz w:val="16"/>
                <w:szCs w:val="16"/>
              </w:rPr>
              <w:t>Temporary workers in energy - not long term</w:t>
            </w:r>
          </w:p>
          <w:p w:rsidR="00D075E5" w:rsidRPr="004E6BED" w:rsidRDefault="00D075E5" w:rsidP="009B1655">
            <w:pPr>
              <w:suppressAutoHyphens/>
              <w:rPr>
                <w:rFonts w:ascii="Arial" w:eastAsia="Calibri" w:hAnsi="Arial"/>
                <w:bCs/>
                <w:sz w:val="16"/>
                <w:szCs w:val="16"/>
              </w:rPr>
            </w:pPr>
            <w:r w:rsidRPr="004E6BED">
              <w:rPr>
                <w:rFonts w:ascii="Arial" w:eastAsia="Calibri" w:hAnsi="Arial"/>
                <w:bCs/>
                <w:sz w:val="16"/>
                <w:szCs w:val="16"/>
              </w:rPr>
              <w:t>These needs exist. The question is whether the government should be doing it.</w:t>
            </w:r>
          </w:p>
          <w:p w:rsidR="00D075E5" w:rsidRPr="004E6BED" w:rsidRDefault="00D075E5" w:rsidP="009B1655">
            <w:pPr>
              <w:suppressAutoHyphens/>
              <w:rPr>
                <w:rFonts w:ascii="Arial" w:eastAsia="Calibri" w:hAnsi="Arial"/>
                <w:b/>
                <w:bCs/>
                <w:sz w:val="16"/>
                <w:szCs w:val="16"/>
              </w:rPr>
            </w:pPr>
            <w:r w:rsidRPr="004E6BED">
              <w:rPr>
                <w:rFonts w:ascii="Arial" w:eastAsia="Calibri" w:hAnsi="Arial"/>
                <w:bCs/>
                <w:sz w:val="16"/>
                <w:szCs w:val="16"/>
              </w:rPr>
              <w:t>Transitional Foster Care for Children &amp; Youth</w:t>
            </w:r>
          </w:p>
        </w:tc>
      </w:tr>
    </w:tbl>
    <w:p w:rsidR="00D075E5" w:rsidRDefault="00D075E5" w:rsidP="00D075E5">
      <w:pPr>
        <w:jc w:val="center"/>
      </w:pPr>
    </w:p>
    <w:p w:rsidR="00D075E5" w:rsidRPr="004E6BED" w:rsidRDefault="00D075E5" w:rsidP="00D075E5">
      <w:pPr>
        <w:jc w:val="center"/>
      </w:pPr>
    </w:p>
    <w:tbl>
      <w:tblPr>
        <w:tblW w:w="9576" w:type="dxa"/>
        <w:jc w:val="center"/>
        <w:tblLook w:val="04A0" w:firstRow="1" w:lastRow="0" w:firstColumn="1" w:lastColumn="0" w:noHBand="0" w:noVBand="1"/>
      </w:tblPr>
      <w:tblGrid>
        <w:gridCol w:w="9576"/>
      </w:tblGrid>
      <w:tr w:rsidR="00D075E5" w:rsidRPr="004E6BED" w:rsidTr="009B1655">
        <w:trPr>
          <w:trHeight w:val="173"/>
          <w:jc w:val="center"/>
        </w:trPr>
        <w:tc>
          <w:tcPr>
            <w:tcW w:w="9576" w:type="dxa"/>
            <w:tcBorders>
              <w:bottom w:val="single" w:sz="4" w:space="0" w:color="009900"/>
            </w:tcBorders>
            <w:shd w:val="clear" w:color="000000" w:fill="FFFFFF" w:themeFill="background1"/>
            <w:noWrap/>
            <w:vAlign w:val="center"/>
            <w:hideMark/>
          </w:tcPr>
          <w:p w:rsidR="00D075E5" w:rsidRPr="004E6BED" w:rsidRDefault="00D075E5" w:rsidP="009B1655">
            <w:pPr>
              <w:keepNext/>
              <w:keepLines/>
              <w:suppressAutoHyphens/>
              <w:jc w:val="center"/>
              <w:rPr>
                <w:rFonts w:ascii="Arial" w:eastAsiaTheme="majorEastAsia" w:hAnsi="Arial" w:cstheme="majorBidi"/>
                <w:b/>
                <w:iCs/>
                <w:szCs w:val="23"/>
              </w:rPr>
            </w:pPr>
            <w:r w:rsidRPr="004E6BED">
              <w:rPr>
                <w:rFonts w:ascii="Arial" w:eastAsiaTheme="majorEastAsia" w:hAnsi="Arial" w:cstheme="majorBidi"/>
                <w:b/>
                <w:iCs/>
                <w:szCs w:val="23"/>
              </w:rPr>
              <w:t xml:space="preserve">Table </w:t>
            </w:r>
            <w:r>
              <w:rPr>
                <w:rFonts w:ascii="Arial" w:eastAsiaTheme="majorEastAsia" w:hAnsi="Arial" w:cstheme="majorBidi"/>
                <w:b/>
                <w:iCs/>
                <w:szCs w:val="23"/>
              </w:rPr>
              <w:t>C.9</w:t>
            </w:r>
          </w:p>
          <w:p w:rsidR="00D075E5" w:rsidRPr="004E6BED" w:rsidRDefault="00D075E5" w:rsidP="009B1655">
            <w:pPr>
              <w:keepNext/>
              <w:keepLines/>
              <w:suppressAutoHyphens/>
              <w:jc w:val="center"/>
              <w:rPr>
                <w:rFonts w:ascii="Arial" w:eastAsia="Calibri" w:hAnsi="Arial"/>
                <w:b/>
                <w:bCs/>
                <w:sz w:val="20"/>
                <w:szCs w:val="23"/>
              </w:rPr>
            </w:pPr>
            <w:r w:rsidRPr="004E6BED">
              <w:rPr>
                <w:rFonts w:ascii="Arial" w:eastAsia="Calibri" w:hAnsi="Arial"/>
                <w:b/>
                <w:bCs/>
                <w:sz w:val="20"/>
                <w:szCs w:val="23"/>
              </w:rPr>
              <w:t>Please describe any other investment categories.</w:t>
            </w:r>
          </w:p>
          <w:p w:rsidR="00D075E5" w:rsidRPr="004E6BED" w:rsidRDefault="00D075E5" w:rsidP="009B1655">
            <w:pPr>
              <w:suppressAutoHyphens/>
              <w:jc w:val="center"/>
              <w:rPr>
                <w:rFonts w:ascii="Arial" w:eastAsia="Calibri" w:hAnsi="Arial"/>
                <w:sz w:val="16"/>
                <w:szCs w:val="16"/>
              </w:rPr>
            </w:pPr>
            <w:r w:rsidRPr="004E6BED">
              <w:rPr>
                <w:rFonts w:ascii="Arial" w:eastAsia="Calibri" w:hAnsi="Arial"/>
                <w:sz w:val="16"/>
                <w:szCs w:val="16"/>
              </w:rPr>
              <w:t>State of New Mexico</w:t>
            </w:r>
          </w:p>
          <w:p w:rsidR="00D075E5" w:rsidRPr="004E6BED" w:rsidRDefault="00D075E5" w:rsidP="009B1655">
            <w:pPr>
              <w:suppressAutoHyphens/>
              <w:jc w:val="center"/>
              <w:rPr>
                <w:rFonts w:ascii="Arial" w:eastAsia="Calibri" w:hAnsi="Arial"/>
                <w:bCs/>
                <w:sz w:val="16"/>
                <w:szCs w:val="23"/>
              </w:rPr>
            </w:pPr>
            <w:r w:rsidRPr="004E6BED">
              <w:rPr>
                <w:rFonts w:ascii="Arial" w:eastAsia="Calibri" w:hAnsi="Arial"/>
                <w:sz w:val="16"/>
                <w:szCs w:val="16"/>
              </w:rPr>
              <w:t>2013 Fair Housing Survey Data</w:t>
            </w:r>
          </w:p>
        </w:tc>
      </w:tr>
      <w:tr w:rsidR="00D075E5" w:rsidRPr="004E6BED" w:rsidTr="009B1655">
        <w:trPr>
          <w:trHeight w:val="173"/>
          <w:jc w:val="center"/>
        </w:trPr>
        <w:tc>
          <w:tcPr>
            <w:tcW w:w="9576" w:type="dxa"/>
            <w:tcBorders>
              <w:top w:val="single" w:sz="4" w:space="0" w:color="009900"/>
              <w:left w:val="single" w:sz="4" w:space="0" w:color="009900"/>
              <w:bottom w:val="single" w:sz="4" w:space="0" w:color="009900"/>
              <w:right w:val="single" w:sz="4" w:space="0" w:color="009900"/>
            </w:tcBorders>
            <w:shd w:val="clear" w:color="000000" w:fill="FFFFE1"/>
            <w:noWrap/>
            <w:vAlign w:val="bottom"/>
            <w:hideMark/>
          </w:tcPr>
          <w:p w:rsidR="00D075E5" w:rsidRPr="004E6BED" w:rsidRDefault="00D075E5" w:rsidP="009B1655">
            <w:pPr>
              <w:suppressAutoHyphens/>
              <w:jc w:val="center"/>
              <w:rPr>
                <w:rFonts w:ascii="Arial" w:eastAsia="Calibri" w:hAnsi="Arial"/>
                <w:b/>
                <w:bCs/>
                <w:sz w:val="16"/>
                <w:szCs w:val="16"/>
              </w:rPr>
            </w:pPr>
            <w:r w:rsidRPr="004E6BED">
              <w:rPr>
                <w:rFonts w:ascii="Arial" w:eastAsia="Calibri" w:hAnsi="Arial"/>
                <w:b/>
                <w:bCs/>
                <w:sz w:val="16"/>
                <w:szCs w:val="16"/>
              </w:rPr>
              <w:t>Comments:</w:t>
            </w:r>
          </w:p>
        </w:tc>
      </w:tr>
      <w:tr w:rsidR="00D075E5" w:rsidRPr="004E6BED" w:rsidTr="009B1655">
        <w:trPr>
          <w:trHeight w:val="173"/>
          <w:jc w:val="center"/>
        </w:trPr>
        <w:tc>
          <w:tcPr>
            <w:tcW w:w="9576" w:type="dxa"/>
            <w:tcBorders>
              <w:top w:val="nil"/>
              <w:left w:val="single" w:sz="4" w:space="0" w:color="009900"/>
              <w:bottom w:val="single" w:sz="4" w:space="0" w:color="009900"/>
              <w:right w:val="single" w:sz="4" w:space="0" w:color="009900"/>
            </w:tcBorders>
            <w:shd w:val="clear" w:color="000000" w:fill="FFFFE1"/>
            <w:noWrap/>
            <w:vAlign w:val="center"/>
          </w:tcPr>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education</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Education</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Education &amp; Early Childhood</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Emergency shelter with wrap around social services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Food banks/ meal service to families in NEED!</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Housing</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Investments for the future</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Outside my expertise.</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pollution cleanup</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Public transportation so that people can get to work, to medical facilities, to markets with fresh food, to workforce training programs.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renewable energy</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Rental property is desperately needed</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Schools and Education</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senior services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Sustainable energy development</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transportation</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Transportation - air, rail, bus</w:t>
            </w:r>
          </w:p>
        </w:tc>
      </w:tr>
    </w:tbl>
    <w:p w:rsidR="00D075E5" w:rsidRPr="004E6BED" w:rsidRDefault="00D075E5" w:rsidP="00D075E5"/>
    <w:tbl>
      <w:tblPr>
        <w:tblW w:w="9576" w:type="dxa"/>
        <w:jc w:val="center"/>
        <w:tblLook w:val="04A0" w:firstRow="1" w:lastRow="0" w:firstColumn="1" w:lastColumn="0" w:noHBand="0" w:noVBand="1"/>
      </w:tblPr>
      <w:tblGrid>
        <w:gridCol w:w="9576"/>
      </w:tblGrid>
      <w:tr w:rsidR="00D075E5" w:rsidRPr="004E6BED" w:rsidTr="009B1655">
        <w:trPr>
          <w:trHeight w:val="173"/>
          <w:jc w:val="center"/>
        </w:trPr>
        <w:tc>
          <w:tcPr>
            <w:tcW w:w="9576" w:type="dxa"/>
            <w:tcBorders>
              <w:bottom w:val="single" w:sz="4" w:space="0" w:color="009900"/>
            </w:tcBorders>
            <w:shd w:val="clear" w:color="000000" w:fill="FFFFFF" w:themeFill="background1"/>
            <w:noWrap/>
            <w:vAlign w:val="center"/>
            <w:hideMark/>
          </w:tcPr>
          <w:p w:rsidR="00D075E5" w:rsidRPr="004E6BED" w:rsidRDefault="00D075E5" w:rsidP="009B1655">
            <w:pPr>
              <w:keepNext/>
              <w:keepLines/>
              <w:suppressAutoHyphens/>
              <w:jc w:val="center"/>
              <w:rPr>
                <w:rFonts w:ascii="Arial" w:eastAsiaTheme="majorEastAsia" w:hAnsi="Arial" w:cstheme="majorBidi"/>
                <w:b/>
                <w:iCs/>
                <w:szCs w:val="23"/>
              </w:rPr>
            </w:pPr>
            <w:r w:rsidRPr="004E6BED">
              <w:rPr>
                <w:rFonts w:ascii="Arial" w:eastAsiaTheme="majorEastAsia" w:hAnsi="Arial" w:cstheme="majorBidi"/>
                <w:b/>
                <w:iCs/>
                <w:szCs w:val="23"/>
              </w:rPr>
              <w:t xml:space="preserve">Table </w:t>
            </w:r>
            <w:r>
              <w:rPr>
                <w:rFonts w:ascii="Arial" w:eastAsiaTheme="majorEastAsia" w:hAnsi="Arial" w:cstheme="majorBidi"/>
                <w:b/>
                <w:iCs/>
                <w:szCs w:val="23"/>
              </w:rPr>
              <w:t>C.10</w:t>
            </w:r>
          </w:p>
          <w:p w:rsidR="00D075E5" w:rsidRPr="004E6BED" w:rsidRDefault="00D075E5" w:rsidP="009B1655">
            <w:pPr>
              <w:keepNext/>
              <w:keepLines/>
              <w:suppressAutoHyphens/>
              <w:jc w:val="center"/>
              <w:rPr>
                <w:rFonts w:ascii="Arial" w:eastAsia="Calibri" w:hAnsi="Arial"/>
                <w:b/>
                <w:bCs/>
                <w:sz w:val="20"/>
                <w:szCs w:val="23"/>
              </w:rPr>
            </w:pPr>
            <w:r w:rsidRPr="004E6BED">
              <w:rPr>
                <w:rFonts w:ascii="Arial" w:eastAsia="Calibri" w:hAnsi="Arial"/>
                <w:b/>
                <w:bCs/>
                <w:sz w:val="20"/>
                <w:szCs w:val="23"/>
              </w:rPr>
              <w:t>Please share any comments you have about housing and community development needs or barriers.</w:t>
            </w:r>
          </w:p>
          <w:p w:rsidR="00D075E5" w:rsidRPr="004E6BED" w:rsidRDefault="00D075E5" w:rsidP="009B1655">
            <w:pPr>
              <w:suppressAutoHyphens/>
              <w:jc w:val="center"/>
              <w:rPr>
                <w:rFonts w:ascii="Arial" w:eastAsia="Calibri" w:hAnsi="Arial"/>
                <w:sz w:val="16"/>
                <w:szCs w:val="16"/>
              </w:rPr>
            </w:pPr>
            <w:r w:rsidRPr="004E6BED">
              <w:rPr>
                <w:rFonts w:ascii="Arial" w:eastAsia="Calibri" w:hAnsi="Arial"/>
                <w:sz w:val="16"/>
                <w:szCs w:val="16"/>
              </w:rPr>
              <w:t>State of New Mexico</w:t>
            </w:r>
          </w:p>
          <w:p w:rsidR="00D075E5" w:rsidRPr="004E6BED" w:rsidRDefault="00D075E5" w:rsidP="009B1655">
            <w:pPr>
              <w:suppressAutoHyphens/>
              <w:jc w:val="center"/>
              <w:rPr>
                <w:rFonts w:ascii="Arial" w:eastAsia="Calibri" w:hAnsi="Arial"/>
                <w:bCs/>
                <w:sz w:val="16"/>
                <w:szCs w:val="23"/>
              </w:rPr>
            </w:pPr>
            <w:r w:rsidRPr="004E6BED">
              <w:rPr>
                <w:rFonts w:ascii="Arial" w:eastAsia="Calibri" w:hAnsi="Arial"/>
                <w:sz w:val="16"/>
                <w:szCs w:val="16"/>
              </w:rPr>
              <w:t>2013 Fair Housing Survey Data</w:t>
            </w:r>
          </w:p>
        </w:tc>
      </w:tr>
      <w:tr w:rsidR="00D075E5" w:rsidRPr="004E6BED" w:rsidTr="009B1655">
        <w:trPr>
          <w:trHeight w:val="173"/>
          <w:jc w:val="center"/>
        </w:trPr>
        <w:tc>
          <w:tcPr>
            <w:tcW w:w="9576" w:type="dxa"/>
            <w:tcBorders>
              <w:top w:val="single" w:sz="4" w:space="0" w:color="009900"/>
              <w:left w:val="single" w:sz="4" w:space="0" w:color="009900"/>
              <w:bottom w:val="single" w:sz="4" w:space="0" w:color="009900"/>
              <w:right w:val="single" w:sz="4" w:space="0" w:color="009900"/>
            </w:tcBorders>
            <w:shd w:val="clear" w:color="000000" w:fill="FFFFE1"/>
            <w:noWrap/>
            <w:vAlign w:val="bottom"/>
            <w:hideMark/>
          </w:tcPr>
          <w:p w:rsidR="00D075E5" w:rsidRPr="004E6BED" w:rsidRDefault="00D075E5" w:rsidP="009B1655">
            <w:pPr>
              <w:suppressAutoHyphens/>
              <w:jc w:val="center"/>
              <w:rPr>
                <w:rFonts w:ascii="Arial" w:eastAsia="Calibri" w:hAnsi="Arial"/>
                <w:b/>
                <w:bCs/>
                <w:sz w:val="16"/>
                <w:szCs w:val="16"/>
              </w:rPr>
            </w:pPr>
            <w:r w:rsidRPr="004E6BED">
              <w:rPr>
                <w:rFonts w:ascii="Arial" w:eastAsia="Calibri" w:hAnsi="Arial"/>
                <w:b/>
                <w:bCs/>
                <w:sz w:val="16"/>
                <w:szCs w:val="16"/>
              </w:rPr>
              <w:t>Comments:</w:t>
            </w:r>
          </w:p>
        </w:tc>
      </w:tr>
      <w:tr w:rsidR="00D075E5" w:rsidRPr="004E6BED" w:rsidTr="009B1655">
        <w:trPr>
          <w:trHeight w:val="173"/>
          <w:jc w:val="center"/>
        </w:trPr>
        <w:tc>
          <w:tcPr>
            <w:tcW w:w="9576" w:type="dxa"/>
            <w:tcBorders>
              <w:top w:val="nil"/>
              <w:left w:val="single" w:sz="4" w:space="0" w:color="009900"/>
              <w:bottom w:val="single" w:sz="4" w:space="0" w:color="009900"/>
              <w:right w:val="single" w:sz="4" w:space="0" w:color="009900"/>
            </w:tcBorders>
            <w:shd w:val="clear" w:color="000000" w:fill="FFFFE1"/>
            <w:noWrap/>
            <w:vAlign w:val="center"/>
          </w:tcPr>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A lack of affordable Housing and Transportation.</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access to land in our community is limited and water systems is what has been worked on for years, there is not enough funding to complete the project for the town so they take in in steps. by the time they finish they will have to start all over again. which leaves no room for other needs. Economic development in our area is to hard to get as our boundries are  enclosed from us to expand.</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Addressing housing has at least a many faceted impact:  Prioritizing housing around infrastructure stretches infrastructure resources.  Housing Construction and Rehab provides jobs that spur the economy.  Quality affordable housing increases a community's ability to retain and attract businesses and services.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Albuquerque seems to be shifting a lot of their support to rental housing, and particularly housing for very low income households. While these demographics are certainly in need, it would be unwise to shift the focus too far from the provision of affordable homeownership. Housing support should assist people in moving up to more permanent forms of housing. The benefits of homeownership for future success in school, wealth accumulation and job advancement are clear and consistently supported by research.</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all public facilities should sustainable and generating energy</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As the local lead agency coordinator for Bernalillo county I have some knowledge and experience woking with Special Needs populations and low income housing.  It is my belief that the Low Income Housing Tax Credit program could be better served by addressing the issue of tenant background challenges with the developer at the time of the contract signing with MFA rather than letting for profit property management companies decide on acceptance based on national criteria.  New Mexico is a very special place and consideration must be given to our own population demographic.  The bottom line is we reserve X number of units for income challenged persons with special needs and are then uanble to fill them due to stringent rental criteria.  Winner=developer, property management co.  Loser=consumer, state of NM</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Banking industry does not seem to want to help many people get a loan, especially if the people find themselves in a lower income bracket.</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Barriers should be removed to contracting by allowing for-profit as we well as non-for-profit organizations to bid on projects. And, to better qualify rehab from new construction and the structural gains from improving HEERS ratings i.e., from 200 to 100 at what cost. Keeping cost as a measure of achievement.</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community development is such a broad issue thus it is challenging to capture issues in this type of survey</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Community development needs are going to be in infrastructure, water and sewer improvements. Most system have reached there life span and are in need of repair, upgrades or replacement to meet today's needs for quality or to meet regulatory requirements.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Disconnect at DC HUD level on use of funding for rural areas --</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Domestic violence, poverty, poor foster care system, and poor public education system are all barriers to our community and economic development needs.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Economic development needs to firmly take the track of local, sustainable efforts, and recognize that conservation is the most cost effective tool in the kit.</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Educate people of the needs of the community</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Families that are able to live in a safe and healthy environment lives will improve, because the high school dropout rate will drop, the children will be healthier and miss less school.  Providing homes for families that are very low income can make a huge difference in their ability to improve their quality of life.</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For certain populations, specific types of housing work best.  Emergency shelter services and transitional housing are proven models that help victims of domestic violence move to self-sufficiency and live better qualities of lives.  Continued funding for these services is vital in breaking individuals cycle of violence.</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Great need for more affordable housing for all walks of life.  Special needs population does not have the resources available or the caseworkers to help guide them through the process.  Landlords are having to take on more responsibility.  They are forced to live in substandard housing due to their limited resources.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High need for affordable workforce housing.</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Homeless/emergency shelters for women are almost nonexistent!</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Housing and community development could benefit from having attached services such as case management, therapy, substance use treatment.</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Housing needs are again infrastructure placement to make any developer take a chance at affordable housing projects.   Community development needs start up monies for all businesses, and for businesses that have stalled with the economy, they need continuance monies, help them get through this downward spiral we all encountered.</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Housing needs for low and medium income levels are high. Education and communication to potential homebuyers and the affordability for their income level would help many to own their own home.</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Housing remains the cornerstone for other quality of life issues, and market rate housing costs presently equals average monthly SSDI or SSI, which is unsustainable for this constituency. Family, extended or otherwise, does not exist for many Americans, who would fall through the cracks without a safety net. Housing is a cost effective intervention that ultimately serves well the public good.</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I did not specify other but would justify the above by stating that all the above issues are greatly important and are all interrelated with one another though vary dependent upon location in the county.  Those closer to the municipalities would garner less support to utilities and infrastructure due to existing facilities and would therefore require greater emphasis on housing, transportation and economic development.  Those more distant from municipalities would benefit from greater infrastructure improvements hence the housing and economic development would likely follow.</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I think thought should be given to the types of housing we are building. Green housing that participates in community resource gathering, such as shared composting, shared solar/wind creation etc...such communities need be marketed away from being "hippie" to being sustainable</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I'd have to do some more evaluation to give you a responsible allocation formula based on a thoughtful, balanced weighting of needs.  However, in general, it's my informed perspective that the state WAY overinvests in popular but non-productive public facilities projects and WAY underinvests in high-wage producing economic development activities.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Improving our educational system wasn't mentioned.  It is a foundation for a successful economic development effort.  Economic development is not only creating more jobs, but creating higher paying jobs.  Higher paying jobs come from providing employers with a large employee pool of people with higher level skills.  Alternatively, employers will be faced with recruiting out-of-state employees who may be reluctant to relocate their families if our educational system at all levels doesn't meet the standards they expect for their children.</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In most of New Mexico outside the Rio Grande corridor, economic development should be the type that helps the residents and not necessarily the type that will bring others to do the jobs that are created.  The type that brings others tend to displace locals.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In my comunity we need more rental afordable houses.  More mobile home parks.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In our area there is a lot of rental housing that is not able to go through our program because it doesn't meet our Housing Quality Standards.  A Rental Rehab program would greatly benefit our area.</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In our community right now there is a large need for affordable housing. It is so expensive even for the working class family to afford to rent a home let alone buy one. Senior citizens are in need of affordable housing, many of the seniors in our community would love to sale their large homes and live in a senior housing community. The problem is a lot of housing that is intended for seniors ends up being low income housing and questionable people end up living in the housing and it pushes the seniors out due to lack of safety.</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In the colonias, the infrastructure is a huge problem.  In addition, access to public transportation (integrate housing and transportation planning) could have a significant impact on the economic well being of people living in colonias.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job-housing-services all tied together.  Need to get jobs where the housing is, housing where the jobs are.</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Lack of infrastructure -water, waste water, utilities and streets and roads - hinders the development of new housing.</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Lack of transportation except personal auto.  Need much better access to transportation to other towns, particularly for medical services outside the immediate area or for children from out of state to reach ailing parents here.</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land to expand</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larger urban communities have different sets of problems. they have capacity and expertise, but need more financial resources and help overcoming local barriers to housing development, like the NIMBY stuff.</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Looking at the state as a whole, the largest barrier to housing and community development is our aging infrastructure. 1) Roads/Bridges 2)Water/Wastewater. These need to be updated and expanded across all communities within the state before Housing and Development will be anywhere close to being sustainable especially given our forecasted growth over the next 50 years.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Most barriers come from the state, with a really difficult process to go through for permitting.</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Most of the needs required in my community are rehabilitation. Most residents own their own land and require assistance in rehabilitating existing housing and permitted sewer systems.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My community is the third lowest in the state in poverty level.  It is hard for any body here to anything.  The people here just can't afford any match for any assentance.</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Not enough money to do everything we'd like to see done.</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Often seniors- who are on limited incomes- get stuck in low income housing that has no understanding or accommodation for them.  It is often unsafe and without the amenities/services they need.  Senior housing is the #1 housing issue New Mexico is facing.</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Raton, New Mexico has an all volunteer group, "GrowRaton!" Housing Task Force that wants to weatherize, and paint low income homes.  We need funding.  We are writing grants all the time, but, so far, no grants have come through.</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Rent is too high for rural areas like Roswell, Artesia, Carlsbad, and Hobbs. Employment is hard to come by and most individuals are on fixed income. Most housing available is in unlivable conditions.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Rural areas are difficult</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Small scale 4 to 8 unit low-income rental housing with scattered sites.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The barriers we have are funding!</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The current resources used to construct affordable housing appear to be wasted based on recent projects that have come on-line.</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The lower the income, the greater the need for housing and community development services.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The need for housing in NM is great, but unless we build greater and sustain existing water systems and infrastructure, there won't be enough water to support the population.  I believe the greatest priority is in finding a way to get enough water to all parts of the state.</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The need for more elderly/disabled properties in the Farmington/Bloomfield areas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The needs are overwhelming and the resources are severely limited.  There is not nearly enough money to address the problems - new and creative ways have to be found to work  the issues.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There are barriers to finding housing and developing community needs, mostly under the title of affordability, location, and being able to match the needy with what is abailable.</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There are many  families that come to our County looking for housing . There are few apartments that have medium to high income rent . Three and four bedroom apartments are limited and one bedroom apartments for single people . I find that most of the calls are for homeless families and elderly looking for housing . The waiting list is long for all the apartments here in Taos .</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There needs to be more good housing for middle income people who cannot afford housing that costs more than $150,000.</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Too many vouchers being handed out like candy. People get acustomed to that, also make a living off that, Those vouchers are for a small period of time service not a lifetime service to people!</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Tribes have a dire need in housing for rehabilitation and new development, limited funding for housing with very stringent requirements makes it difficult to leverage on projects.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We ahve a huge need for housing.  Contractors and banks are not willing to invest in our region because they believe it is too volitile an economcy.  That is a tough hurdle to get over.</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We are in  needed for better housing and community development could be better.</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We must spur good economic development activity in the state to bring in better paying jobs. New Mexico needs to be competitive for these jobs or we will ALWAYS have these needs and barriers.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We need a concerted effort placed on building our economy back up. More jobs, higher wages and better opportunities will go a long way towards pulling people out of poverty and diminish the need for public assistance.  Other than economic development, the best use of funds is early childhood education and services for our youth.  They are the future.</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We need more "workforce" housing so that employers and prospective employers can be confident that their employees will have quality housing options.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We need professional direction in developing projects such as Assisted Living, Library, etc.   It is likely our county will end up with trailer houses for an assisted living facility.</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We need to think creatively about housing for workers.  They may have an income, but not enough availability of decent housing in their price range in rural communities.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when i see things like redoing corners to be wheelchair accessible then putting power poles directly in the middle of the sidewalk, i just don't even know where to start. why are we spending money to attract chain businesses, and letting our locally owned businesses fail ? how do you change the culture and politics of an entire state ?</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With limited resources and maximum need, we need focus on our build environment and the metrics like jobs per acre and revenue per acre and make sure our policy (and scoring system)   supports providing housing in locations with other services (like busses, libraries, community centers, etc.)</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wrap around support for single parent families, especially those with young children--quality day care and/or early childhood education.  The latter is preferable.</w:t>
            </w:r>
          </w:p>
        </w:tc>
      </w:tr>
    </w:tbl>
    <w:p w:rsidR="00D075E5" w:rsidRPr="004E6BED" w:rsidRDefault="00D075E5" w:rsidP="00D075E5"/>
    <w:tbl>
      <w:tblPr>
        <w:tblW w:w="9576" w:type="dxa"/>
        <w:jc w:val="center"/>
        <w:tblLook w:val="04A0" w:firstRow="1" w:lastRow="0" w:firstColumn="1" w:lastColumn="0" w:noHBand="0" w:noVBand="1"/>
      </w:tblPr>
      <w:tblGrid>
        <w:gridCol w:w="9576"/>
      </w:tblGrid>
      <w:tr w:rsidR="00D075E5" w:rsidRPr="004E6BED" w:rsidTr="009B1655">
        <w:trPr>
          <w:trHeight w:val="173"/>
          <w:jc w:val="center"/>
        </w:trPr>
        <w:tc>
          <w:tcPr>
            <w:tcW w:w="9576" w:type="dxa"/>
            <w:tcBorders>
              <w:bottom w:val="single" w:sz="4" w:space="0" w:color="009900"/>
            </w:tcBorders>
            <w:shd w:val="clear" w:color="000000" w:fill="FFFFFF" w:themeFill="background1"/>
            <w:noWrap/>
            <w:vAlign w:val="center"/>
            <w:hideMark/>
          </w:tcPr>
          <w:p w:rsidR="00D075E5" w:rsidRPr="004E6BED" w:rsidRDefault="00D075E5" w:rsidP="009B1655">
            <w:pPr>
              <w:keepNext/>
              <w:keepLines/>
              <w:suppressAutoHyphens/>
              <w:jc w:val="center"/>
              <w:rPr>
                <w:rFonts w:ascii="Arial" w:eastAsiaTheme="majorEastAsia" w:hAnsi="Arial" w:cstheme="majorBidi"/>
                <w:b/>
                <w:iCs/>
                <w:szCs w:val="23"/>
              </w:rPr>
            </w:pPr>
            <w:r w:rsidRPr="004E6BED">
              <w:rPr>
                <w:rFonts w:ascii="Arial" w:eastAsiaTheme="majorEastAsia" w:hAnsi="Arial" w:cstheme="majorBidi"/>
                <w:b/>
                <w:iCs/>
                <w:szCs w:val="23"/>
              </w:rPr>
              <w:t xml:space="preserve">Table </w:t>
            </w:r>
            <w:r>
              <w:rPr>
                <w:rFonts w:ascii="Arial" w:eastAsiaTheme="majorEastAsia" w:hAnsi="Arial" w:cstheme="majorBidi"/>
                <w:b/>
                <w:iCs/>
                <w:szCs w:val="23"/>
              </w:rPr>
              <w:t>C.11</w:t>
            </w:r>
          </w:p>
          <w:p w:rsidR="00D075E5" w:rsidRPr="004E6BED" w:rsidRDefault="00D075E5" w:rsidP="009B1655">
            <w:pPr>
              <w:keepNext/>
              <w:keepLines/>
              <w:suppressAutoHyphens/>
              <w:jc w:val="center"/>
              <w:rPr>
                <w:rFonts w:ascii="Arial" w:eastAsia="Calibri" w:hAnsi="Arial"/>
                <w:b/>
                <w:bCs/>
                <w:sz w:val="20"/>
                <w:szCs w:val="23"/>
              </w:rPr>
            </w:pPr>
            <w:r w:rsidRPr="004E6BED">
              <w:rPr>
                <w:rFonts w:ascii="Arial" w:eastAsia="Calibri" w:hAnsi="Arial"/>
                <w:b/>
                <w:bCs/>
                <w:sz w:val="20"/>
                <w:szCs w:val="23"/>
              </w:rPr>
              <w:t>What are ways the State can better address housing and community development challenges?</w:t>
            </w:r>
          </w:p>
          <w:p w:rsidR="00D075E5" w:rsidRPr="004E6BED" w:rsidRDefault="00D075E5" w:rsidP="009B1655">
            <w:pPr>
              <w:suppressAutoHyphens/>
              <w:jc w:val="center"/>
              <w:rPr>
                <w:rFonts w:ascii="Arial" w:eastAsia="Calibri" w:hAnsi="Arial"/>
                <w:sz w:val="16"/>
                <w:szCs w:val="16"/>
              </w:rPr>
            </w:pPr>
            <w:r w:rsidRPr="004E6BED">
              <w:rPr>
                <w:rFonts w:ascii="Arial" w:eastAsia="Calibri" w:hAnsi="Arial"/>
                <w:sz w:val="16"/>
                <w:szCs w:val="16"/>
              </w:rPr>
              <w:t>State of New Mexico</w:t>
            </w:r>
          </w:p>
          <w:p w:rsidR="00D075E5" w:rsidRPr="004E6BED" w:rsidRDefault="00D075E5" w:rsidP="009B1655">
            <w:pPr>
              <w:suppressAutoHyphens/>
              <w:jc w:val="center"/>
              <w:rPr>
                <w:rFonts w:ascii="Arial" w:eastAsia="Calibri" w:hAnsi="Arial"/>
                <w:bCs/>
                <w:sz w:val="16"/>
                <w:szCs w:val="23"/>
              </w:rPr>
            </w:pPr>
            <w:r w:rsidRPr="004E6BED">
              <w:rPr>
                <w:rFonts w:ascii="Arial" w:eastAsia="Calibri" w:hAnsi="Arial"/>
                <w:sz w:val="16"/>
                <w:szCs w:val="16"/>
              </w:rPr>
              <w:t>2013 Fair Housing Survey Data</w:t>
            </w:r>
          </w:p>
        </w:tc>
      </w:tr>
      <w:tr w:rsidR="00D075E5" w:rsidRPr="004E6BED" w:rsidTr="009B1655">
        <w:trPr>
          <w:trHeight w:val="173"/>
          <w:jc w:val="center"/>
        </w:trPr>
        <w:tc>
          <w:tcPr>
            <w:tcW w:w="9576" w:type="dxa"/>
            <w:tcBorders>
              <w:top w:val="single" w:sz="4" w:space="0" w:color="009900"/>
              <w:left w:val="single" w:sz="4" w:space="0" w:color="009900"/>
              <w:bottom w:val="single" w:sz="4" w:space="0" w:color="009900"/>
              <w:right w:val="single" w:sz="4" w:space="0" w:color="009900"/>
            </w:tcBorders>
            <w:shd w:val="clear" w:color="000000" w:fill="FFFFE1"/>
            <w:noWrap/>
            <w:vAlign w:val="bottom"/>
            <w:hideMark/>
          </w:tcPr>
          <w:p w:rsidR="00D075E5" w:rsidRPr="004E6BED" w:rsidRDefault="00D075E5" w:rsidP="009B1655">
            <w:pPr>
              <w:suppressAutoHyphens/>
              <w:jc w:val="center"/>
              <w:rPr>
                <w:rFonts w:ascii="Arial" w:eastAsia="Calibri" w:hAnsi="Arial"/>
                <w:b/>
                <w:bCs/>
                <w:sz w:val="16"/>
                <w:szCs w:val="16"/>
              </w:rPr>
            </w:pPr>
            <w:r w:rsidRPr="004E6BED">
              <w:rPr>
                <w:rFonts w:ascii="Arial" w:eastAsia="Calibri" w:hAnsi="Arial"/>
                <w:b/>
                <w:bCs/>
                <w:sz w:val="16"/>
                <w:szCs w:val="16"/>
              </w:rPr>
              <w:t>Comments:</w:t>
            </w:r>
          </w:p>
        </w:tc>
      </w:tr>
      <w:tr w:rsidR="00D075E5" w:rsidRPr="004E6BED" w:rsidTr="009B1655">
        <w:trPr>
          <w:trHeight w:val="173"/>
          <w:jc w:val="center"/>
        </w:trPr>
        <w:tc>
          <w:tcPr>
            <w:tcW w:w="9576" w:type="dxa"/>
            <w:tcBorders>
              <w:top w:val="nil"/>
              <w:left w:val="single" w:sz="4" w:space="0" w:color="009900"/>
              <w:bottom w:val="single" w:sz="4" w:space="0" w:color="009900"/>
              <w:right w:val="single" w:sz="4" w:space="0" w:color="009900"/>
            </w:tcBorders>
            <w:shd w:val="clear" w:color="000000" w:fill="FFFFE1"/>
            <w:noWrap/>
            <w:vAlign w:val="center"/>
          </w:tcPr>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1109 Tenth Street</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6827 guadalupe tr nw</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713 W. 7ht. St.  314 W. college Ave.</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Additional Section 8 housing</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Affordable housing needs an awareness campaign.  Not only for those who need affordable housing, but for those who snub it, they need to have a better understanding of what the challenges are so maybe they will help instead of hinder projects.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agreement on allocation between rural and urban and consistent follow through.</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All levels of government can review all of the components of cost associated with developing affordable housing and determining which costs they control can be reduced or eliminated without significantly reducing the quality of the housing provided.</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Any way the State can help would be better for this community in fact for the whole city.</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Assistance for households temporarily while attempting to secure Social Security disablity, TANF or emergency TANF</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Build and rehabilitate walkable, complete neighborhoods.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By providing more capital many more families can be served. Resuts of housing development can be meet the needs of families, increase property tax base, and provide economic development for communities.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By seriously listening to each community's specific needs and not bundle services based on larger community needs. Each place is unique and have their own special needs.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Change the banker's attitude about lending.</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Continue to increase funding for emergency, transitional, and permanent housing.</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Create distinct urban development and rural development policies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Do more at the local levels - cities and counties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Doing okay at the present</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Education</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 xml:space="preserve">Encourage continued Federal HOME funding for Home Owner Occupied Home Rehabilitation and Affordable Apartment Development.  Also, the First Time </w:t>
            </w:r>
            <w:r w:rsidR="00CC3344">
              <w:rPr>
                <w:rFonts w:ascii="Arial" w:eastAsia="Calibri" w:hAnsi="Arial"/>
                <w:sz w:val="16"/>
                <w:szCs w:val="16"/>
              </w:rPr>
              <w:t>Homebuyer</w:t>
            </w:r>
            <w:r w:rsidRPr="004E6BED">
              <w:rPr>
                <w:rFonts w:ascii="Arial" w:eastAsia="Calibri" w:hAnsi="Arial"/>
                <w:sz w:val="16"/>
                <w:szCs w:val="16"/>
              </w:rPr>
              <w:t>s Down Payment and Closing Cost Assistance Programs are very helpful.</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Encourage more families to educate themselves about what makes happiness and contentment.</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Energy efficiency and retrofits are a great way to make existing homes more affordable and sustainable into the future.  Millenials are asking for an entirely new type of home, close to amenities, near work, in mixed communities.  It would make sense to understand and identify the needs of this important group.  Mixed income communities have been a way of life in New Mexico for decades.  They are safer, provide choices for families and create whole communities.  We should continue to foster these models to provide strong neighborhoods.    A strong broadband network will attract more high tech/high growth companies that bring wealth into the state.  In addition, this will help schools and communities bridge the technology divide.    Apprentice programs in the tourism field will help develop a pipeline of young New Mexico Emissaries.  This will help make NM the number 1 place for visitors, will enhance the visitor experience, and serve to teach New Mexico youth about other cultures around the world.  Jobs in this field come in every flavor from entry level to pvt tour guides to booking companies.    Similarly, programs in the health sciences field and the arts will enhance the breadth and depth of these already robust sectors.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Expand  infrastructure in all areas.  More low interest loans for small business.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Focus more in Economic Development and better paying jobs and the rest will fall into place.</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Fund full projects. Have our U.S. legislative representatives lobby for more funding for New Mexico.</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Fund Housing Trust  Better advertise state tax credit program  Private public partnerships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Fund less project with enough to accomplish something instead of funding perpetual programs that don't change the need.</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Get out of the housing business and let the market take care of it.</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Higher environmental taxes for oil,coal,gas to support developmental funding.</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HTF partnership is excellent example of coordination to address deep infrastructure issues -- it should be expanded to bring in business, more diverse income targeting and other favorable terms to assist the most vulnerable populations.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I believe the State is doing all it can with the limited resources available.</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I think in some cases the State should enforce the  power of eminent domain. If it's for the betterment of our community why not develop unused property so others can benefit from it?</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I'd like to see better provision of community development technical assistance to smaller communities. I'd also like to see a much more modern approach to state level economic development. get away from "target industries" and courting large employers and work towards empowering entrepreneurship and creating an ecosystem of resources and supports from which new businesses can emerge.</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i'd like to see more block grants going to communities that have a feasible action plan for local economic development, improved housing, and quality of life improvements that impact the entire community, not just certain demographics. a key part of this plan would be increased local control and less money spent on administering and reporting on the funds and more money spent on creative, out of the box, local solutions to local issues. maybe there would have to be certain requirements to ensure broad participation in decision making at the local level such as a minimum of a five member county commission, no uncontested local elections etc. another key would be a broad strategy to ensure rural communities got equitable funding.</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I'm a believer in private enterprise doing a MUCH better job than govt. when it comes to delivering services. So vouchers that allow access to housing and services for those in need is the best way to go.</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I'm trying to get opinion leaders across the Board to focus on what I believe to be a core quality of life problem and solution in the State. IMHO, most social issues that rate NM at the bottom of the list are caused by lack of poverty due to the lack high-wage employment.  Most of these are  GROWING problems that need to be addressed with aggressive economic development policies including--    make GREEN the center of the state's cluster focus--stop the posturing and talk and produce large-scale green energy and innovative, value-added products the world needs;   win the war between the states with overly generous attraction incentives for mfg businesses, especially GREEN, and generously funded job training programs pertaining to that;  remove the film cap incentive;  etc. etc. etc.    My humble, non-partisan view is that if those in high office of the State aren't doing this kind of right thing then we the people of the State need find a way to work together and make them do it.  This isn't a right or left issue.  It's a right thing to do issue.  Regretably, my voice is essentially unheard or ignored, the right thing isn't happening often enough regardless of which side is in office, and the understandable outcome, at least to me, is that NM continues to bring up the rear year after year.</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If the state could better understand the communities within the tribes and and work with the tribes to develop a form of funding to address housing needs would be a wonderful collaborative effort and most important see it implemented throughout the tribal communities.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Increase advertisements and marketing concerning the state's dire need for input from the public to help create policy and incentives to meet their needs.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Infrastructure first or in conjunction with housing and community development initiatives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Integrate housing and public transportation planning.</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Keep improving housing, education and tax incentives to encourage job growth.</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look at rural communities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Make the needs study and planning processes simpler and more results-oriented than at present. See response to one of the questions above.</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Making program affordable for everybody.</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More focus on domestic violence and our foster care system are needed.  Perhaps we should learn from successful systems/programs in other states.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More focus on south-central New Mexico in that the growth dynamics are about to greatly shift based on current development (Union Pacific/Santa Teresa) and the opportunities that will evolve in terms of ancillary development (housing, economic development, etc.).</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more funding and education, awareness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More funds available and resources for the previously mentioned demographics.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More support for affordable rental housing, including vouchers and more development incentives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On site or first hand knowledge</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once again, we have limited space in our community and can't expand on building on main street as there are to many requirements to meet in such a small town, and the laws that affect the big cities are imposed to the small communities as well which does not sound encouraging in seeking funding for growth.  Get the politics out of being selective as to how and where the funding should go and consider that if a small town is taken care of then you can go to the next town or city and build from the bottom up and see the change through the state by sharing the wealth.</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PO Box 713  1111 Agua Fria</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Provide financial resources/State leverages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Provide incentives for collaboration at the local level and for utilization of multiple funding sources.   State could provide more operational support for entities at the local level that lead and participate in collaborative, cross disciplinary activity.</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Raise FMR rates, Build lower income properties that accept subsidies, Build youth centers and drug and rehabilitation treatment programs more broadly available.</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Recognize the significance of strong support services that lend support for breaking cycles of high housing instability and homelessness and more effectively ensure longer term sustainability of families.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revisit the State's anti-donation clause to provide more flexibility for local governments to address housing and community development challenges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Share inspirational stories of what other communities have done.</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stop trying recruit businesses that abuse workers through low wages and inadequate benefits, build human capital and train people to work in their home communities.  build upon local strengths and beauty,</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Streets and roads are very expensive to repair and we should be planning on how to help communities overcome this funding shortfall.</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Support community engagement strategies and collaborative efforts that include local community members in the problem-solving process.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Support local efforts, less emphasis on imported solutions.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Target its resources to rural areas with the greatest need.</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The greatest challenge to housing and economic development has been the cost to build environmentally green and sustainable buildings.  The addition of green requirements to new construction can increase the entire development cost by 15-20%.  I suggest we find a way to limit per unit hard construction and development costs.  It may mean building smaller projects, but they will be sustainable.</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The state can invest significant monies in affordable housing development.  By significant I mean, volumes that will actually mitigate the problem.</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The state could allocate funds for housing, including the high need for residential treatment programs for low, no income and/or homoeless</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The state needs to quit micromanaging these issues, which adds cost and difficulty to every challenge because of the ridiculous state demands in every area- the state must sign off on even an individual homeowner's renovation project.  This makes it unreasonably difficult for the average person to even begin a project.  Because of the state's micro-managing in every area, the state makes it a daunting prospect to begin and complete a project.</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The state should work closely with the municipalities to identify the areas of highest need within the community.</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There has to be a balance of income limited housing . Of course we have a long wait list for very low income. There should be more apartments that have basic rent and market rent . Taos  has a Community Against Violence Shelter for women but none for men and their children . I see more single Dads raising children that need a shelter when they are homeless .</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There is much the State can do to get the process started.  But, essentually it requires partnerships between the State, local govt. and the private secctor.  This isssue is not solely the State's and the State can not resolve it on its own.</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This is a numbers game with inadequate gap funds to address the needs. The core piece is LIHTC which is oversubscribed. Two additional areas the state can help:  1. GRT exemption for construction materials. Cost segregation of tangible items exists but not widely known or used.  2. State historic tax credits are capped at $25,000, and need to be revisited. In some states it is 25% of TDC,. which in combination with federal historic tax credits (20% TDC) deals may pencil out without LIHTC.</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Visit the communities....you have to see it to believe it. You have to get out to rural New Mexico and talk to the people face to face.</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We need funding.</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We need growth through economic development and the rest will follow.</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We need to recognize that we have a housing crisis for people of all income levels, with the exception of the very high income levels.  Without an adequate supply of affordable (not necessarily subsidized) housing, we can't attract and sustain a workforce.  Without this workforce economic development will always be lagging in New Mexico.  This is particularly an issue in the rural areas of our state.  We need to use or limited resources to create the most units as efficiently as possible.</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Work with colleges state-wide that are working on energy projects and tap such projects for not only for research but for on the ground project-based learning that could create working/living communities that better serve the population you wish to effect.</w:t>
            </w:r>
          </w:p>
          <w:p w:rsidR="00D075E5" w:rsidRPr="004E6BED" w:rsidRDefault="00D075E5" w:rsidP="009B1655">
            <w:pPr>
              <w:ind w:left="180" w:hanging="180"/>
              <w:rPr>
                <w:rFonts w:ascii="Arial" w:eastAsia="Calibri" w:hAnsi="Arial"/>
                <w:sz w:val="16"/>
                <w:szCs w:val="16"/>
              </w:rPr>
            </w:pPr>
            <w:r w:rsidRPr="004E6BED">
              <w:rPr>
                <w:rFonts w:ascii="Arial" w:eastAsia="Calibri" w:hAnsi="Arial"/>
                <w:sz w:val="16"/>
                <w:szCs w:val="16"/>
              </w:rPr>
              <w:t>Work with developers in rural areas to provide guarantees or other incentives to develop housing in more high risk and lower density areas.</w:t>
            </w:r>
          </w:p>
        </w:tc>
      </w:tr>
    </w:tbl>
    <w:p w:rsidR="001A3513" w:rsidRPr="00955C8C" w:rsidRDefault="001A3513" w:rsidP="005249F1">
      <w:pPr>
        <w:pStyle w:val="Subhead1"/>
        <w:rPr>
          <w:highlight w:val="yellow"/>
        </w:rPr>
      </w:pPr>
    </w:p>
    <w:p w:rsidR="00DA6298" w:rsidRPr="00955C8C" w:rsidRDefault="00DA6298" w:rsidP="00DA6298">
      <w:pPr>
        <w:jc w:val="both"/>
        <w:rPr>
          <w:rFonts w:ascii="CG Omega" w:hAnsi="CG Omega"/>
          <w:bCs/>
          <w:highlight w:val="yellow"/>
        </w:rPr>
      </w:pPr>
    </w:p>
    <w:p w:rsidR="00D31DCC" w:rsidRDefault="00D31DCC">
      <w:pPr>
        <w:rPr>
          <w:rFonts w:ascii="CG Omega" w:hAnsi="CG Omega" w:cs="Arial"/>
          <w:sz w:val="16"/>
          <w:szCs w:val="16"/>
          <w:highlight w:val="yellow"/>
        </w:rPr>
      </w:pPr>
      <w:r>
        <w:rPr>
          <w:highlight w:val="yellow"/>
        </w:rPr>
        <w:br w:type="page"/>
      </w:r>
    </w:p>
    <w:p w:rsidR="0028184C" w:rsidRPr="00955C8C" w:rsidRDefault="0028184C" w:rsidP="005249F1">
      <w:pPr>
        <w:pStyle w:val="Subhead1"/>
        <w:rPr>
          <w:highlight w:val="yellow"/>
        </w:rPr>
        <w:sectPr w:rsidR="0028184C" w:rsidRPr="00955C8C" w:rsidSect="00315F82">
          <w:headerReference w:type="default" r:id="rId67"/>
          <w:headerReference w:type="first" r:id="rId68"/>
          <w:pgSz w:w="12240" w:h="15840"/>
          <w:pgMar w:top="1440" w:right="1440" w:bottom="1440" w:left="1440" w:header="1080" w:footer="720" w:gutter="0"/>
          <w:cols w:space="720"/>
          <w:titlePg/>
          <w:docGrid w:linePitch="360"/>
        </w:sectPr>
      </w:pPr>
    </w:p>
    <w:p w:rsidR="00754A91" w:rsidRPr="00955C8C" w:rsidRDefault="00754A91" w:rsidP="00754A91">
      <w:pPr>
        <w:jc w:val="both"/>
        <w:rPr>
          <w:rFonts w:ascii="CG Omega" w:hAnsi="CG Omega"/>
          <w:b/>
          <w:smallCaps/>
          <w:sz w:val="10"/>
          <w:szCs w:val="10"/>
          <w:highlight w:val="yellow"/>
        </w:rPr>
      </w:pPr>
      <w:r w:rsidRPr="00955C8C">
        <w:rPr>
          <w:sz w:val="10"/>
          <w:szCs w:val="10"/>
          <w:highlight w:val="yellow"/>
        </w:rPr>
        <w:fldChar w:fldCharType="begin"/>
      </w:r>
      <w:r w:rsidRPr="00955C8C">
        <w:rPr>
          <w:sz w:val="10"/>
          <w:szCs w:val="10"/>
          <w:highlight w:val="yellow"/>
        </w:rPr>
        <w:instrText xml:space="preserve"> TC  "</w:instrText>
      </w:r>
      <w:bookmarkStart w:id="146" w:name="_Toc399834597"/>
      <w:r w:rsidRPr="00955C8C">
        <w:rPr>
          <w:sz w:val="10"/>
          <w:szCs w:val="10"/>
          <w:highlight w:val="yellow"/>
        </w:rPr>
        <w:instrText xml:space="preserve">Appendix </w:instrText>
      </w:r>
      <w:r>
        <w:rPr>
          <w:sz w:val="10"/>
          <w:szCs w:val="10"/>
          <w:highlight w:val="yellow"/>
        </w:rPr>
        <w:instrText>D</w:instrText>
      </w:r>
      <w:r w:rsidRPr="00955C8C">
        <w:rPr>
          <w:sz w:val="10"/>
          <w:szCs w:val="10"/>
          <w:highlight w:val="yellow"/>
        </w:rPr>
        <w:instrText xml:space="preserve">: </w:instrText>
      </w:r>
      <w:r>
        <w:rPr>
          <w:sz w:val="10"/>
          <w:szCs w:val="10"/>
          <w:highlight w:val="yellow"/>
        </w:rPr>
        <w:instrText>Public Involvement Process</w:instrText>
      </w:r>
      <w:bookmarkEnd w:id="146"/>
      <w:r w:rsidRPr="00955C8C">
        <w:rPr>
          <w:sz w:val="10"/>
          <w:szCs w:val="10"/>
          <w:highlight w:val="yellow"/>
        </w:rPr>
        <w:instrText xml:space="preserve">" </w:instrText>
      </w:r>
      <w:r w:rsidRPr="00955C8C">
        <w:rPr>
          <w:sz w:val="10"/>
          <w:szCs w:val="10"/>
          <w:highlight w:val="yellow"/>
        </w:rPr>
        <w:fldChar w:fldCharType="end"/>
      </w:r>
    </w:p>
    <w:p w:rsidR="00754A91" w:rsidRPr="00754A91" w:rsidRDefault="00754A91" w:rsidP="007C45F1">
      <w:pPr>
        <w:jc w:val="both"/>
        <w:rPr>
          <w:rFonts w:ascii="CG Omega" w:hAnsi="CG Omega"/>
          <w:sz w:val="16"/>
          <w:szCs w:val="16"/>
        </w:rPr>
      </w:pPr>
    </w:p>
    <w:p w:rsidR="000812A3" w:rsidRPr="00F40E9E" w:rsidRDefault="007C45F1" w:rsidP="007C45F1">
      <w:pPr>
        <w:jc w:val="both"/>
        <w:rPr>
          <w:rFonts w:ascii="CG Omega" w:hAnsi="CG Omega"/>
        </w:rPr>
      </w:pPr>
      <w:r w:rsidRPr="00F40E9E">
        <w:rPr>
          <w:rFonts w:ascii="CG Omega" w:hAnsi="CG Omega"/>
        </w:rPr>
        <w:t>The public involvement process followed the requirements specified in the Citizen Participation Plan, as noted in Appendix A.  However, the following narrative and exhibits provide additional information about the outreach, notification, and public involvement opportunities offered to the citizen</w:t>
      </w:r>
      <w:r w:rsidR="001602B1">
        <w:rPr>
          <w:rFonts w:ascii="CG Omega" w:hAnsi="CG Omega"/>
        </w:rPr>
        <w:t>s</w:t>
      </w:r>
      <w:r w:rsidRPr="00F40E9E">
        <w:rPr>
          <w:rFonts w:ascii="CG Omega" w:hAnsi="CG Omega"/>
        </w:rPr>
        <w:t xml:space="preserve"> of New Mexic</w:t>
      </w:r>
      <w:r w:rsidR="00613740" w:rsidRPr="00F40E9E">
        <w:rPr>
          <w:rFonts w:ascii="CG Omega" w:hAnsi="CG Omega"/>
        </w:rPr>
        <w:t>o in the development of the 2015</w:t>
      </w:r>
      <w:r w:rsidRPr="00F40E9E">
        <w:rPr>
          <w:rFonts w:ascii="CG Omega" w:hAnsi="CG Omega"/>
        </w:rPr>
        <w:t>-20</w:t>
      </w:r>
      <w:r w:rsidR="00613740" w:rsidRPr="00F40E9E">
        <w:rPr>
          <w:rFonts w:ascii="CG Omega" w:hAnsi="CG Omega"/>
        </w:rPr>
        <w:t>20</w:t>
      </w:r>
      <w:r w:rsidRPr="00F40E9E">
        <w:rPr>
          <w:rFonts w:ascii="CG Omega" w:hAnsi="CG Omega"/>
        </w:rPr>
        <w:t xml:space="preserve"> New Mexico Consolidated Plan for Housing and Community Development.</w:t>
      </w:r>
    </w:p>
    <w:p w:rsidR="00AD4A2F" w:rsidRPr="00955C8C" w:rsidRDefault="00AD4A2F" w:rsidP="007C45F1">
      <w:pPr>
        <w:jc w:val="both"/>
        <w:rPr>
          <w:rFonts w:ascii="CG Omega" w:hAnsi="CG Omega"/>
          <w:sz w:val="16"/>
          <w:szCs w:val="16"/>
          <w:highlight w:val="yellow"/>
        </w:rPr>
      </w:pPr>
    </w:p>
    <w:p w:rsidR="00AD4A2F" w:rsidRPr="004C005B" w:rsidRDefault="00362017" w:rsidP="007C45F1">
      <w:pPr>
        <w:jc w:val="both"/>
        <w:rPr>
          <w:rFonts w:ascii="CG Omega" w:hAnsi="CG Omega"/>
          <w:b/>
          <w:smallCaps/>
        </w:rPr>
      </w:pPr>
      <w:r>
        <w:rPr>
          <w:rFonts w:ascii="CG Omega" w:hAnsi="CG Omega"/>
          <w:b/>
          <w:smallCaps/>
        </w:rPr>
        <w:t>New Mexico Planning Team</w:t>
      </w:r>
    </w:p>
    <w:p w:rsidR="000812A3" w:rsidRPr="00955C8C" w:rsidRDefault="000812A3" w:rsidP="00AD4A2F">
      <w:pPr>
        <w:rPr>
          <w:rFonts w:ascii="CG Omega" w:hAnsi="CG Omega"/>
          <w:sz w:val="16"/>
          <w:szCs w:val="16"/>
          <w:highlight w:val="yellow"/>
        </w:rPr>
      </w:pPr>
    </w:p>
    <w:p w:rsidR="00DD448F" w:rsidRPr="004619A2" w:rsidRDefault="00CC3344" w:rsidP="00DD448F">
      <w:pPr>
        <w:jc w:val="both"/>
        <w:rPr>
          <w:rFonts w:ascii="CG Omega" w:hAnsi="CG Omega"/>
        </w:rPr>
      </w:pPr>
      <w:r>
        <w:rPr>
          <w:rFonts w:ascii="CG Omega" w:hAnsi="CG Omega"/>
        </w:rPr>
        <w:t>MFA</w:t>
      </w:r>
      <w:r w:rsidR="00DD448F" w:rsidRPr="004619A2">
        <w:rPr>
          <w:rFonts w:ascii="CG Omega" w:hAnsi="CG Omega"/>
        </w:rPr>
        <w:t xml:space="preserve"> receives input several times per year through external advisory and oversight committees comprising representatives from various housing-related industries and geographic areas of the state to advise and comment on activities undertaken with federal dollars.  On</w:t>
      </w:r>
      <w:r w:rsidR="004619A2" w:rsidRPr="004619A2">
        <w:rPr>
          <w:rFonts w:ascii="CG Omega" w:hAnsi="CG Omega"/>
        </w:rPr>
        <w:t>e</w:t>
      </w:r>
      <w:r w:rsidR="00DD448F" w:rsidRPr="004619A2">
        <w:rPr>
          <w:rFonts w:ascii="CG Omega" w:hAnsi="CG Omega"/>
        </w:rPr>
        <w:t xml:space="preserve"> such group, the </w:t>
      </w:r>
      <w:r w:rsidR="004619A2" w:rsidRPr="004619A2">
        <w:rPr>
          <w:rFonts w:ascii="CG Omega" w:hAnsi="CG Omega"/>
        </w:rPr>
        <w:t>New Mexico Planning Team</w:t>
      </w:r>
      <w:r w:rsidR="00DD448F" w:rsidRPr="004619A2">
        <w:rPr>
          <w:rFonts w:ascii="CG Omega" w:hAnsi="CG Omega"/>
        </w:rPr>
        <w:t>, was involved throughout the process of the development of the Consolidated Plan</w:t>
      </w:r>
      <w:r w:rsidR="004619A2" w:rsidRPr="004619A2">
        <w:rPr>
          <w:rFonts w:ascii="CG Omega" w:hAnsi="CG Omega"/>
        </w:rPr>
        <w:t>.</w:t>
      </w:r>
      <w:r w:rsidR="007C2809" w:rsidRPr="004619A2">
        <w:rPr>
          <w:rFonts w:ascii="CG Omega" w:hAnsi="CG Omega"/>
        </w:rPr>
        <w:t xml:space="preserve"> </w:t>
      </w:r>
    </w:p>
    <w:p w:rsidR="007C2809" w:rsidRPr="004619A2" w:rsidRDefault="007C2809" w:rsidP="00DD448F">
      <w:pPr>
        <w:jc w:val="both"/>
        <w:rPr>
          <w:rFonts w:ascii="CG Omega" w:hAnsi="CG Omega"/>
          <w:sz w:val="16"/>
          <w:szCs w:val="16"/>
        </w:rPr>
      </w:pPr>
    </w:p>
    <w:p w:rsidR="00AF544C" w:rsidRDefault="00DD448F" w:rsidP="00DD448F">
      <w:pPr>
        <w:jc w:val="both"/>
        <w:rPr>
          <w:rFonts w:ascii="CG Omega" w:hAnsi="CG Omega"/>
        </w:rPr>
      </w:pPr>
      <w:r w:rsidRPr="004619A2">
        <w:rPr>
          <w:rFonts w:ascii="CG Omega" w:hAnsi="CG Omega"/>
        </w:rPr>
        <w:t>This Comm</w:t>
      </w:r>
      <w:r w:rsidR="006E79FC" w:rsidRPr="004619A2">
        <w:rPr>
          <w:rFonts w:ascii="CG Omega" w:hAnsi="CG Omega"/>
        </w:rPr>
        <w:t xml:space="preserve">ittee is comprised of </w:t>
      </w:r>
      <w:r w:rsidR="004C005B" w:rsidRPr="004619A2">
        <w:rPr>
          <w:rFonts w:ascii="CG Omega" w:hAnsi="CG Omega"/>
        </w:rPr>
        <w:t>16</w:t>
      </w:r>
      <w:r w:rsidRPr="004619A2">
        <w:rPr>
          <w:rFonts w:ascii="CG Omega" w:hAnsi="CG Omega"/>
        </w:rPr>
        <w:t xml:space="preserve"> members who are involved in the housing industry and reside throughout the state.  </w:t>
      </w:r>
      <w:r w:rsidR="004C005B" w:rsidRPr="004619A2">
        <w:rPr>
          <w:rFonts w:ascii="CG Omega" w:hAnsi="CG Omega"/>
        </w:rPr>
        <w:t>Members for 2014 – 2015</w:t>
      </w:r>
      <w:r w:rsidRPr="004619A2">
        <w:rPr>
          <w:rFonts w:ascii="CG Omega" w:hAnsi="CG Omega"/>
        </w:rPr>
        <w:t xml:space="preserve"> </w:t>
      </w:r>
      <w:r w:rsidR="00245152" w:rsidRPr="004619A2">
        <w:rPr>
          <w:rFonts w:ascii="CG Omega" w:hAnsi="CG Omega"/>
        </w:rPr>
        <w:t>represent</w:t>
      </w:r>
      <w:r w:rsidRPr="004619A2">
        <w:rPr>
          <w:rFonts w:ascii="CG Omega" w:hAnsi="CG Omega"/>
        </w:rPr>
        <w:t xml:space="preserve"> a wide array of fields from </w:t>
      </w:r>
      <w:r w:rsidR="00245152" w:rsidRPr="004619A2">
        <w:rPr>
          <w:rFonts w:ascii="CG Omega" w:hAnsi="CG Omega"/>
        </w:rPr>
        <w:t xml:space="preserve">property management to mortgage lending and </w:t>
      </w:r>
      <w:r w:rsidRPr="004619A2">
        <w:rPr>
          <w:rFonts w:ascii="CG Omega" w:hAnsi="CG Omega"/>
        </w:rPr>
        <w:t>are as follows</w:t>
      </w:r>
      <w:r w:rsidR="00245152" w:rsidRPr="004619A2">
        <w:rPr>
          <w:rFonts w:ascii="CG Omega" w:hAnsi="CG Omega"/>
        </w:rPr>
        <w:t>:</w:t>
      </w:r>
    </w:p>
    <w:p w:rsidR="00245152" w:rsidRPr="00955C8C" w:rsidRDefault="00245152" w:rsidP="00DD448F">
      <w:pPr>
        <w:jc w:val="both"/>
        <w:rPr>
          <w:rFonts w:ascii="CG Omega" w:hAnsi="CG Omega"/>
          <w:sz w:val="16"/>
          <w:szCs w:val="16"/>
          <w:highlight w:val="yellow"/>
        </w:rPr>
      </w:pPr>
    </w:p>
    <w:tbl>
      <w:tblPr>
        <w:tblW w:w="9229" w:type="dxa"/>
        <w:jc w:val="center"/>
        <w:tblLook w:val="04A0" w:firstRow="1" w:lastRow="0" w:firstColumn="1" w:lastColumn="0" w:noHBand="0" w:noVBand="1"/>
      </w:tblPr>
      <w:tblGrid>
        <w:gridCol w:w="1860"/>
        <w:gridCol w:w="2743"/>
        <w:gridCol w:w="4626"/>
      </w:tblGrid>
      <w:tr w:rsidR="00362017" w:rsidTr="004619A2">
        <w:trPr>
          <w:trHeight w:val="240"/>
          <w:jc w:val="center"/>
        </w:trPr>
        <w:tc>
          <w:tcPr>
            <w:tcW w:w="1860" w:type="dxa"/>
            <w:tcBorders>
              <w:top w:val="single" w:sz="8" w:space="0" w:color="009900"/>
              <w:left w:val="single" w:sz="8" w:space="0" w:color="009900"/>
              <w:bottom w:val="nil"/>
              <w:right w:val="nil"/>
            </w:tcBorders>
            <w:shd w:val="clear" w:color="000000" w:fill="FFFFE1"/>
            <w:noWrap/>
            <w:vAlign w:val="center"/>
            <w:hideMark/>
          </w:tcPr>
          <w:p w:rsidR="00362017" w:rsidRDefault="00362017">
            <w:pPr>
              <w:rPr>
                <w:rFonts w:ascii="Arial" w:hAnsi="Arial" w:cs="Arial"/>
                <w:color w:val="000000"/>
                <w:sz w:val="16"/>
                <w:szCs w:val="16"/>
              </w:rPr>
            </w:pPr>
            <w:r>
              <w:rPr>
                <w:rFonts w:ascii="Arial" w:hAnsi="Arial" w:cs="Arial"/>
                <w:color w:val="000000"/>
                <w:sz w:val="16"/>
                <w:szCs w:val="16"/>
              </w:rPr>
              <w:t>Chris Herbert</w:t>
            </w:r>
          </w:p>
        </w:tc>
        <w:tc>
          <w:tcPr>
            <w:tcW w:w="2743" w:type="dxa"/>
            <w:tcBorders>
              <w:top w:val="single" w:sz="8" w:space="0" w:color="009900"/>
              <w:left w:val="nil"/>
              <w:bottom w:val="nil"/>
              <w:right w:val="nil"/>
            </w:tcBorders>
            <w:shd w:val="clear" w:color="000000" w:fill="FFFFE1"/>
            <w:noWrap/>
            <w:vAlign w:val="center"/>
            <w:hideMark/>
          </w:tcPr>
          <w:p w:rsidR="00362017" w:rsidRDefault="00362017">
            <w:pPr>
              <w:rPr>
                <w:rFonts w:ascii="Arial" w:hAnsi="Arial" w:cs="Arial"/>
                <w:color w:val="000000"/>
                <w:sz w:val="16"/>
                <w:szCs w:val="16"/>
              </w:rPr>
            </w:pPr>
            <w:r>
              <w:rPr>
                <w:rFonts w:ascii="Arial" w:hAnsi="Arial" w:cs="Arial"/>
                <w:color w:val="000000"/>
                <w:sz w:val="16"/>
                <w:szCs w:val="16"/>
              </w:rPr>
              <w:t>Executive Director</w:t>
            </w:r>
          </w:p>
        </w:tc>
        <w:tc>
          <w:tcPr>
            <w:tcW w:w="4626" w:type="dxa"/>
            <w:tcBorders>
              <w:top w:val="single" w:sz="8" w:space="0" w:color="009900"/>
              <w:left w:val="nil"/>
              <w:bottom w:val="nil"/>
              <w:right w:val="single" w:sz="8" w:space="0" w:color="009900"/>
            </w:tcBorders>
            <w:shd w:val="clear" w:color="000000" w:fill="FFFFE1"/>
            <w:noWrap/>
            <w:vAlign w:val="center"/>
            <w:hideMark/>
          </w:tcPr>
          <w:p w:rsidR="00362017" w:rsidRDefault="00362017">
            <w:pPr>
              <w:rPr>
                <w:rFonts w:ascii="Arial" w:hAnsi="Arial" w:cs="Arial"/>
                <w:color w:val="000000"/>
                <w:sz w:val="16"/>
                <w:szCs w:val="16"/>
              </w:rPr>
            </w:pPr>
            <w:r>
              <w:rPr>
                <w:rFonts w:ascii="Arial" w:hAnsi="Arial" w:cs="Arial"/>
                <w:color w:val="000000"/>
                <w:sz w:val="16"/>
                <w:szCs w:val="16"/>
              </w:rPr>
              <w:t>Eastern Regional Housing Authority</w:t>
            </w:r>
          </w:p>
        </w:tc>
      </w:tr>
      <w:tr w:rsidR="00362017" w:rsidTr="004619A2">
        <w:trPr>
          <w:trHeight w:val="240"/>
          <w:jc w:val="center"/>
        </w:trPr>
        <w:tc>
          <w:tcPr>
            <w:tcW w:w="1860" w:type="dxa"/>
            <w:tcBorders>
              <w:top w:val="nil"/>
              <w:left w:val="single" w:sz="8" w:space="0" w:color="009900"/>
              <w:bottom w:val="nil"/>
              <w:right w:val="nil"/>
            </w:tcBorders>
            <w:shd w:val="clear" w:color="000000" w:fill="FFFFE1"/>
            <w:noWrap/>
            <w:vAlign w:val="center"/>
            <w:hideMark/>
          </w:tcPr>
          <w:p w:rsidR="00362017" w:rsidRDefault="00362017">
            <w:pPr>
              <w:rPr>
                <w:rFonts w:ascii="Arial" w:hAnsi="Arial" w:cs="Arial"/>
                <w:color w:val="000000"/>
                <w:sz w:val="16"/>
                <w:szCs w:val="16"/>
              </w:rPr>
            </w:pPr>
            <w:r>
              <w:rPr>
                <w:rFonts w:ascii="Arial" w:hAnsi="Arial" w:cs="Arial"/>
                <w:color w:val="000000"/>
                <w:sz w:val="16"/>
                <w:szCs w:val="16"/>
              </w:rPr>
              <w:t>Thea Guerin</w:t>
            </w:r>
          </w:p>
        </w:tc>
        <w:tc>
          <w:tcPr>
            <w:tcW w:w="2743" w:type="dxa"/>
            <w:tcBorders>
              <w:top w:val="nil"/>
              <w:left w:val="nil"/>
              <w:bottom w:val="nil"/>
              <w:right w:val="nil"/>
            </w:tcBorders>
            <w:shd w:val="clear" w:color="000000" w:fill="FFFFE1"/>
            <w:noWrap/>
            <w:vAlign w:val="center"/>
            <w:hideMark/>
          </w:tcPr>
          <w:p w:rsidR="00362017" w:rsidRDefault="00362017">
            <w:pPr>
              <w:rPr>
                <w:rFonts w:ascii="Arial" w:hAnsi="Arial" w:cs="Arial"/>
                <w:color w:val="000000"/>
                <w:sz w:val="16"/>
                <w:szCs w:val="16"/>
              </w:rPr>
            </w:pPr>
            <w:r>
              <w:rPr>
                <w:rFonts w:ascii="Arial" w:hAnsi="Arial" w:cs="Arial"/>
                <w:color w:val="000000"/>
                <w:sz w:val="16"/>
                <w:szCs w:val="16"/>
              </w:rPr>
              <w:t>Planner</w:t>
            </w:r>
          </w:p>
        </w:tc>
        <w:tc>
          <w:tcPr>
            <w:tcW w:w="4626" w:type="dxa"/>
            <w:tcBorders>
              <w:top w:val="nil"/>
              <w:left w:val="nil"/>
              <w:bottom w:val="nil"/>
              <w:right w:val="single" w:sz="8" w:space="0" w:color="009900"/>
            </w:tcBorders>
            <w:shd w:val="clear" w:color="000000" w:fill="FFFFE1"/>
            <w:noWrap/>
            <w:vAlign w:val="center"/>
            <w:hideMark/>
          </w:tcPr>
          <w:p w:rsidR="00362017" w:rsidRDefault="00362017">
            <w:pPr>
              <w:rPr>
                <w:rFonts w:ascii="Arial" w:hAnsi="Arial" w:cs="Arial"/>
                <w:color w:val="000000"/>
                <w:sz w:val="16"/>
                <w:szCs w:val="16"/>
              </w:rPr>
            </w:pPr>
            <w:r>
              <w:rPr>
                <w:rFonts w:ascii="Arial" w:hAnsi="Arial" w:cs="Arial"/>
                <w:color w:val="000000"/>
                <w:sz w:val="16"/>
                <w:szCs w:val="16"/>
              </w:rPr>
              <w:t>City of Albuquerque, Dept. of Family and Community Services</w:t>
            </w:r>
          </w:p>
        </w:tc>
      </w:tr>
      <w:tr w:rsidR="00362017" w:rsidTr="004619A2">
        <w:trPr>
          <w:trHeight w:val="240"/>
          <w:jc w:val="center"/>
        </w:trPr>
        <w:tc>
          <w:tcPr>
            <w:tcW w:w="1860" w:type="dxa"/>
            <w:tcBorders>
              <w:top w:val="nil"/>
              <w:left w:val="single" w:sz="8" w:space="0" w:color="009900"/>
              <w:bottom w:val="nil"/>
              <w:right w:val="nil"/>
            </w:tcBorders>
            <w:shd w:val="clear" w:color="000000" w:fill="FFFFE1"/>
            <w:noWrap/>
            <w:vAlign w:val="center"/>
            <w:hideMark/>
          </w:tcPr>
          <w:p w:rsidR="00362017" w:rsidRDefault="00362017">
            <w:pPr>
              <w:rPr>
                <w:rFonts w:ascii="Arial" w:hAnsi="Arial" w:cs="Arial"/>
                <w:color w:val="000000"/>
                <w:sz w:val="16"/>
                <w:szCs w:val="16"/>
              </w:rPr>
            </w:pPr>
            <w:r>
              <w:rPr>
                <w:rFonts w:ascii="Arial" w:hAnsi="Arial" w:cs="Arial"/>
                <w:color w:val="000000"/>
                <w:sz w:val="16"/>
                <w:szCs w:val="16"/>
              </w:rPr>
              <w:t>Robbie Levey</w:t>
            </w:r>
          </w:p>
        </w:tc>
        <w:tc>
          <w:tcPr>
            <w:tcW w:w="2743" w:type="dxa"/>
            <w:tcBorders>
              <w:top w:val="nil"/>
              <w:left w:val="nil"/>
              <w:bottom w:val="nil"/>
              <w:right w:val="nil"/>
            </w:tcBorders>
            <w:shd w:val="clear" w:color="000000" w:fill="FFFFE1"/>
            <w:noWrap/>
            <w:vAlign w:val="center"/>
            <w:hideMark/>
          </w:tcPr>
          <w:p w:rsidR="00362017" w:rsidRDefault="00362017">
            <w:pPr>
              <w:rPr>
                <w:rFonts w:ascii="Arial" w:hAnsi="Arial" w:cs="Arial"/>
                <w:color w:val="000000"/>
                <w:sz w:val="16"/>
                <w:szCs w:val="16"/>
              </w:rPr>
            </w:pPr>
            <w:r>
              <w:rPr>
                <w:rFonts w:ascii="Arial" w:hAnsi="Arial" w:cs="Arial"/>
                <w:color w:val="000000"/>
                <w:sz w:val="16"/>
                <w:szCs w:val="16"/>
              </w:rPr>
              <w:t>Executive Director</w:t>
            </w:r>
          </w:p>
        </w:tc>
        <w:tc>
          <w:tcPr>
            <w:tcW w:w="4626" w:type="dxa"/>
            <w:tcBorders>
              <w:top w:val="nil"/>
              <w:left w:val="nil"/>
              <w:bottom w:val="nil"/>
              <w:right w:val="single" w:sz="8" w:space="0" w:color="009900"/>
            </w:tcBorders>
            <w:shd w:val="clear" w:color="000000" w:fill="FFFFE1"/>
            <w:noWrap/>
            <w:vAlign w:val="center"/>
            <w:hideMark/>
          </w:tcPr>
          <w:p w:rsidR="00362017" w:rsidRDefault="00362017">
            <w:pPr>
              <w:rPr>
                <w:rFonts w:ascii="Arial" w:hAnsi="Arial" w:cs="Arial"/>
                <w:color w:val="000000"/>
                <w:sz w:val="16"/>
                <w:szCs w:val="16"/>
              </w:rPr>
            </w:pPr>
            <w:r>
              <w:rPr>
                <w:rFonts w:ascii="Arial" w:hAnsi="Arial" w:cs="Arial"/>
                <w:color w:val="000000"/>
                <w:sz w:val="16"/>
                <w:szCs w:val="16"/>
              </w:rPr>
              <w:t>Mesilla Valley Public Housing Authority</w:t>
            </w:r>
          </w:p>
        </w:tc>
      </w:tr>
      <w:tr w:rsidR="00362017" w:rsidTr="004619A2">
        <w:trPr>
          <w:trHeight w:val="240"/>
          <w:jc w:val="center"/>
        </w:trPr>
        <w:tc>
          <w:tcPr>
            <w:tcW w:w="1860" w:type="dxa"/>
            <w:tcBorders>
              <w:top w:val="nil"/>
              <w:left w:val="single" w:sz="8" w:space="0" w:color="009900"/>
              <w:bottom w:val="nil"/>
              <w:right w:val="nil"/>
            </w:tcBorders>
            <w:shd w:val="clear" w:color="000000" w:fill="FFFFE1"/>
            <w:noWrap/>
            <w:vAlign w:val="center"/>
            <w:hideMark/>
          </w:tcPr>
          <w:p w:rsidR="00362017" w:rsidRDefault="00362017">
            <w:pPr>
              <w:rPr>
                <w:rFonts w:ascii="Arial" w:hAnsi="Arial" w:cs="Arial"/>
                <w:color w:val="000000"/>
                <w:sz w:val="16"/>
                <w:szCs w:val="16"/>
              </w:rPr>
            </w:pPr>
            <w:r>
              <w:rPr>
                <w:rFonts w:ascii="Arial" w:hAnsi="Arial" w:cs="Arial"/>
                <w:color w:val="000000"/>
                <w:sz w:val="16"/>
                <w:szCs w:val="16"/>
              </w:rPr>
              <w:t>Hank Hughes</w:t>
            </w:r>
          </w:p>
        </w:tc>
        <w:tc>
          <w:tcPr>
            <w:tcW w:w="2743" w:type="dxa"/>
            <w:tcBorders>
              <w:top w:val="nil"/>
              <w:left w:val="nil"/>
              <w:bottom w:val="nil"/>
              <w:right w:val="nil"/>
            </w:tcBorders>
            <w:shd w:val="clear" w:color="000000" w:fill="FFFFE1"/>
            <w:noWrap/>
            <w:vAlign w:val="center"/>
            <w:hideMark/>
          </w:tcPr>
          <w:p w:rsidR="00362017" w:rsidRDefault="00362017">
            <w:pPr>
              <w:rPr>
                <w:rFonts w:ascii="Arial" w:hAnsi="Arial" w:cs="Arial"/>
                <w:color w:val="000000"/>
                <w:sz w:val="16"/>
                <w:szCs w:val="16"/>
              </w:rPr>
            </w:pPr>
            <w:r>
              <w:rPr>
                <w:rFonts w:ascii="Arial" w:hAnsi="Arial" w:cs="Arial"/>
                <w:color w:val="000000"/>
                <w:sz w:val="16"/>
                <w:szCs w:val="16"/>
              </w:rPr>
              <w:t>Executive Director</w:t>
            </w:r>
          </w:p>
        </w:tc>
        <w:tc>
          <w:tcPr>
            <w:tcW w:w="4626" w:type="dxa"/>
            <w:tcBorders>
              <w:top w:val="nil"/>
              <w:left w:val="nil"/>
              <w:bottom w:val="nil"/>
              <w:right w:val="single" w:sz="8" w:space="0" w:color="009900"/>
            </w:tcBorders>
            <w:shd w:val="clear" w:color="000000" w:fill="FFFFE1"/>
            <w:noWrap/>
            <w:vAlign w:val="center"/>
            <w:hideMark/>
          </w:tcPr>
          <w:p w:rsidR="00362017" w:rsidRDefault="00362017">
            <w:pPr>
              <w:rPr>
                <w:rFonts w:ascii="Arial" w:hAnsi="Arial" w:cs="Arial"/>
                <w:color w:val="000000"/>
                <w:sz w:val="16"/>
                <w:szCs w:val="16"/>
              </w:rPr>
            </w:pPr>
            <w:r>
              <w:rPr>
                <w:rFonts w:ascii="Arial" w:hAnsi="Arial" w:cs="Arial"/>
                <w:color w:val="000000"/>
                <w:sz w:val="16"/>
                <w:szCs w:val="16"/>
              </w:rPr>
              <w:t>New Mexico Coalition to End Homelessness</w:t>
            </w:r>
          </w:p>
        </w:tc>
      </w:tr>
      <w:tr w:rsidR="00362017" w:rsidTr="004619A2">
        <w:trPr>
          <w:trHeight w:val="240"/>
          <w:jc w:val="center"/>
        </w:trPr>
        <w:tc>
          <w:tcPr>
            <w:tcW w:w="1860" w:type="dxa"/>
            <w:tcBorders>
              <w:top w:val="nil"/>
              <w:left w:val="single" w:sz="8" w:space="0" w:color="009900"/>
              <w:bottom w:val="nil"/>
              <w:right w:val="nil"/>
            </w:tcBorders>
            <w:shd w:val="clear" w:color="000000" w:fill="FFFFE1"/>
            <w:noWrap/>
            <w:vAlign w:val="center"/>
            <w:hideMark/>
          </w:tcPr>
          <w:p w:rsidR="00362017" w:rsidRDefault="00362017">
            <w:pPr>
              <w:rPr>
                <w:rFonts w:ascii="Arial" w:hAnsi="Arial" w:cs="Arial"/>
                <w:color w:val="000000"/>
                <w:sz w:val="16"/>
                <w:szCs w:val="16"/>
              </w:rPr>
            </w:pPr>
            <w:r>
              <w:rPr>
                <w:rFonts w:ascii="Arial" w:hAnsi="Arial" w:cs="Arial"/>
                <w:color w:val="000000"/>
                <w:sz w:val="16"/>
                <w:szCs w:val="16"/>
              </w:rPr>
              <w:t>Jay Peterman</w:t>
            </w:r>
          </w:p>
        </w:tc>
        <w:tc>
          <w:tcPr>
            <w:tcW w:w="2743" w:type="dxa"/>
            <w:tcBorders>
              <w:top w:val="nil"/>
              <w:left w:val="nil"/>
              <w:bottom w:val="nil"/>
              <w:right w:val="nil"/>
            </w:tcBorders>
            <w:shd w:val="clear" w:color="000000" w:fill="FFFFE1"/>
            <w:noWrap/>
            <w:vAlign w:val="center"/>
            <w:hideMark/>
          </w:tcPr>
          <w:p w:rsidR="00362017" w:rsidRDefault="00362017">
            <w:pPr>
              <w:rPr>
                <w:rFonts w:ascii="Arial" w:hAnsi="Arial" w:cs="Arial"/>
                <w:color w:val="000000"/>
                <w:sz w:val="16"/>
                <w:szCs w:val="16"/>
              </w:rPr>
            </w:pPr>
            <w:r>
              <w:rPr>
                <w:rFonts w:ascii="Arial" w:hAnsi="Arial" w:cs="Arial"/>
                <w:color w:val="000000"/>
                <w:sz w:val="16"/>
                <w:szCs w:val="16"/>
              </w:rPr>
              <w:t>Associate Planner</w:t>
            </w:r>
          </w:p>
        </w:tc>
        <w:tc>
          <w:tcPr>
            <w:tcW w:w="4626" w:type="dxa"/>
            <w:tcBorders>
              <w:top w:val="nil"/>
              <w:left w:val="nil"/>
              <w:bottom w:val="nil"/>
              <w:right w:val="single" w:sz="8" w:space="0" w:color="009900"/>
            </w:tcBorders>
            <w:shd w:val="clear" w:color="000000" w:fill="FFFFE1"/>
            <w:noWrap/>
            <w:vAlign w:val="center"/>
            <w:hideMark/>
          </w:tcPr>
          <w:p w:rsidR="00362017" w:rsidRDefault="00362017">
            <w:pPr>
              <w:rPr>
                <w:rFonts w:ascii="Arial" w:hAnsi="Arial" w:cs="Arial"/>
                <w:color w:val="000000"/>
                <w:sz w:val="16"/>
                <w:szCs w:val="16"/>
              </w:rPr>
            </w:pPr>
            <w:r>
              <w:rPr>
                <w:rFonts w:ascii="Arial" w:hAnsi="Arial" w:cs="Arial"/>
                <w:color w:val="000000"/>
                <w:sz w:val="16"/>
                <w:szCs w:val="16"/>
              </w:rPr>
              <w:t>City of Farmington</w:t>
            </w:r>
          </w:p>
        </w:tc>
      </w:tr>
      <w:tr w:rsidR="00362017" w:rsidTr="004619A2">
        <w:trPr>
          <w:trHeight w:val="240"/>
          <w:jc w:val="center"/>
        </w:trPr>
        <w:tc>
          <w:tcPr>
            <w:tcW w:w="1860" w:type="dxa"/>
            <w:tcBorders>
              <w:top w:val="nil"/>
              <w:left w:val="single" w:sz="8" w:space="0" w:color="009900"/>
              <w:bottom w:val="nil"/>
              <w:right w:val="nil"/>
            </w:tcBorders>
            <w:shd w:val="clear" w:color="000000" w:fill="FFFFE1"/>
            <w:noWrap/>
            <w:vAlign w:val="center"/>
            <w:hideMark/>
          </w:tcPr>
          <w:p w:rsidR="00362017" w:rsidRDefault="00362017">
            <w:pPr>
              <w:rPr>
                <w:rFonts w:ascii="Arial" w:hAnsi="Arial" w:cs="Arial"/>
                <w:color w:val="000000"/>
                <w:sz w:val="16"/>
                <w:szCs w:val="16"/>
              </w:rPr>
            </w:pPr>
            <w:r>
              <w:rPr>
                <w:rFonts w:ascii="Arial" w:hAnsi="Arial" w:cs="Arial"/>
                <w:color w:val="000000"/>
                <w:sz w:val="16"/>
                <w:szCs w:val="16"/>
              </w:rPr>
              <w:t>Amber Bennett</w:t>
            </w:r>
          </w:p>
        </w:tc>
        <w:tc>
          <w:tcPr>
            <w:tcW w:w="2743" w:type="dxa"/>
            <w:tcBorders>
              <w:top w:val="nil"/>
              <w:left w:val="nil"/>
              <w:bottom w:val="nil"/>
              <w:right w:val="nil"/>
            </w:tcBorders>
            <w:shd w:val="clear" w:color="000000" w:fill="FFFFE1"/>
            <w:noWrap/>
            <w:vAlign w:val="center"/>
            <w:hideMark/>
          </w:tcPr>
          <w:p w:rsidR="00362017" w:rsidRDefault="00362017">
            <w:pPr>
              <w:rPr>
                <w:rFonts w:ascii="Arial" w:hAnsi="Arial" w:cs="Arial"/>
                <w:color w:val="000000"/>
                <w:sz w:val="16"/>
                <w:szCs w:val="16"/>
              </w:rPr>
            </w:pPr>
            <w:r>
              <w:rPr>
                <w:rFonts w:ascii="Arial" w:hAnsi="Arial" w:cs="Arial"/>
                <w:color w:val="000000"/>
                <w:sz w:val="16"/>
                <w:szCs w:val="16"/>
              </w:rPr>
              <w:t>Loan Officer</w:t>
            </w:r>
          </w:p>
        </w:tc>
        <w:tc>
          <w:tcPr>
            <w:tcW w:w="4626" w:type="dxa"/>
            <w:tcBorders>
              <w:top w:val="nil"/>
              <w:left w:val="nil"/>
              <w:bottom w:val="nil"/>
              <w:right w:val="single" w:sz="8" w:space="0" w:color="009900"/>
            </w:tcBorders>
            <w:shd w:val="clear" w:color="000000" w:fill="FFFFE1"/>
            <w:noWrap/>
            <w:vAlign w:val="center"/>
            <w:hideMark/>
          </w:tcPr>
          <w:p w:rsidR="00362017" w:rsidRDefault="00362017">
            <w:pPr>
              <w:rPr>
                <w:rFonts w:ascii="Arial" w:hAnsi="Arial" w:cs="Arial"/>
                <w:color w:val="000000"/>
                <w:sz w:val="16"/>
                <w:szCs w:val="16"/>
              </w:rPr>
            </w:pPr>
            <w:r>
              <w:rPr>
                <w:rFonts w:ascii="Arial" w:hAnsi="Arial" w:cs="Arial"/>
                <w:color w:val="000000"/>
                <w:sz w:val="16"/>
                <w:szCs w:val="16"/>
              </w:rPr>
              <w:t>Wallick &amp; Volk</w:t>
            </w:r>
          </w:p>
        </w:tc>
      </w:tr>
      <w:tr w:rsidR="00362017" w:rsidTr="004619A2">
        <w:trPr>
          <w:trHeight w:val="240"/>
          <w:jc w:val="center"/>
        </w:trPr>
        <w:tc>
          <w:tcPr>
            <w:tcW w:w="1860" w:type="dxa"/>
            <w:tcBorders>
              <w:top w:val="nil"/>
              <w:left w:val="single" w:sz="8" w:space="0" w:color="009900"/>
              <w:bottom w:val="nil"/>
              <w:right w:val="nil"/>
            </w:tcBorders>
            <w:shd w:val="clear" w:color="000000" w:fill="FFFFE1"/>
            <w:noWrap/>
            <w:vAlign w:val="center"/>
            <w:hideMark/>
          </w:tcPr>
          <w:p w:rsidR="00362017" w:rsidRDefault="00362017">
            <w:pPr>
              <w:rPr>
                <w:rFonts w:ascii="Arial" w:hAnsi="Arial" w:cs="Arial"/>
                <w:color w:val="000000"/>
                <w:sz w:val="16"/>
                <w:szCs w:val="16"/>
              </w:rPr>
            </w:pPr>
            <w:r>
              <w:rPr>
                <w:rFonts w:ascii="Arial" w:hAnsi="Arial" w:cs="Arial"/>
                <w:color w:val="000000"/>
                <w:sz w:val="16"/>
                <w:szCs w:val="16"/>
              </w:rPr>
              <w:t>Kelle Senyé</w:t>
            </w:r>
          </w:p>
        </w:tc>
        <w:tc>
          <w:tcPr>
            <w:tcW w:w="2743" w:type="dxa"/>
            <w:tcBorders>
              <w:top w:val="nil"/>
              <w:left w:val="nil"/>
              <w:bottom w:val="nil"/>
              <w:right w:val="nil"/>
            </w:tcBorders>
            <w:shd w:val="clear" w:color="000000" w:fill="FFFFE1"/>
            <w:noWrap/>
            <w:vAlign w:val="center"/>
            <w:hideMark/>
          </w:tcPr>
          <w:p w:rsidR="00362017" w:rsidRDefault="00362017">
            <w:pPr>
              <w:rPr>
                <w:rFonts w:ascii="Arial" w:hAnsi="Arial" w:cs="Arial"/>
                <w:color w:val="000000"/>
                <w:sz w:val="16"/>
                <w:szCs w:val="16"/>
              </w:rPr>
            </w:pPr>
            <w:r>
              <w:rPr>
                <w:rFonts w:ascii="Arial" w:hAnsi="Arial" w:cs="Arial"/>
                <w:color w:val="000000"/>
                <w:sz w:val="16"/>
                <w:szCs w:val="16"/>
              </w:rPr>
              <w:t>Executive Director</w:t>
            </w:r>
          </w:p>
        </w:tc>
        <w:tc>
          <w:tcPr>
            <w:tcW w:w="4626" w:type="dxa"/>
            <w:tcBorders>
              <w:top w:val="nil"/>
              <w:left w:val="nil"/>
              <w:bottom w:val="nil"/>
              <w:right w:val="single" w:sz="8" w:space="0" w:color="009900"/>
            </w:tcBorders>
            <w:shd w:val="clear" w:color="000000" w:fill="FFFFE1"/>
            <w:noWrap/>
            <w:vAlign w:val="center"/>
            <w:hideMark/>
          </w:tcPr>
          <w:p w:rsidR="00362017" w:rsidRDefault="00362017">
            <w:pPr>
              <w:rPr>
                <w:rFonts w:ascii="Arial" w:hAnsi="Arial" w:cs="Arial"/>
                <w:color w:val="000000"/>
                <w:sz w:val="16"/>
                <w:szCs w:val="16"/>
              </w:rPr>
            </w:pPr>
            <w:r>
              <w:rPr>
                <w:rFonts w:ascii="Arial" w:hAnsi="Arial" w:cs="Arial"/>
                <w:color w:val="000000"/>
                <w:sz w:val="16"/>
                <w:szCs w:val="16"/>
              </w:rPr>
              <w:t>Apartment Association of New Mexico</w:t>
            </w:r>
          </w:p>
        </w:tc>
      </w:tr>
      <w:tr w:rsidR="00362017" w:rsidTr="004619A2">
        <w:trPr>
          <w:trHeight w:val="240"/>
          <w:jc w:val="center"/>
        </w:trPr>
        <w:tc>
          <w:tcPr>
            <w:tcW w:w="1860" w:type="dxa"/>
            <w:tcBorders>
              <w:top w:val="nil"/>
              <w:left w:val="single" w:sz="8" w:space="0" w:color="009900"/>
              <w:bottom w:val="nil"/>
              <w:right w:val="nil"/>
            </w:tcBorders>
            <w:shd w:val="clear" w:color="000000" w:fill="FFFFE1"/>
            <w:noWrap/>
            <w:vAlign w:val="center"/>
            <w:hideMark/>
          </w:tcPr>
          <w:p w:rsidR="00362017" w:rsidRDefault="00362017">
            <w:pPr>
              <w:rPr>
                <w:rFonts w:ascii="Arial" w:hAnsi="Arial" w:cs="Arial"/>
                <w:color w:val="000000"/>
                <w:sz w:val="16"/>
                <w:szCs w:val="16"/>
              </w:rPr>
            </w:pPr>
            <w:r>
              <w:rPr>
                <w:rFonts w:ascii="Arial" w:hAnsi="Arial" w:cs="Arial"/>
                <w:color w:val="000000"/>
                <w:sz w:val="16"/>
                <w:szCs w:val="16"/>
              </w:rPr>
              <w:t>Pam Clarke</w:t>
            </w:r>
          </w:p>
        </w:tc>
        <w:tc>
          <w:tcPr>
            <w:tcW w:w="2743" w:type="dxa"/>
            <w:tcBorders>
              <w:top w:val="nil"/>
              <w:left w:val="nil"/>
              <w:bottom w:val="nil"/>
              <w:right w:val="nil"/>
            </w:tcBorders>
            <w:shd w:val="clear" w:color="000000" w:fill="FFFFE1"/>
            <w:noWrap/>
            <w:vAlign w:val="center"/>
            <w:hideMark/>
          </w:tcPr>
          <w:p w:rsidR="00362017" w:rsidRDefault="00362017">
            <w:pPr>
              <w:rPr>
                <w:rFonts w:ascii="Arial" w:hAnsi="Arial" w:cs="Arial"/>
                <w:color w:val="000000"/>
                <w:sz w:val="16"/>
                <w:szCs w:val="16"/>
              </w:rPr>
            </w:pPr>
            <w:r>
              <w:rPr>
                <w:rFonts w:ascii="Arial" w:hAnsi="Arial" w:cs="Arial"/>
                <w:color w:val="000000"/>
                <w:sz w:val="16"/>
                <w:szCs w:val="16"/>
              </w:rPr>
              <w:t>Associate Program Director</w:t>
            </w:r>
          </w:p>
        </w:tc>
        <w:tc>
          <w:tcPr>
            <w:tcW w:w="4626" w:type="dxa"/>
            <w:tcBorders>
              <w:top w:val="nil"/>
              <w:left w:val="nil"/>
              <w:bottom w:val="nil"/>
              <w:right w:val="single" w:sz="8" w:space="0" w:color="009900"/>
            </w:tcBorders>
            <w:shd w:val="clear" w:color="000000" w:fill="FFFFE1"/>
            <w:noWrap/>
            <w:vAlign w:val="center"/>
            <w:hideMark/>
          </w:tcPr>
          <w:p w:rsidR="00362017" w:rsidRDefault="00362017">
            <w:pPr>
              <w:rPr>
                <w:rFonts w:ascii="Arial" w:hAnsi="Arial" w:cs="Arial"/>
                <w:color w:val="000000"/>
                <w:sz w:val="16"/>
                <w:szCs w:val="16"/>
              </w:rPr>
            </w:pPr>
            <w:r>
              <w:rPr>
                <w:rFonts w:ascii="Arial" w:hAnsi="Arial" w:cs="Arial"/>
                <w:color w:val="000000"/>
                <w:sz w:val="16"/>
                <w:szCs w:val="16"/>
              </w:rPr>
              <w:t>Habitat for Humanity - Otero County</w:t>
            </w:r>
          </w:p>
        </w:tc>
      </w:tr>
      <w:tr w:rsidR="00362017" w:rsidTr="004619A2">
        <w:trPr>
          <w:trHeight w:val="240"/>
          <w:jc w:val="center"/>
        </w:trPr>
        <w:tc>
          <w:tcPr>
            <w:tcW w:w="1860" w:type="dxa"/>
            <w:tcBorders>
              <w:top w:val="nil"/>
              <w:left w:val="single" w:sz="8" w:space="0" w:color="009900"/>
              <w:bottom w:val="nil"/>
              <w:right w:val="nil"/>
            </w:tcBorders>
            <w:shd w:val="clear" w:color="000000" w:fill="FFFFE1"/>
            <w:noWrap/>
            <w:vAlign w:val="center"/>
            <w:hideMark/>
          </w:tcPr>
          <w:p w:rsidR="00362017" w:rsidRDefault="00362017">
            <w:pPr>
              <w:rPr>
                <w:rFonts w:ascii="Arial" w:hAnsi="Arial" w:cs="Arial"/>
                <w:color w:val="000000"/>
                <w:sz w:val="16"/>
                <w:szCs w:val="16"/>
              </w:rPr>
            </w:pPr>
            <w:r>
              <w:rPr>
                <w:rFonts w:ascii="Arial" w:hAnsi="Arial" w:cs="Arial"/>
                <w:color w:val="000000"/>
                <w:sz w:val="16"/>
                <w:szCs w:val="16"/>
              </w:rPr>
              <w:t>Dodi Salazar</w:t>
            </w:r>
          </w:p>
        </w:tc>
        <w:tc>
          <w:tcPr>
            <w:tcW w:w="2743" w:type="dxa"/>
            <w:tcBorders>
              <w:top w:val="nil"/>
              <w:left w:val="nil"/>
              <w:bottom w:val="nil"/>
              <w:right w:val="nil"/>
            </w:tcBorders>
            <w:shd w:val="clear" w:color="000000" w:fill="FFFFE1"/>
            <w:noWrap/>
            <w:vAlign w:val="center"/>
            <w:hideMark/>
          </w:tcPr>
          <w:p w:rsidR="00362017" w:rsidRDefault="00362017">
            <w:pPr>
              <w:rPr>
                <w:rFonts w:ascii="Arial" w:hAnsi="Arial" w:cs="Arial"/>
                <w:color w:val="000000"/>
                <w:sz w:val="16"/>
                <w:szCs w:val="16"/>
              </w:rPr>
            </w:pPr>
            <w:r>
              <w:rPr>
                <w:rFonts w:ascii="Arial" w:hAnsi="Arial" w:cs="Arial"/>
                <w:color w:val="000000"/>
                <w:sz w:val="16"/>
                <w:szCs w:val="16"/>
              </w:rPr>
              <w:t>Service Officer</w:t>
            </w:r>
          </w:p>
        </w:tc>
        <w:tc>
          <w:tcPr>
            <w:tcW w:w="4626" w:type="dxa"/>
            <w:tcBorders>
              <w:top w:val="nil"/>
              <w:left w:val="nil"/>
              <w:bottom w:val="nil"/>
              <w:right w:val="single" w:sz="8" w:space="0" w:color="009900"/>
            </w:tcBorders>
            <w:shd w:val="clear" w:color="000000" w:fill="FFFFE1"/>
            <w:noWrap/>
            <w:vAlign w:val="center"/>
            <w:hideMark/>
          </w:tcPr>
          <w:p w:rsidR="00362017" w:rsidRDefault="00362017">
            <w:pPr>
              <w:rPr>
                <w:rFonts w:ascii="Arial" w:hAnsi="Arial" w:cs="Arial"/>
                <w:color w:val="000000"/>
                <w:sz w:val="16"/>
                <w:szCs w:val="16"/>
              </w:rPr>
            </w:pPr>
            <w:r>
              <w:rPr>
                <w:rFonts w:ascii="Arial" w:hAnsi="Arial" w:cs="Arial"/>
                <w:color w:val="000000"/>
                <w:sz w:val="16"/>
                <w:szCs w:val="16"/>
              </w:rPr>
              <w:t>New Mexico NAHRO</w:t>
            </w:r>
          </w:p>
        </w:tc>
      </w:tr>
      <w:tr w:rsidR="00362017" w:rsidTr="004619A2">
        <w:trPr>
          <w:trHeight w:val="240"/>
          <w:jc w:val="center"/>
        </w:trPr>
        <w:tc>
          <w:tcPr>
            <w:tcW w:w="1860" w:type="dxa"/>
            <w:tcBorders>
              <w:top w:val="nil"/>
              <w:left w:val="single" w:sz="8" w:space="0" w:color="009900"/>
              <w:bottom w:val="nil"/>
              <w:right w:val="nil"/>
            </w:tcBorders>
            <w:shd w:val="clear" w:color="000000" w:fill="FFFFE1"/>
            <w:noWrap/>
            <w:vAlign w:val="center"/>
            <w:hideMark/>
          </w:tcPr>
          <w:p w:rsidR="00362017" w:rsidRDefault="00362017">
            <w:pPr>
              <w:rPr>
                <w:rFonts w:ascii="Arial" w:hAnsi="Arial" w:cs="Arial"/>
                <w:color w:val="000000"/>
                <w:sz w:val="16"/>
                <w:szCs w:val="16"/>
              </w:rPr>
            </w:pPr>
            <w:r>
              <w:rPr>
                <w:rFonts w:ascii="Arial" w:hAnsi="Arial" w:cs="Arial"/>
                <w:color w:val="000000"/>
                <w:sz w:val="16"/>
                <w:szCs w:val="16"/>
              </w:rPr>
              <w:t>Steve Brugger</w:t>
            </w:r>
          </w:p>
        </w:tc>
        <w:tc>
          <w:tcPr>
            <w:tcW w:w="2743" w:type="dxa"/>
            <w:tcBorders>
              <w:top w:val="nil"/>
              <w:left w:val="nil"/>
              <w:bottom w:val="nil"/>
              <w:right w:val="nil"/>
            </w:tcBorders>
            <w:shd w:val="clear" w:color="000000" w:fill="FFFFE1"/>
            <w:noWrap/>
            <w:vAlign w:val="center"/>
            <w:hideMark/>
          </w:tcPr>
          <w:p w:rsidR="00362017" w:rsidRDefault="00362017">
            <w:pPr>
              <w:rPr>
                <w:rFonts w:ascii="Arial" w:hAnsi="Arial" w:cs="Arial"/>
                <w:color w:val="000000"/>
                <w:sz w:val="16"/>
                <w:szCs w:val="16"/>
              </w:rPr>
            </w:pPr>
            <w:r>
              <w:rPr>
                <w:rFonts w:ascii="Arial" w:hAnsi="Arial" w:cs="Arial"/>
                <w:color w:val="000000"/>
                <w:sz w:val="16"/>
                <w:szCs w:val="16"/>
              </w:rPr>
              <w:t>Affordable Housing Administrator</w:t>
            </w:r>
          </w:p>
        </w:tc>
        <w:tc>
          <w:tcPr>
            <w:tcW w:w="4626" w:type="dxa"/>
            <w:tcBorders>
              <w:top w:val="nil"/>
              <w:left w:val="nil"/>
              <w:bottom w:val="nil"/>
              <w:right w:val="single" w:sz="8" w:space="0" w:color="009900"/>
            </w:tcBorders>
            <w:shd w:val="clear" w:color="000000" w:fill="FFFFE1"/>
            <w:noWrap/>
            <w:vAlign w:val="center"/>
            <w:hideMark/>
          </w:tcPr>
          <w:p w:rsidR="00362017" w:rsidRDefault="00362017">
            <w:pPr>
              <w:rPr>
                <w:rFonts w:ascii="Arial" w:hAnsi="Arial" w:cs="Arial"/>
                <w:color w:val="000000"/>
                <w:sz w:val="16"/>
                <w:szCs w:val="16"/>
              </w:rPr>
            </w:pPr>
            <w:r>
              <w:rPr>
                <w:rFonts w:ascii="Arial" w:hAnsi="Arial" w:cs="Arial"/>
                <w:color w:val="000000"/>
                <w:sz w:val="16"/>
                <w:szCs w:val="16"/>
              </w:rPr>
              <w:t>Santa Fe County</w:t>
            </w:r>
          </w:p>
        </w:tc>
      </w:tr>
      <w:tr w:rsidR="00362017" w:rsidTr="004619A2">
        <w:trPr>
          <w:trHeight w:val="240"/>
          <w:jc w:val="center"/>
        </w:trPr>
        <w:tc>
          <w:tcPr>
            <w:tcW w:w="1860" w:type="dxa"/>
            <w:tcBorders>
              <w:top w:val="nil"/>
              <w:left w:val="single" w:sz="8" w:space="0" w:color="009900"/>
              <w:bottom w:val="nil"/>
              <w:right w:val="nil"/>
            </w:tcBorders>
            <w:shd w:val="clear" w:color="000000" w:fill="FFFFE1"/>
            <w:noWrap/>
            <w:vAlign w:val="center"/>
            <w:hideMark/>
          </w:tcPr>
          <w:p w:rsidR="00362017" w:rsidRDefault="00362017">
            <w:pPr>
              <w:rPr>
                <w:rFonts w:ascii="Arial" w:hAnsi="Arial" w:cs="Arial"/>
                <w:color w:val="000000"/>
                <w:sz w:val="16"/>
                <w:szCs w:val="16"/>
              </w:rPr>
            </w:pPr>
            <w:r>
              <w:rPr>
                <w:rFonts w:ascii="Arial" w:hAnsi="Arial" w:cs="Arial"/>
                <w:color w:val="000000"/>
                <w:sz w:val="16"/>
                <w:szCs w:val="16"/>
              </w:rPr>
              <w:t>Priscilla Lucero</w:t>
            </w:r>
          </w:p>
        </w:tc>
        <w:tc>
          <w:tcPr>
            <w:tcW w:w="2743" w:type="dxa"/>
            <w:tcBorders>
              <w:top w:val="nil"/>
              <w:left w:val="nil"/>
              <w:bottom w:val="nil"/>
              <w:right w:val="nil"/>
            </w:tcBorders>
            <w:shd w:val="clear" w:color="000000" w:fill="FFFFE1"/>
            <w:noWrap/>
            <w:vAlign w:val="center"/>
            <w:hideMark/>
          </w:tcPr>
          <w:p w:rsidR="00362017" w:rsidRDefault="00362017">
            <w:pPr>
              <w:rPr>
                <w:rFonts w:ascii="Arial" w:hAnsi="Arial" w:cs="Arial"/>
                <w:color w:val="000000"/>
                <w:sz w:val="16"/>
                <w:szCs w:val="16"/>
              </w:rPr>
            </w:pPr>
            <w:r>
              <w:rPr>
                <w:rFonts w:ascii="Arial" w:hAnsi="Arial" w:cs="Arial"/>
                <w:color w:val="000000"/>
                <w:sz w:val="16"/>
                <w:szCs w:val="16"/>
              </w:rPr>
              <w:t>Executive Director</w:t>
            </w:r>
          </w:p>
        </w:tc>
        <w:tc>
          <w:tcPr>
            <w:tcW w:w="4626" w:type="dxa"/>
            <w:tcBorders>
              <w:top w:val="nil"/>
              <w:left w:val="nil"/>
              <w:bottom w:val="nil"/>
              <w:right w:val="single" w:sz="8" w:space="0" w:color="009900"/>
            </w:tcBorders>
            <w:shd w:val="clear" w:color="000000" w:fill="FFFFE1"/>
            <w:noWrap/>
            <w:vAlign w:val="center"/>
            <w:hideMark/>
          </w:tcPr>
          <w:p w:rsidR="00362017" w:rsidRDefault="00362017">
            <w:pPr>
              <w:rPr>
                <w:rFonts w:ascii="Arial" w:hAnsi="Arial" w:cs="Arial"/>
                <w:color w:val="000000"/>
                <w:sz w:val="16"/>
                <w:szCs w:val="16"/>
              </w:rPr>
            </w:pPr>
            <w:r>
              <w:rPr>
                <w:rFonts w:ascii="Arial" w:hAnsi="Arial" w:cs="Arial"/>
                <w:color w:val="000000"/>
                <w:sz w:val="16"/>
                <w:szCs w:val="16"/>
              </w:rPr>
              <w:t>SWNM Council of Governments</w:t>
            </w:r>
          </w:p>
        </w:tc>
      </w:tr>
      <w:tr w:rsidR="00362017" w:rsidTr="004619A2">
        <w:trPr>
          <w:trHeight w:val="240"/>
          <w:jc w:val="center"/>
        </w:trPr>
        <w:tc>
          <w:tcPr>
            <w:tcW w:w="1860" w:type="dxa"/>
            <w:tcBorders>
              <w:top w:val="nil"/>
              <w:left w:val="single" w:sz="8" w:space="0" w:color="009900"/>
              <w:bottom w:val="nil"/>
              <w:right w:val="nil"/>
            </w:tcBorders>
            <w:shd w:val="clear" w:color="000000" w:fill="FFFFE1"/>
            <w:noWrap/>
            <w:vAlign w:val="center"/>
            <w:hideMark/>
          </w:tcPr>
          <w:p w:rsidR="00362017" w:rsidRDefault="00362017">
            <w:pPr>
              <w:rPr>
                <w:rFonts w:ascii="Arial" w:hAnsi="Arial" w:cs="Arial"/>
                <w:color w:val="000000"/>
                <w:sz w:val="16"/>
                <w:szCs w:val="16"/>
              </w:rPr>
            </w:pPr>
            <w:r>
              <w:rPr>
                <w:rFonts w:ascii="Arial" w:hAnsi="Arial" w:cs="Arial"/>
                <w:color w:val="000000"/>
                <w:sz w:val="16"/>
                <w:szCs w:val="16"/>
              </w:rPr>
              <w:t>Mary Anne Chavez</w:t>
            </w:r>
          </w:p>
        </w:tc>
        <w:tc>
          <w:tcPr>
            <w:tcW w:w="2743" w:type="dxa"/>
            <w:tcBorders>
              <w:top w:val="nil"/>
              <w:left w:val="nil"/>
              <w:bottom w:val="nil"/>
              <w:right w:val="nil"/>
            </w:tcBorders>
            <w:shd w:val="clear" w:color="000000" w:fill="FFFFE1"/>
            <w:noWrap/>
            <w:vAlign w:val="center"/>
            <w:hideMark/>
          </w:tcPr>
          <w:p w:rsidR="00362017" w:rsidRDefault="00362017">
            <w:pPr>
              <w:rPr>
                <w:rFonts w:ascii="Arial" w:hAnsi="Arial" w:cs="Arial"/>
                <w:color w:val="000000"/>
                <w:sz w:val="16"/>
                <w:szCs w:val="16"/>
              </w:rPr>
            </w:pPr>
            <w:r>
              <w:rPr>
                <w:rFonts w:ascii="Arial" w:hAnsi="Arial" w:cs="Arial"/>
                <w:color w:val="000000"/>
                <w:sz w:val="16"/>
                <w:szCs w:val="16"/>
              </w:rPr>
              <w:t>Executive Director</w:t>
            </w:r>
          </w:p>
        </w:tc>
        <w:tc>
          <w:tcPr>
            <w:tcW w:w="4626" w:type="dxa"/>
            <w:tcBorders>
              <w:top w:val="nil"/>
              <w:left w:val="nil"/>
              <w:bottom w:val="nil"/>
              <w:right w:val="single" w:sz="8" w:space="0" w:color="009900"/>
            </w:tcBorders>
            <w:shd w:val="clear" w:color="000000" w:fill="FFFFE1"/>
            <w:noWrap/>
            <w:vAlign w:val="center"/>
            <w:hideMark/>
          </w:tcPr>
          <w:p w:rsidR="00362017" w:rsidRDefault="00362017">
            <w:pPr>
              <w:rPr>
                <w:rFonts w:ascii="Arial" w:hAnsi="Arial" w:cs="Arial"/>
                <w:color w:val="000000"/>
                <w:sz w:val="16"/>
                <w:szCs w:val="16"/>
              </w:rPr>
            </w:pPr>
            <w:r>
              <w:rPr>
                <w:rFonts w:ascii="Arial" w:hAnsi="Arial" w:cs="Arial"/>
                <w:color w:val="000000"/>
                <w:sz w:val="16"/>
                <w:szCs w:val="16"/>
              </w:rPr>
              <w:t>El Camino Real Housing Authority</w:t>
            </w:r>
          </w:p>
        </w:tc>
      </w:tr>
      <w:tr w:rsidR="00362017" w:rsidTr="004619A2">
        <w:trPr>
          <w:trHeight w:val="240"/>
          <w:jc w:val="center"/>
        </w:trPr>
        <w:tc>
          <w:tcPr>
            <w:tcW w:w="1860" w:type="dxa"/>
            <w:tcBorders>
              <w:top w:val="nil"/>
              <w:left w:val="single" w:sz="8" w:space="0" w:color="009900"/>
              <w:bottom w:val="nil"/>
              <w:right w:val="nil"/>
            </w:tcBorders>
            <w:shd w:val="clear" w:color="000000" w:fill="FFFFE1"/>
            <w:noWrap/>
            <w:vAlign w:val="center"/>
            <w:hideMark/>
          </w:tcPr>
          <w:p w:rsidR="00362017" w:rsidRDefault="00362017">
            <w:pPr>
              <w:rPr>
                <w:rFonts w:ascii="Arial" w:hAnsi="Arial" w:cs="Arial"/>
                <w:color w:val="000000"/>
                <w:sz w:val="16"/>
                <w:szCs w:val="16"/>
              </w:rPr>
            </w:pPr>
            <w:r>
              <w:rPr>
                <w:rFonts w:ascii="Arial" w:hAnsi="Arial" w:cs="Arial"/>
                <w:color w:val="000000"/>
                <w:sz w:val="16"/>
                <w:szCs w:val="16"/>
              </w:rPr>
              <w:t>Waymon L. Dowdy Sr.</w:t>
            </w:r>
          </w:p>
        </w:tc>
        <w:tc>
          <w:tcPr>
            <w:tcW w:w="2743" w:type="dxa"/>
            <w:tcBorders>
              <w:top w:val="nil"/>
              <w:left w:val="nil"/>
              <w:bottom w:val="nil"/>
              <w:right w:val="nil"/>
            </w:tcBorders>
            <w:shd w:val="clear" w:color="000000" w:fill="FFFFE1"/>
            <w:noWrap/>
            <w:vAlign w:val="center"/>
            <w:hideMark/>
          </w:tcPr>
          <w:p w:rsidR="00362017" w:rsidRDefault="00362017">
            <w:pPr>
              <w:rPr>
                <w:rFonts w:ascii="Arial" w:hAnsi="Arial" w:cs="Arial"/>
                <w:color w:val="000000"/>
                <w:sz w:val="16"/>
                <w:szCs w:val="16"/>
              </w:rPr>
            </w:pPr>
            <w:r>
              <w:rPr>
                <w:rFonts w:ascii="Arial" w:hAnsi="Arial" w:cs="Arial"/>
                <w:color w:val="000000"/>
                <w:sz w:val="16"/>
                <w:szCs w:val="16"/>
              </w:rPr>
              <w:t>Deputy Director</w:t>
            </w:r>
          </w:p>
        </w:tc>
        <w:tc>
          <w:tcPr>
            <w:tcW w:w="4626" w:type="dxa"/>
            <w:tcBorders>
              <w:top w:val="nil"/>
              <w:left w:val="nil"/>
              <w:bottom w:val="nil"/>
              <w:right w:val="single" w:sz="8" w:space="0" w:color="009900"/>
            </w:tcBorders>
            <w:shd w:val="clear" w:color="000000" w:fill="FFFFE1"/>
            <w:noWrap/>
            <w:vAlign w:val="center"/>
            <w:hideMark/>
          </w:tcPr>
          <w:p w:rsidR="00362017" w:rsidRDefault="00362017">
            <w:pPr>
              <w:rPr>
                <w:rFonts w:ascii="Arial" w:hAnsi="Arial" w:cs="Arial"/>
                <w:color w:val="000000"/>
                <w:sz w:val="16"/>
                <w:szCs w:val="16"/>
              </w:rPr>
            </w:pPr>
            <w:r>
              <w:rPr>
                <w:rFonts w:ascii="Arial" w:hAnsi="Arial" w:cs="Arial"/>
                <w:color w:val="000000"/>
                <w:sz w:val="16"/>
                <w:szCs w:val="16"/>
              </w:rPr>
              <w:t>Clovis Housing Authority</w:t>
            </w:r>
          </w:p>
        </w:tc>
      </w:tr>
      <w:tr w:rsidR="00362017" w:rsidTr="004619A2">
        <w:trPr>
          <w:trHeight w:val="240"/>
          <w:jc w:val="center"/>
        </w:trPr>
        <w:tc>
          <w:tcPr>
            <w:tcW w:w="1860" w:type="dxa"/>
            <w:tcBorders>
              <w:top w:val="nil"/>
              <w:left w:val="single" w:sz="8" w:space="0" w:color="009900"/>
              <w:bottom w:val="nil"/>
              <w:right w:val="nil"/>
            </w:tcBorders>
            <w:shd w:val="clear" w:color="000000" w:fill="FFFFE1"/>
            <w:noWrap/>
            <w:vAlign w:val="center"/>
            <w:hideMark/>
          </w:tcPr>
          <w:p w:rsidR="00362017" w:rsidRDefault="00362017">
            <w:pPr>
              <w:rPr>
                <w:rFonts w:ascii="Arial" w:hAnsi="Arial" w:cs="Arial"/>
                <w:color w:val="000000"/>
                <w:sz w:val="16"/>
                <w:szCs w:val="16"/>
              </w:rPr>
            </w:pPr>
            <w:r>
              <w:rPr>
                <w:rFonts w:ascii="Arial" w:hAnsi="Arial" w:cs="Arial"/>
                <w:color w:val="000000"/>
                <w:sz w:val="16"/>
                <w:szCs w:val="16"/>
              </w:rPr>
              <w:t>Jay Armijo</w:t>
            </w:r>
          </w:p>
        </w:tc>
        <w:tc>
          <w:tcPr>
            <w:tcW w:w="2743" w:type="dxa"/>
            <w:tcBorders>
              <w:top w:val="nil"/>
              <w:left w:val="nil"/>
              <w:bottom w:val="nil"/>
              <w:right w:val="nil"/>
            </w:tcBorders>
            <w:shd w:val="clear" w:color="000000" w:fill="FFFFE1"/>
            <w:noWrap/>
            <w:vAlign w:val="center"/>
            <w:hideMark/>
          </w:tcPr>
          <w:p w:rsidR="00362017" w:rsidRDefault="00362017">
            <w:pPr>
              <w:rPr>
                <w:rFonts w:ascii="Arial" w:hAnsi="Arial" w:cs="Arial"/>
                <w:color w:val="000000"/>
                <w:sz w:val="16"/>
                <w:szCs w:val="16"/>
              </w:rPr>
            </w:pPr>
            <w:r>
              <w:rPr>
                <w:rFonts w:ascii="Arial" w:hAnsi="Arial" w:cs="Arial"/>
                <w:color w:val="000000"/>
                <w:sz w:val="16"/>
                <w:szCs w:val="16"/>
              </w:rPr>
              <w:t>Executive Director</w:t>
            </w:r>
          </w:p>
        </w:tc>
        <w:tc>
          <w:tcPr>
            <w:tcW w:w="4626" w:type="dxa"/>
            <w:tcBorders>
              <w:top w:val="nil"/>
              <w:left w:val="nil"/>
              <w:bottom w:val="nil"/>
              <w:right w:val="single" w:sz="8" w:space="0" w:color="009900"/>
            </w:tcBorders>
            <w:shd w:val="clear" w:color="000000" w:fill="FFFFE1"/>
            <w:noWrap/>
            <w:vAlign w:val="center"/>
            <w:hideMark/>
          </w:tcPr>
          <w:p w:rsidR="00362017" w:rsidRDefault="00362017">
            <w:pPr>
              <w:rPr>
                <w:rFonts w:ascii="Arial" w:hAnsi="Arial" w:cs="Arial"/>
                <w:color w:val="000000"/>
                <w:sz w:val="16"/>
                <w:szCs w:val="16"/>
              </w:rPr>
            </w:pPr>
            <w:r>
              <w:rPr>
                <w:rFonts w:ascii="Arial" w:hAnsi="Arial" w:cs="Arial"/>
                <w:color w:val="000000"/>
                <w:sz w:val="16"/>
                <w:szCs w:val="16"/>
              </w:rPr>
              <w:t>South Central Council of Governments</w:t>
            </w:r>
          </w:p>
        </w:tc>
      </w:tr>
      <w:tr w:rsidR="00362017" w:rsidTr="004619A2">
        <w:trPr>
          <w:trHeight w:val="240"/>
          <w:jc w:val="center"/>
        </w:trPr>
        <w:tc>
          <w:tcPr>
            <w:tcW w:w="1860" w:type="dxa"/>
            <w:tcBorders>
              <w:top w:val="nil"/>
              <w:left w:val="single" w:sz="8" w:space="0" w:color="009900"/>
              <w:bottom w:val="nil"/>
              <w:right w:val="nil"/>
            </w:tcBorders>
            <w:shd w:val="clear" w:color="000000" w:fill="FFFFE1"/>
            <w:noWrap/>
            <w:vAlign w:val="center"/>
            <w:hideMark/>
          </w:tcPr>
          <w:p w:rsidR="00362017" w:rsidRDefault="00362017">
            <w:pPr>
              <w:rPr>
                <w:rFonts w:ascii="Arial" w:hAnsi="Arial" w:cs="Arial"/>
                <w:color w:val="000000"/>
                <w:sz w:val="16"/>
                <w:szCs w:val="16"/>
              </w:rPr>
            </w:pPr>
            <w:r>
              <w:rPr>
                <w:rFonts w:ascii="Arial" w:hAnsi="Arial" w:cs="Arial"/>
                <w:color w:val="000000"/>
                <w:sz w:val="16"/>
                <w:szCs w:val="16"/>
              </w:rPr>
              <w:t>Jeff Kiely</w:t>
            </w:r>
          </w:p>
        </w:tc>
        <w:tc>
          <w:tcPr>
            <w:tcW w:w="2743" w:type="dxa"/>
            <w:tcBorders>
              <w:top w:val="nil"/>
              <w:left w:val="nil"/>
              <w:bottom w:val="nil"/>
              <w:right w:val="nil"/>
            </w:tcBorders>
            <w:shd w:val="clear" w:color="000000" w:fill="FFFFE1"/>
            <w:noWrap/>
            <w:vAlign w:val="center"/>
            <w:hideMark/>
          </w:tcPr>
          <w:p w:rsidR="00362017" w:rsidRDefault="00362017">
            <w:pPr>
              <w:rPr>
                <w:rFonts w:ascii="Arial" w:hAnsi="Arial" w:cs="Arial"/>
                <w:color w:val="000000"/>
                <w:sz w:val="16"/>
                <w:szCs w:val="16"/>
              </w:rPr>
            </w:pPr>
            <w:r>
              <w:rPr>
                <w:rFonts w:ascii="Arial" w:hAnsi="Arial" w:cs="Arial"/>
                <w:color w:val="000000"/>
                <w:sz w:val="16"/>
                <w:szCs w:val="16"/>
              </w:rPr>
              <w:t>Executive Director</w:t>
            </w:r>
          </w:p>
        </w:tc>
        <w:tc>
          <w:tcPr>
            <w:tcW w:w="4626" w:type="dxa"/>
            <w:tcBorders>
              <w:top w:val="nil"/>
              <w:left w:val="nil"/>
              <w:bottom w:val="nil"/>
              <w:right w:val="single" w:sz="8" w:space="0" w:color="009900"/>
            </w:tcBorders>
            <w:shd w:val="clear" w:color="000000" w:fill="FFFFE1"/>
            <w:noWrap/>
            <w:vAlign w:val="center"/>
            <w:hideMark/>
          </w:tcPr>
          <w:p w:rsidR="00362017" w:rsidRDefault="00362017">
            <w:pPr>
              <w:rPr>
                <w:rFonts w:ascii="Arial" w:hAnsi="Arial" w:cs="Arial"/>
                <w:color w:val="000000"/>
                <w:sz w:val="16"/>
                <w:szCs w:val="16"/>
              </w:rPr>
            </w:pPr>
            <w:r>
              <w:rPr>
                <w:rFonts w:ascii="Arial" w:hAnsi="Arial" w:cs="Arial"/>
                <w:color w:val="000000"/>
                <w:sz w:val="16"/>
                <w:szCs w:val="16"/>
              </w:rPr>
              <w:t>Northwest New Mexico Council of Governments</w:t>
            </w:r>
          </w:p>
        </w:tc>
      </w:tr>
      <w:tr w:rsidR="00362017" w:rsidTr="004619A2">
        <w:trPr>
          <w:trHeight w:val="240"/>
          <w:jc w:val="center"/>
        </w:trPr>
        <w:tc>
          <w:tcPr>
            <w:tcW w:w="1860" w:type="dxa"/>
            <w:tcBorders>
              <w:top w:val="nil"/>
              <w:left w:val="single" w:sz="8" w:space="0" w:color="009900"/>
              <w:bottom w:val="single" w:sz="8" w:space="0" w:color="009900"/>
              <w:right w:val="nil"/>
            </w:tcBorders>
            <w:shd w:val="clear" w:color="000000" w:fill="FFFFE1"/>
            <w:noWrap/>
            <w:vAlign w:val="center"/>
            <w:hideMark/>
          </w:tcPr>
          <w:p w:rsidR="00362017" w:rsidRDefault="00362017">
            <w:pPr>
              <w:rPr>
                <w:rFonts w:ascii="Arial" w:hAnsi="Arial" w:cs="Arial"/>
                <w:color w:val="000000"/>
                <w:sz w:val="16"/>
                <w:szCs w:val="16"/>
              </w:rPr>
            </w:pPr>
            <w:r>
              <w:rPr>
                <w:rFonts w:ascii="Arial" w:hAnsi="Arial" w:cs="Arial"/>
                <w:color w:val="000000"/>
                <w:sz w:val="16"/>
                <w:szCs w:val="16"/>
              </w:rPr>
              <w:t>Eric Schmeider</w:t>
            </w:r>
          </w:p>
        </w:tc>
        <w:tc>
          <w:tcPr>
            <w:tcW w:w="2743" w:type="dxa"/>
            <w:tcBorders>
              <w:top w:val="nil"/>
              <w:left w:val="nil"/>
              <w:bottom w:val="single" w:sz="8" w:space="0" w:color="009900"/>
              <w:right w:val="nil"/>
            </w:tcBorders>
            <w:shd w:val="clear" w:color="000000" w:fill="FFFFE1"/>
            <w:noWrap/>
            <w:vAlign w:val="center"/>
            <w:hideMark/>
          </w:tcPr>
          <w:p w:rsidR="00362017" w:rsidRDefault="00362017">
            <w:pPr>
              <w:rPr>
                <w:rFonts w:ascii="Arial" w:hAnsi="Arial" w:cs="Arial"/>
                <w:color w:val="000000"/>
                <w:sz w:val="16"/>
                <w:szCs w:val="16"/>
              </w:rPr>
            </w:pPr>
            <w:r>
              <w:rPr>
                <w:rFonts w:ascii="Arial" w:hAnsi="Arial" w:cs="Arial"/>
                <w:color w:val="000000"/>
                <w:sz w:val="16"/>
                <w:szCs w:val="16"/>
              </w:rPr>
              <w:t> </w:t>
            </w:r>
          </w:p>
        </w:tc>
        <w:tc>
          <w:tcPr>
            <w:tcW w:w="4626" w:type="dxa"/>
            <w:tcBorders>
              <w:top w:val="nil"/>
              <w:left w:val="nil"/>
              <w:bottom w:val="single" w:sz="8" w:space="0" w:color="009900"/>
              <w:right w:val="single" w:sz="8" w:space="0" w:color="009900"/>
            </w:tcBorders>
            <w:shd w:val="clear" w:color="000000" w:fill="FFFFE1"/>
            <w:noWrap/>
            <w:vAlign w:val="center"/>
            <w:hideMark/>
          </w:tcPr>
          <w:p w:rsidR="00362017" w:rsidRDefault="00362017">
            <w:pPr>
              <w:rPr>
                <w:rFonts w:ascii="Arial" w:hAnsi="Arial" w:cs="Arial"/>
                <w:color w:val="000000"/>
                <w:sz w:val="16"/>
                <w:szCs w:val="16"/>
              </w:rPr>
            </w:pPr>
            <w:r>
              <w:rPr>
                <w:rFonts w:ascii="Arial" w:hAnsi="Arial" w:cs="Arial"/>
                <w:color w:val="000000"/>
                <w:sz w:val="16"/>
                <w:szCs w:val="16"/>
              </w:rPr>
              <w:t>Navajo Partnership for Housing</w:t>
            </w:r>
          </w:p>
        </w:tc>
      </w:tr>
    </w:tbl>
    <w:p w:rsidR="000812A3" w:rsidRPr="00955C8C" w:rsidRDefault="000812A3" w:rsidP="00AD4A2F">
      <w:pPr>
        <w:rPr>
          <w:rFonts w:ascii="CG Omega" w:hAnsi="CG Omega"/>
          <w:sz w:val="16"/>
          <w:szCs w:val="16"/>
          <w:highlight w:val="yellow"/>
        </w:rPr>
      </w:pPr>
    </w:p>
    <w:p w:rsidR="00AD4A2F" w:rsidRPr="00613740" w:rsidRDefault="00613740" w:rsidP="00AD4A2F">
      <w:pPr>
        <w:jc w:val="both"/>
        <w:rPr>
          <w:rFonts w:ascii="CG Omega" w:hAnsi="CG Omega"/>
          <w:b/>
          <w:smallCaps/>
        </w:rPr>
      </w:pPr>
      <w:bookmarkStart w:id="147" w:name="OLE_LINK8"/>
      <w:bookmarkStart w:id="148" w:name="OLE_LINK9"/>
      <w:r w:rsidRPr="00613740">
        <w:rPr>
          <w:rFonts w:ascii="CG Omega" w:hAnsi="CG Omega"/>
          <w:b/>
          <w:smallCaps/>
        </w:rPr>
        <w:t>2014</w:t>
      </w:r>
      <w:r w:rsidR="00AD4A2F" w:rsidRPr="00613740">
        <w:rPr>
          <w:rFonts w:ascii="CG Omega" w:hAnsi="CG Omega"/>
          <w:b/>
          <w:smallCaps/>
        </w:rPr>
        <w:t xml:space="preserve"> New </w:t>
      </w:r>
      <w:bookmarkEnd w:id="147"/>
      <w:bookmarkEnd w:id="148"/>
      <w:r w:rsidR="00AD4A2F" w:rsidRPr="00613740">
        <w:rPr>
          <w:rFonts w:ascii="CG Omega" w:hAnsi="CG Omega"/>
          <w:b/>
          <w:smallCaps/>
        </w:rPr>
        <w:t>Mexico Housing and Community Development Survey</w:t>
      </w:r>
    </w:p>
    <w:p w:rsidR="000812A3" w:rsidRPr="00613740" w:rsidRDefault="000812A3" w:rsidP="00AD4A2F">
      <w:pPr>
        <w:rPr>
          <w:rFonts w:ascii="CG Omega" w:hAnsi="CG Omega"/>
          <w:sz w:val="16"/>
          <w:szCs w:val="16"/>
        </w:rPr>
      </w:pPr>
    </w:p>
    <w:p w:rsidR="00AF544C" w:rsidRPr="00955C8C" w:rsidRDefault="00DD448F" w:rsidP="00DD448F">
      <w:pPr>
        <w:jc w:val="both"/>
        <w:rPr>
          <w:rFonts w:ascii="CG Omega" w:hAnsi="CG Omega"/>
          <w:highlight w:val="yellow"/>
        </w:rPr>
      </w:pPr>
      <w:r w:rsidRPr="00613740">
        <w:rPr>
          <w:rFonts w:ascii="CG Omega" w:hAnsi="CG Omega"/>
        </w:rPr>
        <w:t xml:space="preserve">The </w:t>
      </w:r>
      <w:r w:rsidRPr="00325AE2">
        <w:rPr>
          <w:rFonts w:ascii="CG Omega" w:hAnsi="CG Omega"/>
          <w:i/>
        </w:rPr>
        <w:t>20</w:t>
      </w:r>
      <w:r w:rsidR="00613740" w:rsidRPr="00325AE2">
        <w:rPr>
          <w:rFonts w:ascii="CG Omega" w:hAnsi="CG Omega"/>
          <w:i/>
        </w:rPr>
        <w:t>14</w:t>
      </w:r>
      <w:r w:rsidRPr="00325AE2">
        <w:rPr>
          <w:rFonts w:ascii="CG Omega" w:hAnsi="CG Omega"/>
          <w:i/>
        </w:rPr>
        <w:t xml:space="preserve"> New Mexico Housing and Community Development Su</w:t>
      </w:r>
      <w:r w:rsidR="00914AB2" w:rsidRPr="00325AE2">
        <w:rPr>
          <w:rFonts w:ascii="CG Omega" w:hAnsi="CG Omega"/>
          <w:i/>
        </w:rPr>
        <w:t>rvey</w:t>
      </w:r>
      <w:r w:rsidR="00914AB2" w:rsidRPr="00613740">
        <w:rPr>
          <w:rFonts w:ascii="CG Omega" w:hAnsi="CG Omega"/>
        </w:rPr>
        <w:t xml:space="preserve"> was used to gain input regarding</w:t>
      </w:r>
      <w:r w:rsidRPr="00613740">
        <w:rPr>
          <w:rFonts w:ascii="CG Omega" w:hAnsi="CG Omega"/>
        </w:rPr>
        <w:t xml:space="preserve"> the perceptions of housing and community development needs and </w:t>
      </w:r>
      <w:r w:rsidR="004969C8" w:rsidRPr="00613740">
        <w:rPr>
          <w:rFonts w:ascii="CG Omega" w:hAnsi="CG Omega"/>
        </w:rPr>
        <w:t xml:space="preserve">reactions to proposed </w:t>
      </w:r>
      <w:r w:rsidRPr="00613740">
        <w:rPr>
          <w:rFonts w:ascii="CG Omega" w:hAnsi="CG Omega"/>
        </w:rPr>
        <w:t>activities in New Mexico.  The survey was conducted entirely online and was sent to stakeholders acro</w:t>
      </w:r>
      <w:r w:rsidR="00245152" w:rsidRPr="00613740">
        <w:rPr>
          <w:rFonts w:ascii="CG Omega" w:hAnsi="CG Omega"/>
        </w:rPr>
        <w:t>ss the state</w:t>
      </w:r>
      <w:r w:rsidR="004969C8" w:rsidRPr="00613740">
        <w:rPr>
          <w:rFonts w:ascii="CG Omega" w:hAnsi="CG Omega"/>
        </w:rPr>
        <w:t xml:space="preserve">. </w:t>
      </w:r>
      <w:r w:rsidR="00325AE2">
        <w:rPr>
          <w:rFonts w:ascii="CG Omega" w:hAnsi="CG Omega"/>
        </w:rPr>
        <w:t>Three hundred and thirty four (334)</w:t>
      </w:r>
      <w:r w:rsidR="00245152" w:rsidRPr="00F215BB">
        <w:rPr>
          <w:rFonts w:ascii="CG Omega" w:hAnsi="CG Omega"/>
        </w:rPr>
        <w:t xml:space="preserve"> </w:t>
      </w:r>
      <w:r w:rsidR="00245152" w:rsidRPr="008A1544">
        <w:rPr>
          <w:rFonts w:ascii="CG Omega" w:hAnsi="CG Omega"/>
        </w:rPr>
        <w:t>completed surveys were received.</w:t>
      </w:r>
    </w:p>
    <w:p w:rsidR="00AF544C" w:rsidRPr="00955C8C" w:rsidRDefault="00AF544C" w:rsidP="00AD4A2F">
      <w:pPr>
        <w:rPr>
          <w:rFonts w:ascii="CG Omega" w:hAnsi="CG Omega"/>
          <w:sz w:val="16"/>
          <w:szCs w:val="16"/>
          <w:highlight w:val="yellow"/>
        </w:rPr>
      </w:pPr>
    </w:p>
    <w:p w:rsidR="00914AB2" w:rsidRPr="00613740" w:rsidRDefault="0026794C" w:rsidP="00AD4A2F">
      <w:pPr>
        <w:rPr>
          <w:rFonts w:ascii="CG Omega" w:hAnsi="CG Omega"/>
        </w:rPr>
      </w:pPr>
      <w:r w:rsidRPr="00613740">
        <w:rPr>
          <w:rFonts w:ascii="CG Omega" w:hAnsi="CG Omega"/>
          <w:b/>
          <w:smallCaps/>
        </w:rPr>
        <w:t>Focus Groups</w:t>
      </w:r>
    </w:p>
    <w:p w:rsidR="004969C8" w:rsidRPr="00613740" w:rsidRDefault="004969C8" w:rsidP="00AD4A2F">
      <w:pPr>
        <w:rPr>
          <w:rFonts w:ascii="CG Omega" w:hAnsi="CG Omega"/>
          <w:sz w:val="16"/>
          <w:szCs w:val="16"/>
        </w:rPr>
      </w:pPr>
    </w:p>
    <w:p w:rsidR="00914AB2" w:rsidRDefault="0026794C" w:rsidP="0026794C">
      <w:pPr>
        <w:jc w:val="both"/>
        <w:rPr>
          <w:rFonts w:ascii="CG Omega" w:hAnsi="CG Omega"/>
          <w:highlight w:val="yellow"/>
        </w:rPr>
      </w:pPr>
      <w:r w:rsidRPr="00613740">
        <w:rPr>
          <w:rFonts w:ascii="CG Omega" w:hAnsi="CG Omega"/>
        </w:rPr>
        <w:t>F</w:t>
      </w:r>
      <w:r w:rsidR="00613740" w:rsidRPr="00613740">
        <w:rPr>
          <w:rFonts w:ascii="CG Omega" w:hAnsi="CG Omega"/>
        </w:rPr>
        <w:t>ive</w:t>
      </w:r>
      <w:r w:rsidRPr="00613740">
        <w:rPr>
          <w:rFonts w:ascii="CG Omega" w:hAnsi="CG Omega"/>
        </w:rPr>
        <w:t xml:space="preserve"> focus group sessions were also held in </w:t>
      </w:r>
      <w:r w:rsidR="003B2808">
        <w:rPr>
          <w:rFonts w:ascii="CG Omega" w:hAnsi="CG Omega"/>
        </w:rPr>
        <w:t>April</w:t>
      </w:r>
      <w:r w:rsidR="00613740" w:rsidRPr="00613740">
        <w:rPr>
          <w:rFonts w:ascii="CG Omega" w:hAnsi="CG Omega"/>
        </w:rPr>
        <w:t xml:space="preserve"> 2014</w:t>
      </w:r>
      <w:r w:rsidRPr="00613740">
        <w:rPr>
          <w:rFonts w:ascii="CG Omega" w:hAnsi="CG Omega"/>
        </w:rPr>
        <w:t xml:space="preserve">, in New Mexico with stakeholders involved in housing and community development operations in the state.  The meetings were held in regard to the following topic areas: </w:t>
      </w:r>
      <w:r w:rsidR="00613740">
        <w:rPr>
          <w:rFonts w:ascii="CG Omega" w:hAnsi="CG Omega"/>
        </w:rPr>
        <w:t xml:space="preserve">affordable housing, economic development, </w:t>
      </w:r>
      <w:r w:rsidRPr="00613740">
        <w:rPr>
          <w:rFonts w:ascii="CG Omega" w:hAnsi="CG Omega"/>
        </w:rPr>
        <w:t>homeless</w:t>
      </w:r>
      <w:r w:rsidR="00613740">
        <w:rPr>
          <w:rFonts w:ascii="CG Omega" w:hAnsi="CG Omega"/>
        </w:rPr>
        <w:t xml:space="preserve"> needs</w:t>
      </w:r>
      <w:r w:rsidRPr="00613740">
        <w:rPr>
          <w:rFonts w:ascii="CG Omega" w:hAnsi="CG Omega"/>
        </w:rPr>
        <w:t xml:space="preserve">, infrastructure, </w:t>
      </w:r>
      <w:r w:rsidR="00613740">
        <w:rPr>
          <w:rFonts w:ascii="CG Omega" w:hAnsi="CG Omega"/>
        </w:rPr>
        <w:t>and public facilities</w:t>
      </w:r>
      <w:r w:rsidRPr="00613740">
        <w:rPr>
          <w:rFonts w:ascii="CG Omega" w:hAnsi="CG Omega"/>
        </w:rPr>
        <w:t>.</w:t>
      </w:r>
    </w:p>
    <w:p w:rsidR="00613740" w:rsidRPr="004C005B" w:rsidRDefault="00613740" w:rsidP="0026794C">
      <w:pPr>
        <w:jc w:val="both"/>
        <w:rPr>
          <w:rFonts w:ascii="CG Omega" w:hAnsi="CG Omega"/>
          <w:sz w:val="16"/>
          <w:szCs w:val="16"/>
          <w:highlight w:val="yellow"/>
        </w:rPr>
      </w:pPr>
    </w:p>
    <w:p w:rsidR="00AD4A2F" w:rsidRPr="004C005B" w:rsidRDefault="0026794C" w:rsidP="00AD4A2F">
      <w:pPr>
        <w:jc w:val="both"/>
        <w:rPr>
          <w:rFonts w:ascii="CG Omega" w:hAnsi="CG Omega"/>
          <w:b/>
          <w:smallCaps/>
        </w:rPr>
      </w:pPr>
      <w:r w:rsidRPr="004C005B">
        <w:rPr>
          <w:rFonts w:ascii="CG Omega" w:hAnsi="CG Omega"/>
          <w:b/>
          <w:smallCaps/>
        </w:rPr>
        <w:t>Documentation of Public Outreach</w:t>
      </w:r>
    </w:p>
    <w:p w:rsidR="003F285A" w:rsidRPr="004C005B" w:rsidRDefault="003F285A" w:rsidP="00AD4A2F">
      <w:pPr>
        <w:rPr>
          <w:rFonts w:ascii="CG Omega" w:hAnsi="CG Omega"/>
          <w:sz w:val="16"/>
          <w:szCs w:val="16"/>
        </w:rPr>
      </w:pPr>
    </w:p>
    <w:p w:rsidR="00ED2EB4" w:rsidRPr="004C005B" w:rsidRDefault="0026794C" w:rsidP="00392B0B">
      <w:pPr>
        <w:jc w:val="both"/>
      </w:pPr>
      <w:r w:rsidRPr="004C005B">
        <w:rPr>
          <w:rFonts w:ascii="CG Omega" w:hAnsi="CG Omega"/>
        </w:rPr>
        <w:t>The public was involved throughout the development of the Consolidated Plan.  The items on the following pages present documentation of advertisements related to public input opportunities.</w:t>
      </w:r>
    </w:p>
    <w:p w:rsidR="00ED2EB4" w:rsidRPr="004C005B" w:rsidRDefault="00ED2EB4" w:rsidP="00392B0B">
      <w:pPr>
        <w:jc w:val="both"/>
        <w:rPr>
          <w:sz w:val="16"/>
          <w:szCs w:val="16"/>
          <w:highlight w:val="yellow"/>
        </w:rPr>
      </w:pPr>
    </w:p>
    <w:p w:rsidR="00392B0B" w:rsidRPr="00754D99" w:rsidRDefault="00392B0B" w:rsidP="00754D99">
      <w:pPr>
        <w:jc w:val="both"/>
        <w:rPr>
          <w:rFonts w:ascii="CG Omega" w:hAnsi="CG Omega"/>
        </w:rPr>
      </w:pPr>
      <w:r w:rsidRPr="004C005B">
        <w:rPr>
          <w:rFonts w:ascii="CG Omega" w:hAnsi="CG Omega"/>
          <w:b/>
          <w:smallCaps/>
        </w:rPr>
        <w:t xml:space="preserve">Public Input </w:t>
      </w:r>
      <w:r w:rsidR="00E73278" w:rsidRPr="004C005B">
        <w:rPr>
          <w:rFonts w:ascii="CG Omega" w:hAnsi="CG Omega"/>
          <w:b/>
          <w:smallCaps/>
        </w:rPr>
        <w:t>Opportunities</w:t>
      </w:r>
    </w:p>
    <w:p w:rsidR="00754D99" w:rsidRPr="00754D99" w:rsidRDefault="00754D99" w:rsidP="00754D99">
      <w:pPr>
        <w:pStyle w:val="BodyText"/>
        <w:tabs>
          <w:tab w:val="num" w:pos="360"/>
        </w:tabs>
        <w:rPr>
          <w:rFonts w:ascii="CG Omega" w:hAnsi="CG Omega"/>
          <w:bCs/>
          <w:sz w:val="16"/>
          <w:szCs w:val="16"/>
        </w:rPr>
      </w:pPr>
    </w:p>
    <w:p w:rsidR="005249F1" w:rsidRDefault="00754D99" w:rsidP="00754D99">
      <w:pPr>
        <w:pStyle w:val="BodyText"/>
        <w:tabs>
          <w:tab w:val="num" w:pos="360"/>
        </w:tabs>
        <w:rPr>
          <w:rFonts w:ascii="CG Omega" w:hAnsi="CG Omega"/>
          <w:bCs/>
        </w:rPr>
      </w:pPr>
      <w:r w:rsidRPr="00ED0881">
        <w:rPr>
          <w:rFonts w:ascii="CG Omega" w:hAnsi="CG Omega"/>
          <w:bCs/>
        </w:rPr>
        <w:t xml:space="preserve">A public input meeting was held on May 20, 2014 in Albuquerque to offer the public an additional opportunity to offer feedback on the Consolidated Plan.  </w:t>
      </w:r>
      <w:r w:rsidRPr="008E1186">
        <w:rPr>
          <w:rFonts w:ascii="CG Omega" w:hAnsi="CG Omega"/>
          <w:bCs/>
        </w:rPr>
        <w:t xml:space="preserve">This meeting was broadcast throughout the state through video conferencing technology. </w:t>
      </w:r>
      <w:r w:rsidRPr="00E72B41">
        <w:rPr>
          <w:rFonts w:ascii="CG Omega" w:hAnsi="CG Omega"/>
          <w:bCs/>
        </w:rPr>
        <w:t xml:space="preserve">These meetings were advertised in the </w:t>
      </w:r>
      <w:r w:rsidRPr="005249F1">
        <w:rPr>
          <w:rFonts w:ascii="CG Omega" w:hAnsi="CG Omega"/>
          <w:bCs/>
          <w:i/>
        </w:rPr>
        <w:t>Las Cruces Sun-News</w:t>
      </w:r>
      <w:r w:rsidRPr="00E72B41">
        <w:rPr>
          <w:rFonts w:ascii="CG Omega" w:hAnsi="CG Omega"/>
          <w:bCs/>
        </w:rPr>
        <w:t xml:space="preserve">, the </w:t>
      </w:r>
      <w:r w:rsidRPr="005249F1">
        <w:rPr>
          <w:rFonts w:ascii="CG Omega" w:hAnsi="CG Omega"/>
          <w:bCs/>
          <w:i/>
        </w:rPr>
        <w:t>Albuquerque Journal</w:t>
      </w:r>
      <w:r w:rsidRPr="00E72B41">
        <w:rPr>
          <w:rFonts w:ascii="CG Omega" w:hAnsi="CG Omega"/>
          <w:bCs/>
        </w:rPr>
        <w:t xml:space="preserve"> and the </w:t>
      </w:r>
      <w:r w:rsidRPr="005249F1">
        <w:rPr>
          <w:rFonts w:ascii="CG Omega" w:hAnsi="CG Omega"/>
          <w:bCs/>
          <w:i/>
        </w:rPr>
        <w:t>Santa Fe New Mexican</w:t>
      </w:r>
      <w:r w:rsidRPr="00E72B41">
        <w:rPr>
          <w:rFonts w:ascii="CG Omega" w:hAnsi="CG Omega"/>
          <w:bCs/>
        </w:rPr>
        <w:t xml:space="preserve">, as documented in </w:t>
      </w:r>
      <w:r w:rsidR="005249F1">
        <w:rPr>
          <w:rFonts w:ascii="CG Omega" w:hAnsi="CG Omega"/>
          <w:bCs/>
        </w:rPr>
        <w:t>the following pages as Part A</w:t>
      </w:r>
      <w:r w:rsidRPr="00E72B41">
        <w:rPr>
          <w:rFonts w:ascii="CG Omega" w:hAnsi="CG Omega"/>
          <w:bCs/>
        </w:rPr>
        <w:t>.  Previous planning efforts were also included in the process.</w:t>
      </w:r>
      <w:r w:rsidR="005249F1">
        <w:rPr>
          <w:rFonts w:ascii="CG Omega" w:hAnsi="CG Omega"/>
          <w:bCs/>
        </w:rPr>
        <w:t xml:space="preserve">  </w:t>
      </w:r>
    </w:p>
    <w:p w:rsidR="00754D99" w:rsidRDefault="00754D99" w:rsidP="00754D99">
      <w:pPr>
        <w:pStyle w:val="BodyText"/>
        <w:tabs>
          <w:tab w:val="num" w:pos="360"/>
        </w:tabs>
        <w:rPr>
          <w:rFonts w:ascii="CG Omega" w:hAnsi="CG Omega"/>
          <w:szCs w:val="24"/>
          <w:highlight w:val="yellow"/>
        </w:rPr>
      </w:pPr>
    </w:p>
    <w:p w:rsidR="005249F1" w:rsidRPr="00955C8C" w:rsidRDefault="005249F1" w:rsidP="00754D99">
      <w:pPr>
        <w:pStyle w:val="BodyText"/>
        <w:tabs>
          <w:tab w:val="num" w:pos="360"/>
        </w:tabs>
        <w:rPr>
          <w:rFonts w:ascii="CG Omega" w:hAnsi="CG Omega"/>
          <w:szCs w:val="24"/>
          <w:highlight w:val="yellow"/>
        </w:rPr>
      </w:pPr>
      <w:r>
        <w:rPr>
          <w:rFonts w:ascii="CG Omega" w:hAnsi="CG Omega"/>
          <w:szCs w:val="24"/>
          <w:highlight w:val="yellow"/>
        </w:rPr>
        <w:t xml:space="preserve">Two public hearings were held on August 20, 2014, at Albuquerque Convention Center, Centro del Sol Room.  At 9:00 am, the Consolidated Plan was discussed.  At 10:30 am, the Fair Housing analysis was held. </w:t>
      </w:r>
      <w:r w:rsidRPr="00E72B41">
        <w:rPr>
          <w:rFonts w:ascii="CG Omega" w:hAnsi="CG Omega"/>
          <w:bCs/>
        </w:rPr>
        <w:t>The</w:t>
      </w:r>
      <w:r>
        <w:rPr>
          <w:rFonts w:ascii="CG Omega" w:hAnsi="CG Omega"/>
          <w:bCs/>
        </w:rPr>
        <w:t xml:space="preserve"> meetings were advertised through a display ad in the </w:t>
      </w:r>
      <w:r w:rsidRPr="00C12A15">
        <w:rPr>
          <w:rFonts w:ascii="CG Omega" w:hAnsi="CG Omega"/>
          <w:bCs/>
          <w:i/>
        </w:rPr>
        <w:t>Albuquerque Journal</w:t>
      </w:r>
      <w:r>
        <w:rPr>
          <w:rFonts w:ascii="CG Omega" w:hAnsi="CG Omega"/>
          <w:bCs/>
        </w:rPr>
        <w:t>, as well as legal notices</w:t>
      </w:r>
      <w:r w:rsidR="00C12A15">
        <w:rPr>
          <w:rFonts w:ascii="CG Omega" w:hAnsi="CG Omega"/>
          <w:bCs/>
        </w:rPr>
        <w:t>, in English and Spanish,</w:t>
      </w:r>
      <w:r>
        <w:rPr>
          <w:rFonts w:ascii="CG Omega" w:hAnsi="CG Omega"/>
          <w:bCs/>
        </w:rPr>
        <w:t xml:space="preserve"> in</w:t>
      </w:r>
      <w:r w:rsidRPr="00E72B41">
        <w:rPr>
          <w:rFonts w:ascii="CG Omega" w:hAnsi="CG Omega"/>
          <w:bCs/>
        </w:rPr>
        <w:t xml:space="preserve"> </w:t>
      </w:r>
      <w:r w:rsidR="00C12A15" w:rsidRPr="00C12A15">
        <w:rPr>
          <w:rFonts w:ascii="CG Omega" w:hAnsi="CG Omega"/>
          <w:bCs/>
        </w:rPr>
        <w:t xml:space="preserve">the </w:t>
      </w:r>
      <w:r w:rsidR="00C12A15" w:rsidRPr="00C12A15">
        <w:rPr>
          <w:rFonts w:ascii="CG Omega" w:hAnsi="CG Omega"/>
          <w:bCs/>
          <w:i/>
        </w:rPr>
        <w:t>Albuquerque Journal</w:t>
      </w:r>
      <w:r w:rsidR="00C12A15">
        <w:rPr>
          <w:rFonts w:ascii="CG Omega" w:hAnsi="CG Omega"/>
          <w:bCs/>
        </w:rPr>
        <w:t xml:space="preserve">, the </w:t>
      </w:r>
      <w:r w:rsidR="00C12A15">
        <w:rPr>
          <w:rFonts w:ascii="CG Omega" w:hAnsi="CG Omega"/>
          <w:bCs/>
          <w:i/>
        </w:rPr>
        <w:t xml:space="preserve">Union County </w:t>
      </w:r>
      <w:r w:rsidR="00C12A15" w:rsidRPr="00C12A15">
        <w:rPr>
          <w:rFonts w:ascii="CG Omega" w:hAnsi="CG Omega"/>
          <w:bCs/>
        </w:rPr>
        <w:t>Leader</w:t>
      </w:r>
      <w:r w:rsidR="00C12A15">
        <w:rPr>
          <w:rFonts w:ascii="CG Omega" w:hAnsi="CG Omega"/>
          <w:bCs/>
        </w:rPr>
        <w:t xml:space="preserve">, the </w:t>
      </w:r>
      <w:r w:rsidR="00C12A15">
        <w:rPr>
          <w:rFonts w:ascii="CG Omega" w:hAnsi="CG Omega"/>
          <w:bCs/>
          <w:i/>
        </w:rPr>
        <w:t xml:space="preserve">Clovis News </w:t>
      </w:r>
      <w:r w:rsidR="00C12A15" w:rsidRPr="00C12A15">
        <w:rPr>
          <w:rFonts w:ascii="CG Omega" w:hAnsi="CG Omega"/>
          <w:bCs/>
          <w:i/>
        </w:rPr>
        <w:t>Journal</w:t>
      </w:r>
      <w:r w:rsidR="00C12A15">
        <w:rPr>
          <w:rFonts w:ascii="CG Omega" w:hAnsi="CG Omega"/>
          <w:bCs/>
        </w:rPr>
        <w:t xml:space="preserve">, </w:t>
      </w:r>
      <w:r w:rsidRPr="00C12A15">
        <w:rPr>
          <w:rFonts w:ascii="CG Omega" w:hAnsi="CG Omega"/>
          <w:bCs/>
        </w:rPr>
        <w:t>the</w:t>
      </w:r>
      <w:r w:rsidRPr="00E72B41">
        <w:rPr>
          <w:rFonts w:ascii="CG Omega" w:hAnsi="CG Omega"/>
          <w:bCs/>
        </w:rPr>
        <w:t xml:space="preserve"> </w:t>
      </w:r>
      <w:r w:rsidR="00C12A15">
        <w:rPr>
          <w:rFonts w:ascii="CG Omega" w:hAnsi="CG Omega"/>
          <w:bCs/>
          <w:i/>
        </w:rPr>
        <w:t xml:space="preserve">Farmington Daily Times, </w:t>
      </w:r>
      <w:r w:rsidR="00C12A15">
        <w:rPr>
          <w:rFonts w:ascii="CG Omega" w:hAnsi="CG Omega"/>
          <w:bCs/>
        </w:rPr>
        <w:t xml:space="preserve">the </w:t>
      </w:r>
      <w:r w:rsidRPr="00C12A15">
        <w:rPr>
          <w:rFonts w:ascii="CG Omega" w:hAnsi="CG Omega"/>
          <w:bCs/>
          <w:i/>
        </w:rPr>
        <w:t>Las Cruces Sun-News</w:t>
      </w:r>
      <w:r w:rsidRPr="00E72B41">
        <w:rPr>
          <w:rFonts w:ascii="CG Omega" w:hAnsi="CG Omega"/>
          <w:bCs/>
        </w:rPr>
        <w:t xml:space="preserve">, </w:t>
      </w:r>
      <w:r w:rsidR="00C12A15">
        <w:rPr>
          <w:rFonts w:ascii="CG Omega" w:hAnsi="CG Omega"/>
          <w:bCs/>
        </w:rPr>
        <w:t xml:space="preserve">the </w:t>
      </w:r>
      <w:r w:rsidR="00C12A15">
        <w:rPr>
          <w:rFonts w:ascii="CG Omega" w:hAnsi="CG Omega"/>
          <w:bCs/>
          <w:i/>
        </w:rPr>
        <w:t xml:space="preserve">Roswell Daily Record, </w:t>
      </w:r>
      <w:r w:rsidRPr="00E72B41">
        <w:rPr>
          <w:rFonts w:ascii="CG Omega" w:hAnsi="CG Omega"/>
          <w:bCs/>
        </w:rPr>
        <w:t xml:space="preserve">and the </w:t>
      </w:r>
      <w:r w:rsidRPr="00C12A15">
        <w:rPr>
          <w:rFonts w:ascii="CG Omega" w:hAnsi="CG Omega"/>
          <w:bCs/>
          <w:i/>
        </w:rPr>
        <w:t>Santa Fe New Mexican</w:t>
      </w:r>
      <w:r w:rsidRPr="00E72B41">
        <w:rPr>
          <w:rFonts w:ascii="CG Omega" w:hAnsi="CG Omega"/>
          <w:bCs/>
        </w:rPr>
        <w:t xml:space="preserve">, as documented in </w:t>
      </w:r>
      <w:r w:rsidR="00C12A15">
        <w:rPr>
          <w:rFonts w:ascii="CG Omega" w:hAnsi="CG Omega"/>
          <w:bCs/>
        </w:rPr>
        <w:t>Part B</w:t>
      </w:r>
      <w:r w:rsidRPr="00E72B41">
        <w:rPr>
          <w:rFonts w:ascii="CG Omega" w:hAnsi="CG Omega"/>
          <w:bCs/>
        </w:rPr>
        <w:t xml:space="preserve">. </w:t>
      </w:r>
      <w:r>
        <w:rPr>
          <w:rFonts w:ascii="CG Omega" w:hAnsi="CG Omega"/>
          <w:szCs w:val="24"/>
          <w:highlight w:val="yellow"/>
        </w:rPr>
        <w:t xml:space="preserve"> </w:t>
      </w:r>
    </w:p>
    <w:p w:rsidR="00EC3B88" w:rsidRPr="005249F1" w:rsidRDefault="00EC3B88" w:rsidP="00BE3680">
      <w:pPr>
        <w:rPr>
          <w:rFonts w:ascii="CG Omega" w:hAnsi="CG Omega"/>
          <w:sz w:val="16"/>
          <w:szCs w:val="16"/>
          <w:highlight w:val="yellow"/>
        </w:rPr>
      </w:pPr>
    </w:p>
    <w:p w:rsidR="00E73278" w:rsidRPr="00F215BB" w:rsidRDefault="00E73278" w:rsidP="00E73278">
      <w:pPr>
        <w:jc w:val="both"/>
        <w:rPr>
          <w:rFonts w:ascii="CG Omega" w:hAnsi="CG Omega"/>
          <w:b/>
          <w:smallCaps/>
        </w:rPr>
      </w:pPr>
      <w:r w:rsidRPr="00F215BB">
        <w:rPr>
          <w:rFonts w:ascii="CG Omega" w:hAnsi="CG Omega"/>
          <w:b/>
          <w:smallCaps/>
        </w:rPr>
        <w:t>Public Comments</w:t>
      </w:r>
    </w:p>
    <w:p w:rsidR="00E73278" w:rsidRPr="005249F1" w:rsidRDefault="00E73278" w:rsidP="00E73278">
      <w:pPr>
        <w:jc w:val="both"/>
        <w:rPr>
          <w:rFonts w:ascii="CG Omega" w:hAnsi="CG Omega"/>
          <w:smallCaps/>
          <w:sz w:val="16"/>
          <w:szCs w:val="16"/>
          <w:highlight w:val="yellow"/>
        </w:rPr>
      </w:pPr>
    </w:p>
    <w:p w:rsidR="005249F1" w:rsidRPr="005249F1" w:rsidRDefault="005249F1" w:rsidP="005249F1">
      <w:pPr>
        <w:rPr>
          <w:rFonts w:ascii="CG Omega" w:hAnsi="CG Omega" w:cs="Arial"/>
        </w:rPr>
      </w:pPr>
      <w:r w:rsidRPr="005249F1">
        <w:rPr>
          <w:rFonts w:ascii="CG Omega" w:hAnsi="CG Omega" w:cs="Arial"/>
        </w:rPr>
        <w:t xml:space="preserve">Comments were received from Homewise and the City of Santa Fe concerning the removal of language supporting single family development or construction funds. </w:t>
      </w:r>
      <w:r w:rsidR="00C12A15">
        <w:rPr>
          <w:rFonts w:ascii="CG Omega" w:hAnsi="CG Omega" w:cs="Arial"/>
        </w:rPr>
        <w:t xml:space="preserve"> Copies of those documents are attached following this section.</w:t>
      </w:r>
      <w:r w:rsidRPr="005249F1">
        <w:rPr>
          <w:rFonts w:ascii="CG Omega" w:hAnsi="CG Omega" w:cs="Arial"/>
        </w:rPr>
        <w:t xml:space="preserve"> </w:t>
      </w:r>
      <w:r w:rsidR="00C12A15">
        <w:rPr>
          <w:rFonts w:ascii="CG Omega" w:hAnsi="CG Omega" w:cs="Arial"/>
        </w:rPr>
        <w:t xml:space="preserve"> MFA’s response follows:</w:t>
      </w:r>
    </w:p>
    <w:p w:rsidR="005249F1" w:rsidRPr="005249F1" w:rsidRDefault="005249F1" w:rsidP="005249F1">
      <w:pPr>
        <w:rPr>
          <w:rFonts w:ascii="CG Omega" w:hAnsi="CG Omega" w:cs="Arial"/>
          <w:sz w:val="16"/>
          <w:szCs w:val="16"/>
        </w:rPr>
      </w:pPr>
    </w:p>
    <w:p w:rsidR="005249F1" w:rsidRPr="005249F1" w:rsidRDefault="005249F1" w:rsidP="005249F1">
      <w:pPr>
        <w:rPr>
          <w:rFonts w:ascii="CG Omega" w:hAnsi="CG Omega" w:cs="Arial"/>
          <w:i/>
        </w:rPr>
      </w:pPr>
      <w:r w:rsidRPr="005249F1">
        <w:rPr>
          <w:rFonts w:ascii="CG Omega" w:hAnsi="CG Omega" w:cs="Arial"/>
          <w:i/>
        </w:rPr>
        <w:t xml:space="preserve">We agree that the Consolidated Plan reflects a major change in tools available to MFA and its partners.  Removing the funding allocation to single family development was mandated by changes made by HUD in 2013 to the HOME rules, especially those concerning CHDOs, which MFA is required to follow.  The updated rules state that when a CHDO provides down payment assistance to a buyer of a property that it developed with CHDO setaside funds, it can use additional CHDO set-aside funds to provide down payment assistance to that buyer. However, the 2013 Rule limits this assistance to no more than 10 percent of the total amount of HOME development funds.  The 10 percent limitation only applies when additional CHDO set-aside funds are used to provide the homebuyer assistance and to projects for which funds were committed on or after August 23, 2013. When a CHDO administers a down payment assistance program, it is acting as a subrecipient, not a developer of affordable housing; this is not an eligible use of set-aside funds per §92.300.  </w:t>
      </w:r>
    </w:p>
    <w:p w:rsidR="005249F1" w:rsidRPr="005249F1" w:rsidRDefault="005249F1" w:rsidP="005249F1">
      <w:pPr>
        <w:rPr>
          <w:rFonts w:ascii="CG Omega" w:hAnsi="CG Omega" w:cs="Arial"/>
          <w:i/>
          <w:sz w:val="16"/>
          <w:szCs w:val="16"/>
        </w:rPr>
      </w:pPr>
    </w:p>
    <w:p w:rsidR="005249F1" w:rsidRPr="005249F1" w:rsidRDefault="005249F1" w:rsidP="005249F1">
      <w:pPr>
        <w:rPr>
          <w:rFonts w:ascii="CG Omega" w:hAnsi="CG Omega" w:cs="Arial"/>
          <w:i/>
        </w:rPr>
      </w:pPr>
      <w:r w:rsidRPr="005249F1">
        <w:rPr>
          <w:rFonts w:ascii="CG Omega" w:hAnsi="CG Omega" w:cs="Arial"/>
          <w:i/>
        </w:rPr>
        <w:t xml:space="preserve">Secondly, HOME funding was cut in 2012 by 53%, from $7,152,461 in 2011, to $3,781,059 in 2012.  In 2013, sequestration caused HOME funds to be cut again, to $3,597,945.  2014 funding was $3,781,116.  We do not expect for the HOME funding to ever go back to pre-2012 levels.  Given those reasons, MFA chose at this time to provide down payment assistance through the Homeownership Department.  </w:t>
      </w:r>
    </w:p>
    <w:p w:rsidR="005249F1" w:rsidRPr="005249F1" w:rsidRDefault="005249F1" w:rsidP="005249F1">
      <w:pPr>
        <w:rPr>
          <w:rFonts w:ascii="CG Omega" w:hAnsi="CG Omega" w:cs="Arial"/>
          <w:sz w:val="16"/>
          <w:szCs w:val="16"/>
        </w:rPr>
      </w:pPr>
    </w:p>
    <w:p w:rsidR="00BE3680" w:rsidRDefault="005249F1">
      <w:pPr>
        <w:rPr>
          <w:rFonts w:ascii="CG Omega" w:hAnsi="CG Omega" w:cs="Arial"/>
          <w:sz w:val="16"/>
          <w:szCs w:val="16"/>
          <w:highlight w:val="yellow"/>
        </w:rPr>
      </w:pPr>
      <w:r w:rsidRPr="005249F1">
        <w:rPr>
          <w:rFonts w:ascii="CG Omega" w:hAnsi="CG Omega" w:cs="Arial"/>
          <w:i/>
        </w:rPr>
        <w:t xml:space="preserve">MFA is researching ways to reinstate the single family construction funding, within the parameters of the new HOME rules.  The program will be different than past funding programs, and is in development.  </w:t>
      </w:r>
      <w:r w:rsidR="00BE3680">
        <w:rPr>
          <w:highlight w:val="yellow"/>
        </w:rPr>
        <w:br w:type="page"/>
      </w:r>
    </w:p>
    <w:p w:rsidR="00E73278" w:rsidRPr="00955C8C" w:rsidRDefault="00E73278" w:rsidP="005249F1">
      <w:pPr>
        <w:pStyle w:val="Subhead1"/>
        <w:rPr>
          <w:highlight w:val="yellow"/>
        </w:rPr>
        <w:sectPr w:rsidR="00E73278" w:rsidRPr="00955C8C" w:rsidSect="00D65396">
          <w:headerReference w:type="default" r:id="rId69"/>
          <w:headerReference w:type="first" r:id="rId70"/>
          <w:pgSz w:w="12240" w:h="15840"/>
          <w:pgMar w:top="1440" w:right="1440" w:bottom="1440" w:left="1440" w:header="1080" w:footer="720" w:gutter="0"/>
          <w:cols w:space="720"/>
          <w:titlePg/>
          <w:docGrid w:linePitch="360"/>
        </w:sectPr>
      </w:pPr>
    </w:p>
    <w:p w:rsidR="00BD659B" w:rsidRPr="00384234" w:rsidRDefault="00BD659B" w:rsidP="00BD659B">
      <w:pPr>
        <w:jc w:val="both"/>
        <w:rPr>
          <w:rFonts w:ascii="CG Omega" w:hAnsi="CG Omega"/>
        </w:rPr>
      </w:pPr>
      <w:r w:rsidRPr="00384234">
        <w:rPr>
          <w:rFonts w:ascii="CG Omega" w:hAnsi="CG Omega"/>
          <w:b/>
          <w:u w:val="single"/>
        </w:rPr>
        <w:t>Accessibility</w:t>
      </w:r>
      <w:r w:rsidRPr="00384234">
        <w:rPr>
          <w:rFonts w:ascii="CG Omega" w:hAnsi="CG Omega"/>
        </w:rPr>
        <w:t xml:space="preserve">  All new construction of covered multifamily buildings must include certain features of accessible and adaptable design.  Units covered are all those in buildings with four or more units and one or more elevators, and all ground floor units in buildings without elevators.</w:t>
      </w:r>
    </w:p>
    <w:p w:rsidR="00BD659B" w:rsidRPr="00384234" w:rsidRDefault="00BD659B" w:rsidP="00BD659B">
      <w:pPr>
        <w:jc w:val="both"/>
        <w:rPr>
          <w:rFonts w:ascii="CG Omega" w:hAnsi="CG Omega"/>
        </w:rPr>
      </w:pPr>
    </w:p>
    <w:p w:rsidR="00BD659B" w:rsidRPr="00384234" w:rsidRDefault="00BD659B" w:rsidP="00BD659B">
      <w:pPr>
        <w:pStyle w:val="BodyText"/>
        <w:rPr>
          <w:rFonts w:ascii="CG Omega" w:hAnsi="CG Omega"/>
          <w:szCs w:val="24"/>
        </w:rPr>
      </w:pPr>
      <w:r w:rsidRPr="00384234">
        <w:rPr>
          <w:rFonts w:ascii="CG Omega" w:hAnsi="CG Omega"/>
          <w:b/>
          <w:szCs w:val="24"/>
          <w:u w:val="single"/>
        </w:rPr>
        <w:t>Action Plan</w:t>
      </w:r>
      <w:r w:rsidRPr="00384234">
        <w:rPr>
          <w:rFonts w:ascii="CG Omega" w:hAnsi="CG Omega"/>
          <w:szCs w:val="24"/>
        </w:rPr>
        <w:t xml:space="preserve">  The Action Plan includes the following: </w:t>
      </w:r>
      <w:r w:rsidR="00453B0E">
        <w:rPr>
          <w:rFonts w:ascii="CG Omega" w:hAnsi="CG Omega"/>
          <w:szCs w:val="24"/>
        </w:rPr>
        <w:t>a</w:t>
      </w:r>
      <w:r w:rsidRPr="00384234">
        <w:rPr>
          <w:rFonts w:ascii="CG Omega" w:hAnsi="CG Omega"/>
          <w:szCs w:val="24"/>
        </w:rPr>
        <w:t xml:space="preserve">n application for federal funds under HUD’s formula grant programs (CDBG, ESG, HOME); Identification of federal and other resources expected to be used to address the priority needs and specific objectives in the strategic plan; </w:t>
      </w:r>
      <w:r w:rsidR="00453B0E">
        <w:rPr>
          <w:rFonts w:ascii="CG Omega" w:hAnsi="CG Omega"/>
          <w:szCs w:val="24"/>
        </w:rPr>
        <w:t>a</w:t>
      </w:r>
      <w:r w:rsidRPr="00384234">
        <w:rPr>
          <w:rFonts w:ascii="CG Omega" w:hAnsi="CG Omega"/>
          <w:szCs w:val="24"/>
        </w:rPr>
        <w:t xml:space="preserve">ctivities to be undertaken including the following; </w:t>
      </w:r>
      <w:r w:rsidR="00453B0E">
        <w:rPr>
          <w:rFonts w:ascii="CG Omega" w:hAnsi="CG Omega"/>
          <w:szCs w:val="24"/>
        </w:rPr>
        <w:t>a</w:t>
      </w:r>
      <w:r w:rsidRPr="00384234">
        <w:rPr>
          <w:rFonts w:ascii="CG Omega" w:hAnsi="CG Omega"/>
          <w:szCs w:val="24"/>
        </w:rPr>
        <w:t xml:space="preserve">ctivities to address </w:t>
      </w:r>
      <w:r w:rsidR="00453B0E">
        <w:rPr>
          <w:rFonts w:ascii="CG Omega" w:hAnsi="CG Omega"/>
          <w:szCs w:val="24"/>
        </w:rPr>
        <w:t>h</w:t>
      </w:r>
      <w:r w:rsidRPr="00384234">
        <w:rPr>
          <w:rFonts w:ascii="CG Omega" w:hAnsi="CG Omega"/>
          <w:szCs w:val="24"/>
        </w:rPr>
        <w:t xml:space="preserve">omeless and other special needs (persons with mental, physical or developmental disabilities, battered and abused spouses, victims of domestic violence, etc.); </w:t>
      </w:r>
      <w:r w:rsidR="00453B0E">
        <w:rPr>
          <w:rFonts w:ascii="CG Omega" w:hAnsi="CG Omega"/>
          <w:szCs w:val="24"/>
        </w:rPr>
        <w:t>a</w:t>
      </w:r>
      <w:r w:rsidRPr="00384234">
        <w:rPr>
          <w:rFonts w:ascii="CG Omega" w:hAnsi="CG Omega"/>
          <w:szCs w:val="24"/>
        </w:rPr>
        <w:t xml:space="preserve">ctivities to address other </w:t>
      </w:r>
      <w:r w:rsidR="00453B0E">
        <w:rPr>
          <w:rFonts w:ascii="CG Omega" w:hAnsi="CG Omega"/>
          <w:szCs w:val="24"/>
        </w:rPr>
        <w:t>a</w:t>
      </w:r>
      <w:r w:rsidRPr="00384234">
        <w:rPr>
          <w:rFonts w:ascii="CG Omega" w:hAnsi="CG Omega"/>
          <w:szCs w:val="24"/>
        </w:rPr>
        <w:t xml:space="preserve">ctions (affordable housing, lead-based paint hazards, poverty reduction, public housing improvements, etc); and lastly; </w:t>
      </w:r>
      <w:r w:rsidR="00453B0E">
        <w:rPr>
          <w:rFonts w:ascii="CG Omega" w:hAnsi="CG Omega"/>
          <w:szCs w:val="24"/>
        </w:rPr>
        <w:t>a</w:t>
      </w:r>
      <w:r w:rsidRPr="00384234">
        <w:rPr>
          <w:rFonts w:ascii="CG Omega" w:hAnsi="CG Omega"/>
          <w:szCs w:val="24"/>
        </w:rPr>
        <w:t xml:space="preserve"> description of the areas targeted given the rationale for the priorities for allocating investment geographically.</w:t>
      </w:r>
    </w:p>
    <w:p w:rsidR="00BD659B" w:rsidRPr="00384234" w:rsidRDefault="00BD659B" w:rsidP="00BD659B">
      <w:pPr>
        <w:pStyle w:val="BodyText"/>
        <w:rPr>
          <w:rFonts w:ascii="CG Omega" w:hAnsi="CG Omega"/>
          <w:szCs w:val="24"/>
        </w:rPr>
      </w:pPr>
    </w:p>
    <w:p w:rsidR="00BD659B" w:rsidRPr="00384234" w:rsidRDefault="00BD659B" w:rsidP="00BD659B">
      <w:pPr>
        <w:jc w:val="both"/>
        <w:rPr>
          <w:rFonts w:ascii="CG Omega" w:hAnsi="CG Omega"/>
        </w:rPr>
      </w:pPr>
      <w:r w:rsidRPr="00384234">
        <w:rPr>
          <w:rFonts w:ascii="CG Omega" w:hAnsi="CG Omega"/>
          <w:b/>
          <w:u w:val="single"/>
        </w:rPr>
        <w:t>Affordable Housing</w:t>
      </w:r>
      <w:r w:rsidRPr="00384234">
        <w:rPr>
          <w:rFonts w:ascii="CG Omega" w:hAnsi="CG Omega"/>
        </w:rPr>
        <w:t xml:space="preserve">  </w:t>
      </w:r>
      <w:r w:rsidR="001602B1">
        <w:rPr>
          <w:rFonts w:ascii="CG Omega" w:hAnsi="CG Omega"/>
        </w:rPr>
        <w:t>Housing</w:t>
      </w:r>
      <w:r w:rsidRPr="00384234">
        <w:rPr>
          <w:rFonts w:ascii="CG Omega" w:hAnsi="CG Omega"/>
        </w:rPr>
        <w:t xml:space="preserve"> within the community which is decent and safe, either newly constructed or rehabilitated, that is occupied by and affordable to households whose income is very low, low, or moderate.  Such housing may be ownership or rental, single family or </w:t>
      </w:r>
      <w:r w:rsidR="00BB2854">
        <w:rPr>
          <w:rFonts w:ascii="CG Omega" w:hAnsi="CG Omega"/>
        </w:rPr>
        <w:t>multifamily</w:t>
      </w:r>
      <w:r w:rsidRPr="00384234">
        <w:rPr>
          <w:rFonts w:ascii="CG Omega" w:hAnsi="CG Omega"/>
        </w:rPr>
        <w:t>, short-term or permanent.  Achieving affordable housing often requires financial assistance from various public and private sources and agencies.</w:t>
      </w:r>
    </w:p>
    <w:p w:rsidR="00BD659B" w:rsidRPr="00384234" w:rsidRDefault="00BD659B" w:rsidP="00BD659B">
      <w:pPr>
        <w:jc w:val="both"/>
        <w:rPr>
          <w:rFonts w:ascii="CG Omega" w:hAnsi="CG Omega"/>
        </w:rPr>
      </w:pPr>
    </w:p>
    <w:p w:rsidR="00BD659B" w:rsidRPr="00384234" w:rsidRDefault="00BD659B" w:rsidP="00BD659B">
      <w:pPr>
        <w:jc w:val="both"/>
        <w:rPr>
          <w:rFonts w:ascii="CG Omega" w:hAnsi="CG Omega"/>
        </w:rPr>
      </w:pPr>
      <w:r w:rsidRPr="00384234">
        <w:rPr>
          <w:rFonts w:ascii="CG Omega" w:hAnsi="CG Omega"/>
          <w:b/>
          <w:u w:val="single"/>
        </w:rPr>
        <w:t>Agency</w:t>
      </w:r>
      <w:r w:rsidRPr="00384234">
        <w:rPr>
          <w:rFonts w:ascii="CG Omega" w:hAnsi="CG Omega"/>
        </w:rPr>
        <w:t xml:space="preserve">  Any department, agency, commission, authority, administration, board, or other independent establishment in the executive branch of the government, including any corporation wholly or partly owned by the United States that is an independent instrumentality of the United States, not including the municipal government of the District of Columbia.</w:t>
      </w:r>
    </w:p>
    <w:p w:rsidR="00BD659B" w:rsidRPr="00384234" w:rsidRDefault="00BD659B" w:rsidP="00BD659B">
      <w:pPr>
        <w:jc w:val="both"/>
        <w:rPr>
          <w:rFonts w:ascii="CG Omega" w:hAnsi="CG Omega"/>
        </w:rPr>
      </w:pPr>
    </w:p>
    <w:p w:rsidR="00BD659B" w:rsidRPr="00384234" w:rsidRDefault="00BD659B" w:rsidP="00BD659B">
      <w:pPr>
        <w:pStyle w:val="BodyText"/>
        <w:rPr>
          <w:rFonts w:ascii="CG Omega" w:hAnsi="CG Omega"/>
          <w:szCs w:val="24"/>
        </w:rPr>
      </w:pPr>
      <w:bookmarkStart w:id="149" w:name="_Toc477836493"/>
      <w:r w:rsidRPr="00384234">
        <w:rPr>
          <w:rFonts w:ascii="CG Omega" w:hAnsi="CG Omega"/>
          <w:b/>
          <w:szCs w:val="24"/>
          <w:u w:val="single"/>
        </w:rPr>
        <w:t>Brownfield Economic Development Initiative (BEDI) Grant Program</w:t>
      </w:r>
      <w:bookmarkEnd w:id="149"/>
      <w:r w:rsidRPr="00384234">
        <w:rPr>
          <w:rFonts w:ascii="CG Omega" w:hAnsi="CG Omega"/>
          <w:b/>
          <w:szCs w:val="24"/>
        </w:rPr>
        <w:t xml:space="preserve">  </w:t>
      </w:r>
      <w:r w:rsidRPr="00384234">
        <w:rPr>
          <w:rFonts w:ascii="CG Omega" w:hAnsi="CG Omega"/>
          <w:szCs w:val="24"/>
        </w:rPr>
        <w:t>BEDI is designed to help cities redevelop abandoned, idled, or underutilized industrial and commercial properties and facilities where expansion or redevelopment is complicated by real or perceived environmental contamination e.g., brownfields.  BEDI accomplishes this by providing funding to local governments to be used in conjunction with Section 108 loan guarantees to finance redevelopment of brownfields sites. BEDI-funded projects must meet one of the CDBG program’s national objectives.</w:t>
      </w:r>
    </w:p>
    <w:p w:rsidR="00BD659B" w:rsidRPr="00384234" w:rsidRDefault="00BD659B" w:rsidP="00BD659B">
      <w:pPr>
        <w:pStyle w:val="BodyText"/>
        <w:rPr>
          <w:rFonts w:ascii="CG Omega" w:hAnsi="CG Omega"/>
          <w:b/>
          <w:szCs w:val="24"/>
          <w:u w:val="single"/>
        </w:rPr>
      </w:pPr>
    </w:p>
    <w:p w:rsidR="00BD659B" w:rsidRPr="00384234" w:rsidRDefault="00BD659B" w:rsidP="00BD659B">
      <w:pPr>
        <w:jc w:val="both"/>
        <w:rPr>
          <w:rFonts w:ascii="CG Omega" w:hAnsi="CG Omega"/>
        </w:rPr>
      </w:pPr>
      <w:r w:rsidRPr="00384234">
        <w:rPr>
          <w:rFonts w:ascii="CG Omega" w:hAnsi="CG Omega"/>
          <w:b/>
          <w:u w:val="single"/>
        </w:rPr>
        <w:t>Certification</w:t>
      </w:r>
      <w:r w:rsidR="00453B0E">
        <w:rPr>
          <w:rFonts w:ascii="CG Omega" w:hAnsi="CG Omega"/>
        </w:rPr>
        <w:t xml:space="preserve"> </w:t>
      </w:r>
      <w:r w:rsidRPr="00384234">
        <w:rPr>
          <w:rFonts w:ascii="CG Omega" w:hAnsi="CG Omega"/>
        </w:rPr>
        <w:t>A written assertion based on supporting evidence that must be kept available for inspection by HUD, by the Inspector General of HUD, and by the public.  The assertion shall be deemed to be accurate unless HUD determines otherwise, after inspecting the evidence and providing due notice and opportunity for comment.</w:t>
      </w:r>
    </w:p>
    <w:p w:rsidR="00BD659B" w:rsidRPr="00384234" w:rsidRDefault="00BD659B" w:rsidP="00BD659B">
      <w:pPr>
        <w:rPr>
          <w:rFonts w:ascii="CG Omega" w:hAnsi="CG Omega"/>
          <w:sz w:val="22"/>
          <w:szCs w:val="22"/>
        </w:rPr>
      </w:pPr>
    </w:p>
    <w:p w:rsidR="00BD659B" w:rsidRPr="00384234" w:rsidRDefault="00BD659B" w:rsidP="00BD659B">
      <w:pPr>
        <w:pStyle w:val="BodyText"/>
        <w:rPr>
          <w:rFonts w:ascii="CG Omega" w:hAnsi="CG Omega"/>
          <w:szCs w:val="24"/>
        </w:rPr>
      </w:pPr>
      <w:r w:rsidRPr="00384234">
        <w:rPr>
          <w:rFonts w:ascii="CG Omega" w:hAnsi="CG Omega"/>
          <w:b/>
          <w:szCs w:val="24"/>
          <w:u w:val="single"/>
        </w:rPr>
        <w:t>Community Development Block Grant Program (CDBG)</w:t>
      </w:r>
      <w:r w:rsidRPr="00384234">
        <w:rPr>
          <w:rFonts w:ascii="CG Omega" w:hAnsi="CG Omega"/>
          <w:szCs w:val="24"/>
        </w:rPr>
        <w:t xml:space="preserve"> A Community Development Block Grant is a federal grant to states, counties or cities.  It is used for housing and community development including housing construction and rehabilitation, economic development, and public services which benefit low- and moderate- income people.  Grant funds can also be used to fund activities which eliminate slums and blight or meet urgent needs. CDBG-R refers </w:t>
      </w:r>
      <w:r w:rsidR="007E6207" w:rsidRPr="00384234">
        <w:rPr>
          <w:rFonts w:ascii="CG Omega" w:hAnsi="CG Omega"/>
          <w:szCs w:val="24"/>
        </w:rPr>
        <w:t>funds granted through the American Recovery and Reinvestment Act of 2009.</w:t>
      </w:r>
      <w:r w:rsidRPr="00384234">
        <w:rPr>
          <w:rFonts w:ascii="CG Omega" w:hAnsi="CG Omega"/>
          <w:szCs w:val="24"/>
        </w:rPr>
        <w:t xml:space="preserve"> </w:t>
      </w:r>
    </w:p>
    <w:p w:rsidR="00BD659B" w:rsidRPr="00384234" w:rsidRDefault="00BD659B" w:rsidP="00BD659B">
      <w:pPr>
        <w:pStyle w:val="BodyText"/>
        <w:rPr>
          <w:rFonts w:ascii="CG Omega" w:hAnsi="CG Omega"/>
          <w:szCs w:val="24"/>
        </w:rPr>
      </w:pPr>
    </w:p>
    <w:p w:rsidR="00BD659B" w:rsidRPr="00384234" w:rsidRDefault="00BD659B" w:rsidP="00BD659B">
      <w:pPr>
        <w:jc w:val="both"/>
        <w:rPr>
          <w:rFonts w:ascii="CG Omega" w:hAnsi="CG Omega"/>
        </w:rPr>
      </w:pPr>
      <w:r w:rsidRPr="00384234">
        <w:rPr>
          <w:rFonts w:ascii="CG Omega" w:hAnsi="CG Omega"/>
          <w:b/>
          <w:u w:val="single"/>
        </w:rPr>
        <w:t>Community and Housing Development Organization (CHDO)</w:t>
      </w:r>
      <w:r w:rsidR="00453B0E">
        <w:rPr>
          <w:rFonts w:ascii="CG Omega" w:hAnsi="CG Omega"/>
        </w:rPr>
        <w:t xml:space="preserve"> </w:t>
      </w:r>
      <w:r w:rsidRPr="00384234">
        <w:rPr>
          <w:rFonts w:ascii="CG Omega" w:hAnsi="CG Omega"/>
        </w:rPr>
        <w:t>A federally defined type of nonprofit housing provider that must receive a minimum of 15 percent of all Federal HOME Investment Partnership funds.  The primary difference between CHDO and other nonprofits is the level of low-income residents' participation on the Board of Directors.</w:t>
      </w:r>
    </w:p>
    <w:p w:rsidR="00BD659B" w:rsidRPr="00384234" w:rsidRDefault="00BD659B" w:rsidP="00BD659B">
      <w:pPr>
        <w:jc w:val="both"/>
        <w:rPr>
          <w:rFonts w:ascii="CG Omega" w:hAnsi="CG Omega"/>
        </w:rPr>
      </w:pPr>
    </w:p>
    <w:p w:rsidR="00BD659B" w:rsidRPr="00384234" w:rsidRDefault="00BD659B" w:rsidP="00BD659B">
      <w:pPr>
        <w:jc w:val="both"/>
        <w:rPr>
          <w:rFonts w:ascii="CG Omega" w:hAnsi="CG Omega"/>
        </w:rPr>
      </w:pPr>
      <w:r w:rsidRPr="00384234">
        <w:rPr>
          <w:rFonts w:ascii="CG Omega" w:hAnsi="CG Omega"/>
          <w:b/>
          <w:u w:val="single"/>
        </w:rPr>
        <w:t>Comprehensive Grant Program (CGP)</w:t>
      </w:r>
      <w:r w:rsidR="00453B0E">
        <w:rPr>
          <w:rFonts w:ascii="CG Omega" w:hAnsi="CG Omega"/>
        </w:rPr>
        <w:t xml:space="preserve"> </w:t>
      </w:r>
      <w:r w:rsidRPr="00384234">
        <w:rPr>
          <w:rFonts w:ascii="CG Omega" w:hAnsi="CG Omega"/>
        </w:rPr>
        <w:t>HUD grant program via an annual formula to large public housing authorities to modernize public housing units.</w:t>
      </w:r>
    </w:p>
    <w:p w:rsidR="00BD659B" w:rsidRPr="00384234" w:rsidRDefault="00BD659B" w:rsidP="00BD659B">
      <w:pPr>
        <w:jc w:val="both"/>
        <w:rPr>
          <w:rFonts w:ascii="CG Omega" w:hAnsi="CG Omega"/>
        </w:rPr>
      </w:pPr>
    </w:p>
    <w:p w:rsidR="00BD659B" w:rsidRPr="00384234" w:rsidRDefault="00BD659B" w:rsidP="00BD659B">
      <w:pPr>
        <w:pStyle w:val="BodyText"/>
        <w:rPr>
          <w:rFonts w:ascii="CG Omega" w:hAnsi="CG Omega"/>
          <w:szCs w:val="24"/>
        </w:rPr>
      </w:pPr>
      <w:r w:rsidRPr="00384234">
        <w:rPr>
          <w:rFonts w:ascii="CG Omega" w:hAnsi="CG Omega"/>
          <w:b/>
          <w:szCs w:val="24"/>
          <w:u w:val="single"/>
        </w:rPr>
        <w:t>Consolidated Annual Performance and Evaluation Performance Report (CAPER)</w:t>
      </w:r>
      <w:r w:rsidRPr="00384234">
        <w:rPr>
          <w:rFonts w:ascii="CG Omega" w:hAnsi="CG Omega"/>
          <w:b/>
          <w:szCs w:val="24"/>
        </w:rPr>
        <w:t xml:space="preserve">  </w:t>
      </w:r>
      <w:r w:rsidRPr="00384234">
        <w:rPr>
          <w:rFonts w:ascii="CG Omega" w:hAnsi="CG Omega"/>
          <w:szCs w:val="24"/>
        </w:rPr>
        <w:t xml:space="preserve">The CAPER allows HUD, local officials, and the public to evaluate the grantees’ overall performance, including whether activities and strategies undertaken during the preceding year actually made an impact on the goals and needs identified in the Consolidated Plan. </w:t>
      </w:r>
    </w:p>
    <w:p w:rsidR="00BD659B" w:rsidRPr="00384234" w:rsidRDefault="00BD659B" w:rsidP="00BD659B">
      <w:pPr>
        <w:pStyle w:val="BodyText"/>
        <w:rPr>
          <w:rFonts w:ascii="CG Omega" w:hAnsi="CG Omega"/>
          <w:szCs w:val="24"/>
        </w:rPr>
      </w:pPr>
    </w:p>
    <w:p w:rsidR="00BD659B" w:rsidRPr="00384234" w:rsidRDefault="00BD659B" w:rsidP="00BD659B">
      <w:pPr>
        <w:jc w:val="both"/>
        <w:rPr>
          <w:rFonts w:ascii="CG Omega" w:hAnsi="CG Omega"/>
        </w:rPr>
      </w:pPr>
      <w:r w:rsidRPr="00384234">
        <w:rPr>
          <w:rFonts w:ascii="CG Omega" w:hAnsi="CG Omega"/>
          <w:b/>
          <w:u w:val="single"/>
        </w:rPr>
        <w:t>Consolidated Plan</w:t>
      </w:r>
      <w:r w:rsidRPr="00384234">
        <w:rPr>
          <w:rFonts w:ascii="CG Omega" w:hAnsi="CG Omega"/>
          <w:b/>
        </w:rPr>
        <w:t xml:space="preserve"> </w:t>
      </w:r>
      <w:r w:rsidRPr="00384234">
        <w:rPr>
          <w:rFonts w:ascii="CG Omega" w:hAnsi="CG Omega"/>
        </w:rPr>
        <w:t>The Consolidated Plan services four separate, but integrated functions.  The Consolidated Plan is: a planning document for the jurisdiction which builds on a participatory process with County residents; an application for federal funds under HUD’s formula grant programs which are: CDBG, HOME, ESG, HOPWA; a three-year strategy to be followed in carrying out HUD programs; and lastly, an ac</w:t>
      </w:r>
      <w:r w:rsidR="001602B1">
        <w:rPr>
          <w:rFonts w:ascii="CG Omega" w:hAnsi="CG Omega"/>
        </w:rPr>
        <w:t>tion plan describing individual</w:t>
      </w:r>
      <w:r w:rsidRPr="00384234">
        <w:rPr>
          <w:rFonts w:ascii="CG Omega" w:hAnsi="CG Omega"/>
        </w:rPr>
        <w:t xml:space="preserve"> activities to be implemented.</w:t>
      </w:r>
    </w:p>
    <w:p w:rsidR="00BD659B" w:rsidRPr="00384234" w:rsidRDefault="00BD659B" w:rsidP="00BD659B">
      <w:pPr>
        <w:pStyle w:val="BodyText"/>
        <w:rPr>
          <w:rFonts w:ascii="CG Omega" w:hAnsi="CG Omega"/>
          <w:szCs w:val="24"/>
        </w:rPr>
      </w:pPr>
    </w:p>
    <w:p w:rsidR="00BD659B" w:rsidRPr="00384234" w:rsidRDefault="00BD659B" w:rsidP="00BD659B">
      <w:pPr>
        <w:jc w:val="both"/>
        <w:rPr>
          <w:rFonts w:ascii="CG Omega" w:hAnsi="CG Omega"/>
        </w:rPr>
      </w:pPr>
      <w:r w:rsidRPr="00384234">
        <w:rPr>
          <w:rFonts w:ascii="CG Omega" w:hAnsi="CG Omega"/>
          <w:b/>
          <w:u w:val="single"/>
        </w:rPr>
        <w:t>Cost Burden</w:t>
      </w:r>
      <w:r w:rsidRPr="00384234">
        <w:rPr>
          <w:rFonts w:ascii="CG Omega" w:hAnsi="CG Omega"/>
        </w:rPr>
        <w:t xml:space="preserve"> The extent to which gross housing costs, including utility costs, exceeds 30 percent of gross income, based on data available from the U.S. Census Bureau.</w:t>
      </w:r>
    </w:p>
    <w:p w:rsidR="00BD659B" w:rsidRDefault="00BD659B" w:rsidP="00BD659B">
      <w:pPr>
        <w:jc w:val="both"/>
        <w:rPr>
          <w:rFonts w:ascii="CG Omega" w:hAnsi="CG Omega"/>
        </w:rPr>
      </w:pPr>
    </w:p>
    <w:p w:rsidR="00307C8E" w:rsidRPr="00307C8E" w:rsidRDefault="00307C8E" w:rsidP="00BD659B">
      <w:pPr>
        <w:jc w:val="both"/>
        <w:rPr>
          <w:rFonts w:ascii="CG Omega" w:hAnsi="CG Omega"/>
        </w:rPr>
      </w:pPr>
      <w:r>
        <w:rPr>
          <w:rFonts w:ascii="CG Omega" w:hAnsi="CG Omega"/>
          <w:b/>
          <w:u w:val="single"/>
        </w:rPr>
        <w:t>eCon Planning Suite</w:t>
      </w:r>
      <w:r>
        <w:rPr>
          <w:rFonts w:ascii="CG Omega" w:hAnsi="CG Omega"/>
        </w:rPr>
        <w:t xml:space="preserve">  </w:t>
      </w:r>
      <w:r w:rsidRPr="00307C8E">
        <w:rPr>
          <w:rFonts w:ascii="CG Omega" w:hAnsi="CG Omega"/>
          <w:color w:val="000000"/>
          <w:shd w:val="clear" w:color="auto" w:fill="FFFFFF"/>
        </w:rPr>
        <w:t>In May 2012, HUD's Office of Community Planning and Development (CPD) introduced the eCon Planning Suite, including the Consolidated Plan template in IDIS OnLine and the CPD Maps website. The eCon Planning Suite is designed to support grantees and the public to assess their needs and make strategic investment decisions by providing better data and tools and by creating a seamless planning and grants management framework.</w:t>
      </w:r>
    </w:p>
    <w:p w:rsidR="00BD659B" w:rsidRPr="00384234" w:rsidRDefault="00BD659B" w:rsidP="00BD659B">
      <w:pPr>
        <w:pStyle w:val="BodyText"/>
        <w:rPr>
          <w:rFonts w:ascii="CG Omega" w:hAnsi="CG Omega"/>
          <w:szCs w:val="24"/>
        </w:rPr>
      </w:pPr>
    </w:p>
    <w:p w:rsidR="00BD659B" w:rsidRPr="00384234" w:rsidRDefault="00BD659B" w:rsidP="00BD659B">
      <w:pPr>
        <w:jc w:val="both"/>
        <w:rPr>
          <w:rFonts w:ascii="CG Omega" w:hAnsi="CG Omega" w:cs="Arial"/>
          <w:color w:val="000080"/>
        </w:rPr>
      </w:pPr>
      <w:r w:rsidRPr="00384234">
        <w:rPr>
          <w:rFonts w:ascii="CG Omega" w:hAnsi="CG Omega"/>
          <w:b/>
          <w:u w:val="single"/>
        </w:rPr>
        <w:t>Elderly</w:t>
      </w:r>
      <w:r w:rsidRPr="00384234">
        <w:rPr>
          <w:rFonts w:ascii="CG Omega" w:hAnsi="CG Omega"/>
        </w:rPr>
        <w:t>:  The CDBG low</w:t>
      </w:r>
      <w:r w:rsidR="00B7171E" w:rsidRPr="00384234">
        <w:rPr>
          <w:rFonts w:ascii="CG Omega" w:hAnsi="CG Omega"/>
        </w:rPr>
        <w:t>-</w:t>
      </w:r>
      <w:r w:rsidRPr="00384234">
        <w:rPr>
          <w:rFonts w:ascii="CG Omega" w:hAnsi="CG Omega"/>
        </w:rPr>
        <w:t xml:space="preserve"> and moderate-income limited clientele national objective at 570.208(a)(2)(i)(A) includes the elderly as a presumptive group. However, the CDBG regulations do not define the term "elderly". Therefore, a grantee can use its own definition of elderly for non-hou</w:t>
      </w:r>
      <w:r w:rsidR="0094091C">
        <w:rPr>
          <w:rFonts w:ascii="CG Omega" w:hAnsi="CG Omega"/>
        </w:rPr>
        <w:t>sing activities.  As such, the c</w:t>
      </w:r>
      <w:r w:rsidRPr="00384234">
        <w:rPr>
          <w:rFonts w:ascii="CG Omega" w:hAnsi="CG Omega"/>
        </w:rPr>
        <w:t xml:space="preserve">ounty defines elderly as 55 years of age or older.  With regard to housing activities, the Consolidated Plan requires identification of housing needs for various groups, including the elderly, which is defined as 62 years of age or older at 24 CFR 91.5 and 24 CFR 5.100. Because of this, housing activities to be counted toward meeting a Consolidated Plan goal of housing for the elderly must use the definition in 24 CFR 5.100, 62 years or older. </w:t>
      </w:r>
    </w:p>
    <w:p w:rsidR="00BD659B" w:rsidRPr="00384234" w:rsidRDefault="00BD659B" w:rsidP="00BD659B">
      <w:pPr>
        <w:pStyle w:val="BodyText"/>
        <w:rPr>
          <w:rFonts w:ascii="CG Omega" w:hAnsi="CG Omega"/>
          <w:szCs w:val="24"/>
        </w:rPr>
      </w:pPr>
    </w:p>
    <w:p w:rsidR="00BD659B" w:rsidRPr="00384234" w:rsidRDefault="00DB34DA" w:rsidP="00BD659B">
      <w:pPr>
        <w:pStyle w:val="BodyText"/>
        <w:rPr>
          <w:rFonts w:ascii="CG Omega" w:hAnsi="CG Omega"/>
          <w:szCs w:val="24"/>
        </w:rPr>
      </w:pPr>
      <w:r w:rsidRPr="00384234">
        <w:rPr>
          <w:rFonts w:ascii="CG Omega" w:hAnsi="CG Omega"/>
          <w:b/>
          <w:szCs w:val="24"/>
          <w:u w:val="single"/>
        </w:rPr>
        <w:t>Emergency Solutions</w:t>
      </w:r>
      <w:r w:rsidR="00BD659B" w:rsidRPr="00384234">
        <w:rPr>
          <w:rFonts w:ascii="CG Omega" w:hAnsi="CG Omega"/>
          <w:b/>
          <w:szCs w:val="24"/>
          <w:u w:val="single"/>
        </w:rPr>
        <w:t xml:space="preserve"> Grant (ESG)</w:t>
      </w:r>
      <w:r w:rsidR="00BD659B" w:rsidRPr="00384234">
        <w:rPr>
          <w:rFonts w:ascii="CG Omega" w:hAnsi="CG Omega"/>
          <w:b/>
          <w:szCs w:val="24"/>
        </w:rPr>
        <w:t xml:space="preserve"> </w:t>
      </w:r>
      <w:r w:rsidRPr="00384234">
        <w:rPr>
          <w:rFonts w:ascii="CG Omega" w:hAnsi="CG Omega"/>
          <w:szCs w:val="24"/>
        </w:rPr>
        <w:t>Formerly the E</w:t>
      </w:r>
      <w:r w:rsidR="00BD659B" w:rsidRPr="00384234">
        <w:rPr>
          <w:rFonts w:ascii="CG Omega" w:hAnsi="CG Omega"/>
          <w:szCs w:val="24"/>
        </w:rPr>
        <w:t>mergency Shelter Grant Program</w:t>
      </w:r>
      <w:r w:rsidRPr="00384234">
        <w:rPr>
          <w:rFonts w:ascii="CG Omega" w:hAnsi="CG Omega"/>
          <w:szCs w:val="24"/>
        </w:rPr>
        <w:t>, the ESG</w:t>
      </w:r>
      <w:r w:rsidR="00BD659B" w:rsidRPr="00384234">
        <w:rPr>
          <w:rFonts w:ascii="CG Omega" w:hAnsi="CG Omega"/>
          <w:szCs w:val="24"/>
        </w:rPr>
        <w:t xml:space="preserve"> is a federally funded program designed to help, improve and maintain the quality of existing emergency shelters for the homeless.  ESG helps emergency shelters meet the costs of operating emergency shelters and of providing certain essential social services to homeless individuals so these persons have access to a safe and sanitary shelter, and to the supportive services and other kinds of assistance they need to improve their situations.  The program is also intended to prevent the increase of homelessness through the funding of preventive programs and activities.</w:t>
      </w:r>
    </w:p>
    <w:p w:rsidR="00BD659B" w:rsidRPr="00384234" w:rsidRDefault="00BD659B" w:rsidP="00BD659B">
      <w:pPr>
        <w:jc w:val="both"/>
        <w:rPr>
          <w:rFonts w:ascii="CG Omega" w:hAnsi="CG Omega"/>
        </w:rPr>
      </w:pPr>
    </w:p>
    <w:p w:rsidR="00BD659B" w:rsidRPr="00384234" w:rsidRDefault="00BD659B" w:rsidP="00BD659B">
      <w:pPr>
        <w:jc w:val="both"/>
        <w:rPr>
          <w:rFonts w:ascii="CG Omega" w:hAnsi="CG Omega"/>
        </w:rPr>
      </w:pPr>
      <w:r w:rsidRPr="00384234">
        <w:rPr>
          <w:rFonts w:ascii="CG Omega" w:hAnsi="CG Omega"/>
          <w:b/>
          <w:u w:val="single"/>
        </w:rPr>
        <w:t>Emergency Shelter</w:t>
      </w:r>
      <w:r w:rsidR="00453B0E" w:rsidRPr="00453B0E">
        <w:rPr>
          <w:rFonts w:ascii="CG Omega" w:hAnsi="CG Omega"/>
          <w:b/>
        </w:rPr>
        <w:t xml:space="preserve"> </w:t>
      </w:r>
      <w:r w:rsidRPr="00384234">
        <w:rPr>
          <w:rFonts w:ascii="CG Omega" w:hAnsi="CG Omega"/>
        </w:rPr>
        <w:t>Any facility with overnight sleeping accommodations, the primary purpose of which is to provide temporary shelter for the homeless in general or for specific populations of the homeless.</w:t>
      </w:r>
    </w:p>
    <w:p w:rsidR="00BD659B" w:rsidRPr="00384234" w:rsidRDefault="00BD659B" w:rsidP="00BD659B">
      <w:pPr>
        <w:jc w:val="both"/>
        <w:rPr>
          <w:rFonts w:ascii="CG Omega" w:hAnsi="CG Omega"/>
        </w:rPr>
      </w:pPr>
    </w:p>
    <w:p w:rsidR="00BD659B" w:rsidRPr="00384234" w:rsidRDefault="00BD659B" w:rsidP="00BD659B">
      <w:pPr>
        <w:jc w:val="both"/>
        <w:rPr>
          <w:rFonts w:ascii="CG Omega" w:hAnsi="CG Omega"/>
        </w:rPr>
      </w:pPr>
      <w:r w:rsidRPr="00384234">
        <w:rPr>
          <w:rFonts w:ascii="CG Omega" w:hAnsi="CG Omega"/>
          <w:b/>
          <w:u w:val="single"/>
        </w:rPr>
        <w:t>Entitlement</w:t>
      </w:r>
      <w:r w:rsidRPr="00384234">
        <w:rPr>
          <w:rFonts w:ascii="CG Omega" w:hAnsi="CG Omega"/>
        </w:rPr>
        <w:t xml:space="preserve"> An underlying formula governing the allocation of Block Grant funds to eligible recipients.  Entitlement grants are provided to larger urban cities (i.e. population greater than 50,000) and larger urban counties (greater than 200,000).</w:t>
      </w:r>
    </w:p>
    <w:p w:rsidR="00BD659B" w:rsidRPr="00384234" w:rsidRDefault="00BD659B" w:rsidP="00BD659B">
      <w:pPr>
        <w:jc w:val="both"/>
        <w:rPr>
          <w:rFonts w:ascii="CG Omega" w:hAnsi="CG Omega"/>
        </w:rPr>
      </w:pPr>
    </w:p>
    <w:p w:rsidR="00BD659B" w:rsidRPr="00384234" w:rsidRDefault="00BD659B" w:rsidP="00BD659B">
      <w:pPr>
        <w:jc w:val="both"/>
        <w:rPr>
          <w:rFonts w:ascii="CG Omega" w:hAnsi="CG Omega"/>
        </w:rPr>
      </w:pPr>
      <w:r w:rsidRPr="00384234">
        <w:rPr>
          <w:rFonts w:ascii="CG Omega" w:hAnsi="CG Omega"/>
          <w:b/>
          <w:u w:val="single"/>
        </w:rPr>
        <w:t>Federal National Mortgage Association (Fannie Mae)</w:t>
      </w:r>
      <w:r w:rsidRPr="00384234">
        <w:rPr>
          <w:rFonts w:ascii="CG Omega" w:hAnsi="CG Omega"/>
        </w:rPr>
        <w:t xml:space="preserve"> A federally chartered, stockholder owned corporation which supports the secondary market for both conventional mortgages and mortgages insured by the FHA and guaranteed by VA.</w:t>
      </w:r>
    </w:p>
    <w:p w:rsidR="00BD659B" w:rsidRPr="00384234" w:rsidRDefault="00BD659B" w:rsidP="00BD659B">
      <w:pPr>
        <w:jc w:val="both"/>
        <w:rPr>
          <w:rFonts w:ascii="CG Omega" w:hAnsi="CG Omega"/>
        </w:rPr>
      </w:pPr>
    </w:p>
    <w:p w:rsidR="00BD659B" w:rsidRPr="00384234" w:rsidRDefault="00BD659B" w:rsidP="00BD659B">
      <w:pPr>
        <w:jc w:val="both"/>
        <w:rPr>
          <w:rFonts w:ascii="CG Omega" w:hAnsi="CG Omega"/>
        </w:rPr>
      </w:pPr>
      <w:r w:rsidRPr="00384234">
        <w:rPr>
          <w:rFonts w:ascii="CG Omega" w:hAnsi="CG Omega"/>
          <w:b/>
          <w:u w:val="single"/>
        </w:rPr>
        <w:t>Financing</w:t>
      </w:r>
      <w:r w:rsidRPr="00384234">
        <w:rPr>
          <w:rFonts w:ascii="CG Omega" w:hAnsi="CG Omega"/>
        </w:rPr>
        <w:t xml:space="preserve"> Functions necessary to provide the financial resources to fund government operations and federal assistance including the functions of taxation, fee and revenue generation, public debt, deposit funds, and intra governmental collections.</w:t>
      </w:r>
    </w:p>
    <w:p w:rsidR="00BD659B" w:rsidRPr="00384234" w:rsidRDefault="00BD659B" w:rsidP="00BD659B">
      <w:pPr>
        <w:jc w:val="both"/>
        <w:rPr>
          <w:rFonts w:ascii="CG Omega" w:hAnsi="CG Omega"/>
        </w:rPr>
      </w:pPr>
    </w:p>
    <w:p w:rsidR="00BD659B" w:rsidRPr="00384234" w:rsidRDefault="00BD659B" w:rsidP="00BD659B">
      <w:pPr>
        <w:jc w:val="both"/>
        <w:rPr>
          <w:rFonts w:ascii="CG Omega" w:hAnsi="CG Omega"/>
        </w:rPr>
      </w:pPr>
      <w:r w:rsidRPr="00384234">
        <w:rPr>
          <w:rFonts w:ascii="CG Omega" w:hAnsi="CG Omega"/>
          <w:b/>
          <w:u w:val="single"/>
        </w:rPr>
        <w:t>First-time Homebuyer</w:t>
      </w:r>
      <w:r w:rsidR="00453B0E">
        <w:rPr>
          <w:rFonts w:ascii="CG Omega" w:hAnsi="CG Omega"/>
        </w:rPr>
        <w:t xml:space="preserve"> </w:t>
      </w:r>
      <w:r w:rsidRPr="00384234">
        <w:rPr>
          <w:rFonts w:ascii="CG Omega" w:hAnsi="CG Omega"/>
        </w:rPr>
        <w:t>An individual or family who has not owned a home during the three-year period preceding the assisted purchase of a home that must be occupied as the principal residence of the homebuyer.  Any individual who is a displaced homemaker or a single parent may not be excluded from consideration as a first-time homebuyer on the basis that the individual, while a homemaker or married, owned a home with his or her spouse or resided in a home owned by the spouse.</w:t>
      </w:r>
    </w:p>
    <w:p w:rsidR="00BD659B" w:rsidRPr="00384234" w:rsidRDefault="00BD659B" w:rsidP="00BD659B">
      <w:pPr>
        <w:jc w:val="both"/>
        <w:rPr>
          <w:rFonts w:ascii="CG Omega" w:hAnsi="CG Omega"/>
        </w:rPr>
      </w:pPr>
    </w:p>
    <w:p w:rsidR="00BD659B" w:rsidRPr="00384234" w:rsidRDefault="00BD659B" w:rsidP="00BD659B">
      <w:pPr>
        <w:jc w:val="both"/>
        <w:rPr>
          <w:rFonts w:ascii="CG Omega" w:hAnsi="CG Omega"/>
        </w:rPr>
      </w:pPr>
      <w:r w:rsidRPr="00384234">
        <w:rPr>
          <w:rFonts w:ascii="CG Omega" w:hAnsi="CG Omega"/>
          <w:b/>
          <w:u w:val="single"/>
        </w:rPr>
        <w:t>Fiscal Year</w:t>
      </w:r>
      <w:r w:rsidRPr="00384234">
        <w:rPr>
          <w:rFonts w:ascii="CG Omega" w:hAnsi="CG Omega"/>
        </w:rPr>
        <w:t xml:space="preserve"> </w:t>
      </w:r>
      <w:r w:rsidR="00453B0E">
        <w:rPr>
          <w:rFonts w:ascii="CG Omega" w:hAnsi="CG Omega"/>
        </w:rPr>
        <w:t xml:space="preserve"> </w:t>
      </w:r>
      <w:r w:rsidRPr="00384234">
        <w:rPr>
          <w:rFonts w:ascii="CG Omega" w:hAnsi="CG Omega"/>
        </w:rPr>
        <w:t>Any yearly accounting period, regardless of its relationship to a calendar year.</w:t>
      </w:r>
    </w:p>
    <w:p w:rsidR="00BD659B" w:rsidRPr="00384234" w:rsidRDefault="00BD659B" w:rsidP="00BD659B">
      <w:pPr>
        <w:jc w:val="both"/>
        <w:rPr>
          <w:rFonts w:ascii="CG Omega" w:hAnsi="CG Omega"/>
        </w:rPr>
      </w:pPr>
    </w:p>
    <w:p w:rsidR="00BD659B" w:rsidRDefault="00BD659B" w:rsidP="00BD659B">
      <w:pPr>
        <w:jc w:val="both"/>
        <w:rPr>
          <w:rFonts w:ascii="CG Omega" w:hAnsi="CG Omega"/>
        </w:rPr>
      </w:pPr>
      <w:r w:rsidRPr="00384234">
        <w:rPr>
          <w:rFonts w:ascii="CG Omega" w:hAnsi="CG Omega"/>
          <w:b/>
          <w:u w:val="single"/>
        </w:rPr>
        <w:t>Full Time Equivalent (FTE)</w:t>
      </w:r>
      <w:r w:rsidRPr="00384234">
        <w:rPr>
          <w:rFonts w:ascii="CG Omega" w:hAnsi="CG Omega"/>
        </w:rPr>
        <w:t xml:space="preserve">  One FTE is 2,080 hours of paid employment.  The number of FTEs is derived by summing the total number of hours (for which included categories of employees) are paid by the appropriate categories of employees and dividing by 2,080 hours (one work-year).   Appropriate categories include, but are not limited to, overtime hours, hours for full-time permanent employees, temporary employees, and intermittent employees who may not have been paid for an entire reporting period.</w:t>
      </w:r>
    </w:p>
    <w:p w:rsidR="00453B0E" w:rsidRPr="00384234" w:rsidRDefault="00453B0E" w:rsidP="00BD659B">
      <w:pPr>
        <w:jc w:val="both"/>
        <w:rPr>
          <w:rFonts w:ascii="CG Omega" w:hAnsi="CG Omega"/>
        </w:rPr>
      </w:pPr>
    </w:p>
    <w:p w:rsidR="00BD659B" w:rsidRPr="00384234" w:rsidRDefault="00BD659B" w:rsidP="00BD659B">
      <w:pPr>
        <w:jc w:val="both"/>
        <w:rPr>
          <w:rFonts w:ascii="CG Omega" w:hAnsi="CG Omega"/>
        </w:rPr>
      </w:pPr>
      <w:r w:rsidRPr="00384234">
        <w:rPr>
          <w:rFonts w:ascii="CG Omega" w:hAnsi="CG Omega"/>
          <w:b/>
          <w:u w:val="single"/>
        </w:rPr>
        <w:t>Grant</w:t>
      </w:r>
      <w:r w:rsidRPr="00384234">
        <w:rPr>
          <w:rFonts w:ascii="CG Omega" w:hAnsi="CG Omega"/>
        </w:rPr>
        <w:t xml:space="preserve"> </w:t>
      </w:r>
      <w:r w:rsidR="00453B0E">
        <w:rPr>
          <w:rFonts w:ascii="CG Omega" w:hAnsi="CG Omega"/>
        </w:rPr>
        <w:t xml:space="preserve"> </w:t>
      </w:r>
      <w:r w:rsidRPr="00384234">
        <w:rPr>
          <w:rFonts w:ascii="CG Omega" w:hAnsi="CG Omega"/>
        </w:rPr>
        <w:t>A federal grant may be defined as a form of assistance authorized by statute in which a federal agency (grantor) transfers something of value to a party (the grantee) usually, but not always, outside the federal government, for a purpose, undertaking, or activity of the grantee which the government has chosen to assist, to be carried out without substantial involvement on the part of the federal government.  The “thing of value” is usually money, but may, depending on the program legislation, also includes property or services.  The grantee, again depending on the program legislation, may be a state or local government, a nonprofit organization, or a private individual or business entity.</w:t>
      </w:r>
    </w:p>
    <w:p w:rsidR="00BD659B" w:rsidRPr="00384234" w:rsidRDefault="00BD659B" w:rsidP="00BD659B">
      <w:pPr>
        <w:jc w:val="both"/>
        <w:rPr>
          <w:rFonts w:ascii="CG Omega" w:hAnsi="CG Omega"/>
        </w:rPr>
      </w:pPr>
    </w:p>
    <w:p w:rsidR="00BD659B" w:rsidRPr="00384234" w:rsidRDefault="00BD659B" w:rsidP="00BD659B">
      <w:pPr>
        <w:pStyle w:val="BodyText"/>
        <w:rPr>
          <w:rFonts w:ascii="CG Omega" w:hAnsi="CG Omega"/>
          <w:szCs w:val="24"/>
        </w:rPr>
      </w:pPr>
      <w:r w:rsidRPr="00384234">
        <w:rPr>
          <w:rFonts w:ascii="CG Omega" w:hAnsi="CG Omega"/>
          <w:b/>
          <w:szCs w:val="24"/>
          <w:u w:val="single"/>
        </w:rPr>
        <w:t>HOME</w:t>
      </w:r>
      <w:r w:rsidRPr="00384234">
        <w:rPr>
          <w:rFonts w:ascii="CG Omega" w:hAnsi="CG Omega"/>
          <w:szCs w:val="24"/>
        </w:rPr>
        <w:t xml:space="preserve"> </w:t>
      </w:r>
      <w:r w:rsidRPr="00384234">
        <w:rPr>
          <w:rFonts w:ascii="CG Omega" w:hAnsi="CG Omega"/>
          <w:b/>
          <w:szCs w:val="24"/>
        </w:rPr>
        <w:t xml:space="preserve"> </w:t>
      </w:r>
      <w:r w:rsidRPr="00384234">
        <w:rPr>
          <w:rFonts w:ascii="CG Omega" w:hAnsi="CG Omega"/>
          <w:szCs w:val="24"/>
        </w:rPr>
        <w:t>The Home Investment Partnership Program, which is authorized by Title II of the National Affordable Housing Act.  This federally funded program is designed to expand the housing, for very low-income people</w:t>
      </w:r>
      <w:r w:rsidR="00CA7F85">
        <w:rPr>
          <w:rFonts w:ascii="CG Omega" w:hAnsi="CG Omega"/>
          <w:szCs w:val="24"/>
        </w:rPr>
        <w:t>,</w:t>
      </w:r>
      <w:r w:rsidRPr="00384234">
        <w:rPr>
          <w:rFonts w:ascii="CG Omega" w:hAnsi="CG Omega"/>
          <w:szCs w:val="24"/>
        </w:rPr>
        <w:t xml:space="preserve"> </w:t>
      </w:r>
      <w:r w:rsidR="00CA7F85">
        <w:rPr>
          <w:rFonts w:ascii="CG Omega" w:hAnsi="CG Omega"/>
          <w:szCs w:val="24"/>
        </w:rPr>
        <w:t xml:space="preserve">by making </w:t>
      </w:r>
      <w:r w:rsidRPr="00384234">
        <w:rPr>
          <w:rFonts w:ascii="CG Omega" w:hAnsi="CG Omega"/>
          <w:szCs w:val="24"/>
        </w:rPr>
        <w:t>new construction, rehabilitation, substantial rehabilitation, and acquisition of such housing feasible, through partnerships among the federal government, states and units of general local government, private industry, and nonprofit organizations able to utilize effectively all available resources.</w:t>
      </w:r>
    </w:p>
    <w:p w:rsidR="00BD659B" w:rsidRPr="00384234" w:rsidRDefault="00BD659B" w:rsidP="00BD659B">
      <w:pPr>
        <w:jc w:val="both"/>
        <w:rPr>
          <w:rFonts w:ascii="CG Omega" w:hAnsi="CG Omega"/>
        </w:rPr>
      </w:pPr>
    </w:p>
    <w:p w:rsidR="00BD659B" w:rsidRPr="00384234" w:rsidRDefault="00BD659B" w:rsidP="00BD659B">
      <w:pPr>
        <w:jc w:val="both"/>
        <w:rPr>
          <w:rFonts w:ascii="CG Omega" w:hAnsi="CG Omega"/>
        </w:rPr>
      </w:pPr>
      <w:r w:rsidRPr="00384234">
        <w:rPr>
          <w:rFonts w:ascii="CG Omega" w:hAnsi="CG Omega"/>
          <w:b/>
          <w:u w:val="single"/>
        </w:rPr>
        <w:t>HOME Funds</w:t>
      </w:r>
      <w:r w:rsidRPr="00384234">
        <w:rPr>
          <w:rFonts w:ascii="CG Omega" w:hAnsi="CG Omega"/>
        </w:rPr>
        <w:t xml:space="preserve">  Funds made available under the HOME Program through allocations and reallocations, plus all repayments and interest or other return on the investment of these funds.</w:t>
      </w:r>
    </w:p>
    <w:p w:rsidR="00BD659B" w:rsidRPr="00384234" w:rsidRDefault="00BD659B" w:rsidP="00BD659B">
      <w:pPr>
        <w:jc w:val="both"/>
        <w:rPr>
          <w:rFonts w:ascii="CG Omega" w:hAnsi="CG Omega"/>
        </w:rPr>
      </w:pPr>
    </w:p>
    <w:p w:rsidR="001959D0" w:rsidRPr="001959D0" w:rsidRDefault="00BD659B" w:rsidP="006644EC">
      <w:pPr>
        <w:jc w:val="both"/>
        <w:rPr>
          <w:rFonts w:ascii="CG Omega" w:hAnsi="CG Omega"/>
        </w:rPr>
      </w:pPr>
      <w:r w:rsidRPr="00384234">
        <w:rPr>
          <w:rFonts w:ascii="CG Omega" w:hAnsi="CG Omega"/>
          <w:b/>
          <w:u w:val="single"/>
        </w:rPr>
        <w:t>Homeless</w:t>
      </w:r>
      <w:r w:rsidRPr="00384234">
        <w:rPr>
          <w:rFonts w:ascii="CG Omega" w:hAnsi="CG Omega"/>
        </w:rPr>
        <w:t xml:space="preserve">  </w:t>
      </w:r>
      <w:r w:rsidR="00AE5814">
        <w:rPr>
          <w:rFonts w:ascii="CG Omega" w:hAnsi="CG Omega"/>
        </w:rPr>
        <w:t>According to the H</w:t>
      </w:r>
      <w:r w:rsidR="001959D0" w:rsidRPr="001959D0">
        <w:rPr>
          <w:rFonts w:ascii="CG Omega" w:hAnsi="CG Omega"/>
        </w:rPr>
        <w:t>EARTH Act of 2009, the term “homeless”, “homeless individual”, and “homeless person” means:</w:t>
      </w:r>
    </w:p>
    <w:p w:rsidR="001959D0" w:rsidRPr="001959D0" w:rsidRDefault="001959D0" w:rsidP="006644EC">
      <w:pPr>
        <w:jc w:val="both"/>
        <w:rPr>
          <w:rFonts w:ascii="CG Omega" w:hAnsi="CG Omega"/>
        </w:rPr>
      </w:pPr>
      <w:r w:rsidRPr="001959D0">
        <w:rPr>
          <w:rFonts w:ascii="CG Omega" w:hAnsi="CG Omega"/>
        </w:rPr>
        <w:t xml:space="preserve">(1) </w:t>
      </w:r>
      <w:r w:rsidR="00453B0E">
        <w:rPr>
          <w:rFonts w:ascii="CG Omega" w:hAnsi="CG Omega"/>
        </w:rPr>
        <w:t>A</w:t>
      </w:r>
      <w:r w:rsidRPr="001959D0">
        <w:rPr>
          <w:rFonts w:ascii="CG Omega" w:hAnsi="CG Omega"/>
        </w:rPr>
        <w:t>n individual or family who lacks a fixed, regular, and adequate nighttime residence</w:t>
      </w:r>
      <w:r w:rsidR="00453B0E">
        <w:rPr>
          <w:rFonts w:ascii="CG Omega" w:hAnsi="CG Omega"/>
        </w:rPr>
        <w:t>.</w:t>
      </w:r>
      <w:r w:rsidRPr="001959D0">
        <w:rPr>
          <w:rFonts w:ascii="CG Omega" w:hAnsi="CG Omega"/>
        </w:rPr>
        <w:t xml:space="preserve"> </w:t>
      </w:r>
    </w:p>
    <w:p w:rsidR="001959D0" w:rsidRPr="001959D0" w:rsidRDefault="001959D0" w:rsidP="006644EC">
      <w:pPr>
        <w:jc w:val="both"/>
        <w:rPr>
          <w:rFonts w:ascii="CG Omega" w:hAnsi="CG Omega"/>
        </w:rPr>
      </w:pPr>
      <w:r w:rsidRPr="001959D0">
        <w:rPr>
          <w:rFonts w:ascii="CG Omega" w:hAnsi="CG Omega"/>
        </w:rPr>
        <w:t xml:space="preserve">(2) </w:t>
      </w:r>
      <w:r w:rsidR="00453B0E">
        <w:rPr>
          <w:rFonts w:ascii="CG Omega" w:hAnsi="CG Omega"/>
        </w:rPr>
        <w:t>A</w:t>
      </w:r>
      <w:r w:rsidRPr="001959D0">
        <w:rPr>
          <w:rFonts w:ascii="CG Omega" w:hAnsi="CG Omega"/>
        </w:rPr>
        <w:t>n individual or family with a primary nighttime residence that is a public or private place not designed for or ordinarily used as a regular sleeping accommodation for human beings, including a car, park, abandoned building, bus or train stat</w:t>
      </w:r>
      <w:r w:rsidR="00453B0E">
        <w:rPr>
          <w:rFonts w:ascii="CG Omega" w:hAnsi="CG Omega"/>
        </w:rPr>
        <w:t>ion, airport, or camping ground.</w:t>
      </w:r>
      <w:r w:rsidRPr="001959D0">
        <w:rPr>
          <w:rFonts w:ascii="CG Omega" w:hAnsi="CG Omega"/>
        </w:rPr>
        <w:t xml:space="preserve"> </w:t>
      </w:r>
    </w:p>
    <w:p w:rsidR="001959D0" w:rsidRPr="001959D0" w:rsidRDefault="001959D0" w:rsidP="006644EC">
      <w:pPr>
        <w:jc w:val="both"/>
        <w:rPr>
          <w:rFonts w:ascii="CG Omega" w:hAnsi="CG Omega"/>
        </w:rPr>
      </w:pPr>
      <w:r w:rsidRPr="001959D0">
        <w:rPr>
          <w:rFonts w:ascii="CG Omega" w:hAnsi="CG Omega"/>
        </w:rPr>
        <w:t xml:space="preserve">(3) </w:t>
      </w:r>
      <w:r w:rsidR="00453B0E">
        <w:rPr>
          <w:rFonts w:ascii="CG Omega" w:hAnsi="CG Omega"/>
        </w:rPr>
        <w:t>A</w:t>
      </w:r>
      <w:r w:rsidRPr="001959D0">
        <w:rPr>
          <w:rFonts w:ascii="CG Omega" w:hAnsi="CG Omega"/>
        </w:rPr>
        <w:t>n individual or family living in a supervised publicly or privately operated shelter designated to provide temporary living arrangements (including</w:t>
      </w:r>
      <w:r>
        <w:rPr>
          <w:rFonts w:ascii="CG Omega" w:hAnsi="CG Omega"/>
        </w:rPr>
        <w:t xml:space="preserve"> hotels and motels paid for by </w:t>
      </w:r>
      <w:r w:rsidRPr="001959D0">
        <w:rPr>
          <w:rFonts w:ascii="CG Omega" w:hAnsi="CG Omega"/>
        </w:rPr>
        <w:t>Federal, State, or local government programs for low-income individuals or by charitable organizations, congregate shel</w:t>
      </w:r>
      <w:r w:rsidR="00453B0E">
        <w:rPr>
          <w:rFonts w:ascii="CG Omega" w:hAnsi="CG Omega"/>
        </w:rPr>
        <w:t>ters, and transitional housing).</w:t>
      </w:r>
      <w:r w:rsidRPr="001959D0">
        <w:rPr>
          <w:rFonts w:ascii="CG Omega" w:hAnsi="CG Omega"/>
        </w:rPr>
        <w:t xml:space="preserve"> </w:t>
      </w:r>
    </w:p>
    <w:p w:rsidR="001959D0" w:rsidRPr="001959D0" w:rsidRDefault="001959D0" w:rsidP="006644EC">
      <w:pPr>
        <w:jc w:val="both"/>
        <w:rPr>
          <w:rFonts w:ascii="CG Omega" w:hAnsi="CG Omega"/>
        </w:rPr>
      </w:pPr>
      <w:r w:rsidRPr="001959D0">
        <w:rPr>
          <w:rFonts w:ascii="CG Omega" w:hAnsi="CG Omega"/>
        </w:rPr>
        <w:t xml:space="preserve">(4) </w:t>
      </w:r>
      <w:r w:rsidR="00453B0E">
        <w:rPr>
          <w:rFonts w:ascii="CG Omega" w:hAnsi="CG Omega"/>
        </w:rPr>
        <w:t>A</w:t>
      </w:r>
      <w:r w:rsidRPr="001959D0">
        <w:rPr>
          <w:rFonts w:ascii="CG Omega" w:hAnsi="CG Omega"/>
        </w:rPr>
        <w:t xml:space="preserve">n individual who resided in a shelter or place not meant for human habitation and who is exiting an institution where he or she temporarily resided; </w:t>
      </w:r>
    </w:p>
    <w:p w:rsidR="001959D0" w:rsidRPr="001959D0" w:rsidRDefault="001959D0" w:rsidP="006644EC">
      <w:pPr>
        <w:jc w:val="both"/>
        <w:rPr>
          <w:rFonts w:ascii="CG Omega" w:hAnsi="CG Omega"/>
        </w:rPr>
      </w:pPr>
      <w:r w:rsidRPr="001959D0">
        <w:rPr>
          <w:rFonts w:ascii="CG Omega" w:hAnsi="CG Omega"/>
        </w:rPr>
        <w:t xml:space="preserve">(5) </w:t>
      </w:r>
      <w:r w:rsidR="00453B0E">
        <w:rPr>
          <w:rFonts w:ascii="CG Omega" w:hAnsi="CG Omega"/>
        </w:rPr>
        <w:t>A</w:t>
      </w:r>
      <w:r w:rsidRPr="001959D0">
        <w:rPr>
          <w:rFonts w:ascii="CG Omega" w:hAnsi="CG Omega"/>
        </w:rPr>
        <w:t xml:space="preserve">n individual or family who— </w:t>
      </w:r>
    </w:p>
    <w:p w:rsidR="001959D0" w:rsidRPr="001959D0" w:rsidRDefault="001959D0" w:rsidP="006644EC">
      <w:pPr>
        <w:ind w:left="720"/>
        <w:jc w:val="both"/>
        <w:rPr>
          <w:rFonts w:ascii="CG Omega" w:hAnsi="CG Omega"/>
        </w:rPr>
      </w:pPr>
      <w:r w:rsidRPr="001959D0">
        <w:rPr>
          <w:rFonts w:ascii="CG Omega" w:hAnsi="CG Omega"/>
        </w:rPr>
        <w:t xml:space="preserve">(A) </w:t>
      </w:r>
      <w:r w:rsidR="00453B0E">
        <w:rPr>
          <w:rFonts w:ascii="CG Omega" w:hAnsi="CG Omega"/>
        </w:rPr>
        <w:t>W</w:t>
      </w:r>
      <w:r w:rsidRPr="001959D0">
        <w:rPr>
          <w:rFonts w:ascii="CG Omega" w:hAnsi="CG Omega"/>
        </w:rPr>
        <w:t xml:space="preserve">ill imminently lose their housing, including housing they own, rent, or live in without paying rent, are sharing with others, and rooms in hotels or motels not paid for by Federal, State, or local government programs for low-income individuals or by charitable organizations, as evidenced by— </w:t>
      </w:r>
    </w:p>
    <w:p w:rsidR="001959D0" w:rsidRPr="001959D0" w:rsidRDefault="001959D0" w:rsidP="006644EC">
      <w:pPr>
        <w:ind w:left="1440"/>
        <w:jc w:val="both"/>
        <w:rPr>
          <w:rFonts w:ascii="CG Omega" w:hAnsi="CG Omega"/>
        </w:rPr>
      </w:pPr>
      <w:r w:rsidRPr="001959D0">
        <w:rPr>
          <w:rFonts w:ascii="CG Omega" w:hAnsi="CG Omega"/>
        </w:rPr>
        <w:t xml:space="preserve">(i) </w:t>
      </w:r>
      <w:r w:rsidR="00453B0E" w:rsidRPr="001959D0">
        <w:rPr>
          <w:rFonts w:ascii="CG Omega" w:hAnsi="CG Omega"/>
        </w:rPr>
        <w:t>A</w:t>
      </w:r>
      <w:r w:rsidRPr="001959D0">
        <w:rPr>
          <w:rFonts w:ascii="CG Omega" w:hAnsi="CG Omega"/>
        </w:rPr>
        <w:t xml:space="preserve"> court order resulting from an eviction action that notifies the individual or family that they must leave within 14 days</w:t>
      </w:r>
      <w:r w:rsidR="00453B0E">
        <w:rPr>
          <w:rFonts w:ascii="CG Omega" w:hAnsi="CG Omega"/>
        </w:rPr>
        <w:t>.</w:t>
      </w:r>
      <w:r w:rsidRPr="001959D0">
        <w:rPr>
          <w:rFonts w:ascii="CG Omega" w:hAnsi="CG Omega"/>
        </w:rPr>
        <w:t xml:space="preserve"> </w:t>
      </w:r>
    </w:p>
    <w:p w:rsidR="001959D0" w:rsidRPr="001959D0" w:rsidRDefault="00453B0E" w:rsidP="006644EC">
      <w:pPr>
        <w:ind w:left="1440"/>
        <w:jc w:val="both"/>
        <w:rPr>
          <w:rFonts w:ascii="CG Omega" w:hAnsi="CG Omega"/>
        </w:rPr>
      </w:pPr>
      <w:r>
        <w:rPr>
          <w:rFonts w:ascii="CG Omega" w:hAnsi="CG Omega"/>
        </w:rPr>
        <w:t>(ii) T</w:t>
      </w:r>
      <w:r w:rsidR="001959D0" w:rsidRPr="001959D0">
        <w:rPr>
          <w:rFonts w:ascii="CG Omega" w:hAnsi="CG Omega"/>
        </w:rPr>
        <w:t>he individual or family having a primary nighttime residence that is a room in a hotel or motel and where they lack the resources necessary to reside there for more than 14 days</w:t>
      </w:r>
      <w:r>
        <w:rPr>
          <w:rFonts w:ascii="CG Omega" w:hAnsi="CG Omega"/>
        </w:rPr>
        <w:t>.</w:t>
      </w:r>
      <w:r w:rsidR="001959D0" w:rsidRPr="001959D0">
        <w:rPr>
          <w:rFonts w:ascii="CG Omega" w:hAnsi="CG Omega"/>
        </w:rPr>
        <w:t xml:space="preserve"> </w:t>
      </w:r>
    </w:p>
    <w:p w:rsidR="001959D0" w:rsidRPr="001959D0" w:rsidRDefault="001959D0" w:rsidP="006644EC">
      <w:pPr>
        <w:ind w:left="1440"/>
        <w:jc w:val="both"/>
        <w:rPr>
          <w:rFonts w:ascii="CG Omega" w:hAnsi="CG Omega"/>
        </w:rPr>
      </w:pPr>
      <w:r w:rsidRPr="001959D0">
        <w:rPr>
          <w:rFonts w:ascii="CG Omega" w:hAnsi="CG Omega"/>
        </w:rPr>
        <w:t xml:space="preserve">(iii) </w:t>
      </w:r>
      <w:r w:rsidR="00453B0E">
        <w:rPr>
          <w:rFonts w:ascii="CG Omega" w:hAnsi="CG Omega"/>
        </w:rPr>
        <w:t>C</w:t>
      </w:r>
      <w:r w:rsidRPr="001959D0">
        <w:rPr>
          <w:rFonts w:ascii="CG Omega" w:hAnsi="CG Omega"/>
        </w:rPr>
        <w:t>redible evidence indicating that the owner or renter of the housing will not allow the individual or family to stay for more than 14 days, and any oral statement from an individual or family seeking homeless assistance that is found to be credible shall be considered credible eviden</w:t>
      </w:r>
      <w:r w:rsidR="00453B0E">
        <w:rPr>
          <w:rFonts w:ascii="CG Omega" w:hAnsi="CG Omega"/>
        </w:rPr>
        <w:t>ce for purposes of this clause.</w:t>
      </w:r>
    </w:p>
    <w:p w:rsidR="001959D0" w:rsidRPr="001959D0" w:rsidRDefault="001959D0" w:rsidP="006644EC">
      <w:pPr>
        <w:ind w:firstLine="720"/>
        <w:jc w:val="both"/>
        <w:rPr>
          <w:rFonts w:ascii="CG Omega" w:hAnsi="CG Omega"/>
        </w:rPr>
      </w:pPr>
      <w:r w:rsidRPr="001959D0">
        <w:rPr>
          <w:rFonts w:ascii="CG Omega" w:hAnsi="CG Omega"/>
        </w:rPr>
        <w:t xml:space="preserve">(B) </w:t>
      </w:r>
      <w:r w:rsidR="00453B0E">
        <w:rPr>
          <w:rFonts w:ascii="CG Omega" w:hAnsi="CG Omega"/>
        </w:rPr>
        <w:t>H</w:t>
      </w:r>
      <w:r w:rsidRPr="001959D0">
        <w:rPr>
          <w:rFonts w:ascii="CG Omega" w:hAnsi="CG Omega"/>
        </w:rPr>
        <w:t>as no subse</w:t>
      </w:r>
      <w:r w:rsidR="00453B0E">
        <w:rPr>
          <w:rFonts w:ascii="CG Omega" w:hAnsi="CG Omega"/>
        </w:rPr>
        <w:t>quent residence identified.</w:t>
      </w:r>
    </w:p>
    <w:p w:rsidR="001959D0" w:rsidRPr="001959D0" w:rsidRDefault="00453B0E" w:rsidP="006644EC">
      <w:pPr>
        <w:ind w:left="720"/>
        <w:jc w:val="both"/>
        <w:rPr>
          <w:rFonts w:ascii="CG Omega" w:hAnsi="CG Omega"/>
        </w:rPr>
      </w:pPr>
      <w:r>
        <w:rPr>
          <w:rFonts w:ascii="CG Omega" w:hAnsi="CG Omega"/>
        </w:rPr>
        <w:t>(C) L</w:t>
      </w:r>
      <w:r w:rsidR="001959D0" w:rsidRPr="001959D0">
        <w:rPr>
          <w:rFonts w:ascii="CG Omega" w:hAnsi="CG Omega"/>
        </w:rPr>
        <w:t>acks the resources or support networks needed to obtain other permanent housing</w:t>
      </w:r>
      <w:r>
        <w:rPr>
          <w:rFonts w:ascii="CG Omega" w:hAnsi="CG Omega"/>
        </w:rPr>
        <w:t>.</w:t>
      </w:r>
    </w:p>
    <w:p w:rsidR="001959D0" w:rsidRPr="001959D0" w:rsidRDefault="001959D0" w:rsidP="006644EC">
      <w:pPr>
        <w:jc w:val="both"/>
        <w:rPr>
          <w:rFonts w:ascii="CG Omega" w:hAnsi="CG Omega"/>
        </w:rPr>
      </w:pPr>
      <w:r w:rsidRPr="001959D0">
        <w:rPr>
          <w:rFonts w:ascii="CG Omega" w:hAnsi="CG Omega"/>
        </w:rPr>
        <w:t xml:space="preserve">(6) </w:t>
      </w:r>
      <w:r w:rsidR="00453B0E" w:rsidRPr="001959D0">
        <w:rPr>
          <w:rFonts w:ascii="CG Omega" w:hAnsi="CG Omega"/>
        </w:rPr>
        <w:t>Unaccompanied</w:t>
      </w:r>
      <w:r w:rsidRPr="001959D0">
        <w:rPr>
          <w:rFonts w:ascii="CG Omega" w:hAnsi="CG Omega"/>
        </w:rPr>
        <w:t xml:space="preserve"> youth and homeless families with children and youth defined as homeless under other Federal statutes who-- </w:t>
      </w:r>
    </w:p>
    <w:p w:rsidR="001959D0" w:rsidRPr="001959D0" w:rsidRDefault="001959D0" w:rsidP="006644EC">
      <w:pPr>
        <w:ind w:left="720"/>
        <w:jc w:val="both"/>
        <w:rPr>
          <w:rFonts w:ascii="CG Omega" w:hAnsi="CG Omega"/>
        </w:rPr>
      </w:pPr>
      <w:r w:rsidRPr="001959D0">
        <w:rPr>
          <w:rFonts w:ascii="CG Omega" w:hAnsi="CG Omega"/>
        </w:rPr>
        <w:t xml:space="preserve">(A) </w:t>
      </w:r>
      <w:r w:rsidR="00453B0E" w:rsidRPr="001959D0">
        <w:rPr>
          <w:rFonts w:ascii="CG Omega" w:hAnsi="CG Omega"/>
        </w:rPr>
        <w:t>Have</w:t>
      </w:r>
      <w:r w:rsidRPr="001959D0">
        <w:rPr>
          <w:rFonts w:ascii="CG Omega" w:hAnsi="CG Omega"/>
        </w:rPr>
        <w:t xml:space="preserve"> experienced a long term period without living inde</w:t>
      </w:r>
      <w:r w:rsidR="00453B0E">
        <w:rPr>
          <w:rFonts w:ascii="CG Omega" w:hAnsi="CG Omega"/>
        </w:rPr>
        <w:t>pendently in permanent housing.</w:t>
      </w:r>
      <w:r w:rsidRPr="001959D0">
        <w:rPr>
          <w:rFonts w:ascii="CG Omega" w:hAnsi="CG Omega"/>
        </w:rPr>
        <w:t xml:space="preserve"> </w:t>
      </w:r>
    </w:p>
    <w:p w:rsidR="001959D0" w:rsidRPr="001959D0" w:rsidRDefault="001959D0" w:rsidP="006644EC">
      <w:pPr>
        <w:ind w:left="720"/>
        <w:jc w:val="both"/>
        <w:rPr>
          <w:rFonts w:ascii="CG Omega" w:hAnsi="CG Omega"/>
        </w:rPr>
      </w:pPr>
      <w:r w:rsidRPr="001959D0">
        <w:rPr>
          <w:rFonts w:ascii="CG Omega" w:hAnsi="CG Omega"/>
        </w:rPr>
        <w:t xml:space="preserve">(B) </w:t>
      </w:r>
      <w:r w:rsidR="00453B0E" w:rsidRPr="001959D0">
        <w:rPr>
          <w:rFonts w:ascii="CG Omega" w:hAnsi="CG Omega"/>
        </w:rPr>
        <w:t>Have</w:t>
      </w:r>
      <w:r w:rsidRPr="001959D0">
        <w:rPr>
          <w:rFonts w:ascii="CG Omega" w:hAnsi="CG Omega"/>
        </w:rPr>
        <w:t xml:space="preserve"> experienced persistent instability as measured by frequent moves</w:t>
      </w:r>
      <w:r w:rsidR="00453B0E">
        <w:rPr>
          <w:rFonts w:ascii="CG Omega" w:hAnsi="CG Omega"/>
        </w:rPr>
        <w:t xml:space="preserve"> over such period.</w:t>
      </w:r>
      <w:r w:rsidRPr="001959D0">
        <w:rPr>
          <w:rFonts w:ascii="CG Omega" w:hAnsi="CG Omega"/>
        </w:rPr>
        <w:t xml:space="preserve"> </w:t>
      </w:r>
    </w:p>
    <w:p w:rsidR="001959D0" w:rsidRPr="001959D0" w:rsidRDefault="001959D0" w:rsidP="006644EC">
      <w:pPr>
        <w:ind w:left="720"/>
        <w:jc w:val="both"/>
        <w:rPr>
          <w:rFonts w:ascii="CG Omega" w:hAnsi="CG Omega"/>
        </w:rPr>
      </w:pPr>
      <w:r w:rsidRPr="001959D0">
        <w:rPr>
          <w:rFonts w:ascii="CG Omega" w:hAnsi="CG Omega"/>
        </w:rPr>
        <w:t xml:space="preserve">(C) </w:t>
      </w:r>
      <w:r w:rsidR="00453B0E" w:rsidRPr="001959D0">
        <w:rPr>
          <w:rFonts w:ascii="CG Omega" w:hAnsi="CG Omega"/>
        </w:rPr>
        <w:t>Can</w:t>
      </w:r>
      <w:r w:rsidRPr="001959D0">
        <w:rPr>
          <w:rFonts w:ascii="CG Omega" w:hAnsi="CG Omega"/>
        </w:rPr>
        <w:t xml:space="preserve"> be expected to continue in such status for an extended period of time because of chronic disabilities, chronic physical health or mental health conditions, substance addiction, histories of domestic violence or childhood abuse, the presence of a child or youth with a disability, or multiple barriers to employment.</w:t>
      </w:r>
    </w:p>
    <w:p w:rsidR="00F954D7" w:rsidRDefault="00F954D7" w:rsidP="00F954D7">
      <w:pPr>
        <w:jc w:val="both"/>
        <w:rPr>
          <w:rFonts w:ascii="CG Omega" w:hAnsi="CG Omega"/>
          <w:b/>
          <w:u w:val="single"/>
        </w:rPr>
      </w:pPr>
    </w:p>
    <w:p w:rsidR="00F954D7" w:rsidRPr="00384234" w:rsidRDefault="00F954D7" w:rsidP="00F954D7">
      <w:pPr>
        <w:jc w:val="both"/>
        <w:rPr>
          <w:rFonts w:ascii="CG Omega" w:hAnsi="CG Omega"/>
        </w:rPr>
      </w:pPr>
      <w:r w:rsidRPr="00384234">
        <w:rPr>
          <w:rFonts w:ascii="CG Omega" w:hAnsi="CG Omega"/>
          <w:b/>
          <w:u w:val="single"/>
        </w:rPr>
        <w:t>Homeless Family</w:t>
      </w:r>
      <w:r w:rsidRPr="00384234">
        <w:rPr>
          <w:rFonts w:ascii="CG Omega" w:hAnsi="CG Omega"/>
        </w:rPr>
        <w:t xml:space="preserve">  Family that includes at least one parent or guardian and one child under the age of 18, a homeless pregnant woman, or a homeless person in the process of securing legal custody of a person under the age of 18.</w:t>
      </w:r>
    </w:p>
    <w:p w:rsidR="00BD659B" w:rsidRPr="00384234" w:rsidRDefault="00BD659B" w:rsidP="001959D0">
      <w:pPr>
        <w:jc w:val="both"/>
        <w:rPr>
          <w:rFonts w:ascii="CG Omega" w:hAnsi="CG Omega"/>
        </w:rPr>
      </w:pPr>
    </w:p>
    <w:p w:rsidR="00BD659B" w:rsidRPr="00384234" w:rsidRDefault="00BD659B" w:rsidP="00BD659B">
      <w:pPr>
        <w:jc w:val="both"/>
        <w:rPr>
          <w:rFonts w:ascii="CG Omega" w:hAnsi="CG Omega"/>
        </w:rPr>
      </w:pPr>
      <w:r w:rsidRPr="00384234">
        <w:rPr>
          <w:rFonts w:ascii="CG Omega" w:hAnsi="CG Omega"/>
          <w:b/>
          <w:u w:val="single"/>
        </w:rPr>
        <w:t>Homeless Subpopulation</w:t>
      </w:r>
      <w:r w:rsidRPr="00384234">
        <w:rPr>
          <w:rFonts w:ascii="CG Omega" w:hAnsi="CG Omega"/>
        </w:rPr>
        <w:t xml:space="preserve"> Include but are not limited to the following categories of homeless persons:  severely mentally ill only, alcohol/drug addicted only, severely mentally ill and alcohol/drug addicted, fleeing domestic violence, youth and persons with HIV/AIDS.</w:t>
      </w:r>
    </w:p>
    <w:p w:rsidR="00BD659B" w:rsidRPr="00384234" w:rsidRDefault="00BD659B" w:rsidP="00BD659B">
      <w:pPr>
        <w:jc w:val="both"/>
        <w:rPr>
          <w:rFonts w:ascii="CG Omega" w:hAnsi="CG Omega"/>
        </w:rPr>
      </w:pPr>
    </w:p>
    <w:p w:rsidR="00BD659B" w:rsidRPr="00384234" w:rsidRDefault="00BD659B" w:rsidP="00BD659B">
      <w:pPr>
        <w:jc w:val="both"/>
        <w:rPr>
          <w:rFonts w:ascii="CG Omega" w:hAnsi="CG Omega"/>
        </w:rPr>
      </w:pPr>
      <w:r w:rsidRPr="00384234">
        <w:rPr>
          <w:rFonts w:ascii="CG Omega" w:hAnsi="CG Omega"/>
          <w:b/>
          <w:u w:val="single"/>
        </w:rPr>
        <w:t>HOPWA</w:t>
      </w:r>
      <w:r w:rsidRPr="00384234">
        <w:rPr>
          <w:rFonts w:ascii="CG Omega" w:hAnsi="CG Omega"/>
        </w:rPr>
        <w:t xml:space="preserve">  Housing Opportunities for People With AIDS is a federal program designed to provide States and localities with resources and incentives to devise long-term comprehensive strategies for meeting the housing needs of persons with acquired immunodeficiency syndrome (AIDS) or related diseases and their families.  The program authorizes entitlement grants and competitively awarded grants for housing assistance and services.</w:t>
      </w:r>
    </w:p>
    <w:p w:rsidR="00BD659B" w:rsidRPr="00384234" w:rsidRDefault="00BD659B" w:rsidP="00BD659B">
      <w:pPr>
        <w:jc w:val="both"/>
        <w:rPr>
          <w:rFonts w:ascii="CG Omega" w:hAnsi="CG Omega"/>
        </w:rPr>
      </w:pPr>
    </w:p>
    <w:p w:rsidR="00BD659B" w:rsidRPr="00384234" w:rsidRDefault="00BD659B" w:rsidP="00BD659B">
      <w:pPr>
        <w:jc w:val="both"/>
        <w:rPr>
          <w:rFonts w:ascii="CG Omega" w:hAnsi="CG Omega"/>
        </w:rPr>
      </w:pPr>
      <w:r w:rsidRPr="00384234">
        <w:rPr>
          <w:rFonts w:ascii="CG Omega" w:hAnsi="CG Omega"/>
          <w:b/>
          <w:u w:val="single"/>
        </w:rPr>
        <w:t>Household</w:t>
      </w:r>
      <w:r w:rsidRPr="00384234">
        <w:rPr>
          <w:rFonts w:ascii="CG Omega" w:hAnsi="CG Omega"/>
        </w:rPr>
        <w:t xml:space="preserve">  Household means all the persons who occupy a housing unit.  The occupants may be </w:t>
      </w:r>
      <w:r w:rsidR="00E467B2">
        <w:rPr>
          <w:rFonts w:ascii="CG Omega" w:hAnsi="CG Omega"/>
        </w:rPr>
        <w:t xml:space="preserve">a </w:t>
      </w:r>
      <w:r w:rsidRPr="00384234">
        <w:rPr>
          <w:rFonts w:ascii="CG Omega" w:hAnsi="CG Omega"/>
        </w:rPr>
        <w:t>single family, one person living alone, two or more families living together, or any other group of related or unrelated persons who share living arrangements.</w:t>
      </w:r>
    </w:p>
    <w:p w:rsidR="00BD659B" w:rsidRPr="00384234" w:rsidRDefault="00BD659B" w:rsidP="00BD659B">
      <w:pPr>
        <w:jc w:val="both"/>
        <w:rPr>
          <w:rFonts w:ascii="CG Omega" w:hAnsi="CG Omega"/>
        </w:rPr>
      </w:pPr>
    </w:p>
    <w:p w:rsidR="00BD659B" w:rsidRPr="00384234" w:rsidRDefault="00BD659B" w:rsidP="00BD659B">
      <w:pPr>
        <w:pStyle w:val="BodyText"/>
        <w:rPr>
          <w:rFonts w:ascii="CG Omega" w:hAnsi="CG Omega"/>
          <w:szCs w:val="24"/>
        </w:rPr>
      </w:pPr>
      <w:r w:rsidRPr="00384234">
        <w:rPr>
          <w:rFonts w:ascii="CG Omega" w:hAnsi="CG Omega"/>
          <w:b/>
          <w:szCs w:val="24"/>
          <w:u w:val="single"/>
        </w:rPr>
        <w:t>HUD</w:t>
      </w:r>
      <w:r w:rsidRPr="00384234">
        <w:rPr>
          <w:rFonts w:ascii="CG Omega" w:hAnsi="CG Omega"/>
          <w:szCs w:val="24"/>
        </w:rPr>
        <w:t xml:space="preserve"> </w:t>
      </w:r>
      <w:r w:rsidRPr="00384234">
        <w:rPr>
          <w:rFonts w:ascii="CG Omega" w:hAnsi="CG Omega"/>
          <w:b/>
          <w:szCs w:val="24"/>
        </w:rPr>
        <w:t xml:space="preserve"> </w:t>
      </w:r>
      <w:r w:rsidRPr="00384234">
        <w:rPr>
          <w:rFonts w:ascii="CG Omega" w:hAnsi="CG Omega"/>
          <w:szCs w:val="24"/>
        </w:rPr>
        <w:t xml:space="preserve">Created as part of President Lyndon B. Johnson's War on Poverty, the </w:t>
      </w:r>
      <w:r w:rsidR="00453B0E">
        <w:rPr>
          <w:rFonts w:ascii="CG Omega" w:hAnsi="CG Omega"/>
          <w:szCs w:val="24"/>
        </w:rPr>
        <w:t xml:space="preserve">U.S. </w:t>
      </w:r>
      <w:r w:rsidRPr="00384234">
        <w:rPr>
          <w:rFonts w:ascii="CG Omega" w:hAnsi="CG Omega"/>
          <w:szCs w:val="24"/>
        </w:rPr>
        <w:t xml:space="preserve">Department of Housing and Urban Development (HUD) was established as a Cabinet Department by the Department of Housing and Urban Development Act (42 U.S.C. 3532-3537), effective November 9, 1965. It consolidated a number of other older federal agencies.  </w:t>
      </w:r>
      <w:r w:rsidR="00453B0E">
        <w:rPr>
          <w:rFonts w:ascii="CG Omega" w:hAnsi="CG Omega"/>
          <w:szCs w:val="24"/>
        </w:rPr>
        <w:t xml:space="preserve">HUD </w:t>
      </w:r>
      <w:r w:rsidRPr="00384234">
        <w:rPr>
          <w:rFonts w:ascii="CG Omega" w:hAnsi="CG Omega"/>
          <w:szCs w:val="24"/>
        </w:rPr>
        <w:t>is the Federal agency responsible for national policy and programs that: address America's housing needs; improve and develop the Nation's communities; and enforce fair housing laws. HUD's mission is helping create a decent home and suitable living environment for all Americans. It has given America's cities a strong national voice at the Cabinet level.</w:t>
      </w:r>
    </w:p>
    <w:p w:rsidR="00BD659B" w:rsidRPr="00384234" w:rsidRDefault="00BD659B" w:rsidP="00BD659B">
      <w:pPr>
        <w:pStyle w:val="BodyText"/>
        <w:rPr>
          <w:rFonts w:ascii="CG Omega" w:hAnsi="CG Omega"/>
          <w:szCs w:val="24"/>
        </w:rPr>
      </w:pPr>
    </w:p>
    <w:p w:rsidR="00BD659B" w:rsidRPr="00384234" w:rsidRDefault="00BD659B" w:rsidP="00BD659B">
      <w:pPr>
        <w:jc w:val="both"/>
        <w:rPr>
          <w:rFonts w:ascii="CG Omega" w:hAnsi="CG Omega"/>
        </w:rPr>
      </w:pPr>
      <w:r w:rsidRPr="00384234">
        <w:rPr>
          <w:rFonts w:ascii="CG Omega" w:hAnsi="CG Omega"/>
          <w:b/>
          <w:u w:val="single"/>
        </w:rPr>
        <w:t>HUD Income Levels</w:t>
      </w:r>
      <w:r w:rsidRPr="00384234">
        <w:rPr>
          <w:rFonts w:ascii="CG Omega" w:hAnsi="CG Omega"/>
        </w:rPr>
        <w:t xml:space="preserve">  Income levels serve as eligibility criteria for households participating in federally funded programs.</w:t>
      </w:r>
    </w:p>
    <w:p w:rsidR="00BD659B" w:rsidRPr="00384234" w:rsidRDefault="00BD659B" w:rsidP="00BD659B">
      <w:pPr>
        <w:jc w:val="both"/>
        <w:rPr>
          <w:rFonts w:ascii="CG Omega" w:hAnsi="CG Omega"/>
        </w:rPr>
      </w:pPr>
    </w:p>
    <w:p w:rsidR="00BD659B" w:rsidRPr="00384234" w:rsidRDefault="00BD659B" w:rsidP="00BD659B">
      <w:pPr>
        <w:ind w:left="360"/>
        <w:jc w:val="both"/>
        <w:rPr>
          <w:rFonts w:ascii="CG Omega" w:hAnsi="CG Omega"/>
        </w:rPr>
      </w:pPr>
      <w:r w:rsidRPr="00384234">
        <w:rPr>
          <w:rFonts w:ascii="CG Omega" w:hAnsi="CG Omega"/>
          <w:b/>
          <w:u w:val="single"/>
        </w:rPr>
        <w:t>Extremely Low-income</w:t>
      </w:r>
      <w:r w:rsidRPr="00384234">
        <w:rPr>
          <w:rFonts w:ascii="CG Omega" w:hAnsi="CG Omega"/>
        </w:rPr>
        <w:t xml:space="preserve"> Family whose income is between 0 and 30 percent of the median income for the area, as determined by HUD with adjustments for smaller and larger families, except that HUD may establish income ceilings higher or lower than 30 percent of the median for the area on the basis of HUD’s findings that such variations are necessary because of prevailing levels of construction costs or fair market rents, or unusually high or low family incomes.</w:t>
      </w:r>
    </w:p>
    <w:p w:rsidR="00BD659B" w:rsidRPr="00384234" w:rsidRDefault="00BD659B" w:rsidP="00BD659B">
      <w:pPr>
        <w:ind w:left="720"/>
        <w:jc w:val="both"/>
        <w:rPr>
          <w:rFonts w:ascii="CG Omega" w:hAnsi="CG Omega"/>
          <w:b/>
          <w:u w:val="single"/>
        </w:rPr>
      </w:pPr>
    </w:p>
    <w:p w:rsidR="00BD659B" w:rsidRPr="00384234" w:rsidRDefault="00BD659B" w:rsidP="00BD659B">
      <w:pPr>
        <w:ind w:left="360"/>
        <w:jc w:val="both"/>
        <w:rPr>
          <w:rFonts w:ascii="CG Omega" w:hAnsi="CG Omega"/>
        </w:rPr>
      </w:pPr>
      <w:r w:rsidRPr="00384234">
        <w:rPr>
          <w:rFonts w:ascii="CG Omega" w:hAnsi="CG Omega"/>
          <w:b/>
          <w:u w:val="single"/>
        </w:rPr>
        <w:t>Low-income</w:t>
      </w:r>
      <w:r w:rsidRPr="00384234">
        <w:rPr>
          <w:rFonts w:ascii="CG Omega" w:hAnsi="CG Omega"/>
        </w:rPr>
        <w:t xml:space="preserve">  Low-income families whose income does not exceed 50 percent of the median income for the area, as determined by HUD with adjustments for smaller and larger families, except that HUD may establish income ceilings higher or lower than 50 percent of the median for the area on the basis of HUD’s findings that such variations are necessary because of prevailing levels of construction costs or fair market rents, or unusually high or low family incomes. </w:t>
      </w:r>
    </w:p>
    <w:p w:rsidR="00BD659B" w:rsidRPr="00384234" w:rsidRDefault="00BD659B" w:rsidP="00BD659B">
      <w:pPr>
        <w:ind w:left="720"/>
        <w:jc w:val="both"/>
        <w:rPr>
          <w:rFonts w:ascii="CG Omega" w:hAnsi="CG Omega"/>
          <w:b/>
          <w:u w:val="single"/>
        </w:rPr>
      </w:pPr>
    </w:p>
    <w:p w:rsidR="00BD659B" w:rsidRPr="00384234" w:rsidRDefault="00BD659B" w:rsidP="00BD659B">
      <w:pPr>
        <w:ind w:left="360"/>
        <w:jc w:val="both"/>
        <w:rPr>
          <w:rFonts w:ascii="CG Omega" w:hAnsi="CG Omega"/>
        </w:rPr>
      </w:pPr>
      <w:r w:rsidRPr="00384234">
        <w:rPr>
          <w:rFonts w:ascii="CG Omega" w:hAnsi="CG Omega"/>
          <w:b/>
          <w:u w:val="single"/>
        </w:rPr>
        <w:t>Middle</w:t>
      </w:r>
      <w:r w:rsidR="00453B0E">
        <w:rPr>
          <w:rFonts w:ascii="CG Omega" w:hAnsi="CG Omega"/>
          <w:b/>
          <w:u w:val="single"/>
        </w:rPr>
        <w:t>-i</w:t>
      </w:r>
      <w:r w:rsidRPr="00384234">
        <w:rPr>
          <w:rFonts w:ascii="CG Omega" w:hAnsi="CG Omega"/>
          <w:b/>
          <w:u w:val="single"/>
        </w:rPr>
        <w:t>ncome</w:t>
      </w:r>
      <w:r w:rsidRPr="00384234">
        <w:rPr>
          <w:rFonts w:ascii="CG Omega" w:hAnsi="CG Omega"/>
        </w:rPr>
        <w:t xml:space="preserve">  Family whose is between 80 percent and 95 percent of the median area income for the area, as determined by HUD, with adjustments for smaller and larger families, except that HUD may establish income ceilings higher or lower than 95 percent of the median for the area on the basis of HUD’s findings that such variations are necessary because of prevailing levels of construction costs or fair market rents, or unusually high or low family incomes.</w:t>
      </w:r>
    </w:p>
    <w:p w:rsidR="00BD659B" w:rsidRPr="00384234" w:rsidRDefault="00BD659B" w:rsidP="00BD659B">
      <w:pPr>
        <w:ind w:left="720"/>
        <w:jc w:val="both"/>
        <w:rPr>
          <w:rFonts w:ascii="CG Omega" w:hAnsi="CG Omega"/>
        </w:rPr>
      </w:pPr>
    </w:p>
    <w:p w:rsidR="00BD659B" w:rsidRDefault="00BD659B" w:rsidP="00BD659B">
      <w:pPr>
        <w:ind w:left="360"/>
        <w:jc w:val="both"/>
        <w:rPr>
          <w:rFonts w:ascii="CG Omega" w:hAnsi="CG Omega"/>
        </w:rPr>
      </w:pPr>
      <w:r w:rsidRPr="00384234">
        <w:rPr>
          <w:rFonts w:ascii="CG Omega" w:hAnsi="CG Omega"/>
          <w:b/>
          <w:u w:val="single"/>
        </w:rPr>
        <w:t>Moderate-income</w:t>
      </w:r>
      <w:r w:rsidRPr="00384234">
        <w:rPr>
          <w:rFonts w:ascii="CG Omega" w:hAnsi="CG Omega"/>
        </w:rPr>
        <w:t xml:space="preserve">  Family whose income does not exceed 80 percent of the median income for the area, as determined by HUD, with adjustments for smaller and larger families, except that HUD may establish income ceilings higher or lower than 80 percent of the median for the area on the basis of HUD’s findings that such variations are necessary because of prevailing levels of construction costs or fair market rents, or unusually high or low family incomes.</w:t>
      </w:r>
    </w:p>
    <w:p w:rsidR="008A1544" w:rsidRDefault="008A1544" w:rsidP="008A1544">
      <w:pPr>
        <w:jc w:val="both"/>
        <w:rPr>
          <w:rFonts w:ascii="CG Omega" w:hAnsi="CG Omega"/>
          <w:b/>
          <w:u w:val="single"/>
        </w:rPr>
      </w:pPr>
    </w:p>
    <w:p w:rsidR="008A1544" w:rsidRPr="00060298" w:rsidRDefault="008A1544" w:rsidP="008A1544">
      <w:pPr>
        <w:jc w:val="both"/>
        <w:rPr>
          <w:rFonts w:ascii="CG Omega" w:hAnsi="CG Omega"/>
        </w:rPr>
      </w:pPr>
      <w:r>
        <w:rPr>
          <w:rFonts w:ascii="CG Omega" w:hAnsi="CG Omega"/>
          <w:b/>
          <w:u w:val="single"/>
        </w:rPr>
        <w:t>IDIS</w:t>
      </w:r>
      <w:r w:rsidR="00060298">
        <w:rPr>
          <w:rFonts w:ascii="CG Omega" w:hAnsi="CG Omega"/>
          <w:b/>
        </w:rPr>
        <w:t xml:space="preserve">  </w:t>
      </w:r>
      <w:r w:rsidR="00060298">
        <w:rPr>
          <w:rFonts w:ascii="CG Omega" w:hAnsi="CG Omega"/>
        </w:rPr>
        <w:t xml:space="preserve">The Integrated Disbursement &amp; Information System is a nationwide database that provides HUD </w:t>
      </w:r>
      <w:r w:rsidR="00060298" w:rsidRPr="00060298">
        <w:rPr>
          <w:rFonts w:ascii="CG Omega" w:hAnsi="CG Omega"/>
          <w:shd w:val="clear" w:color="auto" w:fill="FFFFFF"/>
        </w:rPr>
        <w:t>with current information regarding the program activities underway across the Nation, including funding data. HUD uses this information to report to Congress and to monitor grantees. IDIS is the draw down and reporting system for the four CPD formula grant programs:</w:t>
      </w:r>
      <w:r w:rsidR="00060298">
        <w:rPr>
          <w:rStyle w:val="apple-converted-space"/>
          <w:rFonts w:ascii="CG Omega" w:hAnsi="CG Omega"/>
          <w:shd w:val="clear" w:color="auto" w:fill="FFFFFF"/>
        </w:rPr>
        <w:t xml:space="preserve"> </w:t>
      </w:r>
      <w:hyperlink r:id="rId71" w:history="1">
        <w:r w:rsidR="00060298" w:rsidRPr="00060298">
          <w:rPr>
            <w:rStyle w:val="Hyperlink"/>
            <w:rFonts w:ascii="CG Omega" w:hAnsi="CG Omega"/>
            <w:bCs/>
            <w:color w:val="auto"/>
            <w:u w:val="none"/>
            <w:shd w:val="clear" w:color="auto" w:fill="FFFFFF"/>
          </w:rPr>
          <w:t>CDBG</w:t>
        </w:r>
      </w:hyperlink>
      <w:r w:rsidR="00060298" w:rsidRPr="00060298">
        <w:rPr>
          <w:rFonts w:ascii="CG Omega" w:hAnsi="CG Omega"/>
          <w:shd w:val="clear" w:color="auto" w:fill="FFFFFF"/>
        </w:rPr>
        <w:t>,</w:t>
      </w:r>
      <w:r w:rsidR="00060298">
        <w:rPr>
          <w:rStyle w:val="apple-converted-space"/>
          <w:rFonts w:ascii="CG Omega" w:hAnsi="CG Omega"/>
          <w:shd w:val="clear" w:color="auto" w:fill="FFFFFF"/>
        </w:rPr>
        <w:t xml:space="preserve"> </w:t>
      </w:r>
      <w:hyperlink r:id="rId72" w:history="1">
        <w:r w:rsidR="00060298" w:rsidRPr="00060298">
          <w:rPr>
            <w:rStyle w:val="Hyperlink"/>
            <w:rFonts w:ascii="CG Omega" w:hAnsi="CG Omega"/>
            <w:bCs/>
            <w:color w:val="auto"/>
            <w:u w:val="none"/>
            <w:shd w:val="clear" w:color="auto" w:fill="FFFFFF"/>
          </w:rPr>
          <w:t>HOME</w:t>
        </w:r>
      </w:hyperlink>
      <w:r w:rsidR="00060298" w:rsidRPr="00060298">
        <w:rPr>
          <w:rFonts w:ascii="CG Omega" w:hAnsi="CG Omega"/>
          <w:shd w:val="clear" w:color="auto" w:fill="FFFFFF"/>
        </w:rPr>
        <w:t>,</w:t>
      </w:r>
      <w:r w:rsidR="00060298">
        <w:rPr>
          <w:rStyle w:val="apple-converted-space"/>
          <w:rFonts w:ascii="CG Omega" w:hAnsi="CG Omega"/>
          <w:shd w:val="clear" w:color="auto" w:fill="FFFFFF"/>
        </w:rPr>
        <w:t xml:space="preserve"> </w:t>
      </w:r>
      <w:hyperlink r:id="rId73" w:history="1">
        <w:r w:rsidR="00060298" w:rsidRPr="00060298">
          <w:rPr>
            <w:rStyle w:val="Hyperlink"/>
            <w:rFonts w:ascii="CG Omega" w:hAnsi="CG Omega"/>
            <w:bCs/>
            <w:color w:val="auto"/>
            <w:u w:val="none"/>
            <w:shd w:val="clear" w:color="auto" w:fill="FFFFFF"/>
          </w:rPr>
          <w:t>ESG</w:t>
        </w:r>
      </w:hyperlink>
      <w:r w:rsidR="00060298" w:rsidRPr="00060298">
        <w:rPr>
          <w:rFonts w:ascii="CG Omega" w:hAnsi="CG Omega"/>
          <w:shd w:val="clear" w:color="auto" w:fill="FFFFFF"/>
        </w:rPr>
        <w:t>, and</w:t>
      </w:r>
      <w:r w:rsidR="00060298">
        <w:rPr>
          <w:rFonts w:ascii="CG Omega" w:hAnsi="CG Omega"/>
          <w:shd w:val="clear" w:color="auto" w:fill="FFFFFF"/>
        </w:rPr>
        <w:t xml:space="preserve"> </w:t>
      </w:r>
      <w:hyperlink r:id="rId74" w:history="1">
        <w:r w:rsidR="00060298" w:rsidRPr="00060298">
          <w:rPr>
            <w:rStyle w:val="Hyperlink"/>
            <w:rFonts w:ascii="CG Omega" w:hAnsi="CG Omega"/>
            <w:bCs/>
            <w:color w:val="auto"/>
            <w:u w:val="none"/>
            <w:shd w:val="clear" w:color="auto" w:fill="FFFFFF"/>
          </w:rPr>
          <w:t>HOPWA</w:t>
        </w:r>
      </w:hyperlink>
      <w:r w:rsidR="00060298">
        <w:rPr>
          <w:rFonts w:ascii="CG Omega" w:hAnsi="CG Omega"/>
          <w:shd w:val="clear" w:color="auto" w:fill="FFFFFF"/>
        </w:rPr>
        <w:t>.</w:t>
      </w:r>
      <w:r w:rsidR="00060298" w:rsidRPr="00060298">
        <w:rPr>
          <w:rStyle w:val="apple-converted-space"/>
          <w:rFonts w:ascii="CG Omega" w:hAnsi="CG Omega"/>
          <w:shd w:val="clear" w:color="auto" w:fill="FFFFFF"/>
        </w:rPr>
        <w:t> </w:t>
      </w:r>
    </w:p>
    <w:p w:rsidR="00BD659B" w:rsidRPr="00384234" w:rsidRDefault="00BD659B" w:rsidP="00BD659B">
      <w:pPr>
        <w:ind w:left="720"/>
        <w:jc w:val="both"/>
        <w:rPr>
          <w:rFonts w:ascii="CG Omega" w:hAnsi="CG Omega"/>
          <w:b/>
          <w:u w:val="single"/>
        </w:rPr>
      </w:pPr>
    </w:p>
    <w:p w:rsidR="00BD659B" w:rsidRPr="00384234" w:rsidRDefault="00BD659B" w:rsidP="00BD659B">
      <w:pPr>
        <w:jc w:val="both"/>
        <w:rPr>
          <w:rFonts w:ascii="CG Omega" w:hAnsi="CG Omega"/>
        </w:rPr>
      </w:pPr>
      <w:r w:rsidRPr="00384234">
        <w:rPr>
          <w:rFonts w:ascii="CG Omega" w:hAnsi="CG Omega"/>
          <w:b/>
          <w:u w:val="single"/>
        </w:rPr>
        <w:t>Jurisdiction</w:t>
      </w:r>
      <w:r w:rsidRPr="00384234">
        <w:rPr>
          <w:rFonts w:ascii="CG Omega" w:hAnsi="CG Omega"/>
        </w:rPr>
        <w:t xml:space="preserve">  A State or unit of general local government.</w:t>
      </w:r>
    </w:p>
    <w:p w:rsidR="00BD659B" w:rsidRPr="00384234" w:rsidRDefault="00BD659B" w:rsidP="00BD659B">
      <w:pPr>
        <w:jc w:val="both"/>
        <w:rPr>
          <w:rFonts w:ascii="CG Omega" w:hAnsi="CG Omega"/>
        </w:rPr>
      </w:pPr>
    </w:p>
    <w:p w:rsidR="00BD659B" w:rsidRPr="00384234" w:rsidRDefault="00BD659B" w:rsidP="00BD659B">
      <w:pPr>
        <w:jc w:val="both"/>
        <w:rPr>
          <w:rFonts w:ascii="CG Omega" w:hAnsi="CG Omega"/>
        </w:rPr>
      </w:pPr>
      <w:r w:rsidRPr="00384234">
        <w:rPr>
          <w:rFonts w:ascii="CG Omega" w:hAnsi="CG Omega"/>
          <w:b/>
          <w:u w:val="single"/>
        </w:rPr>
        <w:t>Large Family</w:t>
      </w:r>
      <w:r w:rsidRPr="00384234">
        <w:rPr>
          <w:rFonts w:ascii="CG Omega" w:hAnsi="CG Omega"/>
        </w:rPr>
        <w:t xml:space="preserve"> Family of five or more persons.</w:t>
      </w:r>
    </w:p>
    <w:p w:rsidR="00BD659B" w:rsidRPr="00384234" w:rsidRDefault="00BD659B" w:rsidP="00BD659B">
      <w:pPr>
        <w:jc w:val="both"/>
        <w:rPr>
          <w:rFonts w:ascii="CG Omega" w:hAnsi="CG Omega"/>
        </w:rPr>
      </w:pPr>
    </w:p>
    <w:p w:rsidR="00BD659B" w:rsidRPr="00384234" w:rsidRDefault="00BD659B" w:rsidP="00BD659B">
      <w:pPr>
        <w:jc w:val="both"/>
        <w:rPr>
          <w:rFonts w:ascii="CG Omega" w:hAnsi="CG Omega"/>
        </w:rPr>
      </w:pPr>
      <w:r w:rsidRPr="00384234">
        <w:rPr>
          <w:rFonts w:ascii="CG Omega" w:hAnsi="CG Omega"/>
          <w:b/>
          <w:u w:val="single"/>
        </w:rPr>
        <w:t>Lead-based paint hazards</w:t>
      </w:r>
      <w:r w:rsidRPr="00384234">
        <w:rPr>
          <w:rFonts w:ascii="CG Omega" w:hAnsi="CG Omega"/>
        </w:rPr>
        <w:t xml:space="preserve">  Any condition that causes exposure to lead from lead-contaminated dust, lead-contaminated soil, lead-contaminated pain</w:t>
      </w:r>
      <w:r w:rsidR="00710890">
        <w:rPr>
          <w:rFonts w:ascii="CG Omega" w:hAnsi="CG Omega"/>
        </w:rPr>
        <w:t>t</w:t>
      </w:r>
      <w:r w:rsidRPr="00384234">
        <w:rPr>
          <w:rFonts w:ascii="CG Omega" w:hAnsi="CG Omega"/>
        </w:rPr>
        <w:t xml:space="preserve"> that is deteriorated or present in accessible surfaces, friction surfaces, or impact surfaces that would result in adverse human health effects as established by the appropriate Federal agency.</w:t>
      </w:r>
    </w:p>
    <w:p w:rsidR="00BD659B" w:rsidRPr="00384234" w:rsidRDefault="00BD659B" w:rsidP="00BD659B">
      <w:pPr>
        <w:jc w:val="both"/>
        <w:rPr>
          <w:rFonts w:ascii="CG Omega" w:hAnsi="CG Omega"/>
        </w:rPr>
      </w:pPr>
    </w:p>
    <w:p w:rsidR="00BD659B" w:rsidRPr="00384234" w:rsidRDefault="00BD659B" w:rsidP="00BD659B">
      <w:pPr>
        <w:jc w:val="both"/>
        <w:rPr>
          <w:rFonts w:ascii="CG Omega" w:hAnsi="CG Omega"/>
        </w:rPr>
      </w:pPr>
      <w:r w:rsidRPr="00384234">
        <w:rPr>
          <w:rFonts w:ascii="CG Omega" w:hAnsi="CG Omega"/>
          <w:b/>
          <w:u w:val="single"/>
        </w:rPr>
        <w:t>Letter of Credit</w:t>
      </w:r>
      <w:r w:rsidRPr="00384234">
        <w:rPr>
          <w:rFonts w:ascii="CG Omega" w:hAnsi="CG Omega"/>
        </w:rPr>
        <w:t xml:space="preserve">  Line of credit to a grant recipient established at a time of approval of application.</w:t>
      </w:r>
    </w:p>
    <w:p w:rsidR="00BD659B" w:rsidRPr="00384234" w:rsidRDefault="00BD659B" w:rsidP="00BD659B">
      <w:pPr>
        <w:jc w:val="both"/>
        <w:rPr>
          <w:rFonts w:ascii="CG Omega" w:hAnsi="CG Omega"/>
        </w:rPr>
      </w:pPr>
    </w:p>
    <w:p w:rsidR="00BD659B" w:rsidRPr="00384234" w:rsidRDefault="00BD659B" w:rsidP="00BD659B">
      <w:pPr>
        <w:jc w:val="both"/>
        <w:rPr>
          <w:rFonts w:ascii="CG Omega" w:hAnsi="CG Omega"/>
        </w:rPr>
      </w:pPr>
      <w:r w:rsidRPr="00384234">
        <w:rPr>
          <w:rFonts w:ascii="CG Omega" w:hAnsi="CG Omega"/>
          <w:b/>
          <w:u w:val="single"/>
        </w:rPr>
        <w:t>Liability</w:t>
      </w:r>
      <w:r w:rsidRPr="00384234">
        <w:rPr>
          <w:rFonts w:ascii="CG Omega" w:hAnsi="CG Omega"/>
        </w:rPr>
        <w:t xml:space="preserve">  Assets owed for items received, services received, assets acquired, construction performed (regardless of whether invoices have been received), an amount received but not yet earned, or other expenses incurred.</w:t>
      </w:r>
    </w:p>
    <w:p w:rsidR="00BD659B" w:rsidRPr="00384234" w:rsidRDefault="00BD659B" w:rsidP="00BD659B">
      <w:pPr>
        <w:jc w:val="both"/>
        <w:rPr>
          <w:rFonts w:ascii="CG Omega" w:hAnsi="CG Omega"/>
        </w:rPr>
      </w:pPr>
    </w:p>
    <w:p w:rsidR="00BD659B" w:rsidRPr="00384234" w:rsidRDefault="00BD659B" w:rsidP="00BD659B">
      <w:pPr>
        <w:jc w:val="both"/>
        <w:rPr>
          <w:rFonts w:ascii="CG Omega" w:hAnsi="CG Omega"/>
        </w:rPr>
      </w:pPr>
      <w:r w:rsidRPr="00384234">
        <w:rPr>
          <w:rFonts w:ascii="CG Omega" w:hAnsi="CG Omega"/>
          <w:b/>
          <w:u w:val="single"/>
        </w:rPr>
        <w:t>Neighborhood Stabilization Program (NSP)</w:t>
      </w:r>
      <w:r w:rsidRPr="00384234">
        <w:rPr>
          <w:rFonts w:ascii="CG Omega" w:hAnsi="CG Omega"/>
          <w:b/>
        </w:rPr>
        <w:t xml:space="preserve"> </w:t>
      </w:r>
      <w:r w:rsidRPr="00384234">
        <w:rPr>
          <w:rFonts w:ascii="CG Omega" w:hAnsi="CG Omega"/>
        </w:rPr>
        <w:t>Created to aid communities affected by foreclosure and abandonment through purchase and redevelopment. NSP1 refers to grants to state and local governments given on a formula basis and authorized under Division B, Title III of the Housing and Economic Recovery Act of 2008.  NSP2 refers to funds allocated to states, local governments, nonprofits and consortiums on a competitive basis through funds authorized from the American Recovery and Reinvestment Act of 2009.</w:t>
      </w:r>
    </w:p>
    <w:p w:rsidR="00BD659B" w:rsidRPr="00384234" w:rsidRDefault="00BD659B" w:rsidP="00BD659B">
      <w:pPr>
        <w:jc w:val="both"/>
        <w:rPr>
          <w:rFonts w:ascii="CG Omega" w:hAnsi="CG Omega"/>
        </w:rPr>
      </w:pPr>
    </w:p>
    <w:p w:rsidR="00BD659B" w:rsidRPr="00384234" w:rsidRDefault="00BD659B" w:rsidP="00BD659B">
      <w:pPr>
        <w:jc w:val="both"/>
        <w:rPr>
          <w:rFonts w:ascii="CG Omega" w:hAnsi="CG Omega"/>
        </w:rPr>
      </w:pPr>
      <w:r w:rsidRPr="00384234">
        <w:rPr>
          <w:rFonts w:ascii="CG Omega" w:hAnsi="CG Omega"/>
          <w:b/>
          <w:u w:val="single"/>
        </w:rPr>
        <w:t>Overcrowded</w:t>
      </w:r>
      <w:r w:rsidRPr="00384234">
        <w:rPr>
          <w:rFonts w:ascii="CG Omega" w:hAnsi="CG Omega"/>
        </w:rPr>
        <w:t xml:space="preserve"> For purposes of describing relative housing needs, a housing unit containing more than one person per room, as defined by U.S. Census Bureau, for which the Census Bureau makes data available. </w:t>
      </w:r>
    </w:p>
    <w:p w:rsidR="002E5DDB" w:rsidRPr="00384234" w:rsidRDefault="002E5DDB" w:rsidP="00BD659B">
      <w:pPr>
        <w:jc w:val="both"/>
        <w:rPr>
          <w:rFonts w:ascii="CG Omega" w:hAnsi="CG Omega"/>
        </w:rPr>
      </w:pPr>
    </w:p>
    <w:p w:rsidR="00BD659B" w:rsidRPr="00384234" w:rsidRDefault="00BD659B" w:rsidP="00BD659B">
      <w:pPr>
        <w:jc w:val="both"/>
        <w:rPr>
          <w:rFonts w:ascii="CG Omega" w:hAnsi="CG Omega"/>
        </w:rPr>
      </w:pPr>
      <w:r w:rsidRPr="00384234">
        <w:rPr>
          <w:rFonts w:ascii="CG Omega" w:hAnsi="CG Omega"/>
          <w:b/>
          <w:u w:val="single"/>
        </w:rPr>
        <w:t>Person with a Disability</w:t>
      </w:r>
      <w:r w:rsidRPr="00384234">
        <w:rPr>
          <w:rFonts w:ascii="CG Omega" w:hAnsi="CG Omega"/>
        </w:rPr>
        <w:t xml:space="preserve">  </w:t>
      </w:r>
      <w:r w:rsidR="00BC5C19">
        <w:rPr>
          <w:rFonts w:ascii="CG Omega" w:hAnsi="CG Omega"/>
        </w:rPr>
        <w:t>Person with disabilities means a household composed of one or more persons, at least one of whom is an adult, who has a disability.</w:t>
      </w:r>
    </w:p>
    <w:p w:rsidR="00BD659B" w:rsidRPr="00384234" w:rsidRDefault="00BC5C19" w:rsidP="0049477B">
      <w:pPr>
        <w:numPr>
          <w:ilvl w:val="0"/>
          <w:numId w:val="1"/>
        </w:numPr>
        <w:tabs>
          <w:tab w:val="clear" w:pos="1080"/>
          <w:tab w:val="num" w:pos="720"/>
        </w:tabs>
        <w:ind w:left="720"/>
        <w:jc w:val="both"/>
        <w:rPr>
          <w:rFonts w:ascii="CG Omega" w:hAnsi="CG Omega"/>
        </w:rPr>
      </w:pPr>
      <w:r>
        <w:rPr>
          <w:rFonts w:ascii="CG Omega" w:hAnsi="CG Omega"/>
        </w:rPr>
        <w:t>A person is considered to h</w:t>
      </w:r>
      <w:r w:rsidR="00BD659B" w:rsidRPr="00384234">
        <w:rPr>
          <w:rFonts w:ascii="CG Omega" w:hAnsi="CG Omega"/>
        </w:rPr>
        <w:t xml:space="preserve">ave </w:t>
      </w:r>
      <w:r>
        <w:rPr>
          <w:rFonts w:ascii="CG Omega" w:hAnsi="CG Omega"/>
        </w:rPr>
        <w:t xml:space="preserve">a disability if the person has </w:t>
      </w:r>
      <w:r w:rsidR="00BD659B" w:rsidRPr="00384234">
        <w:rPr>
          <w:rFonts w:ascii="CG Omega" w:hAnsi="CG Omega"/>
        </w:rPr>
        <w:t>a physical, mental or emotional impairment that:</w:t>
      </w:r>
    </w:p>
    <w:p w:rsidR="00BD659B" w:rsidRPr="00384234" w:rsidRDefault="00BD659B" w:rsidP="0049477B">
      <w:pPr>
        <w:numPr>
          <w:ilvl w:val="0"/>
          <w:numId w:val="2"/>
        </w:numPr>
        <w:tabs>
          <w:tab w:val="clear" w:pos="1800"/>
          <w:tab w:val="num" w:pos="1440"/>
        </w:tabs>
        <w:ind w:left="1440"/>
        <w:jc w:val="both"/>
        <w:rPr>
          <w:rFonts w:ascii="CG Omega" w:hAnsi="CG Omega"/>
        </w:rPr>
      </w:pPr>
      <w:r w:rsidRPr="00384234">
        <w:rPr>
          <w:rFonts w:ascii="CG Omega" w:hAnsi="CG Omega"/>
        </w:rPr>
        <w:t>Is expected to be of long-co</w:t>
      </w:r>
      <w:r w:rsidR="00453B0E">
        <w:rPr>
          <w:rFonts w:ascii="CG Omega" w:hAnsi="CG Omega"/>
        </w:rPr>
        <w:t>ntinued and indefinite duration.</w:t>
      </w:r>
    </w:p>
    <w:p w:rsidR="00BD659B" w:rsidRPr="00384234" w:rsidRDefault="00BD659B" w:rsidP="0049477B">
      <w:pPr>
        <w:numPr>
          <w:ilvl w:val="0"/>
          <w:numId w:val="2"/>
        </w:numPr>
        <w:tabs>
          <w:tab w:val="clear" w:pos="1800"/>
          <w:tab w:val="num" w:pos="1440"/>
        </w:tabs>
        <w:ind w:left="1440"/>
        <w:jc w:val="both"/>
        <w:rPr>
          <w:rFonts w:ascii="CG Omega" w:hAnsi="CG Omega"/>
        </w:rPr>
      </w:pPr>
      <w:r w:rsidRPr="00384234">
        <w:rPr>
          <w:rFonts w:ascii="CG Omega" w:hAnsi="CG Omega"/>
        </w:rPr>
        <w:t>Substantially impedes his or her ability to live independently; and</w:t>
      </w:r>
    </w:p>
    <w:p w:rsidR="00BD659B" w:rsidRPr="00384234" w:rsidRDefault="00BD659B" w:rsidP="0049477B">
      <w:pPr>
        <w:numPr>
          <w:ilvl w:val="0"/>
          <w:numId w:val="2"/>
        </w:numPr>
        <w:tabs>
          <w:tab w:val="clear" w:pos="1800"/>
          <w:tab w:val="num" w:pos="1440"/>
        </w:tabs>
        <w:ind w:left="1440"/>
        <w:jc w:val="both"/>
        <w:rPr>
          <w:rFonts w:ascii="CG Omega" w:hAnsi="CG Omega"/>
        </w:rPr>
      </w:pPr>
      <w:r w:rsidRPr="00384234">
        <w:rPr>
          <w:rFonts w:ascii="CG Omega" w:hAnsi="CG Omega"/>
        </w:rPr>
        <w:t>Is of such a nature that the ability could be improved by m</w:t>
      </w:r>
      <w:r w:rsidR="00453B0E">
        <w:rPr>
          <w:rFonts w:ascii="CG Omega" w:hAnsi="CG Omega"/>
        </w:rPr>
        <w:t>ore suitable housing conditions.</w:t>
      </w:r>
    </w:p>
    <w:p w:rsidR="00BC5C19" w:rsidRDefault="00BC5C19" w:rsidP="0049477B">
      <w:pPr>
        <w:numPr>
          <w:ilvl w:val="0"/>
          <w:numId w:val="1"/>
        </w:numPr>
        <w:tabs>
          <w:tab w:val="clear" w:pos="1080"/>
          <w:tab w:val="num" w:pos="720"/>
        </w:tabs>
        <w:ind w:left="720"/>
        <w:jc w:val="both"/>
        <w:rPr>
          <w:rFonts w:ascii="CG Omega" w:hAnsi="CG Omega"/>
        </w:rPr>
      </w:pPr>
      <w:r>
        <w:rPr>
          <w:rFonts w:ascii="CG Omega" w:hAnsi="CG Omega"/>
        </w:rPr>
        <w:t>A person will also be considered to have a disability if he or she has a developmental disability, which is a severe, chronic disability that:</w:t>
      </w:r>
    </w:p>
    <w:p w:rsidR="00BC5C19" w:rsidRPr="00BC5C19" w:rsidRDefault="00BC5C19" w:rsidP="00BC5C19">
      <w:pPr>
        <w:ind w:left="1080" w:hanging="360"/>
        <w:jc w:val="both"/>
        <w:rPr>
          <w:rFonts w:ascii="CG Omega" w:hAnsi="CG Omega"/>
        </w:rPr>
      </w:pPr>
      <w:r>
        <w:rPr>
          <w:rFonts w:ascii="CG Omega" w:hAnsi="CG Omega"/>
        </w:rPr>
        <w:t>i)</w:t>
      </w:r>
      <w:r>
        <w:rPr>
          <w:rFonts w:ascii="CG Omega" w:hAnsi="CG Omega"/>
        </w:rPr>
        <w:tab/>
      </w:r>
      <w:r w:rsidRPr="00BC5C19">
        <w:rPr>
          <w:rFonts w:ascii="CG Omega" w:hAnsi="CG Omega"/>
        </w:rPr>
        <w:t xml:space="preserve">Is attributable to a mental or physical impartment or combination of </w:t>
      </w:r>
      <w:r w:rsidR="00453B0E">
        <w:rPr>
          <w:rFonts w:ascii="CG Omega" w:hAnsi="CG Omega"/>
        </w:rPr>
        <w:t>mental and physical impairments.</w:t>
      </w:r>
    </w:p>
    <w:p w:rsidR="00BC5C19" w:rsidRPr="00BC5C19" w:rsidRDefault="00BC5C19" w:rsidP="00BC5C19">
      <w:pPr>
        <w:ind w:left="360" w:firstLine="360"/>
        <w:jc w:val="both"/>
        <w:rPr>
          <w:rFonts w:ascii="CG Omega" w:hAnsi="CG Omega"/>
        </w:rPr>
      </w:pPr>
      <w:r>
        <w:rPr>
          <w:rFonts w:ascii="CG Omega" w:hAnsi="CG Omega"/>
        </w:rPr>
        <w:t>ii)</w:t>
      </w:r>
      <w:r>
        <w:rPr>
          <w:rFonts w:ascii="CG Omega" w:hAnsi="CG Omega"/>
        </w:rPr>
        <w:tab/>
      </w:r>
      <w:r w:rsidRPr="00BC5C19">
        <w:rPr>
          <w:rFonts w:ascii="CG Omega" w:hAnsi="CG Omega"/>
        </w:rPr>
        <w:t>Is manifested before the persona attains the age of 22</w:t>
      </w:r>
      <w:r w:rsidR="00453B0E">
        <w:rPr>
          <w:rFonts w:ascii="CG Omega" w:hAnsi="CG Omega"/>
        </w:rPr>
        <w:t>.</w:t>
      </w:r>
    </w:p>
    <w:p w:rsidR="00BC5C19" w:rsidRPr="00BC5C19" w:rsidRDefault="00BC5C19" w:rsidP="00BC5C19">
      <w:pPr>
        <w:ind w:left="360" w:firstLine="360"/>
        <w:jc w:val="both"/>
        <w:rPr>
          <w:rFonts w:ascii="CG Omega" w:hAnsi="CG Omega"/>
        </w:rPr>
      </w:pPr>
      <w:r>
        <w:rPr>
          <w:rFonts w:ascii="CG Omega" w:hAnsi="CG Omega"/>
        </w:rPr>
        <w:t>iii)</w:t>
      </w:r>
      <w:r>
        <w:rPr>
          <w:rFonts w:ascii="CG Omega" w:hAnsi="CG Omega"/>
        </w:rPr>
        <w:tab/>
      </w:r>
      <w:r w:rsidRPr="00BC5C19">
        <w:rPr>
          <w:rFonts w:ascii="CG Omega" w:hAnsi="CG Omega"/>
        </w:rPr>
        <w:t>Is likely to continue indefinitely</w:t>
      </w:r>
      <w:r w:rsidR="00453B0E">
        <w:rPr>
          <w:rFonts w:ascii="CG Omega" w:hAnsi="CG Omega"/>
        </w:rPr>
        <w:t>.</w:t>
      </w:r>
    </w:p>
    <w:p w:rsidR="00BC5C19" w:rsidRPr="00BC5C19" w:rsidRDefault="00BC5C19" w:rsidP="00BC5C19">
      <w:pPr>
        <w:ind w:left="1080" w:hanging="360"/>
        <w:jc w:val="both"/>
        <w:rPr>
          <w:rFonts w:ascii="CG Omega" w:hAnsi="CG Omega"/>
        </w:rPr>
      </w:pPr>
      <w:r>
        <w:rPr>
          <w:rFonts w:ascii="CG Omega" w:hAnsi="CG Omega"/>
        </w:rPr>
        <w:t>iv)</w:t>
      </w:r>
      <w:r>
        <w:rPr>
          <w:rFonts w:ascii="CG Omega" w:hAnsi="CG Omega"/>
        </w:rPr>
        <w:tab/>
      </w:r>
      <w:r w:rsidRPr="00BC5C19">
        <w:rPr>
          <w:rFonts w:ascii="CG Omega" w:hAnsi="CG Omega"/>
        </w:rPr>
        <w:t>Results in substantial functional limitations in three or</w:t>
      </w:r>
      <w:r>
        <w:rPr>
          <w:rFonts w:ascii="CG Omega" w:hAnsi="CG Omega"/>
        </w:rPr>
        <w:t xml:space="preserve"> </w:t>
      </w:r>
      <w:r w:rsidRPr="00BC5C19">
        <w:rPr>
          <w:rFonts w:ascii="CG Omega" w:hAnsi="CG Omega"/>
        </w:rPr>
        <w:t>more of the follo</w:t>
      </w:r>
      <w:r>
        <w:rPr>
          <w:rFonts w:ascii="CG Omega" w:hAnsi="CG Omega"/>
        </w:rPr>
        <w:t>w</w:t>
      </w:r>
      <w:r w:rsidRPr="00BC5C19">
        <w:rPr>
          <w:rFonts w:ascii="CG Omega" w:hAnsi="CG Omega"/>
        </w:rPr>
        <w:t>ing areas of like activity: self-care, receptive or expressive language, learning, mobility, self-direction, capacity for independent living, an</w:t>
      </w:r>
      <w:r w:rsidR="00453B0E">
        <w:rPr>
          <w:rFonts w:ascii="CG Omega" w:hAnsi="CG Omega"/>
        </w:rPr>
        <w:t>d economic self-sufficiency.</w:t>
      </w:r>
    </w:p>
    <w:p w:rsidR="00BD659B" w:rsidRPr="00BC5C19" w:rsidRDefault="00BC5C19" w:rsidP="00BC5C19">
      <w:pPr>
        <w:ind w:left="1080" w:hanging="360"/>
        <w:jc w:val="both"/>
        <w:rPr>
          <w:rFonts w:ascii="CG Omega" w:hAnsi="CG Omega"/>
        </w:rPr>
      </w:pPr>
      <w:r>
        <w:rPr>
          <w:rFonts w:ascii="CG Omega" w:hAnsi="CG Omega"/>
        </w:rPr>
        <w:t>v)</w:t>
      </w:r>
      <w:r>
        <w:rPr>
          <w:rFonts w:ascii="CG Omega" w:hAnsi="CG Omega"/>
        </w:rPr>
        <w:tab/>
      </w:r>
      <w:r w:rsidRPr="00BC5C19">
        <w:rPr>
          <w:rFonts w:ascii="CG Omega" w:hAnsi="CG Omega"/>
        </w:rPr>
        <w:t>Reflects the person’s need for a combination and sequence of special, interdisciplinary, or generic care, treatment, or other services that are lifelong or extended duration and are individually planned and coordinated.  Notwithstanding the preceding provisions of this definition, the term “person with disabilities” includes two or more persons with disabilities living together, one or more such persons living with another person who is determined to be important to their car or well-being, and the surviving member or members of any households described in the first sentence of this definition who were living, in a unit assisted with HOME funds, with the deceased member of the household at the time of his or her death.</w:t>
      </w:r>
    </w:p>
    <w:p w:rsidR="00BC5C19" w:rsidRPr="00384234" w:rsidRDefault="00BC5C19" w:rsidP="00BC5C19">
      <w:pPr>
        <w:ind w:left="720"/>
        <w:jc w:val="both"/>
        <w:rPr>
          <w:rFonts w:ascii="CG Omega" w:hAnsi="CG Omega"/>
          <w:b/>
          <w:u w:val="single"/>
        </w:rPr>
      </w:pPr>
    </w:p>
    <w:p w:rsidR="00BD659B" w:rsidRPr="00384234" w:rsidRDefault="00BD659B" w:rsidP="00BD659B">
      <w:pPr>
        <w:jc w:val="both"/>
        <w:rPr>
          <w:rFonts w:ascii="CG Omega" w:hAnsi="CG Omega"/>
        </w:rPr>
      </w:pPr>
      <w:r w:rsidRPr="00384234">
        <w:rPr>
          <w:rFonts w:ascii="CG Omega" w:hAnsi="CG Omega"/>
          <w:b/>
          <w:u w:val="single"/>
        </w:rPr>
        <w:t xml:space="preserve">Private </w:t>
      </w:r>
      <w:r w:rsidR="005347C1">
        <w:rPr>
          <w:rFonts w:ascii="CG Omega" w:hAnsi="CG Omega"/>
          <w:b/>
          <w:u w:val="single"/>
        </w:rPr>
        <w:t>Nonprofit</w:t>
      </w:r>
      <w:r w:rsidRPr="00384234">
        <w:rPr>
          <w:rFonts w:ascii="CG Omega" w:hAnsi="CG Omega"/>
          <w:b/>
          <w:u w:val="single"/>
        </w:rPr>
        <w:t xml:space="preserve"> Organization</w:t>
      </w:r>
      <w:r w:rsidRPr="00384234">
        <w:rPr>
          <w:rFonts w:ascii="CG Omega" w:hAnsi="CG Omega"/>
        </w:rPr>
        <w:t xml:space="preserve">  A secular or religious organization described i</w:t>
      </w:r>
      <w:r w:rsidR="00453B0E">
        <w:rPr>
          <w:rFonts w:ascii="CG Omega" w:hAnsi="CG Omega"/>
        </w:rPr>
        <w:t>n S</w:t>
      </w:r>
      <w:r w:rsidRPr="00384234">
        <w:rPr>
          <w:rFonts w:ascii="CG Omega" w:hAnsi="CG Omega"/>
        </w:rPr>
        <w:t>ection 501 (c) of the Internal Revenue Code of 1988 which:  (a) is exempt from taxation under subtitle A of the Code; (b) has an accounting system and a voluntary board; and (c) practices nondiscrimination in the provision of assistance.</w:t>
      </w:r>
    </w:p>
    <w:p w:rsidR="00BD659B" w:rsidRPr="00384234" w:rsidRDefault="00BD659B" w:rsidP="00BD659B">
      <w:pPr>
        <w:jc w:val="both"/>
        <w:rPr>
          <w:rFonts w:ascii="CG Omega" w:hAnsi="CG Omega"/>
        </w:rPr>
      </w:pPr>
    </w:p>
    <w:p w:rsidR="00BD659B" w:rsidRPr="00384234" w:rsidRDefault="00BD659B" w:rsidP="00BD659B">
      <w:pPr>
        <w:jc w:val="both"/>
        <w:rPr>
          <w:rFonts w:ascii="CG Omega" w:hAnsi="CG Omega"/>
        </w:rPr>
      </w:pPr>
      <w:r w:rsidRPr="00384234">
        <w:rPr>
          <w:rFonts w:ascii="CG Omega" w:hAnsi="CG Omega"/>
          <w:b/>
          <w:u w:val="single"/>
        </w:rPr>
        <w:t>Program</w:t>
      </w:r>
      <w:r w:rsidRPr="00384234">
        <w:rPr>
          <w:rFonts w:ascii="CG Omega" w:hAnsi="CG Omega"/>
        </w:rPr>
        <w:t xml:space="preserve">  An organized set of activities directed toward a common purpose or goal that an agency undertakes or proposes to carry out its responsibilities.</w:t>
      </w:r>
    </w:p>
    <w:p w:rsidR="00BD659B" w:rsidRPr="00384234" w:rsidRDefault="00BD659B" w:rsidP="00BD659B">
      <w:pPr>
        <w:jc w:val="both"/>
        <w:rPr>
          <w:rFonts w:ascii="CG Omega" w:hAnsi="CG Omega"/>
        </w:rPr>
      </w:pPr>
    </w:p>
    <w:p w:rsidR="008F5E98" w:rsidRDefault="00BD659B" w:rsidP="00853960">
      <w:pPr>
        <w:pStyle w:val="PlainText"/>
        <w:jc w:val="both"/>
        <w:rPr>
          <w:rFonts w:ascii="CG Omega" w:hAnsi="CG Omega"/>
        </w:rPr>
      </w:pPr>
      <w:r w:rsidRPr="00853960">
        <w:rPr>
          <w:rFonts w:ascii="CG Omega" w:hAnsi="CG Omega"/>
          <w:b/>
          <w:sz w:val="24"/>
          <w:szCs w:val="24"/>
          <w:u w:val="single"/>
        </w:rPr>
        <w:t>Program Income</w:t>
      </w:r>
      <w:r w:rsidRPr="00384234">
        <w:rPr>
          <w:rFonts w:ascii="CG Omega" w:hAnsi="CG Omega"/>
        </w:rPr>
        <w:t xml:space="preserve">  </w:t>
      </w:r>
    </w:p>
    <w:p w:rsidR="008F5E98" w:rsidRDefault="008F5E98" w:rsidP="00853960">
      <w:pPr>
        <w:pStyle w:val="PlainText"/>
        <w:jc w:val="both"/>
        <w:rPr>
          <w:rFonts w:ascii="CG Omega" w:hAnsi="CG Omega"/>
        </w:rPr>
      </w:pPr>
    </w:p>
    <w:p w:rsidR="008F5E98" w:rsidRPr="00384234" w:rsidRDefault="008F5E98" w:rsidP="008F5E98">
      <w:pPr>
        <w:jc w:val="both"/>
        <w:rPr>
          <w:rFonts w:ascii="CG Omega" w:hAnsi="CG Omega"/>
        </w:rPr>
      </w:pPr>
      <w:r w:rsidRPr="008F5E98">
        <w:rPr>
          <w:rFonts w:ascii="CG Omega" w:hAnsi="CG Omega"/>
          <w:b/>
        </w:rPr>
        <w:t>CDBG Program income</w:t>
      </w:r>
      <w:r w:rsidRPr="00384234">
        <w:rPr>
          <w:rFonts w:ascii="CG Omega" w:hAnsi="CG Omega"/>
        </w:rPr>
        <w:t xml:space="preserve"> is the gross income received by the recipient and its subrecipients* directly generated from the use of CDBG funds.  For those program income-generating activities that are only partially assisted with CDBG funds, such income is prorated to reflect </w:t>
      </w:r>
      <w:r w:rsidR="00453B0E">
        <w:rPr>
          <w:rFonts w:ascii="CG Omega" w:hAnsi="CG Omega"/>
        </w:rPr>
        <w:t xml:space="preserve">the </w:t>
      </w:r>
      <w:r w:rsidRPr="00384234">
        <w:rPr>
          <w:rFonts w:ascii="CG Omega" w:hAnsi="CG Omega"/>
        </w:rPr>
        <w:t>percentage of CDBG funds that were used.  Reference 24 CFR 570.500(a).</w:t>
      </w:r>
    </w:p>
    <w:p w:rsidR="008F5E98" w:rsidRPr="00384234" w:rsidRDefault="008F5E98" w:rsidP="008F5E98">
      <w:pPr>
        <w:jc w:val="both"/>
        <w:rPr>
          <w:rFonts w:ascii="CG Omega" w:hAnsi="CG Omega"/>
        </w:rPr>
      </w:pPr>
    </w:p>
    <w:p w:rsidR="008F5E98" w:rsidRPr="00384234" w:rsidRDefault="008F5E98" w:rsidP="008F5E98">
      <w:pPr>
        <w:ind w:left="360"/>
        <w:jc w:val="both"/>
        <w:rPr>
          <w:rFonts w:ascii="CG Omega" w:hAnsi="CG Omega"/>
        </w:rPr>
      </w:pPr>
      <w:r w:rsidRPr="00384234">
        <w:rPr>
          <w:rFonts w:ascii="CG Omega" w:hAnsi="CG Omega"/>
        </w:rPr>
        <w:t>Examples:  (Note:  This list in NOT exclusive and therefore other types of funds may also constitute CDBG program income.)</w:t>
      </w:r>
    </w:p>
    <w:p w:rsidR="008F5E98" w:rsidRPr="00384234" w:rsidRDefault="00453B0E" w:rsidP="0049477B">
      <w:pPr>
        <w:numPr>
          <w:ilvl w:val="0"/>
          <w:numId w:val="3"/>
        </w:numPr>
        <w:tabs>
          <w:tab w:val="clear" w:pos="360"/>
          <w:tab w:val="num" w:pos="1080"/>
        </w:tabs>
        <w:ind w:left="1080"/>
        <w:jc w:val="both"/>
        <w:rPr>
          <w:rFonts w:ascii="CG Omega" w:hAnsi="CG Omega"/>
          <w:sz w:val="22"/>
          <w:szCs w:val="22"/>
        </w:rPr>
      </w:pPr>
      <w:r w:rsidRPr="00384234">
        <w:rPr>
          <w:rFonts w:ascii="CG Omega" w:hAnsi="CG Omega"/>
          <w:sz w:val="22"/>
          <w:szCs w:val="22"/>
        </w:rPr>
        <w:t>Proceeds</w:t>
      </w:r>
      <w:r w:rsidR="008F5E98" w:rsidRPr="00384234">
        <w:rPr>
          <w:rFonts w:ascii="CG Omega" w:hAnsi="CG Omega"/>
          <w:sz w:val="22"/>
          <w:szCs w:val="22"/>
        </w:rPr>
        <w:t xml:space="preserve"> from the disposition by sale or long-term lease (15 years or more) of real property purchased or improved with CDBG funds.</w:t>
      </w:r>
    </w:p>
    <w:p w:rsidR="008F5E98" w:rsidRPr="00384234" w:rsidRDefault="00453B0E" w:rsidP="0049477B">
      <w:pPr>
        <w:numPr>
          <w:ilvl w:val="0"/>
          <w:numId w:val="3"/>
        </w:numPr>
        <w:tabs>
          <w:tab w:val="clear" w:pos="360"/>
          <w:tab w:val="num" w:pos="1080"/>
        </w:tabs>
        <w:ind w:left="1080"/>
        <w:jc w:val="both"/>
        <w:rPr>
          <w:rFonts w:ascii="CG Omega" w:hAnsi="CG Omega"/>
          <w:sz w:val="22"/>
          <w:szCs w:val="22"/>
        </w:rPr>
      </w:pPr>
      <w:r w:rsidRPr="00384234">
        <w:rPr>
          <w:rFonts w:ascii="CG Omega" w:hAnsi="CG Omega"/>
          <w:sz w:val="22"/>
          <w:szCs w:val="22"/>
        </w:rPr>
        <w:t>Proceeds</w:t>
      </w:r>
      <w:r w:rsidR="008F5E98" w:rsidRPr="00384234">
        <w:rPr>
          <w:rFonts w:ascii="CG Omega" w:hAnsi="CG Omega"/>
          <w:sz w:val="22"/>
          <w:szCs w:val="22"/>
        </w:rPr>
        <w:t xml:space="preserve"> from the disposition of equipment bought with CDBG funds.</w:t>
      </w:r>
    </w:p>
    <w:p w:rsidR="008F5E98" w:rsidRPr="00384234" w:rsidRDefault="00453B0E" w:rsidP="0049477B">
      <w:pPr>
        <w:numPr>
          <w:ilvl w:val="0"/>
          <w:numId w:val="3"/>
        </w:numPr>
        <w:tabs>
          <w:tab w:val="clear" w:pos="360"/>
          <w:tab w:val="num" w:pos="1080"/>
        </w:tabs>
        <w:ind w:left="1080"/>
        <w:jc w:val="both"/>
        <w:rPr>
          <w:rFonts w:ascii="CG Omega" w:hAnsi="CG Omega"/>
          <w:sz w:val="22"/>
          <w:szCs w:val="22"/>
        </w:rPr>
      </w:pPr>
      <w:r w:rsidRPr="00384234">
        <w:rPr>
          <w:rFonts w:ascii="CG Omega" w:hAnsi="CG Omega"/>
          <w:sz w:val="22"/>
          <w:szCs w:val="22"/>
        </w:rPr>
        <w:t>Gross</w:t>
      </w:r>
      <w:r w:rsidR="008F5E98" w:rsidRPr="00384234">
        <w:rPr>
          <w:rFonts w:ascii="CG Omega" w:hAnsi="CG Omega"/>
          <w:sz w:val="22"/>
          <w:szCs w:val="22"/>
        </w:rPr>
        <w:t xml:space="preserve"> income from the use or rental of real property that has been constructed or improved with CDBG funds and that is owned (in whole or in part) by the recipient or subrecipient.  Costs incidental to the generation of the income are deducted from the gross income.</w:t>
      </w:r>
    </w:p>
    <w:p w:rsidR="008F5E98" w:rsidRPr="00384234" w:rsidRDefault="00453B0E" w:rsidP="0049477B">
      <w:pPr>
        <w:numPr>
          <w:ilvl w:val="0"/>
          <w:numId w:val="3"/>
        </w:numPr>
        <w:tabs>
          <w:tab w:val="clear" w:pos="360"/>
          <w:tab w:val="num" w:pos="1080"/>
        </w:tabs>
        <w:ind w:left="1080"/>
        <w:jc w:val="both"/>
        <w:rPr>
          <w:rFonts w:ascii="CG Omega" w:hAnsi="CG Omega"/>
          <w:sz w:val="22"/>
          <w:szCs w:val="22"/>
        </w:rPr>
      </w:pPr>
      <w:r w:rsidRPr="00384234">
        <w:rPr>
          <w:rFonts w:ascii="CG Omega" w:hAnsi="CG Omega"/>
          <w:sz w:val="22"/>
          <w:szCs w:val="22"/>
        </w:rPr>
        <w:t>Payments</w:t>
      </w:r>
      <w:r w:rsidR="008F5E98" w:rsidRPr="00384234">
        <w:rPr>
          <w:rFonts w:ascii="CG Omega" w:hAnsi="CG Omega"/>
          <w:sz w:val="22"/>
          <w:szCs w:val="22"/>
        </w:rPr>
        <w:t xml:space="preserve"> of principal and interest on loans made using CDBG funds.</w:t>
      </w:r>
    </w:p>
    <w:p w:rsidR="008F5E98" w:rsidRPr="00384234" w:rsidRDefault="00453B0E" w:rsidP="0049477B">
      <w:pPr>
        <w:numPr>
          <w:ilvl w:val="0"/>
          <w:numId w:val="3"/>
        </w:numPr>
        <w:tabs>
          <w:tab w:val="clear" w:pos="360"/>
          <w:tab w:val="num" w:pos="1080"/>
        </w:tabs>
        <w:ind w:left="1080"/>
        <w:jc w:val="both"/>
        <w:rPr>
          <w:rFonts w:ascii="CG Omega" w:hAnsi="CG Omega"/>
          <w:sz w:val="22"/>
          <w:szCs w:val="22"/>
        </w:rPr>
      </w:pPr>
      <w:r w:rsidRPr="00384234">
        <w:rPr>
          <w:rFonts w:ascii="CG Omega" w:hAnsi="CG Omega"/>
          <w:sz w:val="22"/>
          <w:szCs w:val="22"/>
        </w:rPr>
        <w:t>Proceeds</w:t>
      </w:r>
      <w:r w:rsidR="008F5E98" w:rsidRPr="00384234">
        <w:rPr>
          <w:rFonts w:ascii="CG Omega" w:hAnsi="CG Omega"/>
          <w:sz w:val="22"/>
          <w:szCs w:val="22"/>
        </w:rPr>
        <w:t xml:space="preserve"> from the sale of loans made with CDBG funds.</w:t>
      </w:r>
    </w:p>
    <w:p w:rsidR="008F5E98" w:rsidRPr="00384234" w:rsidRDefault="00453B0E" w:rsidP="0049477B">
      <w:pPr>
        <w:numPr>
          <w:ilvl w:val="0"/>
          <w:numId w:val="3"/>
        </w:numPr>
        <w:tabs>
          <w:tab w:val="clear" w:pos="360"/>
          <w:tab w:val="num" w:pos="1080"/>
        </w:tabs>
        <w:ind w:left="1080"/>
        <w:jc w:val="both"/>
        <w:rPr>
          <w:rFonts w:ascii="CG Omega" w:hAnsi="CG Omega"/>
          <w:sz w:val="22"/>
          <w:szCs w:val="22"/>
        </w:rPr>
      </w:pPr>
      <w:r w:rsidRPr="00384234">
        <w:rPr>
          <w:rFonts w:ascii="CG Omega" w:hAnsi="CG Omega"/>
          <w:sz w:val="22"/>
          <w:szCs w:val="22"/>
        </w:rPr>
        <w:t>Proceeds</w:t>
      </w:r>
      <w:r w:rsidR="008F5E98" w:rsidRPr="00384234">
        <w:rPr>
          <w:rFonts w:ascii="CG Omega" w:hAnsi="CG Omega"/>
          <w:sz w:val="22"/>
          <w:szCs w:val="22"/>
        </w:rPr>
        <w:t xml:space="preserve"> from the sale of obligations secured by loans made with CDBG funds.</w:t>
      </w:r>
    </w:p>
    <w:p w:rsidR="008F5E98" w:rsidRPr="00384234" w:rsidRDefault="00453B0E" w:rsidP="0049477B">
      <w:pPr>
        <w:numPr>
          <w:ilvl w:val="0"/>
          <w:numId w:val="3"/>
        </w:numPr>
        <w:tabs>
          <w:tab w:val="clear" w:pos="360"/>
          <w:tab w:val="num" w:pos="1080"/>
        </w:tabs>
        <w:ind w:left="1080"/>
        <w:jc w:val="both"/>
        <w:rPr>
          <w:rFonts w:ascii="CG Omega" w:hAnsi="CG Omega"/>
          <w:sz w:val="22"/>
          <w:szCs w:val="22"/>
        </w:rPr>
      </w:pPr>
      <w:r w:rsidRPr="00384234">
        <w:rPr>
          <w:rFonts w:ascii="CG Omega" w:hAnsi="CG Omega"/>
          <w:sz w:val="22"/>
          <w:szCs w:val="22"/>
        </w:rPr>
        <w:t>Any</w:t>
      </w:r>
      <w:r w:rsidR="008F5E98" w:rsidRPr="00384234">
        <w:rPr>
          <w:rFonts w:ascii="CG Omega" w:hAnsi="CG Omega"/>
          <w:sz w:val="22"/>
          <w:szCs w:val="22"/>
        </w:rPr>
        <w:t xml:space="preserve"> interest earned on funds held in a revolving fund account.</w:t>
      </w:r>
    </w:p>
    <w:p w:rsidR="008F5E98" w:rsidRPr="00384234" w:rsidRDefault="00453B0E" w:rsidP="0049477B">
      <w:pPr>
        <w:numPr>
          <w:ilvl w:val="0"/>
          <w:numId w:val="3"/>
        </w:numPr>
        <w:tabs>
          <w:tab w:val="clear" w:pos="360"/>
          <w:tab w:val="num" w:pos="1080"/>
        </w:tabs>
        <w:ind w:left="1080"/>
        <w:jc w:val="both"/>
        <w:rPr>
          <w:rFonts w:ascii="CG Omega" w:hAnsi="CG Omega"/>
          <w:sz w:val="22"/>
          <w:szCs w:val="22"/>
        </w:rPr>
      </w:pPr>
      <w:r w:rsidRPr="00384234">
        <w:rPr>
          <w:rFonts w:ascii="CG Omega" w:hAnsi="CG Omega"/>
          <w:sz w:val="22"/>
          <w:szCs w:val="22"/>
        </w:rPr>
        <w:t>Any</w:t>
      </w:r>
      <w:r w:rsidR="008F5E98" w:rsidRPr="00384234">
        <w:rPr>
          <w:rFonts w:ascii="CG Omega" w:hAnsi="CG Omega"/>
          <w:sz w:val="22"/>
          <w:szCs w:val="22"/>
        </w:rPr>
        <w:t xml:space="preserve"> interest earned on program income pending its disposition.</w:t>
      </w:r>
    </w:p>
    <w:p w:rsidR="008F5E98" w:rsidRPr="00384234" w:rsidRDefault="00453B0E" w:rsidP="0049477B">
      <w:pPr>
        <w:numPr>
          <w:ilvl w:val="0"/>
          <w:numId w:val="3"/>
        </w:numPr>
        <w:tabs>
          <w:tab w:val="clear" w:pos="360"/>
          <w:tab w:val="num" w:pos="1080"/>
        </w:tabs>
        <w:ind w:left="1080"/>
        <w:jc w:val="both"/>
        <w:rPr>
          <w:rFonts w:ascii="CG Omega" w:hAnsi="CG Omega"/>
          <w:sz w:val="22"/>
          <w:szCs w:val="22"/>
        </w:rPr>
      </w:pPr>
      <w:r w:rsidRPr="00384234">
        <w:rPr>
          <w:rFonts w:ascii="CG Omega" w:hAnsi="CG Omega"/>
          <w:sz w:val="22"/>
          <w:szCs w:val="22"/>
        </w:rPr>
        <w:t>Funds</w:t>
      </w:r>
      <w:r w:rsidR="008F5E98" w:rsidRPr="00384234">
        <w:rPr>
          <w:rFonts w:ascii="CG Omega" w:hAnsi="CG Omega"/>
          <w:sz w:val="22"/>
          <w:szCs w:val="22"/>
        </w:rPr>
        <w:t xml:space="preserve"> collected through special assessments that are made against properties owned and occupied by non-low and moderate- income households where the assessments have been made to recover some or all of the CDBG portion of a public improvement.</w:t>
      </w:r>
    </w:p>
    <w:p w:rsidR="008F5E98" w:rsidRPr="00384234" w:rsidRDefault="008F5E98" w:rsidP="008F5E98">
      <w:pPr>
        <w:ind w:left="360"/>
        <w:jc w:val="both"/>
        <w:rPr>
          <w:rFonts w:ascii="CG Omega" w:hAnsi="CG Omega"/>
        </w:rPr>
      </w:pPr>
      <w:r w:rsidRPr="00384234">
        <w:rPr>
          <w:rFonts w:ascii="CG Omega" w:hAnsi="CG Omega"/>
        </w:rPr>
        <w:t>Reference:  570.500(a)(1)</w:t>
      </w:r>
    </w:p>
    <w:p w:rsidR="008F5E98" w:rsidRPr="00384234" w:rsidRDefault="008F5E98" w:rsidP="008F5E98">
      <w:pPr>
        <w:ind w:left="360"/>
        <w:jc w:val="both"/>
        <w:rPr>
          <w:rFonts w:ascii="CG Omega" w:hAnsi="CG Omega"/>
        </w:rPr>
      </w:pPr>
    </w:p>
    <w:p w:rsidR="008F5E98" w:rsidRPr="00384234" w:rsidRDefault="008F5E98" w:rsidP="008F5E98">
      <w:pPr>
        <w:ind w:left="360"/>
        <w:jc w:val="both"/>
        <w:rPr>
          <w:rFonts w:ascii="CG Omega" w:hAnsi="CG Omega"/>
        </w:rPr>
      </w:pPr>
      <w:r w:rsidRPr="00384234">
        <w:rPr>
          <w:rFonts w:ascii="CG Omega" w:hAnsi="CG Omega"/>
        </w:rPr>
        <w:t>Program income does not include the following examples:</w:t>
      </w:r>
    </w:p>
    <w:p w:rsidR="008F5E98" w:rsidRPr="00384234" w:rsidRDefault="008F5E98" w:rsidP="008F5E98">
      <w:pPr>
        <w:ind w:left="360"/>
        <w:jc w:val="both"/>
        <w:rPr>
          <w:rFonts w:ascii="CG Omega" w:hAnsi="CG Omega"/>
        </w:rPr>
      </w:pPr>
    </w:p>
    <w:p w:rsidR="008F5E98" w:rsidRPr="00384234" w:rsidRDefault="00453B0E" w:rsidP="0049477B">
      <w:pPr>
        <w:numPr>
          <w:ilvl w:val="0"/>
          <w:numId w:val="4"/>
        </w:numPr>
        <w:tabs>
          <w:tab w:val="clear" w:pos="360"/>
          <w:tab w:val="num" w:pos="1080"/>
        </w:tabs>
        <w:ind w:left="1080"/>
        <w:jc w:val="both"/>
        <w:rPr>
          <w:rFonts w:ascii="CG Omega" w:hAnsi="CG Omega"/>
          <w:sz w:val="22"/>
          <w:szCs w:val="22"/>
        </w:rPr>
      </w:pPr>
      <w:r w:rsidRPr="00384234">
        <w:rPr>
          <w:rFonts w:ascii="CG Omega" w:hAnsi="CG Omega"/>
          <w:sz w:val="22"/>
          <w:szCs w:val="22"/>
        </w:rPr>
        <w:t>Interest</w:t>
      </w:r>
      <w:r w:rsidR="008F5E98" w:rsidRPr="00384234">
        <w:rPr>
          <w:rFonts w:ascii="CG Omega" w:hAnsi="CG Omega"/>
          <w:sz w:val="22"/>
          <w:szCs w:val="22"/>
        </w:rPr>
        <w:t xml:space="preserve"> earned on grant advances from the U.S. Treasury.  Any interest earned on grant advances is required to be returned to the U.S. Treasury.</w:t>
      </w:r>
    </w:p>
    <w:p w:rsidR="008F5E98" w:rsidRPr="00384234" w:rsidRDefault="00453B0E" w:rsidP="0049477B">
      <w:pPr>
        <w:numPr>
          <w:ilvl w:val="0"/>
          <w:numId w:val="4"/>
        </w:numPr>
        <w:tabs>
          <w:tab w:val="clear" w:pos="360"/>
          <w:tab w:val="num" w:pos="1080"/>
        </w:tabs>
        <w:ind w:left="1080"/>
        <w:jc w:val="both"/>
        <w:rPr>
          <w:rFonts w:ascii="CG Omega" w:hAnsi="CG Omega"/>
          <w:sz w:val="22"/>
          <w:szCs w:val="22"/>
        </w:rPr>
      </w:pPr>
      <w:r w:rsidRPr="00384234">
        <w:rPr>
          <w:rFonts w:ascii="CG Omega" w:hAnsi="CG Omega"/>
          <w:sz w:val="22"/>
          <w:szCs w:val="22"/>
        </w:rPr>
        <w:t>Proceeds</w:t>
      </w:r>
      <w:r w:rsidR="008F5E98" w:rsidRPr="00384234">
        <w:rPr>
          <w:rFonts w:ascii="CG Omega" w:hAnsi="CG Omega"/>
          <w:sz w:val="22"/>
          <w:szCs w:val="22"/>
        </w:rPr>
        <w:t xml:space="preserve"> from fund-raising activities carried out by subrecipients that are receiving CDBG assistance to implement eligible activities.</w:t>
      </w:r>
    </w:p>
    <w:p w:rsidR="008F5E98" w:rsidRPr="00384234" w:rsidRDefault="00453B0E" w:rsidP="0049477B">
      <w:pPr>
        <w:numPr>
          <w:ilvl w:val="0"/>
          <w:numId w:val="4"/>
        </w:numPr>
        <w:tabs>
          <w:tab w:val="clear" w:pos="360"/>
          <w:tab w:val="num" w:pos="1080"/>
        </w:tabs>
        <w:ind w:left="1080"/>
        <w:jc w:val="both"/>
        <w:rPr>
          <w:rFonts w:ascii="CG Omega" w:hAnsi="CG Omega"/>
          <w:sz w:val="22"/>
          <w:szCs w:val="22"/>
        </w:rPr>
      </w:pPr>
      <w:r w:rsidRPr="00384234">
        <w:rPr>
          <w:rFonts w:ascii="CG Omega" w:hAnsi="CG Omega"/>
          <w:sz w:val="22"/>
          <w:szCs w:val="22"/>
        </w:rPr>
        <w:t>Funds</w:t>
      </w:r>
      <w:r w:rsidR="008F5E98" w:rsidRPr="00384234">
        <w:rPr>
          <w:rFonts w:ascii="CG Omega" w:hAnsi="CG Omega"/>
          <w:sz w:val="22"/>
          <w:szCs w:val="22"/>
        </w:rPr>
        <w:t xml:space="preserve"> collected through special assessments that have been made to recover the non-CDBG portion of a public improvement.</w:t>
      </w:r>
    </w:p>
    <w:p w:rsidR="008F5E98" w:rsidRPr="00384234" w:rsidRDefault="00453B0E" w:rsidP="0049477B">
      <w:pPr>
        <w:numPr>
          <w:ilvl w:val="0"/>
          <w:numId w:val="4"/>
        </w:numPr>
        <w:tabs>
          <w:tab w:val="clear" w:pos="360"/>
          <w:tab w:val="num" w:pos="1080"/>
        </w:tabs>
        <w:ind w:left="1080"/>
        <w:jc w:val="both"/>
        <w:rPr>
          <w:rFonts w:ascii="CG Omega" w:hAnsi="CG Omega"/>
          <w:sz w:val="22"/>
          <w:szCs w:val="22"/>
        </w:rPr>
      </w:pPr>
      <w:r w:rsidRPr="00384234">
        <w:rPr>
          <w:rFonts w:ascii="CG Omega" w:hAnsi="CG Omega"/>
          <w:sz w:val="22"/>
          <w:szCs w:val="22"/>
        </w:rPr>
        <w:t>Proceeds</w:t>
      </w:r>
      <w:r w:rsidR="008F5E98" w:rsidRPr="00384234">
        <w:rPr>
          <w:rFonts w:ascii="CG Omega" w:hAnsi="CG Omega"/>
          <w:sz w:val="22"/>
          <w:szCs w:val="22"/>
        </w:rPr>
        <w:t xml:space="preserve"> from the disposition by the grantee of real property that has been acquired or improved with CDBG funds when the disposition occurs after grant closeout for entitlement grantees.</w:t>
      </w:r>
    </w:p>
    <w:p w:rsidR="008F5E98" w:rsidRPr="00384234" w:rsidRDefault="008F5E98" w:rsidP="0049477B">
      <w:pPr>
        <w:numPr>
          <w:ilvl w:val="0"/>
          <w:numId w:val="4"/>
        </w:numPr>
        <w:tabs>
          <w:tab w:val="clear" w:pos="360"/>
          <w:tab w:val="num" w:pos="1080"/>
        </w:tabs>
        <w:ind w:left="1080"/>
        <w:jc w:val="both"/>
        <w:rPr>
          <w:rFonts w:ascii="CG Omega" w:hAnsi="CG Omega"/>
          <w:sz w:val="22"/>
          <w:szCs w:val="22"/>
        </w:rPr>
      </w:pPr>
      <w:r w:rsidRPr="00384234">
        <w:rPr>
          <w:rFonts w:ascii="CG Omega" w:hAnsi="CG Omega"/>
          <w:sz w:val="22"/>
          <w:szCs w:val="22"/>
        </w:rPr>
        <w:t>proceeds from the disposition of real property that has been acquired or improved with CDBG funds where the disposition occurs within a five year period (or more if so determined by the grantee) after the expiration of the agreement between the grantee and subrecipient for that specific agreement where the CDBG funds were provided for the acquisition or improvement of the subject property.</w:t>
      </w:r>
    </w:p>
    <w:p w:rsidR="008F5E98" w:rsidRPr="00384234" w:rsidRDefault="008F5E98" w:rsidP="008F5E98">
      <w:pPr>
        <w:ind w:left="360"/>
        <w:jc w:val="both"/>
        <w:rPr>
          <w:rFonts w:ascii="CG Omega" w:hAnsi="CG Omega"/>
        </w:rPr>
      </w:pPr>
      <w:r w:rsidRPr="00384234">
        <w:rPr>
          <w:rFonts w:ascii="CG Omega" w:hAnsi="CG Omega"/>
        </w:rPr>
        <w:t>Note:  This list is not all-inclusive.</w:t>
      </w:r>
    </w:p>
    <w:p w:rsidR="008F5E98" w:rsidRPr="00384234" w:rsidRDefault="008F5E98" w:rsidP="008F5E98">
      <w:pPr>
        <w:jc w:val="both"/>
        <w:rPr>
          <w:rFonts w:ascii="CG Omega" w:hAnsi="CG Omega"/>
        </w:rPr>
      </w:pPr>
    </w:p>
    <w:p w:rsidR="008F5E98" w:rsidRPr="00384234" w:rsidRDefault="008F5E98" w:rsidP="008F5E98">
      <w:pPr>
        <w:ind w:left="720"/>
        <w:jc w:val="both"/>
        <w:rPr>
          <w:rFonts w:ascii="CG Omega" w:hAnsi="CG Omega"/>
          <w:b/>
          <w:i/>
          <w:sz w:val="22"/>
          <w:szCs w:val="22"/>
        </w:rPr>
      </w:pPr>
      <w:r w:rsidRPr="00384234">
        <w:rPr>
          <w:rFonts w:ascii="CG Omega" w:hAnsi="CG Omega"/>
          <w:sz w:val="22"/>
          <w:szCs w:val="22"/>
        </w:rPr>
        <w:t>*</w:t>
      </w:r>
      <w:r w:rsidRPr="00384234">
        <w:rPr>
          <w:rFonts w:ascii="CG Omega" w:hAnsi="CG Omega"/>
          <w:b/>
          <w:i/>
          <w:sz w:val="22"/>
          <w:szCs w:val="22"/>
        </w:rPr>
        <w:t xml:space="preserve">Subrecipient </w:t>
      </w:r>
      <w:r w:rsidRPr="00384234">
        <w:rPr>
          <w:rFonts w:ascii="CG Omega" w:hAnsi="CG Omega"/>
          <w:i/>
          <w:sz w:val="22"/>
          <w:szCs w:val="22"/>
        </w:rPr>
        <w:t>means a public or private nonprofit agency, authority, or organization or an authorized for-profit entity receiving CDBG funds from the recipient or another subrecipient to undertake activities eligible for such assistance.  The term excludes an entity receiving CDBG funds from the recipient unless the grantee explicitly designates it as a subrecipient.  The term includes a public agency designated by a unit of general local government to receive a loan guarantee, but does not include contractors providing supplies, equipment, construction, or services subject to the procurement requirements as applicable</w:t>
      </w:r>
      <w:r w:rsidRPr="00384234">
        <w:rPr>
          <w:rFonts w:ascii="CG Omega" w:hAnsi="CG Omega"/>
          <w:b/>
          <w:i/>
          <w:sz w:val="22"/>
          <w:szCs w:val="22"/>
        </w:rPr>
        <w:t>.</w:t>
      </w:r>
    </w:p>
    <w:p w:rsidR="008F5E98" w:rsidRDefault="008F5E98" w:rsidP="00853960">
      <w:pPr>
        <w:pStyle w:val="PlainText"/>
        <w:jc w:val="both"/>
        <w:rPr>
          <w:rFonts w:ascii="CG Omega" w:hAnsi="CG Omega"/>
        </w:rPr>
      </w:pPr>
    </w:p>
    <w:p w:rsidR="00853960" w:rsidRPr="007E02B6" w:rsidRDefault="008F5E98" w:rsidP="00853960">
      <w:pPr>
        <w:pStyle w:val="PlainText"/>
        <w:jc w:val="both"/>
        <w:rPr>
          <w:rFonts w:ascii="CG Omega" w:eastAsia="MS Mincho" w:hAnsi="CG Omega"/>
          <w:sz w:val="24"/>
          <w:szCs w:val="24"/>
        </w:rPr>
      </w:pPr>
      <w:r w:rsidRPr="008F5E98">
        <w:rPr>
          <w:rFonts w:ascii="CG Omega" w:hAnsi="CG Omega"/>
          <w:b/>
          <w:sz w:val="24"/>
          <w:szCs w:val="24"/>
        </w:rPr>
        <w:t xml:space="preserve">HOME </w:t>
      </w:r>
      <w:r>
        <w:rPr>
          <w:rFonts w:ascii="CG Omega" w:eastAsia="MS Mincho" w:hAnsi="CG Omega"/>
          <w:b/>
          <w:sz w:val="24"/>
          <w:szCs w:val="24"/>
        </w:rPr>
        <w:t>Program I</w:t>
      </w:r>
      <w:r w:rsidR="00853960" w:rsidRPr="008F5E98">
        <w:rPr>
          <w:rFonts w:ascii="CG Omega" w:eastAsia="MS Mincho" w:hAnsi="CG Omega"/>
          <w:b/>
          <w:sz w:val="24"/>
          <w:szCs w:val="24"/>
        </w:rPr>
        <w:t>ncome</w:t>
      </w:r>
      <w:r w:rsidR="00853960" w:rsidRPr="007E02B6">
        <w:rPr>
          <w:rFonts w:ascii="CG Omega" w:eastAsia="MS Mincho" w:hAnsi="CG Omega"/>
          <w:sz w:val="24"/>
          <w:szCs w:val="24"/>
        </w:rPr>
        <w:t xml:space="preserve"> means gross income received by the participating jurisdiction, subrecipient or State recipient which is directly generated from the use of HOME funds</w:t>
      </w:r>
      <w:r w:rsidR="00853960">
        <w:rPr>
          <w:rFonts w:ascii="CG Omega" w:eastAsia="MS Mincho" w:hAnsi="CG Omega"/>
          <w:sz w:val="24"/>
          <w:szCs w:val="24"/>
        </w:rPr>
        <w:t xml:space="preserve"> </w:t>
      </w:r>
      <w:r w:rsidR="00853960" w:rsidRPr="007E02B6">
        <w:rPr>
          <w:rFonts w:ascii="CG Omega" w:eastAsia="MS Mincho" w:hAnsi="CG Omega"/>
          <w:sz w:val="24"/>
          <w:szCs w:val="24"/>
        </w:rPr>
        <w:t>(including HOME program income) and matching contributions.  When program income is generated by housing that is only partially assisted with HOME funds or matching funds, the income shall be prorated to reflect the percentage of HOME funds or match used.</w:t>
      </w:r>
    </w:p>
    <w:p w:rsidR="00853960" w:rsidRPr="007E02B6" w:rsidRDefault="00853960" w:rsidP="00853960">
      <w:pPr>
        <w:pStyle w:val="PlainText"/>
        <w:jc w:val="both"/>
        <w:rPr>
          <w:rFonts w:ascii="CG Omega" w:eastAsia="MS Mincho" w:hAnsi="CG Omega"/>
          <w:sz w:val="24"/>
          <w:szCs w:val="24"/>
        </w:rPr>
      </w:pPr>
    </w:p>
    <w:p w:rsidR="00853960" w:rsidRPr="007E02B6" w:rsidRDefault="00853960" w:rsidP="00853960">
      <w:pPr>
        <w:pStyle w:val="PlainText"/>
        <w:jc w:val="both"/>
        <w:rPr>
          <w:rFonts w:ascii="CG Omega" w:eastAsia="MS Mincho" w:hAnsi="CG Omega"/>
          <w:sz w:val="24"/>
          <w:szCs w:val="24"/>
        </w:rPr>
      </w:pPr>
      <w:r w:rsidRPr="007E02B6">
        <w:rPr>
          <w:rFonts w:ascii="CG Omega" w:eastAsia="MS Mincho" w:hAnsi="CG Omega"/>
          <w:sz w:val="24"/>
          <w:szCs w:val="24"/>
        </w:rPr>
        <w:t>Following is a list of examples.  Please note that this is not an exclusive list.</w:t>
      </w:r>
    </w:p>
    <w:p w:rsidR="00853960" w:rsidRPr="00163158" w:rsidRDefault="00853960" w:rsidP="00853960">
      <w:pPr>
        <w:pStyle w:val="PlainText"/>
        <w:jc w:val="both"/>
        <w:rPr>
          <w:rFonts w:ascii="CG Omega" w:eastAsia="MS Mincho" w:hAnsi="CG Omega"/>
          <w:sz w:val="16"/>
          <w:szCs w:val="16"/>
        </w:rPr>
      </w:pPr>
      <w:r w:rsidRPr="007E02B6">
        <w:rPr>
          <w:rFonts w:ascii="CG Omega" w:eastAsia="MS Mincho" w:hAnsi="CG Omega"/>
          <w:sz w:val="24"/>
          <w:szCs w:val="24"/>
        </w:rPr>
        <w:t xml:space="preserve"> </w:t>
      </w:r>
    </w:p>
    <w:p w:rsidR="00853960" w:rsidRPr="00453B0E" w:rsidRDefault="00853960" w:rsidP="00453B0E">
      <w:pPr>
        <w:pStyle w:val="PlainText"/>
        <w:ind w:left="1080" w:hanging="360"/>
        <w:jc w:val="both"/>
        <w:rPr>
          <w:rFonts w:ascii="CG Omega" w:eastAsia="MS Mincho" w:hAnsi="CG Omega"/>
          <w:sz w:val="22"/>
          <w:szCs w:val="22"/>
        </w:rPr>
      </w:pPr>
      <w:r w:rsidRPr="007E02B6">
        <w:rPr>
          <w:rFonts w:ascii="CG Omega" w:eastAsia="MS Mincho" w:hAnsi="CG Omega"/>
          <w:sz w:val="24"/>
          <w:szCs w:val="24"/>
        </w:rPr>
        <w:t>(</w:t>
      </w:r>
      <w:r w:rsidR="00453B0E">
        <w:rPr>
          <w:rFonts w:ascii="CG Omega" w:eastAsia="MS Mincho" w:hAnsi="CG Omega"/>
          <w:sz w:val="22"/>
          <w:szCs w:val="22"/>
        </w:rPr>
        <w:t>1)</w:t>
      </w:r>
      <w:r w:rsidR="00453B0E">
        <w:rPr>
          <w:rFonts w:ascii="CG Omega" w:eastAsia="MS Mincho" w:hAnsi="CG Omega"/>
          <w:sz w:val="22"/>
          <w:szCs w:val="22"/>
        </w:rPr>
        <w:tab/>
      </w:r>
      <w:r w:rsidRPr="00453B0E">
        <w:rPr>
          <w:rFonts w:ascii="CG Omega" w:eastAsia="MS Mincho" w:hAnsi="CG Omega"/>
          <w:sz w:val="22"/>
          <w:szCs w:val="22"/>
        </w:rPr>
        <w:t xml:space="preserve">Proceeds from the disposition by sale or long-term lease of real property acquired, rehabilitated, or constructed with HOME </w:t>
      </w:r>
      <w:r w:rsidR="00453B0E" w:rsidRPr="00453B0E">
        <w:rPr>
          <w:rFonts w:ascii="CG Omega" w:eastAsia="MS Mincho" w:hAnsi="CG Omega"/>
          <w:sz w:val="22"/>
          <w:szCs w:val="22"/>
        </w:rPr>
        <w:t>funds or matching contributions.</w:t>
      </w:r>
    </w:p>
    <w:p w:rsidR="00853960" w:rsidRPr="00453B0E" w:rsidRDefault="00453B0E" w:rsidP="00453B0E">
      <w:pPr>
        <w:pStyle w:val="PlainText"/>
        <w:ind w:left="1080" w:hanging="360"/>
        <w:jc w:val="both"/>
        <w:rPr>
          <w:rFonts w:ascii="CG Omega" w:eastAsia="MS Mincho" w:hAnsi="CG Omega"/>
          <w:sz w:val="22"/>
          <w:szCs w:val="22"/>
        </w:rPr>
      </w:pPr>
      <w:r>
        <w:rPr>
          <w:rFonts w:ascii="CG Omega" w:eastAsia="MS Mincho" w:hAnsi="CG Omega"/>
          <w:sz w:val="22"/>
          <w:szCs w:val="22"/>
        </w:rPr>
        <w:t>(2)</w:t>
      </w:r>
      <w:r>
        <w:rPr>
          <w:rFonts w:ascii="CG Omega" w:eastAsia="MS Mincho" w:hAnsi="CG Omega"/>
          <w:sz w:val="22"/>
          <w:szCs w:val="22"/>
        </w:rPr>
        <w:tab/>
      </w:r>
      <w:r w:rsidR="00853960" w:rsidRPr="00453B0E">
        <w:rPr>
          <w:rFonts w:ascii="CG Omega" w:eastAsia="MS Mincho" w:hAnsi="CG Omega"/>
          <w:sz w:val="22"/>
          <w:szCs w:val="22"/>
        </w:rPr>
        <w:t>Gross income from the use or rental of real property, owned by the participating jurisdiction, State recipient, or a subrecipient, that was acquired, rehabilitated, or constructed with HOME funds or matching contributions, less costs incidental to generation of the income (Note: rental income from property owned by entities other than the participating jurisdiction, a State recipient or a subrecipient does</w:t>
      </w:r>
      <w:r w:rsidRPr="00453B0E">
        <w:rPr>
          <w:rFonts w:ascii="CG Omega" w:eastAsia="MS Mincho" w:hAnsi="CG Omega"/>
          <w:sz w:val="22"/>
          <w:szCs w:val="22"/>
        </w:rPr>
        <w:t xml:space="preserve"> not constitute program income).</w:t>
      </w:r>
    </w:p>
    <w:p w:rsidR="00853960" w:rsidRPr="00453B0E" w:rsidRDefault="00453B0E" w:rsidP="00453B0E">
      <w:pPr>
        <w:pStyle w:val="PlainText"/>
        <w:ind w:left="1080" w:hanging="360"/>
        <w:jc w:val="both"/>
        <w:rPr>
          <w:rFonts w:ascii="CG Omega" w:eastAsia="MS Mincho" w:hAnsi="CG Omega"/>
          <w:sz w:val="22"/>
          <w:szCs w:val="22"/>
        </w:rPr>
      </w:pPr>
      <w:r>
        <w:rPr>
          <w:rFonts w:ascii="CG Omega" w:eastAsia="MS Mincho" w:hAnsi="CG Omega"/>
          <w:sz w:val="22"/>
          <w:szCs w:val="22"/>
        </w:rPr>
        <w:t>(3)</w:t>
      </w:r>
      <w:r>
        <w:rPr>
          <w:rFonts w:ascii="CG Omega" w:eastAsia="MS Mincho" w:hAnsi="CG Omega"/>
          <w:sz w:val="22"/>
          <w:szCs w:val="22"/>
        </w:rPr>
        <w:tab/>
      </w:r>
      <w:r w:rsidR="00853960" w:rsidRPr="00453B0E">
        <w:rPr>
          <w:rFonts w:ascii="CG Omega" w:eastAsia="MS Mincho" w:hAnsi="CG Omega"/>
          <w:sz w:val="22"/>
          <w:szCs w:val="22"/>
        </w:rPr>
        <w:t>Payments of principal and interest on loans made using HOME funds or matching contribut</w:t>
      </w:r>
      <w:r w:rsidRPr="00453B0E">
        <w:rPr>
          <w:rFonts w:ascii="CG Omega" w:eastAsia="MS Mincho" w:hAnsi="CG Omega"/>
          <w:sz w:val="22"/>
          <w:szCs w:val="22"/>
        </w:rPr>
        <w:t>ions.</w:t>
      </w:r>
    </w:p>
    <w:p w:rsidR="00853960" w:rsidRPr="00453B0E" w:rsidRDefault="00453B0E" w:rsidP="00453B0E">
      <w:pPr>
        <w:pStyle w:val="PlainText"/>
        <w:ind w:left="1080" w:hanging="360"/>
        <w:jc w:val="both"/>
        <w:rPr>
          <w:rFonts w:ascii="CG Omega" w:eastAsia="MS Mincho" w:hAnsi="CG Omega"/>
          <w:sz w:val="22"/>
          <w:szCs w:val="22"/>
        </w:rPr>
      </w:pPr>
      <w:r>
        <w:rPr>
          <w:rFonts w:ascii="CG Omega" w:eastAsia="MS Mincho" w:hAnsi="CG Omega"/>
          <w:sz w:val="22"/>
          <w:szCs w:val="22"/>
        </w:rPr>
        <w:t>(4)</w:t>
      </w:r>
      <w:r>
        <w:rPr>
          <w:rFonts w:ascii="CG Omega" w:eastAsia="MS Mincho" w:hAnsi="CG Omega"/>
          <w:sz w:val="22"/>
          <w:szCs w:val="22"/>
        </w:rPr>
        <w:tab/>
      </w:r>
      <w:r w:rsidR="00853960" w:rsidRPr="00453B0E">
        <w:rPr>
          <w:rFonts w:ascii="CG Omega" w:eastAsia="MS Mincho" w:hAnsi="CG Omega"/>
          <w:sz w:val="22"/>
          <w:szCs w:val="22"/>
        </w:rPr>
        <w:t>Proceeds from the sale of loans made with HOME funds or matching contributions</w:t>
      </w:r>
      <w:r w:rsidRPr="00453B0E">
        <w:rPr>
          <w:rFonts w:ascii="CG Omega" w:eastAsia="MS Mincho" w:hAnsi="CG Omega"/>
          <w:sz w:val="22"/>
          <w:szCs w:val="22"/>
        </w:rPr>
        <w:t>.</w:t>
      </w:r>
    </w:p>
    <w:p w:rsidR="00853960" w:rsidRPr="00453B0E" w:rsidRDefault="00453B0E" w:rsidP="00453B0E">
      <w:pPr>
        <w:pStyle w:val="PlainText"/>
        <w:ind w:left="1080" w:hanging="360"/>
        <w:jc w:val="both"/>
        <w:rPr>
          <w:rFonts w:ascii="CG Omega" w:eastAsia="MS Mincho" w:hAnsi="CG Omega"/>
          <w:sz w:val="22"/>
          <w:szCs w:val="22"/>
        </w:rPr>
      </w:pPr>
      <w:r>
        <w:rPr>
          <w:rFonts w:ascii="CG Omega" w:eastAsia="MS Mincho" w:hAnsi="CG Omega"/>
          <w:sz w:val="22"/>
          <w:szCs w:val="22"/>
        </w:rPr>
        <w:t>(5)</w:t>
      </w:r>
      <w:r>
        <w:rPr>
          <w:rFonts w:ascii="CG Omega" w:eastAsia="MS Mincho" w:hAnsi="CG Omega"/>
          <w:sz w:val="22"/>
          <w:szCs w:val="22"/>
        </w:rPr>
        <w:tab/>
      </w:r>
      <w:r w:rsidR="00853960" w:rsidRPr="00453B0E">
        <w:rPr>
          <w:rFonts w:ascii="CG Omega" w:eastAsia="MS Mincho" w:hAnsi="CG Omega"/>
          <w:sz w:val="22"/>
          <w:szCs w:val="22"/>
        </w:rPr>
        <w:t xml:space="preserve">Proceeds from the sale of obligations secured by loans made with HOME </w:t>
      </w:r>
      <w:r w:rsidRPr="00453B0E">
        <w:rPr>
          <w:rFonts w:ascii="CG Omega" w:eastAsia="MS Mincho" w:hAnsi="CG Omega"/>
          <w:sz w:val="22"/>
          <w:szCs w:val="22"/>
        </w:rPr>
        <w:t>funds or matching contributions.</w:t>
      </w:r>
    </w:p>
    <w:p w:rsidR="00853960" w:rsidRPr="00453B0E" w:rsidRDefault="00853960" w:rsidP="00453B0E">
      <w:pPr>
        <w:pStyle w:val="PlainText"/>
        <w:ind w:left="1080" w:hanging="360"/>
        <w:jc w:val="both"/>
        <w:rPr>
          <w:rFonts w:ascii="CG Omega" w:eastAsia="MS Mincho" w:hAnsi="CG Omega"/>
          <w:sz w:val="22"/>
          <w:szCs w:val="22"/>
        </w:rPr>
      </w:pPr>
      <w:r w:rsidRPr="00453B0E">
        <w:rPr>
          <w:rFonts w:ascii="CG Omega" w:eastAsia="MS Mincho" w:hAnsi="CG Omega"/>
          <w:sz w:val="22"/>
          <w:szCs w:val="22"/>
        </w:rPr>
        <w:t xml:space="preserve">(6) </w:t>
      </w:r>
      <w:r w:rsidRPr="00453B0E">
        <w:rPr>
          <w:rFonts w:ascii="CG Omega" w:eastAsia="MS Mincho" w:hAnsi="CG Omega"/>
          <w:sz w:val="22"/>
          <w:szCs w:val="22"/>
        </w:rPr>
        <w:tab/>
        <w:t>Interest earned on program income pending its disposition; and</w:t>
      </w:r>
    </w:p>
    <w:p w:rsidR="00853960" w:rsidRPr="00453B0E" w:rsidRDefault="00853960" w:rsidP="00453B0E">
      <w:pPr>
        <w:pStyle w:val="PlainText"/>
        <w:ind w:left="1080" w:hanging="360"/>
        <w:jc w:val="both"/>
        <w:rPr>
          <w:rFonts w:ascii="CG Omega" w:eastAsia="MS Mincho" w:hAnsi="CG Omega"/>
          <w:sz w:val="22"/>
          <w:szCs w:val="22"/>
        </w:rPr>
      </w:pPr>
      <w:r w:rsidRPr="00453B0E">
        <w:rPr>
          <w:rFonts w:ascii="CG Omega" w:eastAsia="MS Mincho" w:hAnsi="CG Omega"/>
          <w:sz w:val="22"/>
          <w:szCs w:val="22"/>
        </w:rPr>
        <w:t xml:space="preserve">(7) </w:t>
      </w:r>
      <w:r w:rsidRPr="00453B0E">
        <w:rPr>
          <w:rFonts w:ascii="CG Omega" w:eastAsia="MS Mincho" w:hAnsi="CG Omega"/>
          <w:sz w:val="22"/>
          <w:szCs w:val="22"/>
        </w:rPr>
        <w:tab/>
        <w:t>Any other interest or return on the investment permitted under §92.205(b) of HOME funds or matching contributions (Note: this does not include recaptured funds, repayments or CHDO proceeds).</w:t>
      </w:r>
    </w:p>
    <w:p w:rsidR="00BD659B" w:rsidRPr="00163158" w:rsidRDefault="00BD659B" w:rsidP="00853960">
      <w:pPr>
        <w:jc w:val="both"/>
        <w:rPr>
          <w:rFonts w:ascii="CG Omega" w:hAnsi="CG Omega"/>
          <w:sz w:val="16"/>
          <w:szCs w:val="16"/>
        </w:rPr>
      </w:pPr>
    </w:p>
    <w:p w:rsidR="00BD659B" w:rsidRPr="00384234" w:rsidRDefault="00BD659B" w:rsidP="00BD659B">
      <w:pPr>
        <w:ind w:left="360"/>
        <w:jc w:val="both"/>
        <w:rPr>
          <w:rFonts w:ascii="CG Omega" w:hAnsi="CG Omega"/>
        </w:rPr>
      </w:pPr>
      <w:r w:rsidRPr="00384234">
        <w:rPr>
          <w:rFonts w:ascii="CG Omega" w:hAnsi="CG Omega"/>
        </w:rPr>
        <w:t>Program income does not include the following examples:</w:t>
      </w:r>
    </w:p>
    <w:p w:rsidR="00BD659B" w:rsidRPr="00163158" w:rsidRDefault="00BD659B" w:rsidP="00BD659B">
      <w:pPr>
        <w:ind w:left="360"/>
        <w:jc w:val="both"/>
        <w:rPr>
          <w:rFonts w:ascii="CG Omega" w:hAnsi="CG Omega"/>
          <w:sz w:val="16"/>
          <w:szCs w:val="16"/>
        </w:rPr>
      </w:pPr>
    </w:p>
    <w:p w:rsidR="00BD659B" w:rsidRPr="00384234" w:rsidRDefault="00453B0E" w:rsidP="0049477B">
      <w:pPr>
        <w:numPr>
          <w:ilvl w:val="0"/>
          <w:numId w:val="4"/>
        </w:numPr>
        <w:tabs>
          <w:tab w:val="clear" w:pos="360"/>
          <w:tab w:val="num" w:pos="1080"/>
        </w:tabs>
        <w:ind w:left="1080"/>
        <w:jc w:val="both"/>
        <w:rPr>
          <w:rFonts w:ascii="CG Omega" w:hAnsi="CG Omega"/>
          <w:sz w:val="22"/>
          <w:szCs w:val="22"/>
        </w:rPr>
      </w:pPr>
      <w:r w:rsidRPr="00384234">
        <w:rPr>
          <w:rFonts w:ascii="CG Omega" w:hAnsi="CG Omega"/>
          <w:sz w:val="22"/>
          <w:szCs w:val="22"/>
        </w:rPr>
        <w:t>Interest</w:t>
      </w:r>
      <w:r w:rsidR="00BD659B" w:rsidRPr="00384234">
        <w:rPr>
          <w:rFonts w:ascii="CG Omega" w:hAnsi="CG Omega"/>
          <w:sz w:val="22"/>
          <w:szCs w:val="22"/>
        </w:rPr>
        <w:t xml:space="preserve"> earned on grant advances from the U.S. Treasury.  Any interest earned on grant advances is required to be returned to the U.S. Treasury.</w:t>
      </w:r>
    </w:p>
    <w:p w:rsidR="00BD659B" w:rsidRPr="00384234" w:rsidRDefault="00453B0E" w:rsidP="0049477B">
      <w:pPr>
        <w:numPr>
          <w:ilvl w:val="0"/>
          <w:numId w:val="4"/>
        </w:numPr>
        <w:tabs>
          <w:tab w:val="clear" w:pos="360"/>
          <w:tab w:val="num" w:pos="1080"/>
        </w:tabs>
        <w:ind w:left="1080"/>
        <w:jc w:val="both"/>
        <w:rPr>
          <w:rFonts w:ascii="CG Omega" w:hAnsi="CG Omega"/>
          <w:sz w:val="22"/>
          <w:szCs w:val="22"/>
        </w:rPr>
      </w:pPr>
      <w:r w:rsidRPr="00384234">
        <w:rPr>
          <w:rFonts w:ascii="CG Omega" w:hAnsi="CG Omega"/>
          <w:sz w:val="22"/>
          <w:szCs w:val="22"/>
        </w:rPr>
        <w:t>Proceeds</w:t>
      </w:r>
      <w:r w:rsidR="00BD659B" w:rsidRPr="00384234">
        <w:rPr>
          <w:rFonts w:ascii="CG Omega" w:hAnsi="CG Omega"/>
          <w:sz w:val="22"/>
          <w:szCs w:val="22"/>
        </w:rPr>
        <w:t xml:space="preserve"> from fund-raising activities carried out by subrecipients that are receiving CDBG assistance to implement eligible activities.</w:t>
      </w:r>
    </w:p>
    <w:p w:rsidR="00BD659B" w:rsidRPr="00384234" w:rsidRDefault="00453B0E" w:rsidP="0049477B">
      <w:pPr>
        <w:numPr>
          <w:ilvl w:val="0"/>
          <w:numId w:val="4"/>
        </w:numPr>
        <w:tabs>
          <w:tab w:val="clear" w:pos="360"/>
          <w:tab w:val="num" w:pos="1080"/>
        </w:tabs>
        <w:ind w:left="1080"/>
        <w:jc w:val="both"/>
        <w:rPr>
          <w:rFonts w:ascii="CG Omega" w:hAnsi="CG Omega"/>
          <w:sz w:val="22"/>
          <w:szCs w:val="22"/>
        </w:rPr>
      </w:pPr>
      <w:r w:rsidRPr="00384234">
        <w:rPr>
          <w:rFonts w:ascii="CG Omega" w:hAnsi="CG Omega"/>
          <w:sz w:val="22"/>
          <w:szCs w:val="22"/>
        </w:rPr>
        <w:t>Funds</w:t>
      </w:r>
      <w:r w:rsidR="00BD659B" w:rsidRPr="00384234">
        <w:rPr>
          <w:rFonts w:ascii="CG Omega" w:hAnsi="CG Omega"/>
          <w:sz w:val="22"/>
          <w:szCs w:val="22"/>
        </w:rPr>
        <w:t xml:space="preserve"> collected through special assessments that have been made to recover the non-CDBG portion of a public improvement.</w:t>
      </w:r>
    </w:p>
    <w:p w:rsidR="00BD659B" w:rsidRPr="00384234" w:rsidRDefault="00453B0E" w:rsidP="0049477B">
      <w:pPr>
        <w:numPr>
          <w:ilvl w:val="0"/>
          <w:numId w:val="4"/>
        </w:numPr>
        <w:tabs>
          <w:tab w:val="clear" w:pos="360"/>
          <w:tab w:val="num" w:pos="1080"/>
        </w:tabs>
        <w:ind w:left="1080"/>
        <w:jc w:val="both"/>
        <w:rPr>
          <w:rFonts w:ascii="CG Omega" w:hAnsi="CG Omega"/>
          <w:sz w:val="22"/>
          <w:szCs w:val="22"/>
        </w:rPr>
      </w:pPr>
      <w:r w:rsidRPr="00384234">
        <w:rPr>
          <w:rFonts w:ascii="CG Omega" w:hAnsi="CG Omega"/>
          <w:sz w:val="22"/>
          <w:szCs w:val="22"/>
        </w:rPr>
        <w:t>Proceeds</w:t>
      </w:r>
      <w:r w:rsidR="00BD659B" w:rsidRPr="00384234">
        <w:rPr>
          <w:rFonts w:ascii="CG Omega" w:hAnsi="CG Omega"/>
          <w:sz w:val="22"/>
          <w:szCs w:val="22"/>
        </w:rPr>
        <w:t xml:space="preserve"> from the disposition by the grantee of real property that has been acquired or improved with CDBG funds when the disposition occurs after grant closeout for entitlement grantees.</w:t>
      </w:r>
    </w:p>
    <w:p w:rsidR="00BD659B" w:rsidRPr="00384234" w:rsidRDefault="00453B0E" w:rsidP="0049477B">
      <w:pPr>
        <w:numPr>
          <w:ilvl w:val="0"/>
          <w:numId w:val="4"/>
        </w:numPr>
        <w:tabs>
          <w:tab w:val="clear" w:pos="360"/>
          <w:tab w:val="num" w:pos="1080"/>
        </w:tabs>
        <w:ind w:left="1080"/>
        <w:jc w:val="both"/>
        <w:rPr>
          <w:rFonts w:ascii="CG Omega" w:hAnsi="CG Omega"/>
          <w:sz w:val="22"/>
          <w:szCs w:val="22"/>
        </w:rPr>
      </w:pPr>
      <w:r>
        <w:rPr>
          <w:rFonts w:ascii="CG Omega" w:hAnsi="CG Omega"/>
          <w:sz w:val="22"/>
          <w:szCs w:val="22"/>
        </w:rPr>
        <w:t>P</w:t>
      </w:r>
      <w:r w:rsidR="00BD659B" w:rsidRPr="00384234">
        <w:rPr>
          <w:rFonts w:ascii="CG Omega" w:hAnsi="CG Omega"/>
          <w:sz w:val="22"/>
          <w:szCs w:val="22"/>
        </w:rPr>
        <w:t>roceeds from the disposition of real property that has been acquired or improved with CDBG funds where the disposition occurs within a five year period (or more if so determined by the grantee) after the expiration of the agreement between the grantee and subrecipient for that specific agreement where the CDBG funds were provided for the acquisition or improvement of the subject property.</w:t>
      </w:r>
    </w:p>
    <w:p w:rsidR="00BD659B" w:rsidRPr="00384234" w:rsidRDefault="00BD659B" w:rsidP="00163158">
      <w:pPr>
        <w:ind w:left="360"/>
        <w:jc w:val="both"/>
        <w:rPr>
          <w:rFonts w:ascii="CG Omega" w:hAnsi="CG Omega"/>
        </w:rPr>
      </w:pPr>
      <w:r w:rsidRPr="00384234">
        <w:rPr>
          <w:rFonts w:ascii="CG Omega" w:hAnsi="CG Omega"/>
        </w:rPr>
        <w:t>Note:  This list is not all-inclusive.</w:t>
      </w:r>
    </w:p>
    <w:p w:rsidR="00BD659B" w:rsidRPr="00384234" w:rsidRDefault="00BD659B" w:rsidP="00BD659B">
      <w:pPr>
        <w:ind w:left="720"/>
        <w:jc w:val="both"/>
        <w:rPr>
          <w:rFonts w:ascii="CG Omega" w:hAnsi="CG Omega"/>
          <w:b/>
          <w:i/>
          <w:sz w:val="22"/>
          <w:szCs w:val="22"/>
        </w:rPr>
      </w:pPr>
      <w:r w:rsidRPr="00384234">
        <w:rPr>
          <w:rFonts w:ascii="CG Omega" w:hAnsi="CG Omega"/>
          <w:sz w:val="22"/>
          <w:szCs w:val="22"/>
        </w:rPr>
        <w:t>*</w:t>
      </w:r>
      <w:r w:rsidRPr="00384234">
        <w:rPr>
          <w:rFonts w:ascii="CG Omega" w:hAnsi="CG Omega"/>
          <w:b/>
          <w:i/>
          <w:sz w:val="22"/>
          <w:szCs w:val="22"/>
        </w:rPr>
        <w:t xml:space="preserve">Subrecipient </w:t>
      </w:r>
      <w:r w:rsidRPr="00384234">
        <w:rPr>
          <w:rFonts w:ascii="CG Omega" w:hAnsi="CG Omega"/>
          <w:i/>
          <w:sz w:val="22"/>
          <w:szCs w:val="22"/>
        </w:rPr>
        <w:t>means a public or private nonprofit agency, authority, or organization or an authorized for-profit entity receiving CDBG funds from the recipient or another subrecipient to undertake activities eligible for such assistance.  The term excludes an entity receiving CDBG funds from the recipient unless the grantee explicitly designates it as a subrecipient.  The term includes a public agency designated by a unit of general local government to receive a loan guarantee, but does not include contractors providing supplies, equipment, construction, or services subject to the procurement requirements as applicable</w:t>
      </w:r>
      <w:r w:rsidRPr="00384234">
        <w:rPr>
          <w:rFonts w:ascii="CG Omega" w:hAnsi="CG Omega"/>
          <w:b/>
          <w:i/>
          <w:sz w:val="22"/>
          <w:szCs w:val="22"/>
        </w:rPr>
        <w:t>.</w:t>
      </w:r>
    </w:p>
    <w:p w:rsidR="00BD659B" w:rsidRPr="00384234" w:rsidRDefault="00BD659B" w:rsidP="00BD659B">
      <w:pPr>
        <w:jc w:val="both"/>
        <w:rPr>
          <w:rFonts w:ascii="CG Omega" w:hAnsi="CG Omega"/>
          <w:b/>
        </w:rPr>
      </w:pPr>
    </w:p>
    <w:p w:rsidR="00BD659B" w:rsidRPr="00384234" w:rsidRDefault="00BD659B" w:rsidP="00BD659B">
      <w:pPr>
        <w:jc w:val="both"/>
        <w:rPr>
          <w:rFonts w:ascii="CG Omega" w:hAnsi="CG Omega"/>
          <w:i/>
        </w:rPr>
      </w:pPr>
      <w:r w:rsidRPr="00384234">
        <w:rPr>
          <w:rFonts w:ascii="CG Omega" w:hAnsi="CG Omega"/>
          <w:b/>
          <w:u w:val="single"/>
        </w:rPr>
        <w:t>Project</w:t>
      </w:r>
      <w:r w:rsidRPr="00384234">
        <w:rPr>
          <w:rFonts w:ascii="CG Omega" w:hAnsi="CG Omega"/>
        </w:rPr>
        <w:t xml:space="preserve"> A planned undertaking of something to be accomplished, produced, or constructed, having a finite beginning and finite end.  Examples are a construction project or a research and development project.</w:t>
      </w:r>
    </w:p>
    <w:p w:rsidR="00BD659B" w:rsidRPr="00384234" w:rsidRDefault="00BD659B" w:rsidP="00BD659B">
      <w:pPr>
        <w:jc w:val="both"/>
        <w:rPr>
          <w:rFonts w:ascii="CG Omega" w:hAnsi="CG Omega"/>
          <w:b/>
          <w:i/>
        </w:rPr>
      </w:pPr>
    </w:p>
    <w:p w:rsidR="00BD659B" w:rsidRPr="00453B0E" w:rsidRDefault="00BD659B" w:rsidP="00453B0E">
      <w:pPr>
        <w:pStyle w:val="WESNormaltext"/>
        <w:rPr>
          <w:sz w:val="24"/>
          <w:szCs w:val="24"/>
        </w:rPr>
      </w:pPr>
      <w:r w:rsidRPr="00453B0E">
        <w:rPr>
          <w:b/>
          <w:sz w:val="24"/>
          <w:szCs w:val="24"/>
          <w:u w:val="single"/>
        </w:rPr>
        <w:t>Rehabilitation</w:t>
      </w:r>
      <w:r w:rsidRPr="00384234">
        <w:t xml:space="preserve">  </w:t>
      </w:r>
      <w:r w:rsidRPr="00453B0E">
        <w:rPr>
          <w:sz w:val="24"/>
          <w:szCs w:val="24"/>
        </w:rPr>
        <w:t>Labor, materials, tools, and other costs of improving buildings, including repair directed toward an accumulation of deferred maintenance; replacement of principal fixtures and components of existing buildings; installation of security devices; and improvement through alterations or incidental additions to, or enhancement of, existing buildings, including improvements to increase the efficient use of energy in buildings, and structural changes necessary to make the structure accessible for persons with physical handicaps.</w:t>
      </w:r>
    </w:p>
    <w:p w:rsidR="00BD659B" w:rsidRPr="00453B0E" w:rsidRDefault="00BD659B" w:rsidP="00BD659B">
      <w:pPr>
        <w:jc w:val="both"/>
        <w:rPr>
          <w:rFonts w:ascii="CG Omega" w:hAnsi="CG Omega"/>
        </w:rPr>
      </w:pPr>
      <w:r w:rsidRPr="00453B0E">
        <w:rPr>
          <w:rFonts w:ascii="CG Omega" w:hAnsi="CG Omega"/>
        </w:rPr>
        <w:tab/>
      </w:r>
    </w:p>
    <w:p w:rsidR="00BD659B" w:rsidRDefault="00BD659B" w:rsidP="00BD659B">
      <w:pPr>
        <w:jc w:val="both"/>
        <w:rPr>
          <w:rFonts w:ascii="CG Omega" w:hAnsi="CG Omega"/>
        </w:rPr>
      </w:pPr>
      <w:r w:rsidRPr="00384234">
        <w:rPr>
          <w:rFonts w:ascii="CG Omega" w:hAnsi="CG Omega"/>
        </w:rPr>
        <w:t>Rehabilitation also includes the conversion of a building to an emergency shelter for the homeless, where the cost of conversion and any rehabilitation costs do not exceed 75 percent of the value of the building before conversion.  Rehabilitation must meet local government safety and sanitation standards.</w:t>
      </w:r>
    </w:p>
    <w:p w:rsidR="00C43910" w:rsidRPr="00384234" w:rsidRDefault="00C43910" w:rsidP="00BD659B">
      <w:pPr>
        <w:jc w:val="both"/>
        <w:rPr>
          <w:rFonts w:ascii="CG Omega" w:hAnsi="CG Omega"/>
        </w:rPr>
      </w:pPr>
    </w:p>
    <w:p w:rsidR="00BD659B" w:rsidRPr="00384234" w:rsidRDefault="00BD659B" w:rsidP="00BD659B">
      <w:pPr>
        <w:jc w:val="both"/>
        <w:rPr>
          <w:rFonts w:ascii="CG Omega" w:hAnsi="CG Omega"/>
        </w:rPr>
      </w:pPr>
      <w:r w:rsidRPr="00384234">
        <w:rPr>
          <w:rFonts w:ascii="CG Omega" w:hAnsi="CG Omega"/>
        </w:rPr>
        <w:t>For projects of 15 or more units where rehabilitation costs are 75 percent or more of the replacement cost of the building, that project must meet the accessibility requirement of Section 504 of the Rehabilitation Act of 1973; or where rehabilitation costs are less than 75 percent of the replacement cost of the building, that project must meet the requirements of 24 CFR 8.23b.</w:t>
      </w:r>
    </w:p>
    <w:p w:rsidR="00BD659B" w:rsidRPr="00384234" w:rsidRDefault="00BD659B" w:rsidP="00BD659B">
      <w:pPr>
        <w:jc w:val="both"/>
        <w:rPr>
          <w:rFonts w:ascii="CG Omega" w:hAnsi="CG Omega"/>
        </w:rPr>
      </w:pPr>
    </w:p>
    <w:p w:rsidR="00BD659B" w:rsidRPr="00384234" w:rsidRDefault="00BD659B" w:rsidP="00BD659B">
      <w:pPr>
        <w:jc w:val="both"/>
        <w:rPr>
          <w:rFonts w:ascii="CG Omega" w:hAnsi="CG Omega"/>
        </w:rPr>
      </w:pPr>
      <w:r w:rsidRPr="00384234">
        <w:rPr>
          <w:rFonts w:ascii="CG Omega" w:hAnsi="CG Omega"/>
          <w:b/>
          <w:u w:val="single"/>
        </w:rPr>
        <w:t>Rental Assistance</w:t>
      </w:r>
      <w:r w:rsidRPr="00384234">
        <w:rPr>
          <w:rFonts w:ascii="CG Omega" w:hAnsi="CG Omega"/>
        </w:rPr>
        <w:t xml:space="preserve">  Rental assistance payments provided as either project-based rental assistance or t</w:t>
      </w:r>
      <w:r w:rsidR="00C43910">
        <w:rPr>
          <w:rFonts w:ascii="CG Omega" w:hAnsi="CG Omega"/>
        </w:rPr>
        <w:t>enant-based rental assistance, o</w:t>
      </w:r>
      <w:r w:rsidRPr="00384234">
        <w:rPr>
          <w:rFonts w:ascii="CG Omega" w:hAnsi="CG Omega"/>
        </w:rPr>
        <w:t>therwise known as the Section 8 Rental Assistance Payments Program and variations thereof.</w:t>
      </w:r>
    </w:p>
    <w:p w:rsidR="00BD659B" w:rsidRPr="00384234" w:rsidRDefault="00BD659B" w:rsidP="00BD659B">
      <w:pPr>
        <w:jc w:val="both"/>
        <w:rPr>
          <w:rFonts w:ascii="CG Omega" w:hAnsi="CG Omega"/>
        </w:rPr>
      </w:pPr>
    </w:p>
    <w:p w:rsidR="00BD659B" w:rsidRPr="00384234" w:rsidRDefault="00BD659B" w:rsidP="00BD659B">
      <w:pPr>
        <w:jc w:val="both"/>
        <w:rPr>
          <w:rFonts w:ascii="CG Omega" w:hAnsi="CG Omega"/>
        </w:rPr>
      </w:pPr>
      <w:r w:rsidRPr="00384234">
        <w:rPr>
          <w:rFonts w:ascii="CG Omega" w:hAnsi="CG Omega"/>
          <w:b/>
          <w:u w:val="single"/>
        </w:rPr>
        <w:t>Renovation</w:t>
      </w:r>
      <w:r w:rsidRPr="00384234">
        <w:rPr>
          <w:rFonts w:ascii="CG Omega" w:hAnsi="CG Omega"/>
        </w:rPr>
        <w:t xml:space="preserve">  Rehabilitation that involves costs of 75 percent or less of the value of the building before rehabilitation.</w:t>
      </w:r>
    </w:p>
    <w:p w:rsidR="00BD659B" w:rsidRPr="00384234" w:rsidRDefault="00BD659B" w:rsidP="00BD659B">
      <w:pPr>
        <w:jc w:val="both"/>
        <w:rPr>
          <w:rFonts w:ascii="CG Omega" w:hAnsi="CG Omega"/>
        </w:rPr>
      </w:pPr>
    </w:p>
    <w:p w:rsidR="00BD659B" w:rsidRPr="00384234" w:rsidRDefault="00BD659B" w:rsidP="00BD659B">
      <w:pPr>
        <w:jc w:val="both"/>
        <w:rPr>
          <w:rFonts w:ascii="CG Omega" w:hAnsi="CG Omega"/>
        </w:rPr>
      </w:pPr>
      <w:r w:rsidRPr="00384234">
        <w:rPr>
          <w:rFonts w:ascii="CG Omega" w:hAnsi="CG Omega"/>
          <w:b/>
          <w:u w:val="single"/>
        </w:rPr>
        <w:t>Request for Proposals (RFP)</w:t>
      </w:r>
      <w:r w:rsidRPr="00384234">
        <w:rPr>
          <w:rFonts w:ascii="CG Omega" w:hAnsi="CG Omega"/>
        </w:rPr>
        <w:t xml:space="preserve">  A RFP is the instrument used to solicit proposals/offers for proposed contracts using the negotiated procurement method.</w:t>
      </w:r>
    </w:p>
    <w:p w:rsidR="00BD659B" w:rsidRPr="00384234" w:rsidRDefault="00BD659B" w:rsidP="00BD659B">
      <w:pPr>
        <w:jc w:val="both"/>
        <w:rPr>
          <w:rFonts w:ascii="CG Omega" w:hAnsi="CG Omega"/>
        </w:rPr>
      </w:pPr>
    </w:p>
    <w:p w:rsidR="00BD659B" w:rsidRPr="00384234" w:rsidRDefault="00BD659B" w:rsidP="00BD659B">
      <w:pPr>
        <w:pStyle w:val="BodyText"/>
        <w:rPr>
          <w:rFonts w:ascii="CG Omega" w:hAnsi="CG Omega"/>
          <w:szCs w:val="24"/>
        </w:rPr>
      </w:pPr>
      <w:r w:rsidRPr="00384234">
        <w:rPr>
          <w:rFonts w:ascii="CG Omega" w:hAnsi="CG Omega"/>
          <w:b/>
          <w:szCs w:val="24"/>
          <w:u w:val="single"/>
        </w:rPr>
        <w:t>Section 108 Loan Guarantee Program</w:t>
      </w:r>
      <w:r w:rsidRPr="00384234">
        <w:rPr>
          <w:rFonts w:ascii="CG Omega" w:hAnsi="CG Omega"/>
          <w:b/>
          <w:szCs w:val="24"/>
        </w:rPr>
        <w:t xml:space="preserve">  </w:t>
      </w:r>
      <w:r w:rsidRPr="00384234">
        <w:rPr>
          <w:rFonts w:ascii="CG Omega" w:hAnsi="CG Omega"/>
          <w:szCs w:val="24"/>
        </w:rPr>
        <w:t xml:space="preserve">The Section 108 Loan Guarantee Program involves a federal guarantee on local debt allowed under Section 108 of the Housing and Community Development Act of 1974, as amended. This section of the Act allows public entities to issue promissory notes through HUD to raise money for eligible large-scale community and economic development activities.  HUD guarantees these notes, which are sold on the private market in return for a grantee's pledge of its future CDBG funds and other security for the purpose of debt repayment. Section 108 activities must satisfy CDBG eligibility and national objective criteria as well as Section 108 regulations and guidelines. </w:t>
      </w:r>
    </w:p>
    <w:p w:rsidR="00BD659B" w:rsidRPr="0059564B" w:rsidRDefault="00BD659B" w:rsidP="00BD659B">
      <w:pPr>
        <w:jc w:val="both"/>
        <w:rPr>
          <w:rFonts w:ascii="CG Omega" w:hAnsi="CG Omega"/>
          <w:sz w:val="20"/>
          <w:szCs w:val="20"/>
        </w:rPr>
      </w:pPr>
    </w:p>
    <w:p w:rsidR="00BD659B" w:rsidRPr="00384234" w:rsidRDefault="00BD659B" w:rsidP="00BD659B">
      <w:pPr>
        <w:jc w:val="both"/>
        <w:rPr>
          <w:rFonts w:ascii="CG Omega" w:hAnsi="CG Omega"/>
        </w:rPr>
      </w:pPr>
      <w:r w:rsidRPr="00384234">
        <w:rPr>
          <w:rFonts w:ascii="CG Omega" w:hAnsi="CG Omega"/>
          <w:b/>
          <w:u w:val="single"/>
        </w:rPr>
        <w:t>Senior</w:t>
      </w:r>
      <w:r w:rsidRPr="00384234">
        <w:rPr>
          <w:rFonts w:ascii="CG Omega" w:hAnsi="CG Omega"/>
        </w:rPr>
        <w:t xml:space="preserve">  A person who is at least 55 years of age. For senior housing activities, a senior is a person who is at least 62 years of age.  (Seniors and “elderly” are terms that are often interchangeable.)</w:t>
      </w:r>
    </w:p>
    <w:p w:rsidR="00BD659B" w:rsidRPr="002861F6" w:rsidRDefault="00BD659B" w:rsidP="00BD659B">
      <w:pPr>
        <w:jc w:val="both"/>
        <w:rPr>
          <w:rFonts w:ascii="CG Omega" w:hAnsi="CG Omega"/>
        </w:rPr>
      </w:pPr>
    </w:p>
    <w:p w:rsidR="00BD659B" w:rsidRPr="00384234" w:rsidRDefault="00BD659B" w:rsidP="00BD659B">
      <w:pPr>
        <w:jc w:val="both"/>
        <w:rPr>
          <w:rFonts w:ascii="CG Omega" w:hAnsi="CG Omega"/>
        </w:rPr>
      </w:pPr>
      <w:r w:rsidRPr="00384234">
        <w:rPr>
          <w:rFonts w:ascii="CG Omega" w:hAnsi="CG Omega"/>
          <w:b/>
          <w:u w:val="single"/>
        </w:rPr>
        <w:t>Shelter Plus Care</w:t>
      </w:r>
      <w:r w:rsidRPr="00384234">
        <w:rPr>
          <w:rFonts w:ascii="CG Omega" w:hAnsi="CG Omega"/>
        </w:rPr>
        <w:t xml:space="preserve">  A</w:t>
      </w:r>
      <w:r w:rsidR="00C43910">
        <w:rPr>
          <w:rFonts w:ascii="CG Omega" w:hAnsi="CG Omega"/>
        </w:rPr>
        <w:t xml:space="preserve"> federally funded McKinney Act p</w:t>
      </w:r>
      <w:r w:rsidRPr="00384234">
        <w:rPr>
          <w:rFonts w:ascii="CG Omega" w:hAnsi="CG Omega"/>
        </w:rPr>
        <w:t>rogram designed to provide affordable housing opportunities to individuals with mental and/or physical disabilities.</w:t>
      </w:r>
    </w:p>
    <w:p w:rsidR="00BD659B" w:rsidRPr="002861F6" w:rsidRDefault="00BD659B" w:rsidP="00BD659B">
      <w:pPr>
        <w:jc w:val="both"/>
        <w:rPr>
          <w:rFonts w:ascii="CG Omega" w:hAnsi="CG Omega"/>
        </w:rPr>
      </w:pPr>
    </w:p>
    <w:p w:rsidR="00BD659B" w:rsidRPr="00384234" w:rsidRDefault="00BD659B" w:rsidP="00BD659B">
      <w:pPr>
        <w:jc w:val="both"/>
        <w:rPr>
          <w:rFonts w:ascii="CG Omega" w:hAnsi="CG Omega"/>
        </w:rPr>
      </w:pPr>
      <w:r w:rsidRPr="00384234">
        <w:rPr>
          <w:rFonts w:ascii="CG Omega" w:hAnsi="CG Omega"/>
          <w:b/>
          <w:u w:val="single"/>
        </w:rPr>
        <w:t>SRO</w:t>
      </w:r>
      <w:r w:rsidRPr="00384234">
        <w:rPr>
          <w:rFonts w:ascii="CG Omega" w:hAnsi="CG Omega"/>
        </w:rPr>
        <w:t xml:space="preserve">  (Single Room Occupancy)  A unit for occupancy by one person, which need not but may contain food preparation or sanitary facilities, or both.</w:t>
      </w:r>
    </w:p>
    <w:p w:rsidR="00BD659B" w:rsidRPr="002861F6" w:rsidRDefault="00BD659B" w:rsidP="00BD659B">
      <w:pPr>
        <w:jc w:val="both"/>
        <w:rPr>
          <w:rFonts w:ascii="CG Omega" w:hAnsi="CG Omega"/>
        </w:rPr>
      </w:pPr>
    </w:p>
    <w:p w:rsidR="00BD659B" w:rsidRPr="00384234" w:rsidRDefault="00BD659B" w:rsidP="00BD659B">
      <w:pPr>
        <w:jc w:val="both"/>
        <w:rPr>
          <w:rFonts w:ascii="CG Omega" w:hAnsi="CG Omega"/>
        </w:rPr>
      </w:pPr>
      <w:r w:rsidRPr="00384234">
        <w:rPr>
          <w:rFonts w:ascii="CG Omega" w:hAnsi="CG Omega"/>
          <w:b/>
          <w:u w:val="single"/>
        </w:rPr>
        <w:t>State</w:t>
      </w:r>
      <w:r w:rsidRPr="00384234">
        <w:rPr>
          <w:rFonts w:ascii="CG Omega" w:hAnsi="CG Omega"/>
        </w:rPr>
        <w:t xml:space="preserve">  Any State of the United States and the Commonwealth of Puerto Rico.</w:t>
      </w:r>
    </w:p>
    <w:p w:rsidR="00BD659B" w:rsidRPr="002861F6" w:rsidRDefault="00BD659B" w:rsidP="00BD659B">
      <w:pPr>
        <w:jc w:val="both"/>
        <w:rPr>
          <w:rFonts w:ascii="CG Omega" w:hAnsi="CG Omega"/>
        </w:rPr>
      </w:pPr>
    </w:p>
    <w:p w:rsidR="00BD659B" w:rsidRPr="00384234" w:rsidRDefault="00BD659B" w:rsidP="00BD659B">
      <w:pPr>
        <w:jc w:val="both"/>
        <w:rPr>
          <w:rFonts w:ascii="CG Omega" w:hAnsi="CG Omega"/>
        </w:rPr>
      </w:pPr>
      <w:r w:rsidRPr="00384234">
        <w:rPr>
          <w:rFonts w:ascii="CG Omega" w:hAnsi="CG Omega"/>
          <w:b/>
          <w:u w:val="single"/>
        </w:rPr>
        <w:t>Subsidy</w:t>
      </w:r>
      <w:r w:rsidRPr="00384234">
        <w:rPr>
          <w:rFonts w:ascii="CG Omega" w:hAnsi="CG Omega"/>
        </w:rPr>
        <w:t xml:space="preserve">  Generally, a payment or benefit made where the benefit exceeds the cost to the beneficiary.</w:t>
      </w:r>
    </w:p>
    <w:p w:rsidR="00BD659B" w:rsidRPr="002861F6" w:rsidRDefault="00BD659B" w:rsidP="00BD659B">
      <w:pPr>
        <w:jc w:val="both"/>
        <w:rPr>
          <w:rFonts w:ascii="CG Omega" w:hAnsi="CG Omega"/>
        </w:rPr>
      </w:pPr>
    </w:p>
    <w:p w:rsidR="00BD659B" w:rsidRDefault="00BD659B" w:rsidP="00BD659B">
      <w:pPr>
        <w:jc w:val="both"/>
        <w:rPr>
          <w:rFonts w:ascii="CG Omega" w:hAnsi="CG Omega"/>
        </w:rPr>
      </w:pPr>
      <w:r w:rsidRPr="00384234">
        <w:rPr>
          <w:rFonts w:ascii="CG Omega" w:hAnsi="CG Omega"/>
          <w:b/>
          <w:u w:val="single"/>
        </w:rPr>
        <w:t>Substantial Rehabilitation</w:t>
      </w:r>
      <w:r w:rsidRPr="00384234">
        <w:rPr>
          <w:rFonts w:ascii="CG Omega" w:hAnsi="CG Omega"/>
        </w:rPr>
        <w:t xml:space="preserve"> Rehabilitation of residential property at an average cost for the project in excess of $25,000 per dwelling unit.</w:t>
      </w:r>
    </w:p>
    <w:p w:rsidR="0059564B" w:rsidRPr="002861F6" w:rsidRDefault="0059564B" w:rsidP="00BD659B">
      <w:pPr>
        <w:jc w:val="both"/>
        <w:rPr>
          <w:rFonts w:ascii="CG Omega" w:hAnsi="CG Omega"/>
        </w:rPr>
      </w:pPr>
    </w:p>
    <w:p w:rsidR="00BD659B" w:rsidRPr="00384234" w:rsidRDefault="00BD659B" w:rsidP="00BD659B">
      <w:pPr>
        <w:jc w:val="both"/>
        <w:rPr>
          <w:rFonts w:ascii="CG Omega" w:hAnsi="CG Omega"/>
        </w:rPr>
      </w:pPr>
      <w:r w:rsidRPr="00384234">
        <w:rPr>
          <w:rFonts w:ascii="CG Omega" w:hAnsi="CG Omega"/>
          <w:b/>
          <w:u w:val="single"/>
        </w:rPr>
        <w:t>Supportive Housing</w:t>
      </w:r>
      <w:r w:rsidRPr="00384234">
        <w:rPr>
          <w:rFonts w:ascii="CG Omega" w:hAnsi="CG Omega"/>
        </w:rPr>
        <w:t xml:space="preserve">  Services provided to residents of supportive housing for the purpose of facilitating the independence of residents.  Some examples are case management, medical or psychological counseling and supervision, childcare, transportation, and job training.</w:t>
      </w:r>
    </w:p>
    <w:p w:rsidR="00BD659B" w:rsidRPr="002861F6" w:rsidRDefault="00BD659B" w:rsidP="00BD659B">
      <w:pPr>
        <w:jc w:val="both"/>
        <w:rPr>
          <w:rFonts w:ascii="CG Omega" w:hAnsi="CG Omega"/>
        </w:rPr>
      </w:pPr>
    </w:p>
    <w:p w:rsidR="00BD659B" w:rsidRPr="00384234" w:rsidRDefault="00BD659B" w:rsidP="00BD659B">
      <w:pPr>
        <w:jc w:val="both"/>
        <w:rPr>
          <w:rFonts w:ascii="CG Omega" w:hAnsi="CG Omega"/>
        </w:rPr>
      </w:pPr>
      <w:r w:rsidRPr="00384234">
        <w:rPr>
          <w:rFonts w:ascii="CG Omega" w:hAnsi="CG Omega"/>
          <w:b/>
          <w:u w:val="single"/>
        </w:rPr>
        <w:t>Supportive Housing Program (SHP)</w:t>
      </w:r>
      <w:r w:rsidRPr="00384234">
        <w:rPr>
          <w:rFonts w:ascii="CG Omega" w:hAnsi="CG Omega"/>
        </w:rPr>
        <w:t xml:space="preserve">  The Supportive Housing Program promotes the development of supportive housing and supportive services, including innovative approaches that assist homeless persons in the transition from homelessness and enable them to live as independently as possible.  SHP funds may be used to provide transitional housing, permanent housing for persons with disabilities, innovative supportive housing, supportive services, or safe havens for the homeless.</w:t>
      </w:r>
    </w:p>
    <w:p w:rsidR="00BD659B" w:rsidRPr="002861F6" w:rsidRDefault="00BD659B" w:rsidP="00BD659B">
      <w:pPr>
        <w:jc w:val="both"/>
        <w:rPr>
          <w:rFonts w:ascii="CG Omega" w:hAnsi="CG Omega"/>
        </w:rPr>
      </w:pPr>
    </w:p>
    <w:p w:rsidR="0059564B" w:rsidRDefault="00BD659B" w:rsidP="00BD659B">
      <w:pPr>
        <w:jc w:val="both"/>
        <w:rPr>
          <w:rFonts w:ascii="CG Omega" w:hAnsi="CG Omega"/>
        </w:rPr>
      </w:pPr>
      <w:r w:rsidRPr="00384234">
        <w:rPr>
          <w:rFonts w:ascii="CG Omega" w:hAnsi="CG Omega"/>
          <w:b/>
          <w:u w:val="single"/>
        </w:rPr>
        <w:t>Transitional Housing</w:t>
      </w:r>
      <w:r w:rsidRPr="00384234">
        <w:rPr>
          <w:rFonts w:ascii="CG Omega" w:hAnsi="CG Omega"/>
        </w:rPr>
        <w:t xml:space="preserve">  Is designed to provide housing and appropriate supportive services to persons, including (but not limited to) deinstitutionalized individuals with disabilities, homeless individuals with disabilities, and homeless families with children.  Also, it is housing with a purpose of facilitating the movement of individuals and families to independent living within a </w:t>
      </w:r>
      <w:r w:rsidR="0050713E">
        <w:rPr>
          <w:rFonts w:ascii="CG Omega" w:hAnsi="CG Omega"/>
        </w:rPr>
        <w:t xml:space="preserve">time period that is set </w:t>
      </w:r>
      <w:r w:rsidR="0059564B">
        <w:rPr>
          <w:rFonts w:ascii="CG Omega" w:hAnsi="CG Omega"/>
        </w:rPr>
        <w:t>before occupancy</w:t>
      </w:r>
      <w:r w:rsidR="002861F6">
        <w:rPr>
          <w:rFonts w:ascii="CG Omega" w:hAnsi="CG Omega"/>
        </w:rPr>
        <w:t>.</w:t>
      </w:r>
    </w:p>
    <w:p w:rsidR="002861F6" w:rsidRDefault="002861F6" w:rsidP="00BD659B">
      <w:pPr>
        <w:jc w:val="both"/>
        <w:rPr>
          <w:rFonts w:ascii="CG Omega" w:hAnsi="CG Omega"/>
        </w:rPr>
        <w:sectPr w:rsidR="002861F6" w:rsidSect="00D65396">
          <w:headerReference w:type="default" r:id="rId75"/>
          <w:headerReference w:type="first" r:id="rId76"/>
          <w:pgSz w:w="12240" w:h="15840"/>
          <w:pgMar w:top="1440" w:right="1440" w:bottom="1440" w:left="1440" w:header="1080" w:footer="720" w:gutter="0"/>
          <w:cols w:space="720"/>
          <w:titlePg/>
          <w:docGrid w:linePitch="360"/>
        </w:sectPr>
      </w:pPr>
    </w:p>
    <w:p w:rsidR="000517D1" w:rsidRPr="008C10E0" w:rsidRDefault="000517D1" w:rsidP="008C10E0"/>
    <w:sectPr w:rsidR="000517D1" w:rsidRPr="008C10E0" w:rsidSect="004B691E">
      <w:headerReference w:type="default" r:id="rId77"/>
      <w:type w:val="continuous"/>
      <w:pgSz w:w="12240" w:h="15840"/>
      <w:pgMar w:top="1440" w:right="1440" w:bottom="1440" w:left="1440" w:header="108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555" w:rsidRDefault="00000555">
      <w:r>
        <w:separator/>
      </w:r>
    </w:p>
  </w:endnote>
  <w:endnote w:type="continuationSeparator" w:id="0">
    <w:p w:rsidR="00000555" w:rsidRDefault="0000055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G Omega">
    <w:altName w:val="Segoe UI"/>
    <w:charset w:val="00"/>
    <w:family w:val="swiss"/>
    <w:pitch w:val="variable"/>
    <w:sig w:usb0="00000007" w:usb1="00000000" w:usb2="00000000" w:usb3="00000000" w:csb0="00000093" w:csb1="00000000"/>
  </w:font>
  <w:font w:name="Arial">
    <w:panose1 w:val="020B0604020202020204"/>
    <w:charset w:val="00"/>
    <w:family w:val="swiss"/>
    <w:pitch w:val="variable"/>
    <w:sig w:usb0="E0002AFF" w:usb1="C0007843" w:usb2="00000009" w:usb3="00000000" w:csb0="0000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Optimum">
    <w:charset w:val="00"/>
    <w:family w:val="auto"/>
    <w:pitch w:val="variable"/>
    <w:sig w:usb0="00000003" w:usb1="00000000" w:usb2="00000000" w:usb3="00000000" w:csb0="00000001" w:csb1="00000000"/>
  </w:font>
  <w:font w:name="Futura Md BT">
    <w:altName w:val="Lucida Sans Unicode"/>
    <w:charset w:val="00"/>
    <w:family w:val="swiss"/>
    <w:pitch w:val="variable"/>
    <w:sig w:usb0="00000007" w:usb1="00000000" w:usb2="00000000" w:usb3="00000000" w:csb0="00000011" w:csb1="00000000"/>
  </w:font>
  <w:font w:name="Century Gothic">
    <w:panose1 w:val="020B0502020202020204"/>
    <w:charset w:val="00"/>
    <w:family w:val="swiss"/>
    <w:pitch w:val="variable"/>
    <w:sig w:usb0="00000287" w:usb1="00000000" w:usb2="00000000" w:usb3="00000000" w:csb0="0000009F" w:csb1="00000000"/>
  </w:font>
  <w:font w:name="CastleT">
    <w:altName w:val="CastleT"/>
    <w:panose1 w:val="00000000000000000000"/>
    <w:charset w:val="00"/>
    <w:family w:val="swiss"/>
    <w:notTrueType/>
    <w:pitch w:val="default"/>
    <w:sig w:usb0="00000003" w:usb1="00000000" w:usb2="00000000" w:usb3="00000000" w:csb0="00000001" w:csb1="00000000"/>
  </w:font>
  <w:font w:name="BernhardMod BT">
    <w:altName w:val="BernhardMod BT"/>
    <w:panose1 w:val="00000000000000000000"/>
    <w:charset w:val="00"/>
    <w:family w:val="roman"/>
    <w:notTrueType/>
    <w:pitch w:val="default"/>
    <w:sig w:usb0="00000003" w:usb1="00000000" w:usb2="00000000" w:usb3="00000000" w:csb0="00000001" w:csb1="00000000"/>
  </w:font>
  <w:font w:name="DLOHH H+ Warnock Pro">
    <w:altName w:val="Warnock Pro"/>
    <w:panose1 w:val="00000000000000000000"/>
    <w:charset w:val="00"/>
    <w:family w:val="roman"/>
    <w:notTrueType/>
    <w:pitch w:val="default"/>
    <w:sig w:usb0="00000003" w:usb1="00000000" w:usb2="00000000" w:usb3="00000000" w:csb0="00000001" w:csb1="00000000"/>
  </w:font>
  <w:font w:name="DKKDB B+ Warnock Pro">
    <w:altName w:val="Warnock Pro"/>
    <w:panose1 w:val="00000000000000000000"/>
    <w:charset w:val="00"/>
    <w:family w:val="roman"/>
    <w:notTrueType/>
    <w:pitch w:val="default"/>
    <w:sig w:usb0="00000003" w:usb1="00000000" w:usb2="00000000" w:usb3="00000000" w:csb0="00000001" w:csb1="00000000"/>
  </w:font>
  <w:font w:name="DHNJM O+ Warnock Pro">
    <w:altName w:val="Warnock Pro"/>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rebuchet MS">
    <w:panose1 w:val="020B0603020202020204"/>
    <w:charset w:val="00"/>
    <w:family w:val="swiss"/>
    <w:pitch w:val="variable"/>
    <w:sig w:usb0="00000287" w:usb1="00000000" w:usb2="00000000" w:usb3="00000000" w:csb0="0000009F" w:csb1="00000000"/>
  </w:font>
  <w:font w:name="Myriad-Roman">
    <w:panose1 w:val="00000000000000000000"/>
    <w:charset w:val="00"/>
    <w:family w:val="auto"/>
    <w:notTrueType/>
    <w:pitch w:val="default"/>
    <w:sig w:usb0="00000003" w:usb1="00000000" w:usb2="00000000" w:usb3="00000000" w:csb0="00000001" w:csb1="00000000"/>
  </w:font>
  <w:font w:name="CGOmega">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555" w:rsidRPr="00A36555" w:rsidRDefault="00000555" w:rsidP="00C80870">
    <w:pPr>
      <w:pStyle w:val="Footer"/>
      <w:pBdr>
        <w:top w:val="thinThickSmallGap" w:sz="24" w:space="1" w:color="auto"/>
      </w:pBdr>
      <w:tabs>
        <w:tab w:val="clear" w:pos="4320"/>
        <w:tab w:val="clear" w:pos="8640"/>
        <w:tab w:val="left" w:pos="4700"/>
        <w:tab w:val="right" w:pos="9360"/>
      </w:tabs>
      <w:rPr>
        <w:rFonts w:ascii="CG Omega" w:hAnsi="CG Omega"/>
        <w:b/>
        <w:sz w:val="16"/>
        <w:szCs w:val="16"/>
      </w:rPr>
    </w:pPr>
    <w:r>
      <w:rPr>
        <w:rFonts w:ascii="CG Omega" w:hAnsi="CG Omega"/>
        <w:b/>
        <w:sz w:val="16"/>
        <w:szCs w:val="16"/>
      </w:rPr>
      <w:t>State of New Mexico</w:t>
    </w:r>
    <w:r w:rsidRPr="00C80870">
      <w:rPr>
        <w:rFonts w:ascii="CG Omega" w:hAnsi="CG Omega"/>
        <w:b/>
        <w:sz w:val="16"/>
        <w:szCs w:val="16"/>
      </w:rPr>
      <w:t xml:space="preserve"> </w:t>
    </w:r>
    <w:r w:rsidRPr="00A36555">
      <w:rPr>
        <w:rFonts w:ascii="CG Omega" w:hAnsi="CG Omega"/>
        <w:b/>
        <w:sz w:val="16"/>
        <w:szCs w:val="16"/>
      </w:rPr>
      <w:tab/>
    </w:r>
    <w:r w:rsidRPr="00A36555">
      <w:rPr>
        <w:rFonts w:ascii="CG Omega" w:hAnsi="CG Omega"/>
        <w:b/>
        <w:sz w:val="16"/>
        <w:szCs w:val="16"/>
      </w:rPr>
      <w:tab/>
    </w:r>
    <w:r>
      <w:rPr>
        <w:rFonts w:ascii="CG Omega" w:hAnsi="CG Omega"/>
        <w:b/>
        <w:sz w:val="16"/>
        <w:szCs w:val="16"/>
      </w:rPr>
      <w:t>Final Report for Board Review</w:t>
    </w:r>
  </w:p>
  <w:p w:rsidR="00000555" w:rsidRPr="00C80870" w:rsidRDefault="00000555" w:rsidP="00C80870">
    <w:pPr>
      <w:pStyle w:val="Footer"/>
      <w:tabs>
        <w:tab w:val="clear" w:pos="4320"/>
        <w:tab w:val="clear" w:pos="8640"/>
        <w:tab w:val="left" w:pos="4700"/>
        <w:tab w:val="right" w:pos="9360"/>
      </w:tabs>
      <w:rPr>
        <w:rFonts w:ascii="CG Omega" w:hAnsi="CG Omega"/>
        <w:b/>
        <w:sz w:val="16"/>
        <w:szCs w:val="16"/>
      </w:rPr>
    </w:pPr>
    <w:r>
      <w:rPr>
        <w:rFonts w:ascii="CG Omega" w:hAnsi="CG Omega"/>
        <w:b/>
        <w:sz w:val="16"/>
        <w:szCs w:val="16"/>
      </w:rPr>
      <w:t>Five-Year Consolidated Plan</w:t>
    </w:r>
    <w:r w:rsidRPr="00A36555">
      <w:rPr>
        <w:rFonts w:ascii="CG Omega" w:hAnsi="CG Omega"/>
        <w:b/>
        <w:sz w:val="16"/>
        <w:szCs w:val="16"/>
      </w:rPr>
      <w:tab/>
    </w:r>
    <w:r w:rsidRPr="00A36555">
      <w:rPr>
        <w:rStyle w:val="PageNumber"/>
        <w:rFonts w:ascii="CG Omega" w:hAnsi="CG Omega"/>
        <w:b/>
        <w:sz w:val="16"/>
        <w:szCs w:val="16"/>
      </w:rPr>
      <w:fldChar w:fldCharType="begin"/>
    </w:r>
    <w:r w:rsidRPr="00A36555">
      <w:rPr>
        <w:rStyle w:val="PageNumber"/>
        <w:rFonts w:ascii="CG Omega" w:hAnsi="CG Omega"/>
        <w:b/>
        <w:sz w:val="16"/>
        <w:szCs w:val="16"/>
      </w:rPr>
      <w:instrText xml:space="preserve"> PAGE </w:instrText>
    </w:r>
    <w:r w:rsidRPr="00A36555">
      <w:rPr>
        <w:rStyle w:val="PageNumber"/>
        <w:rFonts w:ascii="CG Omega" w:hAnsi="CG Omega"/>
        <w:b/>
        <w:sz w:val="16"/>
        <w:szCs w:val="16"/>
      </w:rPr>
      <w:fldChar w:fldCharType="separate"/>
    </w:r>
    <w:r w:rsidR="00865F04">
      <w:rPr>
        <w:rStyle w:val="PageNumber"/>
        <w:rFonts w:ascii="CG Omega" w:hAnsi="CG Omega"/>
        <w:b/>
        <w:noProof/>
        <w:sz w:val="16"/>
        <w:szCs w:val="16"/>
      </w:rPr>
      <w:t>ii</w:t>
    </w:r>
    <w:r w:rsidRPr="00A36555">
      <w:rPr>
        <w:rStyle w:val="PageNumber"/>
        <w:rFonts w:ascii="CG Omega" w:hAnsi="CG Omega"/>
        <w:b/>
        <w:sz w:val="16"/>
        <w:szCs w:val="16"/>
      </w:rPr>
      <w:fldChar w:fldCharType="end"/>
    </w:r>
    <w:r w:rsidRPr="00A36555">
      <w:rPr>
        <w:rFonts w:ascii="CG Omega" w:hAnsi="CG Omega"/>
        <w:b/>
        <w:sz w:val="16"/>
        <w:szCs w:val="16"/>
      </w:rPr>
      <w:tab/>
    </w:r>
    <w:r>
      <w:rPr>
        <w:rFonts w:ascii="CG Omega" w:hAnsi="CG Omega"/>
        <w:b/>
        <w:sz w:val="16"/>
        <w:szCs w:val="16"/>
      </w:rPr>
      <w:t>October 15, 2014</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555" w:rsidRPr="00A36555" w:rsidRDefault="00000555" w:rsidP="0013149D">
    <w:pPr>
      <w:pStyle w:val="Footer"/>
      <w:pBdr>
        <w:top w:val="thinThickSmallGap" w:sz="24" w:space="1" w:color="auto"/>
      </w:pBdr>
      <w:tabs>
        <w:tab w:val="clear" w:pos="4320"/>
        <w:tab w:val="clear" w:pos="8640"/>
        <w:tab w:val="left" w:pos="4700"/>
        <w:tab w:val="right" w:pos="9360"/>
      </w:tabs>
      <w:rPr>
        <w:rFonts w:ascii="CG Omega" w:hAnsi="CG Omega"/>
        <w:b/>
        <w:sz w:val="16"/>
        <w:szCs w:val="16"/>
      </w:rPr>
    </w:pPr>
    <w:r>
      <w:rPr>
        <w:rFonts w:ascii="CG Omega" w:hAnsi="CG Omega"/>
        <w:b/>
        <w:sz w:val="16"/>
        <w:szCs w:val="16"/>
      </w:rPr>
      <w:t>State of New Mexico</w:t>
    </w:r>
    <w:r w:rsidRPr="00C80870">
      <w:rPr>
        <w:rFonts w:ascii="CG Omega" w:hAnsi="CG Omega"/>
        <w:b/>
        <w:sz w:val="16"/>
        <w:szCs w:val="16"/>
      </w:rPr>
      <w:t xml:space="preserve"> </w:t>
    </w:r>
    <w:r w:rsidRPr="00A36555">
      <w:rPr>
        <w:rFonts w:ascii="CG Omega" w:hAnsi="CG Omega"/>
        <w:b/>
        <w:sz w:val="16"/>
        <w:szCs w:val="16"/>
      </w:rPr>
      <w:tab/>
    </w:r>
    <w:r w:rsidRPr="00A36555">
      <w:rPr>
        <w:rFonts w:ascii="CG Omega" w:hAnsi="CG Omega"/>
        <w:b/>
        <w:sz w:val="16"/>
        <w:szCs w:val="16"/>
      </w:rPr>
      <w:tab/>
    </w:r>
    <w:r>
      <w:rPr>
        <w:rFonts w:ascii="CG Omega" w:hAnsi="CG Omega"/>
        <w:b/>
        <w:sz w:val="16"/>
        <w:szCs w:val="16"/>
      </w:rPr>
      <w:t>Draft Report for Public Review</w:t>
    </w:r>
  </w:p>
  <w:p w:rsidR="00000555" w:rsidRPr="00A36555" w:rsidRDefault="00000555" w:rsidP="0013149D">
    <w:pPr>
      <w:pStyle w:val="Footer"/>
      <w:tabs>
        <w:tab w:val="clear" w:pos="4320"/>
        <w:tab w:val="clear" w:pos="8640"/>
        <w:tab w:val="left" w:pos="4700"/>
        <w:tab w:val="right" w:pos="9360"/>
      </w:tabs>
      <w:rPr>
        <w:rFonts w:ascii="CG Omega" w:hAnsi="CG Omega"/>
        <w:b/>
        <w:sz w:val="16"/>
        <w:szCs w:val="16"/>
      </w:rPr>
    </w:pPr>
    <w:r>
      <w:rPr>
        <w:rFonts w:ascii="CG Omega" w:hAnsi="CG Omega"/>
        <w:b/>
        <w:sz w:val="16"/>
        <w:szCs w:val="16"/>
      </w:rPr>
      <w:t>Five-Year Consolidated Plan</w:t>
    </w:r>
    <w:r w:rsidRPr="00A36555">
      <w:rPr>
        <w:rFonts w:ascii="CG Omega" w:hAnsi="CG Omega"/>
        <w:b/>
        <w:sz w:val="16"/>
        <w:szCs w:val="16"/>
      </w:rPr>
      <w:tab/>
    </w:r>
    <w:r w:rsidRPr="00A36555">
      <w:rPr>
        <w:rStyle w:val="PageNumber"/>
        <w:rFonts w:ascii="CG Omega" w:hAnsi="CG Omega"/>
        <w:b/>
        <w:sz w:val="16"/>
        <w:szCs w:val="16"/>
      </w:rPr>
      <w:fldChar w:fldCharType="begin"/>
    </w:r>
    <w:r w:rsidRPr="00A36555">
      <w:rPr>
        <w:rStyle w:val="PageNumber"/>
        <w:rFonts w:ascii="CG Omega" w:hAnsi="CG Omega"/>
        <w:b/>
        <w:sz w:val="16"/>
        <w:szCs w:val="16"/>
      </w:rPr>
      <w:instrText xml:space="preserve"> PAGE </w:instrText>
    </w:r>
    <w:r w:rsidRPr="00A36555">
      <w:rPr>
        <w:rStyle w:val="PageNumber"/>
        <w:rFonts w:ascii="CG Omega" w:hAnsi="CG Omega"/>
        <w:b/>
        <w:sz w:val="16"/>
        <w:szCs w:val="16"/>
      </w:rPr>
      <w:fldChar w:fldCharType="separate"/>
    </w:r>
    <w:r w:rsidR="00865F04">
      <w:rPr>
        <w:rStyle w:val="PageNumber"/>
        <w:rFonts w:ascii="CG Omega" w:hAnsi="CG Omega"/>
        <w:b/>
        <w:noProof/>
        <w:sz w:val="16"/>
        <w:szCs w:val="16"/>
      </w:rPr>
      <w:t>i</w:t>
    </w:r>
    <w:r w:rsidRPr="00A36555">
      <w:rPr>
        <w:rStyle w:val="PageNumber"/>
        <w:rFonts w:ascii="CG Omega" w:hAnsi="CG Omega"/>
        <w:b/>
        <w:sz w:val="16"/>
        <w:szCs w:val="16"/>
      </w:rPr>
      <w:fldChar w:fldCharType="end"/>
    </w:r>
    <w:r w:rsidRPr="00A36555">
      <w:rPr>
        <w:rFonts w:ascii="CG Omega" w:hAnsi="CG Omega"/>
        <w:b/>
        <w:sz w:val="16"/>
        <w:szCs w:val="16"/>
      </w:rPr>
      <w:tab/>
    </w:r>
    <w:r>
      <w:rPr>
        <w:rFonts w:ascii="CG Omega" w:hAnsi="CG Omega"/>
        <w:b/>
        <w:sz w:val="16"/>
        <w:szCs w:val="16"/>
      </w:rPr>
      <w:t>August 29, 2014</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555" w:rsidRPr="00A36555" w:rsidRDefault="00000555" w:rsidP="00C80870">
    <w:pPr>
      <w:pStyle w:val="Footer"/>
      <w:pBdr>
        <w:top w:val="thinThickSmallGap" w:sz="24" w:space="1" w:color="auto"/>
      </w:pBdr>
      <w:tabs>
        <w:tab w:val="clear" w:pos="4320"/>
        <w:tab w:val="clear" w:pos="8640"/>
        <w:tab w:val="left" w:pos="4700"/>
        <w:tab w:val="right" w:pos="9360"/>
      </w:tabs>
      <w:rPr>
        <w:rFonts w:ascii="CG Omega" w:hAnsi="CG Omega"/>
        <w:b/>
        <w:sz w:val="16"/>
        <w:szCs w:val="16"/>
      </w:rPr>
    </w:pPr>
    <w:r>
      <w:rPr>
        <w:rFonts w:ascii="CG Omega" w:hAnsi="CG Omega"/>
        <w:b/>
        <w:sz w:val="16"/>
        <w:szCs w:val="16"/>
      </w:rPr>
      <w:t>State of New Mexico</w:t>
    </w:r>
    <w:r w:rsidRPr="00C80870">
      <w:rPr>
        <w:rFonts w:ascii="CG Omega" w:hAnsi="CG Omega"/>
        <w:b/>
        <w:sz w:val="16"/>
        <w:szCs w:val="16"/>
      </w:rPr>
      <w:t xml:space="preserve"> </w:t>
    </w:r>
    <w:r w:rsidRPr="00A36555">
      <w:rPr>
        <w:rFonts w:ascii="CG Omega" w:hAnsi="CG Omega"/>
        <w:b/>
        <w:sz w:val="16"/>
        <w:szCs w:val="16"/>
      </w:rPr>
      <w:tab/>
    </w:r>
    <w:r w:rsidRPr="00A36555">
      <w:rPr>
        <w:rFonts w:ascii="CG Omega" w:hAnsi="CG Omega"/>
        <w:b/>
        <w:sz w:val="16"/>
        <w:szCs w:val="16"/>
      </w:rPr>
      <w:tab/>
    </w:r>
    <w:r>
      <w:rPr>
        <w:rFonts w:ascii="CG Omega" w:hAnsi="CG Omega"/>
        <w:b/>
        <w:sz w:val="16"/>
        <w:szCs w:val="16"/>
      </w:rPr>
      <w:t>Final Report for Board Review</w:t>
    </w:r>
  </w:p>
  <w:p w:rsidR="00000555" w:rsidRPr="00C80870" w:rsidRDefault="00000555" w:rsidP="00C80870">
    <w:pPr>
      <w:pStyle w:val="Footer"/>
      <w:tabs>
        <w:tab w:val="clear" w:pos="4320"/>
        <w:tab w:val="clear" w:pos="8640"/>
        <w:tab w:val="left" w:pos="4700"/>
        <w:tab w:val="right" w:pos="9360"/>
      </w:tabs>
      <w:rPr>
        <w:rFonts w:ascii="CG Omega" w:hAnsi="CG Omega"/>
        <w:b/>
        <w:sz w:val="16"/>
        <w:szCs w:val="16"/>
      </w:rPr>
    </w:pPr>
    <w:r>
      <w:rPr>
        <w:rFonts w:ascii="CG Omega" w:hAnsi="CG Omega"/>
        <w:b/>
        <w:sz w:val="16"/>
        <w:szCs w:val="16"/>
      </w:rPr>
      <w:t xml:space="preserve">Five-Year </w:t>
    </w:r>
    <w:r w:rsidRPr="00A36555">
      <w:rPr>
        <w:rFonts w:ascii="CG Omega" w:hAnsi="CG Omega"/>
        <w:b/>
        <w:sz w:val="16"/>
        <w:szCs w:val="16"/>
      </w:rPr>
      <w:t>Consolidated Plan</w:t>
    </w:r>
    <w:r>
      <w:rPr>
        <w:rFonts w:ascii="CG Omega" w:hAnsi="CG Omega"/>
        <w:b/>
        <w:sz w:val="16"/>
        <w:szCs w:val="16"/>
      </w:rPr>
      <w:ptab w:relativeTo="margin" w:alignment="center" w:leader="none"/>
    </w:r>
    <w:r w:rsidRPr="00A36555">
      <w:rPr>
        <w:rStyle w:val="PageNumber"/>
        <w:rFonts w:ascii="CG Omega" w:hAnsi="CG Omega"/>
        <w:b/>
        <w:sz w:val="16"/>
        <w:szCs w:val="16"/>
      </w:rPr>
      <w:fldChar w:fldCharType="begin"/>
    </w:r>
    <w:r w:rsidRPr="00A36555">
      <w:rPr>
        <w:rStyle w:val="PageNumber"/>
        <w:rFonts w:ascii="CG Omega" w:hAnsi="CG Omega"/>
        <w:b/>
        <w:sz w:val="16"/>
        <w:szCs w:val="16"/>
      </w:rPr>
      <w:instrText xml:space="preserve"> PAGE </w:instrText>
    </w:r>
    <w:r w:rsidRPr="00A36555">
      <w:rPr>
        <w:rStyle w:val="PageNumber"/>
        <w:rFonts w:ascii="CG Omega" w:hAnsi="CG Omega"/>
        <w:b/>
        <w:sz w:val="16"/>
        <w:szCs w:val="16"/>
      </w:rPr>
      <w:fldChar w:fldCharType="separate"/>
    </w:r>
    <w:r w:rsidR="00865F04">
      <w:rPr>
        <w:rStyle w:val="PageNumber"/>
        <w:rFonts w:ascii="CG Omega" w:hAnsi="CG Omega"/>
        <w:b/>
        <w:noProof/>
        <w:sz w:val="16"/>
        <w:szCs w:val="16"/>
      </w:rPr>
      <w:t>1</w:t>
    </w:r>
    <w:r w:rsidRPr="00A36555">
      <w:rPr>
        <w:rStyle w:val="PageNumber"/>
        <w:rFonts w:ascii="CG Omega" w:hAnsi="CG Omega"/>
        <w:b/>
        <w:sz w:val="16"/>
        <w:szCs w:val="16"/>
      </w:rPr>
      <w:fldChar w:fldCharType="end"/>
    </w:r>
    <w:r w:rsidRPr="00A36555">
      <w:rPr>
        <w:rFonts w:ascii="CG Omega" w:hAnsi="CG Omega"/>
        <w:b/>
        <w:sz w:val="16"/>
        <w:szCs w:val="16"/>
      </w:rPr>
      <w:tab/>
    </w:r>
    <w:r>
      <w:rPr>
        <w:rFonts w:ascii="CG Omega" w:hAnsi="CG Omega"/>
        <w:b/>
        <w:sz w:val="16"/>
        <w:szCs w:val="16"/>
      </w:rPr>
      <w:t>October 15, 2014</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555" w:rsidRPr="00A36555" w:rsidRDefault="00000555" w:rsidP="00C80870">
    <w:pPr>
      <w:pStyle w:val="Footer"/>
      <w:pBdr>
        <w:top w:val="thinThickSmallGap" w:sz="24" w:space="1" w:color="auto"/>
      </w:pBdr>
      <w:tabs>
        <w:tab w:val="clear" w:pos="4320"/>
        <w:tab w:val="clear" w:pos="8640"/>
        <w:tab w:val="left" w:pos="4700"/>
        <w:tab w:val="right" w:pos="9360"/>
      </w:tabs>
      <w:rPr>
        <w:rFonts w:ascii="CG Omega" w:hAnsi="CG Omega"/>
        <w:b/>
        <w:sz w:val="16"/>
        <w:szCs w:val="16"/>
      </w:rPr>
    </w:pPr>
    <w:r>
      <w:rPr>
        <w:rFonts w:ascii="CG Omega" w:hAnsi="CG Omega"/>
        <w:b/>
        <w:sz w:val="16"/>
        <w:szCs w:val="16"/>
      </w:rPr>
      <w:t>State of New Mexico</w:t>
    </w:r>
    <w:r w:rsidRPr="00C80870">
      <w:rPr>
        <w:rFonts w:ascii="CG Omega" w:hAnsi="CG Omega"/>
        <w:b/>
        <w:sz w:val="16"/>
        <w:szCs w:val="16"/>
      </w:rPr>
      <w:t xml:space="preserve"> </w:t>
    </w:r>
    <w:r>
      <w:rPr>
        <w:rFonts w:ascii="CG Omega" w:hAnsi="CG Omega"/>
        <w:b/>
        <w:sz w:val="16"/>
        <w:szCs w:val="16"/>
      </w:rPr>
      <w:tab/>
    </w:r>
    <w:r>
      <w:rPr>
        <w:rFonts w:ascii="CG Omega" w:hAnsi="CG Omega"/>
        <w:b/>
        <w:sz w:val="16"/>
        <w:szCs w:val="16"/>
      </w:rPr>
      <w:ptab w:relativeTo="margin" w:alignment="right" w:leader="none"/>
    </w:r>
    <w:r>
      <w:rPr>
        <w:rFonts w:ascii="CG Omega" w:hAnsi="CG Omega"/>
        <w:b/>
        <w:sz w:val="16"/>
        <w:szCs w:val="16"/>
      </w:rPr>
      <w:t>Final Report for Board Review</w:t>
    </w:r>
  </w:p>
  <w:p w:rsidR="00000555" w:rsidRPr="00C80870" w:rsidRDefault="00000555" w:rsidP="00C80870">
    <w:pPr>
      <w:pStyle w:val="Footer"/>
      <w:tabs>
        <w:tab w:val="clear" w:pos="4320"/>
        <w:tab w:val="clear" w:pos="8640"/>
        <w:tab w:val="left" w:pos="4700"/>
        <w:tab w:val="right" w:pos="9360"/>
      </w:tabs>
      <w:rPr>
        <w:rFonts w:ascii="CG Omega" w:hAnsi="CG Omega"/>
        <w:b/>
        <w:sz w:val="16"/>
        <w:szCs w:val="16"/>
      </w:rPr>
    </w:pPr>
    <w:r>
      <w:rPr>
        <w:rFonts w:ascii="CG Omega" w:hAnsi="CG Omega"/>
        <w:b/>
        <w:sz w:val="16"/>
        <w:szCs w:val="16"/>
      </w:rPr>
      <w:t>Five-Year Consolidated Plan</w:t>
    </w:r>
    <w:r>
      <w:rPr>
        <w:rFonts w:ascii="CG Omega" w:hAnsi="CG Omega"/>
        <w:b/>
        <w:sz w:val="16"/>
        <w:szCs w:val="16"/>
      </w:rPr>
      <w:ptab w:relativeTo="margin" w:alignment="center" w:leader="none"/>
    </w:r>
    <w:r w:rsidRPr="00A36555">
      <w:rPr>
        <w:rStyle w:val="PageNumber"/>
        <w:rFonts w:ascii="CG Omega" w:hAnsi="CG Omega"/>
        <w:b/>
        <w:sz w:val="16"/>
        <w:szCs w:val="16"/>
      </w:rPr>
      <w:fldChar w:fldCharType="begin"/>
    </w:r>
    <w:r w:rsidRPr="00A36555">
      <w:rPr>
        <w:rStyle w:val="PageNumber"/>
        <w:rFonts w:ascii="CG Omega" w:hAnsi="CG Omega"/>
        <w:b/>
        <w:sz w:val="16"/>
        <w:szCs w:val="16"/>
      </w:rPr>
      <w:instrText xml:space="preserve"> PAGE </w:instrText>
    </w:r>
    <w:r w:rsidRPr="00A36555">
      <w:rPr>
        <w:rStyle w:val="PageNumber"/>
        <w:rFonts w:ascii="CG Omega" w:hAnsi="CG Omega"/>
        <w:b/>
        <w:sz w:val="16"/>
        <w:szCs w:val="16"/>
      </w:rPr>
      <w:fldChar w:fldCharType="separate"/>
    </w:r>
    <w:r w:rsidR="00865F04">
      <w:rPr>
        <w:rStyle w:val="PageNumber"/>
        <w:rFonts w:ascii="CG Omega" w:hAnsi="CG Omega"/>
        <w:b/>
        <w:noProof/>
        <w:sz w:val="16"/>
        <w:szCs w:val="16"/>
      </w:rPr>
      <w:t>42</w:t>
    </w:r>
    <w:r w:rsidRPr="00A36555">
      <w:rPr>
        <w:rStyle w:val="PageNumber"/>
        <w:rFonts w:ascii="CG Omega" w:hAnsi="CG Omega"/>
        <w:b/>
        <w:sz w:val="16"/>
        <w:szCs w:val="16"/>
      </w:rPr>
      <w:fldChar w:fldCharType="end"/>
    </w:r>
    <w:r>
      <w:rPr>
        <w:rStyle w:val="PageNumber"/>
        <w:rFonts w:ascii="CG Omega" w:hAnsi="CG Omega"/>
        <w:b/>
        <w:sz w:val="16"/>
        <w:szCs w:val="16"/>
      </w:rPr>
      <w:ptab w:relativeTo="margin" w:alignment="right" w:leader="none"/>
    </w:r>
    <w:r>
      <w:rPr>
        <w:rStyle w:val="PageNumber"/>
        <w:rFonts w:ascii="CG Omega" w:hAnsi="CG Omega"/>
        <w:b/>
        <w:sz w:val="16"/>
        <w:szCs w:val="16"/>
      </w:rPr>
      <w:t>October 15</w:t>
    </w:r>
    <w:r>
      <w:rPr>
        <w:rFonts w:ascii="CG Omega" w:hAnsi="CG Omega"/>
        <w:b/>
        <w:sz w:val="16"/>
        <w:szCs w:val="16"/>
      </w:rPr>
      <w:t>, 2014</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555" w:rsidRPr="00A36555" w:rsidRDefault="00000555" w:rsidP="00C80870">
    <w:pPr>
      <w:pStyle w:val="Footer"/>
      <w:pBdr>
        <w:top w:val="thinThickSmallGap" w:sz="24" w:space="1" w:color="auto"/>
      </w:pBdr>
      <w:tabs>
        <w:tab w:val="clear" w:pos="4320"/>
        <w:tab w:val="clear" w:pos="8640"/>
        <w:tab w:val="left" w:pos="4700"/>
        <w:tab w:val="right" w:pos="9360"/>
      </w:tabs>
      <w:rPr>
        <w:rFonts w:ascii="CG Omega" w:hAnsi="CG Omega"/>
        <w:b/>
        <w:sz w:val="16"/>
        <w:szCs w:val="16"/>
      </w:rPr>
    </w:pPr>
    <w:r>
      <w:rPr>
        <w:rFonts w:ascii="CG Omega" w:hAnsi="CG Omega"/>
        <w:b/>
        <w:sz w:val="16"/>
        <w:szCs w:val="16"/>
      </w:rPr>
      <w:t>State of New Mexico</w:t>
    </w:r>
    <w:r w:rsidRPr="00C80870">
      <w:rPr>
        <w:rFonts w:ascii="CG Omega" w:hAnsi="CG Omega"/>
        <w:b/>
        <w:sz w:val="16"/>
        <w:szCs w:val="16"/>
      </w:rPr>
      <w:t xml:space="preserve"> </w:t>
    </w:r>
    <w:r>
      <w:rPr>
        <w:rFonts w:ascii="CG Omega" w:hAnsi="CG Omega"/>
        <w:b/>
        <w:sz w:val="16"/>
        <w:szCs w:val="16"/>
      </w:rPr>
      <w:tab/>
    </w:r>
    <w:r>
      <w:rPr>
        <w:rFonts w:ascii="CG Omega" w:hAnsi="CG Omega"/>
        <w:b/>
        <w:sz w:val="16"/>
        <w:szCs w:val="16"/>
      </w:rPr>
      <w:ptab w:relativeTo="margin" w:alignment="right" w:leader="none"/>
    </w:r>
    <w:r>
      <w:rPr>
        <w:rFonts w:ascii="CG Omega" w:hAnsi="CG Omega"/>
        <w:b/>
        <w:sz w:val="16"/>
        <w:szCs w:val="16"/>
      </w:rPr>
      <w:t>Final Report for Board Review</w:t>
    </w:r>
  </w:p>
  <w:p w:rsidR="00000555" w:rsidRPr="00C80870" w:rsidRDefault="00000555" w:rsidP="00C80870">
    <w:pPr>
      <w:pStyle w:val="Footer"/>
      <w:tabs>
        <w:tab w:val="clear" w:pos="4320"/>
        <w:tab w:val="clear" w:pos="8640"/>
        <w:tab w:val="left" w:pos="4700"/>
        <w:tab w:val="right" w:pos="9360"/>
      </w:tabs>
      <w:rPr>
        <w:rFonts w:ascii="CG Omega" w:hAnsi="CG Omega"/>
        <w:b/>
        <w:sz w:val="16"/>
        <w:szCs w:val="16"/>
      </w:rPr>
    </w:pPr>
    <w:r>
      <w:rPr>
        <w:rFonts w:ascii="CG Omega" w:hAnsi="CG Omega"/>
        <w:b/>
        <w:sz w:val="16"/>
        <w:szCs w:val="16"/>
      </w:rPr>
      <w:t>Five-Year Consolidated Plan</w:t>
    </w:r>
    <w:r>
      <w:rPr>
        <w:rFonts w:ascii="CG Omega" w:hAnsi="CG Omega"/>
        <w:b/>
        <w:sz w:val="16"/>
        <w:szCs w:val="16"/>
      </w:rPr>
      <w:ptab w:relativeTo="margin" w:alignment="center" w:leader="none"/>
    </w:r>
    <w:r w:rsidRPr="00A36555">
      <w:rPr>
        <w:rStyle w:val="PageNumber"/>
        <w:rFonts w:ascii="CG Omega" w:hAnsi="CG Omega"/>
        <w:b/>
        <w:sz w:val="16"/>
        <w:szCs w:val="16"/>
      </w:rPr>
      <w:fldChar w:fldCharType="begin"/>
    </w:r>
    <w:r w:rsidRPr="00A36555">
      <w:rPr>
        <w:rStyle w:val="PageNumber"/>
        <w:rFonts w:ascii="CG Omega" w:hAnsi="CG Omega"/>
        <w:b/>
        <w:sz w:val="16"/>
        <w:szCs w:val="16"/>
      </w:rPr>
      <w:instrText xml:space="preserve"> PAGE </w:instrText>
    </w:r>
    <w:r w:rsidRPr="00A36555">
      <w:rPr>
        <w:rStyle w:val="PageNumber"/>
        <w:rFonts w:ascii="CG Omega" w:hAnsi="CG Omega"/>
        <w:b/>
        <w:sz w:val="16"/>
        <w:szCs w:val="16"/>
      </w:rPr>
      <w:fldChar w:fldCharType="separate"/>
    </w:r>
    <w:r w:rsidR="001D150D">
      <w:rPr>
        <w:rStyle w:val="PageNumber"/>
        <w:rFonts w:ascii="CG Omega" w:hAnsi="CG Omega"/>
        <w:b/>
        <w:noProof/>
        <w:sz w:val="16"/>
        <w:szCs w:val="16"/>
      </w:rPr>
      <w:t>199</w:t>
    </w:r>
    <w:r w:rsidRPr="00A36555">
      <w:rPr>
        <w:rStyle w:val="PageNumber"/>
        <w:rFonts w:ascii="CG Omega" w:hAnsi="CG Omega"/>
        <w:b/>
        <w:sz w:val="16"/>
        <w:szCs w:val="16"/>
      </w:rPr>
      <w:fldChar w:fldCharType="end"/>
    </w:r>
    <w:r>
      <w:rPr>
        <w:rFonts w:ascii="CG Omega" w:hAnsi="CG Omega"/>
        <w:b/>
        <w:sz w:val="16"/>
        <w:szCs w:val="16"/>
      </w:rPr>
      <w:ptab w:relativeTo="margin" w:alignment="right" w:leader="none"/>
    </w:r>
    <w:r>
      <w:rPr>
        <w:rFonts w:ascii="CG Omega" w:hAnsi="CG Omega"/>
        <w:b/>
        <w:sz w:val="16"/>
        <w:szCs w:val="16"/>
      </w:rPr>
      <w:t xml:space="preserve">October </w:t>
    </w:r>
    <w:r w:rsidR="005249F1">
      <w:rPr>
        <w:rFonts w:ascii="CG Omega" w:hAnsi="CG Omega"/>
        <w:b/>
        <w:sz w:val="16"/>
        <w:szCs w:val="16"/>
      </w:rPr>
      <w:t>1</w:t>
    </w:r>
    <w:r>
      <w:rPr>
        <w:rFonts w:ascii="CG Omega" w:hAnsi="CG Omega"/>
        <w:b/>
        <w:sz w:val="16"/>
        <w:szCs w:val="16"/>
      </w:rPr>
      <w:t>5, 2014</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0555" w:rsidRDefault="00000555">
      <w:r>
        <w:separator/>
      </w:r>
    </w:p>
  </w:footnote>
  <w:footnote w:type="continuationSeparator" w:id="0">
    <w:p w:rsidR="00000555" w:rsidRDefault="00000555">
      <w:r>
        <w:continuationSeparator/>
      </w:r>
    </w:p>
  </w:footnote>
  <w:footnote w:id="1">
    <w:p w:rsidR="00000555" w:rsidRDefault="00000555" w:rsidP="004C2599">
      <w:pPr>
        <w:pStyle w:val="FootnoteText"/>
      </w:pPr>
      <w:r>
        <w:rPr>
          <w:rStyle w:val="FootnoteReference"/>
        </w:rPr>
        <w:footnoteRef/>
      </w:r>
      <w:r>
        <w:t xml:space="preserve"> </w:t>
      </w:r>
      <w:r w:rsidRPr="00E81D1C">
        <w:rPr>
          <w:rFonts w:ascii="CG Omega" w:hAnsi="CG Omega"/>
          <w:sz w:val="16"/>
          <w:szCs w:val="16"/>
        </w:rPr>
        <w:t>https://www.census.gov/hhes/www/poverty/about/overview/</w:t>
      </w:r>
    </w:p>
  </w:footnote>
  <w:footnote w:id="2">
    <w:p w:rsidR="00000555" w:rsidRPr="00BA3DB4" w:rsidRDefault="00000555" w:rsidP="0009259A">
      <w:pPr>
        <w:pStyle w:val="FootnoteText"/>
        <w:rPr>
          <w:rFonts w:asciiTheme="minorHAnsi" w:hAnsiTheme="minorHAnsi" w:cstheme="minorHAnsi"/>
          <w:sz w:val="16"/>
          <w:szCs w:val="16"/>
        </w:rPr>
      </w:pPr>
      <w:r w:rsidRPr="00BA3DB4">
        <w:rPr>
          <w:rStyle w:val="FootnoteReference"/>
          <w:rFonts w:asciiTheme="minorHAnsi" w:hAnsiTheme="minorHAnsi" w:cstheme="minorHAnsi"/>
          <w:sz w:val="16"/>
          <w:szCs w:val="16"/>
        </w:rPr>
        <w:footnoteRef/>
      </w:r>
      <w:r w:rsidRPr="00BA3DB4">
        <w:rPr>
          <w:rFonts w:asciiTheme="minorHAnsi" w:hAnsiTheme="minorHAnsi" w:cstheme="minorHAnsi"/>
          <w:sz w:val="16"/>
          <w:szCs w:val="16"/>
        </w:rPr>
        <w:t xml:space="preserve"> </w:t>
      </w:r>
      <w:r w:rsidRPr="0009259A">
        <w:rPr>
          <w:rFonts w:ascii="CG Omega" w:hAnsi="CG Omega" w:cstheme="minorHAnsi"/>
          <w:sz w:val="16"/>
          <w:szCs w:val="16"/>
        </w:rPr>
        <w:t>http://www.nmceh.org/pages/about1.html</w:t>
      </w:r>
    </w:p>
  </w:footnote>
  <w:footnote w:id="3">
    <w:p w:rsidR="00000555" w:rsidRDefault="00000555" w:rsidP="001C4452">
      <w:pPr>
        <w:pStyle w:val="FootnoteText"/>
      </w:pPr>
      <w:r>
        <w:rPr>
          <w:rStyle w:val="FootnoteReference"/>
        </w:rPr>
        <w:footnoteRef/>
      </w:r>
      <w:r>
        <w:t xml:space="preserve"> </w:t>
      </w:r>
      <w:r w:rsidRPr="003B0612">
        <w:rPr>
          <w:rFonts w:ascii="CG Omega" w:hAnsi="CG Omega"/>
          <w:sz w:val="16"/>
          <w:szCs w:val="16"/>
        </w:rPr>
        <w:t>New Mexico Mortgage Finance Authority 2012 CAPER</w:t>
      </w:r>
    </w:p>
  </w:footnote>
  <w:footnote w:id="4">
    <w:p w:rsidR="00000555" w:rsidRPr="00B10342" w:rsidRDefault="00000555">
      <w:pPr>
        <w:pStyle w:val="FootnoteText"/>
        <w:rPr>
          <w:rFonts w:ascii="CG Omega" w:hAnsi="CG Omega"/>
          <w:sz w:val="16"/>
          <w:szCs w:val="16"/>
        </w:rPr>
      </w:pPr>
      <w:r>
        <w:rPr>
          <w:rStyle w:val="FootnoteReference"/>
        </w:rPr>
        <w:footnoteRef/>
      </w:r>
      <w:r>
        <w:t xml:space="preserve"> </w:t>
      </w:r>
      <w:r w:rsidRPr="00B10342">
        <w:rPr>
          <w:rFonts w:ascii="CG Omega" w:hAnsi="CG Omega"/>
          <w:sz w:val="16"/>
          <w:szCs w:val="16"/>
        </w:rPr>
        <w:t>Though the highest concentration of Hispanic residents (100 percent) was observed in a Census tract in the north of the state, only two residents were counted in that tract in 2000 (both of whom were Hispanic).</w:t>
      </w:r>
    </w:p>
  </w:footnote>
  <w:footnote w:id="5">
    <w:p w:rsidR="00000555" w:rsidRDefault="00000555" w:rsidP="00F76545">
      <w:pPr>
        <w:pStyle w:val="FootnoteText"/>
      </w:pPr>
      <w:r>
        <w:rPr>
          <w:rStyle w:val="FootnoteReference"/>
        </w:rPr>
        <w:footnoteRef/>
      </w:r>
      <w:r>
        <w:t xml:space="preserve"> </w:t>
      </w:r>
      <w:r w:rsidRPr="001063B2">
        <w:rPr>
          <w:rFonts w:ascii="CG Omega" w:hAnsi="CG Omega"/>
          <w:sz w:val="16"/>
          <w:szCs w:val="16"/>
        </w:rPr>
        <w:t xml:space="preserve">2000 Census SF3 Data, available from </w:t>
      </w:r>
      <w:r w:rsidRPr="001063B2">
        <w:rPr>
          <w:rFonts w:ascii="CG Omega" w:hAnsi="CG Omega"/>
          <w:sz w:val="16"/>
          <w:szCs w:val="16"/>
          <w:u w:val="single"/>
        </w:rPr>
        <w:t>http://factfinder2.census.gov/faces/tableservices/jsf/pages/productview.xhtml?pid=DEC_00_SF3_QTP21&amp;prodType=table</w:t>
      </w:r>
    </w:p>
  </w:footnote>
  <w:footnote w:id="6">
    <w:p w:rsidR="00000555" w:rsidRDefault="00000555" w:rsidP="00F76545">
      <w:pPr>
        <w:pStyle w:val="FootnoteText"/>
        <w:jc w:val="both"/>
      </w:pPr>
      <w:r w:rsidRPr="00AB3569">
        <w:rPr>
          <w:rStyle w:val="FootnoteReference"/>
          <w:rFonts w:ascii="CG Omega" w:hAnsi="CG Omega"/>
          <w:b/>
          <w:sz w:val="16"/>
          <w:szCs w:val="16"/>
        </w:rPr>
        <w:footnoteRef/>
      </w:r>
      <w:r w:rsidRPr="00AB3569">
        <w:rPr>
          <w:sz w:val="16"/>
          <w:szCs w:val="16"/>
        </w:rPr>
        <w:t xml:space="preserve"> </w:t>
      </w:r>
      <w:r w:rsidRPr="00AB3569">
        <w:rPr>
          <w:rFonts w:ascii="CG Omega" w:hAnsi="CG Omega"/>
          <w:sz w:val="16"/>
          <w:szCs w:val="16"/>
          <w:lang w:val="en"/>
        </w:rPr>
        <w:t xml:space="preserve">The data on disability status was derived from answers to long-form questionnaire items 16 and 17 for the 1-in-6 sample. Item 16 asked about the existence of the following long-lasting conditions: (a) blindness, deafness, or a severe vision or hearing impairment, (sensory disability) and (b) a condition that substantially limits one or more basic physical activities such as walking, climbing stairs, reaching, </w:t>
      </w:r>
      <w:r w:rsidRPr="00C00F60">
        <w:rPr>
          <w:rFonts w:ascii="CG Omega" w:hAnsi="CG Omega"/>
          <w:sz w:val="16"/>
          <w:szCs w:val="16"/>
          <w:lang w:val="en"/>
        </w:rPr>
        <w:t>lifting, or carrying (physical disability). Item 16 was asked of a sample of the population five years old and over.  Item 17 asked if the individual had a physical, mental, or emotional condition lasting 6 months or more that made it difficult to perform certain activities. The four activity categories were: (a) learning, remembering, or concentrating (mental disability); (b) dressing, bathing, or getting around inside the home (self-care disability); (c) going outside the home alone to shop or visit a doctor’s office (going outside the home disability); and (d) working at a job or business (employment disability). Categories 17a and 17b were asked of a sample of the population five years old and over; 17c and 17d were asked of a sample of the population 16 years old and over.  For data products which use the items individually, the following terms are used: sensory disability for 16a, physical disability for 16b, mental disability for 17a, self-care disability for 17b, going outside the home disability for 17c, and employment disability for 17d.  For data products which use a disability status indicator, individuals were classified as having a disability if any of the following three conditions was true: (1) they were five years old and over and had a response of "yes" to a sensory, physical, mental or self-care disability; (2) they were 16 years old and over and had a response of "yes" to going outside the home disability; or (3) they were 16 to 64 years old and had a response of "yes" to employment disability.</w:t>
      </w:r>
    </w:p>
  </w:footnote>
  <w:footnote w:id="7">
    <w:p w:rsidR="00000555" w:rsidRPr="00425EFC" w:rsidRDefault="00000555" w:rsidP="00F76545">
      <w:pPr>
        <w:pStyle w:val="FootnoteText"/>
        <w:rPr>
          <w:rFonts w:ascii="CG Omega" w:hAnsi="CG Omega"/>
          <w:sz w:val="16"/>
          <w:szCs w:val="16"/>
        </w:rPr>
      </w:pPr>
      <w:r w:rsidRPr="00425EFC">
        <w:rPr>
          <w:rStyle w:val="FootnoteReference"/>
          <w:rFonts w:ascii="CG Omega" w:hAnsi="CG Omega"/>
          <w:sz w:val="16"/>
          <w:szCs w:val="16"/>
        </w:rPr>
        <w:footnoteRef/>
      </w:r>
      <w:r w:rsidRPr="00425EFC">
        <w:rPr>
          <w:rFonts w:ascii="CG Omega" w:hAnsi="CG Omega"/>
          <w:i/>
          <w:sz w:val="16"/>
          <w:szCs w:val="16"/>
        </w:rPr>
        <w:t>2010 Census Summary File: Technical Documentation</w:t>
      </w:r>
      <w:r w:rsidRPr="00425EFC">
        <w:rPr>
          <w:rFonts w:ascii="CG Omega" w:hAnsi="CG Omega"/>
          <w:sz w:val="16"/>
          <w:szCs w:val="16"/>
        </w:rPr>
        <w:t xml:space="preserve">. Issued September 2012.  Page B-14. Available at </w:t>
      </w:r>
      <w:r w:rsidRPr="00425EFC">
        <w:rPr>
          <w:rFonts w:ascii="CG Omega" w:hAnsi="CG Omega"/>
          <w:sz w:val="16"/>
          <w:szCs w:val="16"/>
          <w:u w:val="single"/>
        </w:rPr>
        <w:t>http://www.census.gov/prod/cen2010/doc/sf1.pdf#page=504.</w:t>
      </w:r>
    </w:p>
  </w:footnote>
  <w:footnote w:id="8">
    <w:p w:rsidR="00000555" w:rsidRDefault="00000555" w:rsidP="003461B0">
      <w:pPr>
        <w:pStyle w:val="xl36"/>
        <w:spacing w:before="0" w:beforeAutospacing="0" w:after="0" w:afterAutospacing="0"/>
        <w:jc w:val="both"/>
        <w:rPr>
          <w:rFonts w:ascii="CG Omega" w:hAnsi="CG Omega" w:cs="Times New Roman"/>
          <w:sz w:val="24"/>
          <w:szCs w:val="24"/>
        </w:rPr>
      </w:pPr>
      <w:r w:rsidRPr="00425EFC">
        <w:rPr>
          <w:rStyle w:val="FootnoteReference"/>
          <w:rFonts w:ascii="CG Omega" w:hAnsi="CG Omega"/>
        </w:rPr>
        <w:footnoteRef/>
      </w:r>
      <w:r w:rsidRPr="00425EFC">
        <w:rPr>
          <w:rFonts w:ascii="CG Omega" w:hAnsi="CG Omega"/>
        </w:rPr>
        <w:t xml:space="preserve"> </w:t>
      </w:r>
      <w:r w:rsidRPr="00425EFC">
        <w:rPr>
          <w:rFonts w:ascii="CG Omega" w:hAnsi="CG Omega" w:cs="Times New Roman"/>
        </w:rPr>
        <w:t>Caution is needed in interpreting the “Other Noninstitutional” population to represent the actual homeless population of New Mexico, as this count likely under-represents the actual number of persons experiencing homelessness in the state. A more recent local count of this population is covered in a latter section of this document</w:t>
      </w:r>
      <w:r w:rsidRPr="003461B0">
        <w:rPr>
          <w:rFonts w:ascii="CG Omega" w:hAnsi="CG Omega" w:cs="Times New Roman"/>
        </w:rPr>
        <w:t>.</w:t>
      </w:r>
      <w:r>
        <w:rPr>
          <w:rFonts w:ascii="CG Omega" w:hAnsi="CG Omega" w:cs="Times New Roman"/>
          <w:sz w:val="24"/>
          <w:szCs w:val="24"/>
        </w:rPr>
        <w:t xml:space="preserve"> </w:t>
      </w:r>
    </w:p>
    <w:p w:rsidR="00000555" w:rsidRDefault="00000555">
      <w:pPr>
        <w:pStyle w:val="FootnoteText"/>
      </w:pPr>
    </w:p>
  </w:footnote>
  <w:footnote w:id="9">
    <w:p w:rsidR="00000555" w:rsidRDefault="00000555">
      <w:pPr>
        <w:pStyle w:val="FootnoteText"/>
      </w:pPr>
      <w:r w:rsidRPr="003555A3">
        <w:rPr>
          <w:rStyle w:val="FootnoteReference"/>
          <w:rFonts w:ascii="CG Omega" w:hAnsi="CG Omega"/>
          <w:sz w:val="16"/>
          <w:szCs w:val="16"/>
        </w:rPr>
        <w:footnoteRef/>
      </w:r>
      <w:r>
        <w:rPr>
          <w:rFonts w:ascii="CG Omega" w:hAnsi="CG Omega"/>
          <w:sz w:val="16"/>
          <w:szCs w:val="16"/>
        </w:rPr>
        <w:t xml:space="preserve"> The household</w:t>
      </w:r>
      <w:r w:rsidRPr="003555A3">
        <w:rPr>
          <w:rFonts w:ascii="CG Omega" w:hAnsi="CG Omega"/>
          <w:sz w:val="16"/>
          <w:szCs w:val="16"/>
        </w:rPr>
        <w:t>s forecast was prepared by Western Economic Services, LLC</w:t>
      </w:r>
      <w:r>
        <w:t>.</w:t>
      </w:r>
    </w:p>
  </w:footnote>
  <w:footnote w:id="10">
    <w:p w:rsidR="00000555" w:rsidRPr="00662BAC" w:rsidRDefault="00000555" w:rsidP="008207B5">
      <w:pPr>
        <w:pStyle w:val="FootnoteText"/>
        <w:rPr>
          <w:rFonts w:ascii="CG Omega" w:hAnsi="CG Omega"/>
          <w:sz w:val="16"/>
          <w:szCs w:val="16"/>
        </w:rPr>
      </w:pPr>
      <w:r w:rsidRPr="00662BAC">
        <w:rPr>
          <w:rStyle w:val="FootnoteReference"/>
          <w:rFonts w:ascii="CG Omega" w:hAnsi="CG Omega"/>
          <w:sz w:val="16"/>
          <w:szCs w:val="16"/>
        </w:rPr>
        <w:footnoteRef/>
      </w:r>
      <w:r w:rsidRPr="00662BAC">
        <w:rPr>
          <w:rFonts w:ascii="CG Omega" w:hAnsi="CG Omega"/>
          <w:sz w:val="16"/>
          <w:szCs w:val="16"/>
        </w:rPr>
        <w:t>http://www.census.gov/hhes/poverty/povdef.html.</w:t>
      </w:r>
    </w:p>
  </w:footnote>
  <w:footnote w:id="11">
    <w:p w:rsidR="00000555" w:rsidRDefault="00000555" w:rsidP="009F2C37">
      <w:pPr>
        <w:pStyle w:val="FootnoteText"/>
      </w:pPr>
      <w:r w:rsidRPr="00662BAC">
        <w:rPr>
          <w:rStyle w:val="FootnoteReference"/>
          <w:rFonts w:ascii="CG Omega" w:hAnsi="CG Omega"/>
          <w:sz w:val="16"/>
          <w:szCs w:val="16"/>
        </w:rPr>
        <w:footnoteRef/>
      </w:r>
      <w:r w:rsidRPr="00662BAC">
        <w:rPr>
          <w:rFonts w:ascii="CG Omega" w:hAnsi="CG Omega"/>
          <w:sz w:val="16"/>
          <w:szCs w:val="16"/>
        </w:rPr>
        <w:t xml:space="preserve">2000 Census SF3 Data, available at </w:t>
      </w:r>
      <w:r w:rsidRPr="00662BAC">
        <w:rPr>
          <w:rFonts w:ascii="CG Omega" w:hAnsi="CG Omega"/>
          <w:sz w:val="16"/>
          <w:szCs w:val="16"/>
          <w:u w:val="single"/>
        </w:rPr>
        <w:t>factfinder2.census.gov/faces/tableservices/jsf/pages/productview.xhtml?pid=DEC_00_SF3_DP3&amp;prodType=table</w:t>
      </w:r>
    </w:p>
  </w:footnote>
  <w:footnote w:id="12">
    <w:p w:rsidR="00000555" w:rsidRDefault="00000555">
      <w:pPr>
        <w:pStyle w:val="FootnoteText"/>
      </w:pPr>
      <w:r>
        <w:rPr>
          <w:rStyle w:val="FootnoteReference"/>
        </w:rPr>
        <w:footnoteRef/>
      </w:r>
      <w:r>
        <w:t xml:space="preserve"> </w:t>
      </w:r>
      <w:r w:rsidRPr="00E81D1C">
        <w:rPr>
          <w:rFonts w:ascii="CG Omega" w:hAnsi="CG Omega"/>
          <w:sz w:val="16"/>
          <w:szCs w:val="16"/>
        </w:rPr>
        <w:t>https://www.census.gov/hhes/www/poverty/about/overview/</w:t>
      </w:r>
    </w:p>
  </w:footnote>
  <w:footnote w:id="13">
    <w:p w:rsidR="00000555" w:rsidRDefault="00000555" w:rsidP="006C639D">
      <w:pPr>
        <w:pStyle w:val="FootnoteText"/>
        <w:rPr>
          <w:rFonts w:ascii="CG Omega" w:hAnsi="CG Omega"/>
          <w:sz w:val="16"/>
          <w:szCs w:val="16"/>
        </w:rPr>
      </w:pPr>
      <w:r>
        <w:rPr>
          <w:rStyle w:val="FootnoteReference"/>
          <w:rFonts w:ascii="CG Omega" w:hAnsi="CG Omega"/>
        </w:rPr>
        <w:footnoteRef/>
      </w:r>
      <w:r>
        <w:rPr>
          <w:rFonts w:ascii="CG Omega" w:hAnsi="CG Omega"/>
        </w:rPr>
        <w:t xml:space="preserve"> </w:t>
      </w:r>
      <w:r>
        <w:rPr>
          <w:rFonts w:ascii="CG Omega" w:hAnsi="CG Omega"/>
          <w:sz w:val="16"/>
          <w:szCs w:val="16"/>
        </w:rPr>
        <w:t>Office of Federal Housing Enterprise Oversight, News Release, December 1, 2006.</w:t>
      </w:r>
    </w:p>
  </w:footnote>
  <w:footnote w:id="14">
    <w:p w:rsidR="00000555" w:rsidRPr="00D2471D" w:rsidRDefault="00000555" w:rsidP="008C55A4">
      <w:pPr>
        <w:pStyle w:val="FootnoteText"/>
        <w:rPr>
          <w:rFonts w:ascii="CG Omega" w:hAnsi="CG Omega"/>
          <w:sz w:val="16"/>
          <w:szCs w:val="16"/>
        </w:rPr>
      </w:pPr>
      <w:r w:rsidRPr="00D2471D">
        <w:rPr>
          <w:rStyle w:val="FootnoteReference"/>
          <w:rFonts w:ascii="CG Omega" w:hAnsi="CG Omega"/>
        </w:rPr>
        <w:footnoteRef/>
      </w:r>
      <w:r w:rsidRPr="00D2471D">
        <w:rPr>
          <w:rFonts w:ascii="CG Omega" w:hAnsi="CG Omega"/>
          <w:sz w:val="16"/>
          <w:szCs w:val="16"/>
        </w:rPr>
        <w:t xml:space="preserve"> </w:t>
      </w:r>
      <w:r w:rsidRPr="00D2471D">
        <w:rPr>
          <w:rFonts w:ascii="CG Omega" w:hAnsi="CG Omega"/>
          <w:color w:val="262A2C"/>
          <w:sz w:val="16"/>
          <w:szCs w:val="16"/>
          <w:lang w:val="en"/>
        </w:rPr>
        <w:t xml:space="preserve">"About the Office of Healthy Homes and Lead Hazard Control.”  </w:t>
      </w:r>
      <w:r>
        <w:rPr>
          <w:rFonts w:ascii="CG Omega" w:hAnsi="CG Omega"/>
          <w:color w:val="262A2C"/>
          <w:sz w:val="16"/>
          <w:szCs w:val="16"/>
          <w:lang w:val="en"/>
        </w:rPr>
        <w:t>21</w:t>
      </w:r>
      <w:r w:rsidRPr="00D2471D">
        <w:rPr>
          <w:rFonts w:ascii="CG Omega" w:hAnsi="CG Omega"/>
          <w:color w:val="262A2C"/>
          <w:sz w:val="16"/>
          <w:szCs w:val="16"/>
          <w:lang w:val="en"/>
        </w:rPr>
        <w:t xml:space="preserve"> </w:t>
      </w:r>
      <w:r>
        <w:rPr>
          <w:rFonts w:ascii="CG Omega" w:hAnsi="CG Omega"/>
          <w:color w:val="262A2C"/>
          <w:sz w:val="16"/>
          <w:szCs w:val="16"/>
          <w:lang w:val="en"/>
        </w:rPr>
        <w:t>February 2011</w:t>
      </w:r>
      <w:r w:rsidRPr="00D2471D">
        <w:rPr>
          <w:rFonts w:ascii="CG Omega" w:hAnsi="CG Omega"/>
          <w:color w:val="262A2C"/>
          <w:sz w:val="16"/>
          <w:szCs w:val="16"/>
          <w:lang w:val="en"/>
        </w:rPr>
        <w:t xml:space="preserve">. U.S. Department of Housing and Urban Development. </w:t>
      </w:r>
      <w:r>
        <w:rPr>
          <w:rFonts w:ascii="CG Omega" w:hAnsi="CG Omega"/>
          <w:color w:val="262A2C"/>
          <w:sz w:val="16"/>
          <w:szCs w:val="16"/>
          <w:lang w:val="en"/>
        </w:rPr>
        <w:t>12 May 2014</w:t>
      </w:r>
      <w:r w:rsidRPr="00D2471D">
        <w:rPr>
          <w:rFonts w:ascii="CG Omega" w:hAnsi="CG Omega"/>
          <w:color w:val="262A2C"/>
          <w:sz w:val="16"/>
          <w:szCs w:val="16"/>
          <w:lang w:val="en"/>
        </w:rPr>
        <w:t xml:space="preserve"> &lt;http://www.hud.gov/offices/lead/about.cfm&gt;.</w:t>
      </w:r>
    </w:p>
  </w:footnote>
  <w:footnote w:id="15">
    <w:p w:rsidR="00000555" w:rsidRPr="00D97921" w:rsidRDefault="00000555" w:rsidP="008C55A4">
      <w:pPr>
        <w:pStyle w:val="FootnoteText"/>
        <w:rPr>
          <w:rFonts w:ascii="CG Omega" w:hAnsi="CG Omega"/>
          <w:sz w:val="16"/>
          <w:szCs w:val="16"/>
        </w:rPr>
      </w:pPr>
      <w:r w:rsidRPr="00D97921">
        <w:rPr>
          <w:rStyle w:val="FootnoteReference"/>
          <w:rFonts w:ascii="CG Omega" w:hAnsi="CG Omega"/>
          <w:sz w:val="16"/>
          <w:szCs w:val="16"/>
        </w:rPr>
        <w:footnoteRef/>
      </w:r>
      <w:r w:rsidRPr="00D97921">
        <w:rPr>
          <w:rFonts w:ascii="CG Omega" w:hAnsi="CG Omega"/>
          <w:sz w:val="16"/>
          <w:szCs w:val="16"/>
        </w:rPr>
        <w:t xml:space="preserve"> </w:t>
      </w:r>
      <w:r w:rsidRPr="00D97921">
        <w:rPr>
          <w:rFonts w:ascii="CG Omega" w:hAnsi="CG Omega"/>
          <w:color w:val="262A2C"/>
          <w:sz w:val="16"/>
          <w:szCs w:val="16"/>
          <w:lang w:val="en"/>
        </w:rPr>
        <w:t xml:space="preserve">"Lead Programs Enforcement Division - HUD." </w:t>
      </w:r>
      <w:r w:rsidRPr="00D97921">
        <w:rPr>
          <w:rFonts w:ascii="CG Omega" w:hAnsi="CG Omega"/>
          <w:i/>
          <w:color w:val="262A2C"/>
          <w:sz w:val="16"/>
          <w:szCs w:val="16"/>
          <w:lang w:val="en"/>
        </w:rPr>
        <w:t>Homes and Communities - U.S. Department of Housing and Urban Development (HUD)</w:t>
      </w:r>
      <w:r w:rsidRPr="00D97921">
        <w:rPr>
          <w:rFonts w:ascii="CG Omega" w:hAnsi="CG Omega"/>
          <w:color w:val="262A2C"/>
          <w:sz w:val="16"/>
          <w:szCs w:val="16"/>
          <w:lang w:val="en"/>
        </w:rPr>
        <w:t>. 12 May 2014 &lt;http://www.hud.gov/offices/lead/enforcement/index.cfm&gt;.</w:t>
      </w:r>
    </w:p>
  </w:footnote>
  <w:footnote w:id="16">
    <w:p w:rsidR="00000555" w:rsidRPr="00D97921" w:rsidRDefault="00000555" w:rsidP="008C55A4">
      <w:pPr>
        <w:pStyle w:val="FootnoteText"/>
        <w:rPr>
          <w:rFonts w:ascii="CG Omega" w:hAnsi="CG Omega"/>
          <w:sz w:val="16"/>
          <w:szCs w:val="16"/>
        </w:rPr>
      </w:pPr>
      <w:r w:rsidRPr="00D97921">
        <w:rPr>
          <w:rStyle w:val="FootnoteReference"/>
          <w:rFonts w:ascii="CG Omega" w:hAnsi="CG Omega"/>
          <w:sz w:val="16"/>
          <w:szCs w:val="16"/>
        </w:rPr>
        <w:footnoteRef/>
      </w:r>
      <w:r w:rsidRPr="00D97921">
        <w:rPr>
          <w:rFonts w:ascii="CG Omega" w:hAnsi="CG Omega"/>
          <w:sz w:val="16"/>
          <w:szCs w:val="16"/>
        </w:rPr>
        <w:t xml:space="preserve"> </w:t>
      </w:r>
      <w:r w:rsidRPr="00D97921">
        <w:rPr>
          <w:rFonts w:ascii="CG Omega" w:hAnsi="CG Omega"/>
          <w:color w:val="262A2C"/>
          <w:sz w:val="16"/>
          <w:szCs w:val="16"/>
          <w:lang w:val="en"/>
        </w:rPr>
        <w:t xml:space="preserve">"Lead: Rules and Regulations | Lead in Paint, Dust, and Soil | US EPA." </w:t>
      </w:r>
      <w:r w:rsidRPr="00D97921">
        <w:rPr>
          <w:rFonts w:ascii="CG Omega" w:hAnsi="CG Omega"/>
          <w:i/>
          <w:color w:val="262A2C"/>
          <w:sz w:val="16"/>
          <w:szCs w:val="16"/>
          <w:lang w:val="en"/>
        </w:rPr>
        <w:t>U.S. Environmental Protection Agency</w:t>
      </w:r>
      <w:r w:rsidRPr="00D97921">
        <w:rPr>
          <w:rFonts w:ascii="CG Omega" w:hAnsi="CG Omega"/>
          <w:color w:val="262A2C"/>
          <w:sz w:val="16"/>
          <w:szCs w:val="16"/>
          <w:lang w:val="en"/>
        </w:rPr>
        <w:t>. 31 Dec. 2008 &lt;http://www.epa.gov/lead/pubs/regulation.htm&gt;.</w:t>
      </w:r>
    </w:p>
  </w:footnote>
  <w:footnote w:id="17">
    <w:p w:rsidR="00000555" w:rsidRPr="00D97921" w:rsidRDefault="00000555" w:rsidP="008C55A4">
      <w:pPr>
        <w:pStyle w:val="FootnoteText"/>
        <w:rPr>
          <w:rFonts w:ascii="CG Omega" w:hAnsi="CG Omega"/>
          <w:sz w:val="16"/>
          <w:szCs w:val="16"/>
        </w:rPr>
      </w:pPr>
      <w:r w:rsidRPr="00D97921">
        <w:rPr>
          <w:rStyle w:val="FootnoteReference"/>
          <w:rFonts w:ascii="CG Omega" w:hAnsi="CG Omega"/>
          <w:sz w:val="16"/>
          <w:szCs w:val="16"/>
        </w:rPr>
        <w:footnoteRef/>
      </w:r>
      <w:r w:rsidRPr="00D97921">
        <w:rPr>
          <w:rFonts w:ascii="CG Omega" w:hAnsi="CG Omega"/>
          <w:sz w:val="16"/>
          <w:szCs w:val="16"/>
        </w:rPr>
        <w:t xml:space="preserve"> http://www.cdc.gov/nceh/Lead/</w:t>
      </w:r>
    </w:p>
  </w:footnote>
  <w:footnote w:id="18">
    <w:p w:rsidR="00000555" w:rsidRDefault="00000555" w:rsidP="008C55A4">
      <w:pPr>
        <w:pStyle w:val="FootnoteText"/>
      </w:pPr>
      <w:r w:rsidRPr="00D97921">
        <w:rPr>
          <w:rStyle w:val="FootnoteReference"/>
          <w:rFonts w:ascii="CG Omega" w:hAnsi="CG Omega"/>
          <w:sz w:val="16"/>
          <w:szCs w:val="16"/>
        </w:rPr>
        <w:footnoteRef/>
      </w:r>
      <w:r w:rsidRPr="00D97921">
        <w:rPr>
          <w:rFonts w:ascii="CG Omega" w:hAnsi="CG Omega"/>
          <w:sz w:val="16"/>
          <w:szCs w:val="16"/>
        </w:rPr>
        <w:t xml:space="preserve"> http://www.cdc.gov/nceh/eehs/</w:t>
      </w:r>
    </w:p>
  </w:footnote>
  <w:footnote w:id="19">
    <w:p w:rsidR="00000555" w:rsidRPr="00587AE0" w:rsidRDefault="00000555" w:rsidP="000B66F9">
      <w:pPr>
        <w:pStyle w:val="FootnoteText"/>
        <w:rPr>
          <w:rFonts w:ascii="CG Omega" w:hAnsi="CG Omega"/>
          <w:sz w:val="16"/>
          <w:szCs w:val="16"/>
        </w:rPr>
      </w:pPr>
      <w:r w:rsidRPr="00587AE0">
        <w:rPr>
          <w:rStyle w:val="FootnoteReference"/>
          <w:rFonts w:ascii="CG Omega" w:hAnsi="CG Omega"/>
          <w:sz w:val="16"/>
          <w:szCs w:val="16"/>
        </w:rPr>
        <w:footnoteRef/>
      </w:r>
      <w:r w:rsidRPr="00587AE0">
        <w:rPr>
          <w:rFonts w:ascii="CG Omega" w:hAnsi="CG Omega"/>
          <w:sz w:val="16"/>
          <w:szCs w:val="16"/>
        </w:rPr>
        <w:t xml:space="preserve"> http://www2.epa.gov/lead/renovation-repair-and-painting-program</w:t>
      </w:r>
    </w:p>
  </w:footnote>
  <w:footnote w:id="20">
    <w:p w:rsidR="00000555" w:rsidRPr="0059429F" w:rsidRDefault="00000555" w:rsidP="008C55A4">
      <w:pPr>
        <w:pStyle w:val="FootnoteText"/>
        <w:rPr>
          <w:rFonts w:ascii="CG Omega" w:hAnsi="CG Omega"/>
          <w:sz w:val="16"/>
          <w:szCs w:val="16"/>
        </w:rPr>
      </w:pPr>
      <w:r w:rsidRPr="0059429F">
        <w:rPr>
          <w:rStyle w:val="FootnoteReference"/>
          <w:rFonts w:ascii="CG Omega" w:hAnsi="CG Omega"/>
          <w:sz w:val="16"/>
          <w:szCs w:val="16"/>
        </w:rPr>
        <w:footnoteRef/>
      </w:r>
      <w:r w:rsidRPr="0059429F">
        <w:rPr>
          <w:rFonts w:ascii="CG Omega" w:hAnsi="CG Omega"/>
          <w:sz w:val="16"/>
          <w:szCs w:val="16"/>
        </w:rPr>
        <w:t xml:space="preserve"> “Protect Your Family”. March 2014. </w:t>
      </w:r>
      <w:r w:rsidRPr="0059429F">
        <w:rPr>
          <w:rFonts w:ascii="CG Omega" w:hAnsi="CG Omega"/>
          <w:i/>
          <w:sz w:val="16"/>
          <w:szCs w:val="16"/>
        </w:rPr>
        <w:t>EPA.</w:t>
      </w:r>
      <w:r w:rsidRPr="0059429F">
        <w:rPr>
          <w:rFonts w:ascii="CG Omega" w:hAnsi="CG Omega"/>
          <w:sz w:val="16"/>
          <w:szCs w:val="16"/>
        </w:rPr>
        <w:t xml:space="preserve"> Environmental Protection Agency. Web. </w:t>
      </w:r>
      <w:r>
        <w:rPr>
          <w:rFonts w:ascii="CG Omega" w:hAnsi="CG Omega"/>
          <w:sz w:val="16"/>
          <w:szCs w:val="16"/>
        </w:rPr>
        <w:t>2 May 2014</w:t>
      </w:r>
      <w:r w:rsidRPr="0059429F">
        <w:rPr>
          <w:rFonts w:ascii="CG Omega" w:hAnsi="CG Omega"/>
          <w:sz w:val="16"/>
          <w:szCs w:val="16"/>
        </w:rPr>
        <w:t>. &lt;http://www2.epa.gov/lead/protect-your-family#sl-home&gt;.</w:t>
      </w:r>
    </w:p>
  </w:footnote>
  <w:footnote w:id="21">
    <w:p w:rsidR="00000555" w:rsidRPr="0059429F" w:rsidRDefault="00000555" w:rsidP="008C55A4">
      <w:pPr>
        <w:pStyle w:val="FootnoteText"/>
        <w:rPr>
          <w:rFonts w:ascii="CG Omega" w:hAnsi="CG Omega"/>
          <w:sz w:val="16"/>
          <w:szCs w:val="16"/>
        </w:rPr>
      </w:pPr>
      <w:r w:rsidRPr="0059429F">
        <w:rPr>
          <w:rStyle w:val="FootnoteReference"/>
          <w:rFonts w:ascii="CG Omega" w:hAnsi="CG Omega"/>
          <w:sz w:val="16"/>
          <w:szCs w:val="16"/>
        </w:rPr>
        <w:footnoteRef/>
      </w:r>
      <w:r w:rsidRPr="0059429F">
        <w:rPr>
          <w:rFonts w:ascii="CG Omega" w:hAnsi="CG Omega"/>
          <w:sz w:val="16"/>
          <w:szCs w:val="16"/>
        </w:rPr>
        <w:t xml:space="preserve"> </w:t>
      </w:r>
      <w:r w:rsidRPr="0059429F">
        <w:rPr>
          <w:rFonts w:ascii="CG Omega" w:hAnsi="CG Omega"/>
          <w:color w:val="262A2C"/>
          <w:sz w:val="16"/>
          <w:szCs w:val="16"/>
          <w:lang w:val="en"/>
        </w:rPr>
        <w:t xml:space="preserve">Jacobs, David E., Robert P. Clickner, Joey Y. Zhou, Susan M. Viet, David A. Marker, John W. Rogers, Darryl C. Zeldin, Pamela Broene, and Warren Friedman. "The Prevalence of Lead-Based Paint Hazards in U.S. Housing." </w:t>
      </w:r>
      <w:r w:rsidRPr="0059429F">
        <w:rPr>
          <w:rFonts w:ascii="CG Omega" w:hAnsi="CG Omega"/>
          <w:i/>
          <w:color w:val="262A2C"/>
          <w:sz w:val="16"/>
          <w:szCs w:val="16"/>
          <w:lang w:val="en"/>
        </w:rPr>
        <w:t>Environmental Health Perspectives</w:t>
      </w:r>
      <w:r w:rsidRPr="0059429F">
        <w:rPr>
          <w:rFonts w:ascii="CG Omega" w:hAnsi="CG Omega"/>
          <w:color w:val="262A2C"/>
          <w:sz w:val="16"/>
          <w:szCs w:val="16"/>
          <w:lang w:val="en"/>
        </w:rPr>
        <w:t xml:space="preserve"> 110 (2002): A599-606. </w:t>
      </w:r>
      <w:r w:rsidRPr="0059429F">
        <w:rPr>
          <w:rFonts w:ascii="CG Omega" w:hAnsi="CG Omega"/>
          <w:i/>
          <w:color w:val="262A2C"/>
          <w:sz w:val="16"/>
          <w:szCs w:val="16"/>
          <w:lang w:val="en"/>
        </w:rPr>
        <w:t>Pub Med</w:t>
      </w:r>
      <w:r w:rsidRPr="0059429F">
        <w:rPr>
          <w:rFonts w:ascii="CG Omega" w:hAnsi="CG Omega"/>
          <w:color w:val="262A2C"/>
          <w:sz w:val="16"/>
          <w:szCs w:val="16"/>
          <w:lang w:val="en"/>
        </w:rPr>
        <w:t>. 12 May 2014 &lt;http://www.pubmedcentral.nih.gov/picrender.fcgi?artid=1241046&amp;blobtype=pdf&gt;.</w:t>
      </w:r>
    </w:p>
  </w:footnote>
  <w:footnote w:id="22">
    <w:p w:rsidR="00000555" w:rsidRPr="0059429F" w:rsidRDefault="00000555" w:rsidP="008C55A4">
      <w:pPr>
        <w:pStyle w:val="FootnoteText"/>
        <w:rPr>
          <w:rFonts w:ascii="CG Omega" w:hAnsi="CG Omega"/>
          <w:sz w:val="16"/>
          <w:szCs w:val="16"/>
        </w:rPr>
      </w:pPr>
      <w:r w:rsidRPr="0059429F">
        <w:rPr>
          <w:rStyle w:val="FootnoteReference"/>
          <w:rFonts w:ascii="CG Omega" w:hAnsi="CG Omega"/>
          <w:sz w:val="16"/>
          <w:szCs w:val="16"/>
        </w:rPr>
        <w:footnoteRef/>
      </w:r>
      <w:r w:rsidRPr="0059429F">
        <w:rPr>
          <w:sz w:val="16"/>
          <w:szCs w:val="16"/>
        </w:rPr>
        <w:t xml:space="preserve"> </w:t>
      </w:r>
      <w:r w:rsidRPr="0059429F">
        <w:rPr>
          <w:rFonts w:ascii="CG Omega" w:hAnsi="CG Omega"/>
          <w:color w:val="262A2C"/>
          <w:sz w:val="16"/>
          <w:szCs w:val="16"/>
          <w:lang w:val="en"/>
        </w:rPr>
        <w:t xml:space="preserve">"Implementation of the Lead Contamination Control Act of 1988." Editorial. </w:t>
      </w:r>
      <w:r w:rsidRPr="0059429F">
        <w:rPr>
          <w:rFonts w:ascii="CG Omega" w:hAnsi="CG Omega"/>
          <w:i/>
          <w:color w:val="262A2C"/>
          <w:sz w:val="16"/>
          <w:szCs w:val="16"/>
          <w:lang w:val="en"/>
        </w:rPr>
        <w:t>Morbidity and Mortality Weekly Report</w:t>
      </w:r>
      <w:r w:rsidRPr="0059429F">
        <w:rPr>
          <w:rFonts w:ascii="CG Omega" w:hAnsi="CG Omega"/>
          <w:color w:val="262A2C"/>
          <w:sz w:val="16"/>
          <w:szCs w:val="16"/>
          <w:lang w:val="en"/>
        </w:rPr>
        <w:t xml:space="preserve"> 01 May 1992: 288-90. 05 Aug. 1998. Centers for Disease Control. 12 May 2014 &lt;http://www.cdc.gov/mmwr/preview/mmwrhtml/00016599.htm&gt;.</w:t>
      </w:r>
    </w:p>
  </w:footnote>
  <w:footnote w:id="23">
    <w:p w:rsidR="00000555" w:rsidRPr="0059429F" w:rsidRDefault="00000555" w:rsidP="008C55A4">
      <w:pPr>
        <w:pStyle w:val="FootnoteText"/>
        <w:rPr>
          <w:rFonts w:ascii="CG Omega" w:hAnsi="CG Omega"/>
          <w:sz w:val="16"/>
          <w:szCs w:val="16"/>
        </w:rPr>
      </w:pPr>
      <w:r w:rsidRPr="0059429F">
        <w:rPr>
          <w:rStyle w:val="FootnoteReference"/>
          <w:rFonts w:ascii="CG Omega" w:hAnsi="CG Omega"/>
          <w:sz w:val="16"/>
          <w:szCs w:val="16"/>
        </w:rPr>
        <w:footnoteRef/>
      </w:r>
      <w:r w:rsidRPr="0059429F">
        <w:rPr>
          <w:rFonts w:ascii="CG Omega" w:hAnsi="CG Omega"/>
          <w:sz w:val="16"/>
          <w:szCs w:val="16"/>
        </w:rPr>
        <w:t xml:space="preserve"> </w:t>
      </w:r>
      <w:r w:rsidRPr="0059429F">
        <w:rPr>
          <w:rFonts w:ascii="CG Omega" w:hAnsi="CG Omega"/>
          <w:color w:val="262A2C"/>
          <w:sz w:val="16"/>
          <w:szCs w:val="16"/>
          <w:lang w:val="en"/>
        </w:rPr>
        <w:t xml:space="preserve">Lanphear, MD MPH, Bruce P et al. "Cognitive Deficits Associated with Blood Lead Concentrations" </w:t>
      </w:r>
      <w:r w:rsidRPr="0059429F">
        <w:rPr>
          <w:rFonts w:ascii="CG Omega" w:hAnsi="CG Omega"/>
          <w:i/>
          <w:color w:val="262A2C"/>
          <w:sz w:val="16"/>
          <w:szCs w:val="16"/>
          <w:lang w:val="en"/>
        </w:rPr>
        <w:t>Public Health Reports</w:t>
      </w:r>
      <w:r w:rsidRPr="0059429F">
        <w:rPr>
          <w:rFonts w:ascii="CG Omega" w:hAnsi="CG Omega"/>
          <w:color w:val="262A2C"/>
          <w:sz w:val="16"/>
          <w:szCs w:val="16"/>
          <w:lang w:val="en"/>
        </w:rPr>
        <w:t xml:space="preserve"> 115 (2000): 521-29. Pub Med. 12 May 2014 &lt;http://www.pubmedcentral.nih.gov/picrender.fcgi?artid=1308622&amp;blobtype=pdf&gt;.</w:t>
      </w:r>
    </w:p>
  </w:footnote>
  <w:footnote w:id="24">
    <w:p w:rsidR="00000555" w:rsidRPr="00625DD6" w:rsidRDefault="00000555" w:rsidP="008C55A4">
      <w:pPr>
        <w:pStyle w:val="FootnoteText"/>
        <w:rPr>
          <w:rFonts w:ascii="CG Omega" w:hAnsi="CG Omega"/>
          <w:sz w:val="16"/>
          <w:szCs w:val="16"/>
        </w:rPr>
      </w:pPr>
      <w:r w:rsidRPr="00625DD6">
        <w:rPr>
          <w:rStyle w:val="FootnoteReference"/>
          <w:rFonts w:ascii="CG Omega" w:hAnsi="CG Omega"/>
          <w:sz w:val="16"/>
          <w:szCs w:val="16"/>
        </w:rPr>
        <w:footnoteRef/>
      </w:r>
      <w:r w:rsidRPr="00625DD6">
        <w:rPr>
          <w:rFonts w:ascii="CG Omega" w:hAnsi="CG Omega"/>
          <w:sz w:val="16"/>
          <w:szCs w:val="16"/>
        </w:rPr>
        <w:t xml:space="preserve"> </w:t>
      </w:r>
      <w:r w:rsidRPr="00625DD6">
        <w:rPr>
          <w:rFonts w:ascii="CG Omega" w:hAnsi="CG Omega"/>
          <w:i/>
          <w:color w:val="262A2C"/>
          <w:sz w:val="16"/>
          <w:szCs w:val="16"/>
          <w:lang w:val="en"/>
        </w:rPr>
        <w:t>Eliminating Childhood Lead Poisoning: A Federal Strategy Targeting Lead Paint Hazards</w:t>
      </w:r>
      <w:r w:rsidRPr="00625DD6">
        <w:rPr>
          <w:rFonts w:ascii="CG Omega" w:hAnsi="CG Omega"/>
          <w:color w:val="262A2C"/>
          <w:sz w:val="16"/>
          <w:szCs w:val="16"/>
          <w:lang w:val="en"/>
        </w:rPr>
        <w:t>. Feb. 2000. President's Task Force on Environmental Health Risks and Safety Risks to Children. 12 May 2014 &lt;http://www.cdc.gov/nceh/lead/about/fedstrategy2000.pdf&gt;.</w:t>
      </w:r>
    </w:p>
  </w:footnote>
  <w:footnote w:id="25">
    <w:p w:rsidR="00000555" w:rsidRPr="00625DD6" w:rsidRDefault="00000555" w:rsidP="008C55A4">
      <w:pPr>
        <w:pStyle w:val="FootnoteText"/>
        <w:rPr>
          <w:rFonts w:ascii="CG Omega" w:hAnsi="CG Omega"/>
          <w:sz w:val="16"/>
          <w:szCs w:val="16"/>
        </w:rPr>
      </w:pPr>
      <w:r w:rsidRPr="00625DD6">
        <w:rPr>
          <w:rStyle w:val="FootnoteReference"/>
          <w:rFonts w:ascii="CG Omega" w:hAnsi="CG Omega"/>
          <w:sz w:val="16"/>
          <w:szCs w:val="16"/>
        </w:rPr>
        <w:footnoteRef/>
      </w:r>
      <w:r w:rsidRPr="00625DD6">
        <w:rPr>
          <w:rFonts w:ascii="CG Omega" w:hAnsi="CG Omega"/>
          <w:sz w:val="16"/>
          <w:szCs w:val="16"/>
        </w:rPr>
        <w:t xml:space="preserve"> http://www.cdc.gov/nceh/lead/data/StateConfirmedByYear1997-2012.htm</w:t>
      </w:r>
    </w:p>
  </w:footnote>
  <w:footnote w:id="26">
    <w:p w:rsidR="00000555" w:rsidRPr="00625DD6" w:rsidRDefault="00000555" w:rsidP="008C55A4">
      <w:pPr>
        <w:shd w:val="clear" w:color="auto" w:fill="FFFFFF"/>
        <w:rPr>
          <w:rFonts w:ascii="CG Omega" w:hAnsi="CG Omega"/>
          <w:color w:val="262A2C"/>
          <w:sz w:val="16"/>
          <w:szCs w:val="16"/>
          <w:lang w:val="en"/>
        </w:rPr>
      </w:pPr>
      <w:r w:rsidRPr="00625DD6">
        <w:rPr>
          <w:rStyle w:val="FootnoteReference"/>
          <w:rFonts w:ascii="CG Omega" w:hAnsi="CG Omega"/>
          <w:sz w:val="16"/>
          <w:szCs w:val="16"/>
        </w:rPr>
        <w:footnoteRef/>
      </w:r>
      <w:r w:rsidRPr="00625DD6">
        <w:rPr>
          <w:rFonts w:ascii="CG Omega" w:hAnsi="CG Omega"/>
          <w:sz w:val="16"/>
          <w:szCs w:val="16"/>
        </w:rPr>
        <w:t xml:space="preserve"> </w:t>
      </w:r>
      <w:r w:rsidRPr="00625DD6">
        <w:rPr>
          <w:rFonts w:ascii="CG Omega" w:hAnsi="CG Omega"/>
          <w:i/>
          <w:sz w:val="16"/>
          <w:szCs w:val="16"/>
          <w:lang w:val="en"/>
        </w:rPr>
        <w:t>Preventing Lead Poisoning in Young Children</w:t>
      </w:r>
      <w:r w:rsidRPr="00625DD6">
        <w:rPr>
          <w:rFonts w:ascii="CG Omega" w:hAnsi="CG Omega"/>
          <w:sz w:val="16"/>
          <w:szCs w:val="16"/>
          <w:lang w:val="en"/>
        </w:rPr>
        <w:t>. Aug. 2005. Centers for Disease Control and Prevention. 12 May 2014 &lt;http://www.cdc.gov/nceh/lead/Publications/PrevleadPoisoning.pdf&gt;.</w:t>
      </w:r>
    </w:p>
  </w:footnote>
  <w:footnote w:id="27">
    <w:p w:rsidR="00000555" w:rsidRPr="0059429F" w:rsidRDefault="00000555" w:rsidP="008C55A4">
      <w:pPr>
        <w:pStyle w:val="FootnoteText"/>
        <w:rPr>
          <w:rFonts w:ascii="CG Omega" w:hAnsi="CG Omega"/>
          <w:sz w:val="16"/>
          <w:szCs w:val="16"/>
        </w:rPr>
      </w:pPr>
      <w:r w:rsidRPr="00625DD6">
        <w:rPr>
          <w:rStyle w:val="FootnoteReference"/>
          <w:rFonts w:ascii="CG Omega" w:hAnsi="CG Omega"/>
          <w:sz w:val="16"/>
          <w:szCs w:val="16"/>
        </w:rPr>
        <w:footnoteRef/>
      </w:r>
      <w:r w:rsidRPr="00625DD6">
        <w:rPr>
          <w:rFonts w:ascii="CG Omega" w:hAnsi="CG Omega"/>
          <w:sz w:val="16"/>
          <w:szCs w:val="16"/>
        </w:rPr>
        <w:t xml:space="preserve"> </w:t>
      </w:r>
      <w:r w:rsidRPr="00625DD6">
        <w:rPr>
          <w:rFonts w:ascii="CG Omega" w:hAnsi="CG Omega"/>
          <w:color w:val="262A2C"/>
          <w:sz w:val="16"/>
          <w:szCs w:val="16"/>
          <w:lang w:val="en"/>
        </w:rPr>
        <w:t xml:space="preserve">Matte, MD, MPH, Thomas D., David Homa, PhD, Jessica Sanford, PhD, and Alan Pate. </w:t>
      </w:r>
      <w:r w:rsidRPr="00625DD6">
        <w:rPr>
          <w:rFonts w:ascii="CG Omega" w:hAnsi="CG Omega"/>
          <w:i/>
          <w:color w:val="262A2C"/>
          <w:sz w:val="16"/>
          <w:szCs w:val="16"/>
          <w:lang w:val="en"/>
        </w:rPr>
        <w:t>A Review of Evidence of Adverse Health Effects Associated with Blood Lead Levels &lt; 10 µg/dL in Children</w:t>
      </w:r>
      <w:r w:rsidRPr="00625DD6">
        <w:rPr>
          <w:rFonts w:ascii="CG Omega" w:hAnsi="CG Omega"/>
          <w:color w:val="262A2C"/>
          <w:sz w:val="16"/>
          <w:szCs w:val="16"/>
          <w:lang w:val="en"/>
        </w:rPr>
        <w:t>. Centers for Disease Control and Prevention, Work Group of the Advisory Committee on Childhood Lead Poisoning Prevention. 12 May 2014 &lt;http://www.cdc.gov/nceh/lead/ACCLPP/SupplementalOct04/Work%20Group%20Draft%20Final%20Report_Edited%20October%207,%202004%20-%20single%20spaced.pdf&gt;.</w:t>
      </w:r>
    </w:p>
  </w:footnote>
  <w:footnote w:id="28">
    <w:p w:rsidR="00000555" w:rsidRPr="00D2471D" w:rsidRDefault="00000555" w:rsidP="008C55A4">
      <w:pPr>
        <w:shd w:val="clear" w:color="auto" w:fill="FFFFFF"/>
        <w:rPr>
          <w:rFonts w:ascii="Trebuchet MS" w:hAnsi="Trebuchet MS"/>
          <w:color w:val="262A2C"/>
          <w:sz w:val="20"/>
          <w:szCs w:val="20"/>
          <w:lang w:val="en"/>
        </w:rPr>
      </w:pPr>
      <w:r w:rsidRPr="0059429F">
        <w:rPr>
          <w:rStyle w:val="FootnoteReference"/>
          <w:rFonts w:ascii="CG Omega" w:hAnsi="CG Omega"/>
          <w:sz w:val="16"/>
          <w:szCs w:val="16"/>
        </w:rPr>
        <w:footnoteRef/>
      </w:r>
      <w:r w:rsidRPr="0059429F">
        <w:rPr>
          <w:rFonts w:ascii="CG Omega" w:hAnsi="CG Omega"/>
          <w:sz w:val="16"/>
          <w:szCs w:val="16"/>
        </w:rPr>
        <w:t xml:space="preserve"> </w:t>
      </w:r>
      <w:r w:rsidRPr="0059429F">
        <w:rPr>
          <w:rFonts w:ascii="CG Omega" w:hAnsi="CG Omega"/>
          <w:i/>
          <w:sz w:val="16"/>
          <w:szCs w:val="16"/>
          <w:lang w:val="en"/>
        </w:rPr>
        <w:t>Preventing Lead Poisoning in Young Children</w:t>
      </w:r>
      <w:r w:rsidRPr="0059429F">
        <w:rPr>
          <w:rFonts w:ascii="CG Omega" w:hAnsi="CG Omega"/>
          <w:sz w:val="16"/>
          <w:szCs w:val="16"/>
          <w:lang w:val="en"/>
        </w:rPr>
        <w:t xml:space="preserve">. Aug. 2005. Centers for Disease Control and Prevention. </w:t>
      </w:r>
      <w:r>
        <w:rPr>
          <w:rFonts w:ascii="CG Omega" w:hAnsi="CG Omega"/>
          <w:sz w:val="16"/>
          <w:szCs w:val="16"/>
          <w:lang w:val="en"/>
        </w:rPr>
        <w:t>12 May 2014.</w:t>
      </w:r>
      <w:r w:rsidRPr="0059429F">
        <w:rPr>
          <w:rFonts w:ascii="CG Omega" w:hAnsi="CG Omega"/>
          <w:sz w:val="16"/>
          <w:szCs w:val="16"/>
          <w:lang w:val="en"/>
        </w:rPr>
        <w:t xml:space="preserve"> &lt;http://www.cdc.gov/nceh/lead/Publications/PrevleadPoisoning.pdf&gt;.</w:t>
      </w:r>
    </w:p>
  </w:footnote>
  <w:footnote w:id="29">
    <w:p w:rsidR="00000555" w:rsidRPr="00C31B64" w:rsidRDefault="00000555" w:rsidP="008C55A4">
      <w:pPr>
        <w:pStyle w:val="FootnoteText"/>
        <w:rPr>
          <w:rFonts w:ascii="CG Omega" w:hAnsi="CG Omega"/>
          <w:sz w:val="16"/>
          <w:szCs w:val="16"/>
        </w:rPr>
      </w:pPr>
      <w:r w:rsidRPr="00C31B64">
        <w:rPr>
          <w:rStyle w:val="FootnoteReference"/>
          <w:rFonts w:ascii="CG Omega" w:hAnsi="CG Omega"/>
          <w:sz w:val="16"/>
          <w:szCs w:val="16"/>
        </w:rPr>
        <w:footnoteRef/>
      </w:r>
      <w:r w:rsidRPr="00C31B64">
        <w:rPr>
          <w:rFonts w:ascii="CG Omega" w:hAnsi="CG Omega"/>
          <w:sz w:val="16"/>
          <w:szCs w:val="16"/>
        </w:rPr>
        <w:t xml:space="preserve"> http://archive.nmhealth.org/eheb/lead_stats.shtml</w:t>
      </w:r>
    </w:p>
  </w:footnote>
  <w:footnote w:id="30">
    <w:p w:rsidR="00000555" w:rsidRDefault="00000555" w:rsidP="00FA0A52">
      <w:pPr>
        <w:pStyle w:val="FootnoteText"/>
      </w:pPr>
      <w:r w:rsidRPr="00C31B64">
        <w:rPr>
          <w:rStyle w:val="FootnoteReference"/>
          <w:rFonts w:ascii="CG Omega" w:hAnsi="CG Omega"/>
          <w:sz w:val="16"/>
          <w:szCs w:val="16"/>
        </w:rPr>
        <w:footnoteRef/>
      </w:r>
      <w:r w:rsidRPr="00C31B64">
        <w:rPr>
          <w:rFonts w:ascii="CG Omega" w:hAnsi="CG Omega"/>
          <w:sz w:val="16"/>
          <w:szCs w:val="16"/>
        </w:rPr>
        <w:t xml:space="preserve"> http://archive.nmhealth.org/eheb/lead.shtml</w:t>
      </w:r>
    </w:p>
  </w:footnote>
  <w:footnote w:id="31">
    <w:p w:rsidR="00000555" w:rsidRPr="00F1401D" w:rsidRDefault="00000555" w:rsidP="008A293E">
      <w:pPr>
        <w:pStyle w:val="FootnoteText"/>
        <w:rPr>
          <w:rFonts w:ascii="CG Omega" w:hAnsi="CG Omega" w:cs="Arial"/>
          <w:sz w:val="16"/>
          <w:szCs w:val="16"/>
        </w:rPr>
      </w:pPr>
      <w:r w:rsidRPr="00F1401D">
        <w:rPr>
          <w:rStyle w:val="FootnoteReference"/>
          <w:rFonts w:ascii="CG Omega" w:hAnsi="CG Omega" w:cs="Arial"/>
          <w:sz w:val="16"/>
          <w:szCs w:val="16"/>
        </w:rPr>
        <w:footnoteRef/>
      </w:r>
      <w:r w:rsidRPr="00F1401D">
        <w:rPr>
          <w:rFonts w:ascii="CG Omega" w:hAnsi="CG Omega" w:cs="Arial"/>
          <w:sz w:val="16"/>
          <w:szCs w:val="16"/>
        </w:rPr>
        <w:t xml:space="preserve"> 2006-2010 HUD CHAS Data</w:t>
      </w:r>
    </w:p>
  </w:footnote>
  <w:footnote w:id="32">
    <w:p w:rsidR="00000555" w:rsidRPr="00F1401D" w:rsidRDefault="00000555" w:rsidP="008A293E">
      <w:pPr>
        <w:pStyle w:val="FootnoteText"/>
        <w:rPr>
          <w:rFonts w:ascii="CG Omega" w:hAnsi="CG Omega"/>
          <w:sz w:val="16"/>
          <w:szCs w:val="16"/>
        </w:rPr>
      </w:pPr>
      <w:r w:rsidRPr="00F1401D">
        <w:rPr>
          <w:rStyle w:val="FootnoteReference"/>
          <w:rFonts w:ascii="CG Omega" w:hAnsi="CG Omega"/>
          <w:sz w:val="16"/>
          <w:szCs w:val="16"/>
        </w:rPr>
        <w:footnoteRef/>
      </w:r>
      <w:r w:rsidRPr="00F1401D">
        <w:rPr>
          <w:rFonts w:ascii="CG Omega" w:hAnsi="CG Omega"/>
          <w:sz w:val="16"/>
          <w:szCs w:val="16"/>
        </w:rPr>
        <w:t xml:space="preserve"> </w:t>
      </w:r>
      <w:r w:rsidRPr="00F1401D">
        <w:rPr>
          <w:rFonts w:ascii="CG Omega" w:hAnsi="CG Omega" w:cs="Arial"/>
          <w:sz w:val="16"/>
          <w:szCs w:val="16"/>
        </w:rPr>
        <w:t>2006-2010 HUD CHAS Data</w:t>
      </w:r>
    </w:p>
  </w:footnote>
  <w:footnote w:id="33">
    <w:p w:rsidR="00000555" w:rsidRPr="00F1401D" w:rsidRDefault="00000555" w:rsidP="008A293E">
      <w:pPr>
        <w:pStyle w:val="FootnoteText"/>
        <w:rPr>
          <w:rFonts w:ascii="CG Omega" w:hAnsi="CG Omega" w:cs="Arial"/>
          <w:sz w:val="16"/>
          <w:szCs w:val="16"/>
        </w:rPr>
      </w:pPr>
      <w:r w:rsidRPr="00F1401D">
        <w:rPr>
          <w:rStyle w:val="FootnoteReference"/>
          <w:rFonts w:ascii="CG Omega" w:hAnsi="CG Omega" w:cs="Arial"/>
          <w:sz w:val="16"/>
          <w:szCs w:val="16"/>
        </w:rPr>
        <w:footnoteRef/>
      </w:r>
      <w:r w:rsidRPr="00F1401D">
        <w:rPr>
          <w:rFonts w:ascii="CG Omega" w:hAnsi="CG Omega" w:cs="Arial"/>
          <w:sz w:val="16"/>
          <w:szCs w:val="16"/>
        </w:rPr>
        <w:t xml:space="preserve"> New Mexico’s CoCs 2013 homeless population Point-in-Time counts</w:t>
      </w:r>
    </w:p>
  </w:footnote>
  <w:footnote w:id="34">
    <w:p w:rsidR="00000555" w:rsidRPr="00F1401D" w:rsidRDefault="00000555" w:rsidP="008A293E">
      <w:pPr>
        <w:pStyle w:val="FootnoteText"/>
        <w:rPr>
          <w:rFonts w:ascii="CG Omega" w:hAnsi="CG Omega"/>
          <w:sz w:val="16"/>
          <w:szCs w:val="16"/>
        </w:rPr>
      </w:pPr>
      <w:r w:rsidRPr="00F1401D">
        <w:rPr>
          <w:rStyle w:val="FootnoteReference"/>
          <w:rFonts w:ascii="CG Omega" w:hAnsi="CG Omega"/>
          <w:sz w:val="16"/>
          <w:szCs w:val="16"/>
        </w:rPr>
        <w:footnoteRef/>
      </w:r>
      <w:r w:rsidRPr="00F1401D">
        <w:rPr>
          <w:rFonts w:ascii="CG Omega" w:hAnsi="CG Omega"/>
          <w:sz w:val="16"/>
          <w:szCs w:val="16"/>
        </w:rPr>
        <w:t xml:space="preserve"> 3-year 2008-2010 CHAS and 2012 5-Year ACS Data</w:t>
      </w:r>
    </w:p>
  </w:footnote>
  <w:footnote w:id="35">
    <w:p w:rsidR="00000555" w:rsidRPr="00F1401D" w:rsidRDefault="00000555" w:rsidP="008A293E">
      <w:pPr>
        <w:pStyle w:val="FootnoteText"/>
        <w:rPr>
          <w:rFonts w:ascii="CG Omega" w:hAnsi="CG Omega" w:cs="Arial"/>
          <w:sz w:val="16"/>
          <w:szCs w:val="16"/>
        </w:rPr>
      </w:pPr>
      <w:r w:rsidRPr="00F1401D">
        <w:rPr>
          <w:rStyle w:val="FootnoteReference"/>
          <w:rFonts w:ascii="CG Omega" w:hAnsi="CG Omega" w:cs="Arial"/>
          <w:sz w:val="16"/>
          <w:szCs w:val="16"/>
        </w:rPr>
        <w:footnoteRef/>
      </w:r>
      <w:r w:rsidRPr="00F1401D">
        <w:rPr>
          <w:rFonts w:ascii="CG Omega" w:hAnsi="CG Omega" w:cs="Arial"/>
          <w:sz w:val="16"/>
          <w:szCs w:val="16"/>
        </w:rPr>
        <w:t xml:space="preserve"> New Mexico’s CoCs 2013 homeless population Point-in-Time counts</w:t>
      </w:r>
    </w:p>
  </w:footnote>
  <w:footnote w:id="36">
    <w:p w:rsidR="00000555" w:rsidRPr="00F1401D" w:rsidRDefault="00000555" w:rsidP="008A293E">
      <w:pPr>
        <w:pStyle w:val="FootnoteText"/>
        <w:rPr>
          <w:rFonts w:ascii="CG Omega" w:hAnsi="CG Omega" w:cs="Arial"/>
          <w:sz w:val="16"/>
          <w:szCs w:val="16"/>
        </w:rPr>
      </w:pPr>
      <w:r w:rsidRPr="00F1401D">
        <w:rPr>
          <w:rStyle w:val="FootnoteReference"/>
          <w:rFonts w:ascii="CG Omega" w:hAnsi="CG Omega" w:cs="Arial"/>
          <w:sz w:val="16"/>
          <w:szCs w:val="16"/>
        </w:rPr>
        <w:footnoteRef/>
      </w:r>
      <w:r w:rsidRPr="00F1401D">
        <w:rPr>
          <w:rFonts w:ascii="CG Omega" w:hAnsi="CG Omega" w:cs="Arial"/>
          <w:sz w:val="16"/>
          <w:szCs w:val="16"/>
        </w:rPr>
        <w:t xml:space="preserve"> CDC HIV Surveillance data</w:t>
      </w:r>
    </w:p>
  </w:footnote>
  <w:footnote w:id="37">
    <w:p w:rsidR="00000555" w:rsidRDefault="00000555" w:rsidP="008A293E">
      <w:pPr>
        <w:pStyle w:val="FootnoteText"/>
      </w:pPr>
      <w:r w:rsidRPr="00F1401D">
        <w:rPr>
          <w:rStyle w:val="FootnoteReference"/>
          <w:rFonts w:ascii="CG Omega" w:hAnsi="CG Omega" w:cs="Arial"/>
          <w:sz w:val="16"/>
          <w:szCs w:val="16"/>
        </w:rPr>
        <w:footnoteRef/>
      </w:r>
      <w:r w:rsidRPr="00F1401D">
        <w:rPr>
          <w:rFonts w:ascii="CG Omega" w:hAnsi="CG Omega" w:cs="Arial"/>
          <w:sz w:val="16"/>
          <w:szCs w:val="16"/>
        </w:rPr>
        <w:t xml:space="preserve"> New Mexico’s CoCs 2013 homeless population Point-in-Time counts</w:t>
      </w:r>
    </w:p>
  </w:footnote>
  <w:footnote w:id="38">
    <w:p w:rsidR="00000555" w:rsidRPr="004A1C14" w:rsidRDefault="00000555" w:rsidP="00FC4673">
      <w:pPr>
        <w:pStyle w:val="FootnoteText"/>
        <w:jc w:val="both"/>
        <w:rPr>
          <w:sz w:val="16"/>
          <w:szCs w:val="16"/>
        </w:rPr>
      </w:pPr>
      <w:r w:rsidRPr="004A1C14">
        <w:rPr>
          <w:rStyle w:val="FootnoteReference"/>
          <w:rFonts w:ascii="CG Omega" w:hAnsi="CG Omega"/>
          <w:sz w:val="16"/>
          <w:szCs w:val="16"/>
        </w:rPr>
        <w:footnoteRef/>
      </w:r>
      <w:r w:rsidRPr="004A1C14">
        <w:rPr>
          <w:sz w:val="16"/>
          <w:szCs w:val="16"/>
        </w:rPr>
        <w:t xml:space="preserve">  </w:t>
      </w:r>
      <w:r w:rsidRPr="004A1C14">
        <w:rPr>
          <w:rFonts w:ascii="CG Omega" w:hAnsi="CG Omega"/>
          <w:sz w:val="16"/>
          <w:szCs w:val="16"/>
        </w:rPr>
        <w:t>The term “homeless individual” does not include any individual imprisoned or otherwise detained pursuant to an Act of Congress or a state law (42 U.S.C. § 11302(c)). HUD also considers individuals and families living in overcrowded conditions to be “at risk” for homelessness.</w:t>
      </w:r>
    </w:p>
  </w:footnote>
  <w:footnote w:id="39">
    <w:p w:rsidR="00000555" w:rsidRPr="00C631A1" w:rsidRDefault="00000555" w:rsidP="00FC4673">
      <w:pPr>
        <w:pStyle w:val="FootnoteText"/>
        <w:rPr>
          <w:rFonts w:ascii="CG Omega" w:hAnsi="CG Omega"/>
          <w:sz w:val="16"/>
          <w:szCs w:val="16"/>
        </w:rPr>
      </w:pPr>
      <w:r w:rsidRPr="00C73938">
        <w:rPr>
          <w:rStyle w:val="FootnoteReference"/>
          <w:rFonts w:ascii="CG Omega" w:hAnsi="CG Omega"/>
          <w:sz w:val="16"/>
          <w:szCs w:val="16"/>
        </w:rPr>
        <w:footnoteRef/>
      </w:r>
      <w:r w:rsidRPr="00C73938">
        <w:rPr>
          <w:rFonts w:ascii="CG Omega" w:hAnsi="CG Omega"/>
          <w:sz w:val="16"/>
          <w:szCs w:val="16"/>
        </w:rPr>
        <w:t xml:space="preserve"> </w:t>
      </w:r>
      <w:r w:rsidRPr="00C631A1">
        <w:rPr>
          <w:rFonts w:ascii="CG Omega" w:hAnsi="CG Omega"/>
          <w:sz w:val="16"/>
          <w:szCs w:val="16"/>
        </w:rPr>
        <w:t>National Alliance to End Homelessness, www.endhomelessness.org</w:t>
      </w:r>
    </w:p>
  </w:footnote>
  <w:footnote w:id="40">
    <w:p w:rsidR="00000555" w:rsidRPr="00C631A1" w:rsidRDefault="00000555" w:rsidP="00FC4673">
      <w:pPr>
        <w:pStyle w:val="FootnoteText"/>
        <w:rPr>
          <w:rFonts w:ascii="CG Omega" w:hAnsi="CG Omega"/>
          <w:sz w:val="16"/>
          <w:szCs w:val="16"/>
        </w:rPr>
      </w:pPr>
      <w:r w:rsidRPr="00C631A1">
        <w:rPr>
          <w:rStyle w:val="FootnoteReference"/>
          <w:rFonts w:ascii="CG Omega" w:hAnsi="CG Omega"/>
          <w:sz w:val="16"/>
          <w:szCs w:val="16"/>
        </w:rPr>
        <w:footnoteRef/>
      </w:r>
      <w:r w:rsidRPr="00C631A1">
        <w:rPr>
          <w:rFonts w:ascii="CG Omega" w:hAnsi="CG Omega"/>
          <w:sz w:val="16"/>
          <w:szCs w:val="16"/>
        </w:rPr>
        <w:t xml:space="preserve"> https://www.onecpd.info/resource/1967/hearth-proposed-rule-for-hmis-requirements/</w:t>
      </w:r>
    </w:p>
  </w:footnote>
  <w:footnote w:id="41">
    <w:p w:rsidR="00000555" w:rsidRPr="00B9385E" w:rsidRDefault="00000555" w:rsidP="00126700">
      <w:pPr>
        <w:pStyle w:val="FootnoteText"/>
        <w:rPr>
          <w:rFonts w:ascii="CG Omega" w:hAnsi="CG Omega"/>
          <w:sz w:val="16"/>
          <w:szCs w:val="16"/>
        </w:rPr>
      </w:pPr>
      <w:r w:rsidRPr="00B9385E">
        <w:rPr>
          <w:rStyle w:val="FootnoteReference"/>
          <w:rFonts w:ascii="CG Omega" w:hAnsi="CG Omega"/>
          <w:sz w:val="16"/>
          <w:szCs w:val="16"/>
        </w:rPr>
        <w:footnoteRef/>
      </w:r>
      <w:r w:rsidRPr="00B9385E">
        <w:rPr>
          <w:rFonts w:ascii="CG Omega" w:hAnsi="CG Omega"/>
          <w:sz w:val="16"/>
          <w:szCs w:val="16"/>
        </w:rPr>
        <w:t xml:space="preserve"> http://www.endhomelessness.org/library/entry/rapid-re-housing-a-history-and-core-components</w:t>
      </w:r>
    </w:p>
  </w:footnote>
  <w:footnote w:id="42">
    <w:p w:rsidR="00000555" w:rsidRDefault="00000555" w:rsidP="00FC4673">
      <w:pPr>
        <w:pStyle w:val="FootnoteText"/>
      </w:pPr>
      <w:r w:rsidRPr="00C631A1">
        <w:rPr>
          <w:rStyle w:val="FootnoteReference"/>
          <w:rFonts w:ascii="CG Omega" w:hAnsi="CG Omega"/>
          <w:sz w:val="16"/>
          <w:szCs w:val="16"/>
        </w:rPr>
        <w:footnoteRef/>
      </w:r>
      <w:r w:rsidRPr="00C631A1">
        <w:rPr>
          <w:rFonts w:ascii="CG Omega" w:hAnsi="CG Omega"/>
          <w:sz w:val="16"/>
          <w:szCs w:val="16"/>
        </w:rPr>
        <w:t xml:space="preserve"> http://www.endhomelessness.org/pages/housing_first</w:t>
      </w:r>
    </w:p>
  </w:footnote>
  <w:footnote w:id="43">
    <w:p w:rsidR="00000555" w:rsidRPr="00C73938" w:rsidRDefault="00000555" w:rsidP="00FC4673">
      <w:pPr>
        <w:pStyle w:val="FootnoteText"/>
        <w:rPr>
          <w:rFonts w:ascii="CG Omega" w:hAnsi="CG Omega"/>
          <w:sz w:val="16"/>
          <w:szCs w:val="16"/>
        </w:rPr>
      </w:pPr>
      <w:r w:rsidRPr="00CF1C40">
        <w:rPr>
          <w:rStyle w:val="FootnoteReference"/>
          <w:rFonts w:ascii="CG Omega" w:hAnsi="CG Omega"/>
          <w:sz w:val="16"/>
          <w:szCs w:val="16"/>
        </w:rPr>
        <w:footnoteRef/>
      </w:r>
      <w:r w:rsidRPr="00CF1C40">
        <w:rPr>
          <w:rFonts w:ascii="CG Omega" w:hAnsi="CG Omega"/>
          <w:sz w:val="16"/>
          <w:szCs w:val="16"/>
        </w:rPr>
        <w:t xml:space="preserve"> </w:t>
      </w:r>
      <w:r w:rsidRPr="0041094E">
        <w:rPr>
          <w:rFonts w:ascii="CG Omega" w:hAnsi="CG Omega"/>
          <w:bCs/>
          <w:sz w:val="16"/>
          <w:szCs w:val="16"/>
        </w:rPr>
        <w:t>https://www.onecpd.info/coc/</w:t>
      </w:r>
    </w:p>
  </w:footnote>
  <w:footnote w:id="44">
    <w:p w:rsidR="00000555" w:rsidRPr="00A34BC0" w:rsidRDefault="00000555" w:rsidP="00FC4673">
      <w:pPr>
        <w:pStyle w:val="FootnoteText"/>
        <w:rPr>
          <w:rFonts w:ascii="CG Omega" w:hAnsi="CG Omega"/>
          <w:sz w:val="16"/>
          <w:szCs w:val="16"/>
        </w:rPr>
      </w:pPr>
      <w:r w:rsidRPr="00A34BC0">
        <w:rPr>
          <w:rStyle w:val="FootnoteReference"/>
          <w:rFonts w:ascii="CG Omega" w:hAnsi="CG Omega"/>
        </w:rPr>
        <w:footnoteRef/>
      </w:r>
      <w:r w:rsidRPr="00A34BC0">
        <w:rPr>
          <w:rFonts w:ascii="CG Omega" w:hAnsi="CG Omega"/>
        </w:rPr>
        <w:t xml:space="preserve"> </w:t>
      </w:r>
      <w:r w:rsidRPr="00A34BC0">
        <w:rPr>
          <w:rFonts w:ascii="CG Omega" w:hAnsi="CG Omega"/>
          <w:sz w:val="16"/>
          <w:szCs w:val="16"/>
        </w:rPr>
        <w:t>Map available at http://www.hudhre.info/assets/images/coc_map/2008_nm.png</w:t>
      </w:r>
    </w:p>
  </w:footnote>
  <w:footnote w:id="45">
    <w:p w:rsidR="00000555" w:rsidRPr="0046032E" w:rsidRDefault="00000555" w:rsidP="00FC4673">
      <w:pPr>
        <w:pStyle w:val="FootnoteText"/>
        <w:rPr>
          <w:rFonts w:ascii="CG Omega" w:hAnsi="CG Omega"/>
          <w:sz w:val="16"/>
          <w:szCs w:val="16"/>
        </w:rPr>
      </w:pPr>
      <w:r w:rsidRPr="00C73938">
        <w:rPr>
          <w:rStyle w:val="FootnoteReference"/>
          <w:rFonts w:ascii="CG Omega" w:hAnsi="CG Omega"/>
          <w:sz w:val="16"/>
          <w:szCs w:val="16"/>
        </w:rPr>
        <w:footnoteRef/>
      </w:r>
      <w:r w:rsidRPr="00C73938">
        <w:rPr>
          <w:rFonts w:ascii="CG Omega" w:hAnsi="CG Omega"/>
          <w:sz w:val="16"/>
          <w:szCs w:val="16"/>
        </w:rPr>
        <w:t xml:space="preserve"> http://www.nmceh.org/pages/about1.html</w:t>
      </w:r>
    </w:p>
  </w:footnote>
  <w:footnote w:id="46">
    <w:p w:rsidR="00000555" w:rsidRDefault="00000555" w:rsidP="00A400B5">
      <w:pPr>
        <w:pStyle w:val="FootnoteText"/>
        <w:rPr>
          <w:sz w:val="16"/>
          <w:szCs w:val="16"/>
        </w:rPr>
      </w:pPr>
      <w:r w:rsidRPr="00A34BC0">
        <w:rPr>
          <w:rStyle w:val="FootnoteReference"/>
          <w:rFonts w:ascii="CG Omega" w:hAnsi="CG Omega"/>
          <w:sz w:val="16"/>
          <w:szCs w:val="16"/>
        </w:rPr>
        <w:footnoteRef/>
      </w:r>
      <w:r w:rsidRPr="00A34BC0">
        <w:rPr>
          <w:rFonts w:ascii="CG Omega" w:hAnsi="CG Omega"/>
          <w:sz w:val="16"/>
          <w:szCs w:val="16"/>
        </w:rPr>
        <w:t xml:space="preserve"> </w:t>
      </w:r>
      <w:r w:rsidRPr="00D87E90">
        <w:rPr>
          <w:rFonts w:ascii="CG Omega" w:hAnsi="CG Omega"/>
          <w:sz w:val="16"/>
          <w:szCs w:val="16"/>
        </w:rPr>
        <w:t>Population counts drawn from Census 2010.</w:t>
      </w:r>
    </w:p>
  </w:footnote>
  <w:footnote w:id="47">
    <w:p w:rsidR="00000555" w:rsidRPr="000D7E46" w:rsidRDefault="00000555">
      <w:pPr>
        <w:pStyle w:val="FootnoteText"/>
        <w:rPr>
          <w:rFonts w:ascii="CG Omega" w:hAnsi="CG Omega"/>
          <w:sz w:val="16"/>
          <w:szCs w:val="16"/>
        </w:rPr>
      </w:pPr>
      <w:r w:rsidRPr="000D7E46">
        <w:rPr>
          <w:rStyle w:val="FootnoteReference"/>
          <w:rFonts w:ascii="CG Omega" w:hAnsi="CG Omega"/>
          <w:sz w:val="16"/>
          <w:szCs w:val="16"/>
        </w:rPr>
        <w:footnoteRef/>
      </w:r>
      <w:r w:rsidRPr="000D7E46">
        <w:rPr>
          <w:rFonts w:ascii="CG Omega" w:hAnsi="CG Omega"/>
          <w:sz w:val="16"/>
          <w:szCs w:val="16"/>
        </w:rPr>
        <w:t xml:space="preserve"> https://www.onecpd.info/grantees/</w:t>
      </w:r>
    </w:p>
  </w:footnote>
  <w:footnote w:id="48">
    <w:p w:rsidR="00000555" w:rsidRDefault="00000555" w:rsidP="003C459D">
      <w:pPr>
        <w:pStyle w:val="FootnoteText"/>
      </w:pPr>
      <w:r>
        <w:rPr>
          <w:rStyle w:val="FootnoteReference"/>
        </w:rPr>
        <w:footnoteRef/>
      </w:r>
      <w:r>
        <w:t xml:space="preserve"> </w:t>
      </w:r>
      <w:r w:rsidRPr="009678EB">
        <w:rPr>
          <w:rFonts w:ascii="CG Omega" w:hAnsi="CG Omega"/>
          <w:sz w:val="16"/>
          <w:szCs w:val="16"/>
        </w:rPr>
        <w:t>The numbers provided in the table are exact sums of numbers</w:t>
      </w:r>
      <w:r>
        <w:rPr>
          <w:rFonts w:ascii="CG Omega" w:hAnsi="CG Omega"/>
          <w:sz w:val="16"/>
          <w:szCs w:val="16"/>
        </w:rPr>
        <w:t xml:space="preserve"> provided by HUD</w:t>
      </w:r>
      <w:r w:rsidRPr="009678EB">
        <w:rPr>
          <w:rFonts w:ascii="CG Omega" w:hAnsi="CG Omega"/>
          <w:sz w:val="16"/>
          <w:szCs w:val="16"/>
        </w:rPr>
        <w:t>. As such, errors or discrepancies in the numbers provided in the individual charts are repeated in the population summary.</w:t>
      </w:r>
    </w:p>
  </w:footnote>
  <w:footnote w:id="49">
    <w:p w:rsidR="00000555" w:rsidRPr="00F64022" w:rsidRDefault="00000555" w:rsidP="00F64022">
      <w:pPr>
        <w:pStyle w:val="FootnoteText"/>
        <w:jc w:val="both"/>
        <w:rPr>
          <w:rFonts w:ascii="CG Omega" w:hAnsi="CG Omega"/>
          <w:sz w:val="16"/>
          <w:szCs w:val="16"/>
        </w:rPr>
      </w:pPr>
      <w:r w:rsidRPr="00F64022">
        <w:rPr>
          <w:rStyle w:val="FootnoteReference"/>
          <w:rFonts w:ascii="CG Omega" w:hAnsi="CG Omega"/>
          <w:sz w:val="16"/>
          <w:szCs w:val="16"/>
        </w:rPr>
        <w:footnoteRef/>
      </w:r>
      <w:r w:rsidRPr="00F64022">
        <w:rPr>
          <w:rFonts w:ascii="CG Omega" w:hAnsi="CG Omega"/>
          <w:sz w:val="16"/>
          <w:szCs w:val="16"/>
        </w:rPr>
        <w:t xml:space="preserve"> The numbers provided in the table are exact sums of numbers provided by HUD. As such, errors or discrepancies in the numbers provided in the individual charts are repeated in the population summary.</w:t>
      </w:r>
    </w:p>
  </w:footnote>
  <w:footnote w:id="50">
    <w:p w:rsidR="00000555" w:rsidRPr="00F64022" w:rsidRDefault="00000555" w:rsidP="00F64022">
      <w:pPr>
        <w:pStyle w:val="FootnoteText"/>
        <w:jc w:val="both"/>
        <w:rPr>
          <w:rFonts w:ascii="CG Omega" w:hAnsi="CG Omega"/>
          <w:sz w:val="16"/>
          <w:szCs w:val="16"/>
        </w:rPr>
      </w:pPr>
      <w:r w:rsidRPr="00F64022">
        <w:rPr>
          <w:rStyle w:val="FootnoteReference"/>
          <w:rFonts w:ascii="CG Omega" w:hAnsi="CG Omega"/>
          <w:sz w:val="16"/>
          <w:szCs w:val="16"/>
        </w:rPr>
        <w:footnoteRef/>
      </w:r>
      <w:r w:rsidRPr="00F64022">
        <w:rPr>
          <w:rFonts w:ascii="CG Omega" w:hAnsi="CG Omega"/>
          <w:sz w:val="16"/>
          <w:szCs w:val="16"/>
        </w:rPr>
        <w:t xml:space="preserve"> Sheltered is the sum of </w:t>
      </w:r>
      <w:r>
        <w:rPr>
          <w:rFonts w:ascii="CG Omega" w:hAnsi="CG Omega"/>
          <w:sz w:val="16"/>
          <w:szCs w:val="16"/>
        </w:rPr>
        <w:t>e</w:t>
      </w:r>
      <w:r w:rsidRPr="00F64022">
        <w:rPr>
          <w:rFonts w:ascii="CG Omega" w:hAnsi="CG Omega"/>
          <w:sz w:val="16"/>
          <w:szCs w:val="16"/>
        </w:rPr>
        <w:t xml:space="preserve">mergency </w:t>
      </w:r>
      <w:r>
        <w:rPr>
          <w:rFonts w:ascii="CG Omega" w:hAnsi="CG Omega"/>
          <w:sz w:val="16"/>
          <w:szCs w:val="16"/>
        </w:rPr>
        <w:t>s</w:t>
      </w:r>
      <w:r w:rsidRPr="00F64022">
        <w:rPr>
          <w:rFonts w:ascii="CG Omega" w:hAnsi="CG Omega"/>
          <w:sz w:val="16"/>
          <w:szCs w:val="16"/>
        </w:rPr>
        <w:t xml:space="preserve">helter and </w:t>
      </w:r>
      <w:r>
        <w:rPr>
          <w:rFonts w:ascii="CG Omega" w:hAnsi="CG Omega"/>
          <w:sz w:val="16"/>
          <w:szCs w:val="16"/>
        </w:rPr>
        <w:t>r</w:t>
      </w:r>
      <w:r w:rsidRPr="00F64022">
        <w:rPr>
          <w:rFonts w:ascii="CG Omega" w:hAnsi="CG Omega"/>
          <w:sz w:val="16"/>
          <w:szCs w:val="16"/>
        </w:rPr>
        <w:t xml:space="preserve">ransitional </w:t>
      </w:r>
      <w:r>
        <w:rPr>
          <w:rFonts w:ascii="CG Omega" w:hAnsi="CG Omega"/>
          <w:sz w:val="16"/>
          <w:szCs w:val="16"/>
        </w:rPr>
        <w:t>h</w:t>
      </w:r>
      <w:r w:rsidRPr="00F64022">
        <w:rPr>
          <w:rFonts w:ascii="CG Omega" w:hAnsi="CG Omega"/>
          <w:sz w:val="16"/>
          <w:szCs w:val="16"/>
        </w:rPr>
        <w:t>ousing.</w:t>
      </w:r>
    </w:p>
  </w:footnote>
  <w:footnote w:id="51">
    <w:p w:rsidR="00000555" w:rsidRDefault="00000555" w:rsidP="00F64022">
      <w:pPr>
        <w:pStyle w:val="FootnoteText"/>
        <w:jc w:val="both"/>
      </w:pPr>
      <w:r w:rsidRPr="00F64022">
        <w:rPr>
          <w:rStyle w:val="FootnoteReference"/>
          <w:rFonts w:ascii="CG Omega" w:hAnsi="CG Omega"/>
          <w:sz w:val="16"/>
          <w:szCs w:val="16"/>
        </w:rPr>
        <w:footnoteRef/>
      </w:r>
      <w:r w:rsidRPr="00F64022">
        <w:rPr>
          <w:rFonts w:ascii="CG Omega" w:hAnsi="CG Omega"/>
          <w:sz w:val="16"/>
          <w:szCs w:val="16"/>
        </w:rPr>
        <w:t xml:space="preserve"> In 2011, this category was labeled as Households with Only Individuals.</w:t>
      </w:r>
    </w:p>
  </w:footnote>
  <w:footnote w:id="52">
    <w:p w:rsidR="00000555" w:rsidRPr="00F64022" w:rsidRDefault="00000555" w:rsidP="00F64022">
      <w:pPr>
        <w:pStyle w:val="FootnoteText"/>
        <w:jc w:val="both"/>
        <w:rPr>
          <w:rFonts w:ascii="CG Omega" w:hAnsi="CG Omega"/>
          <w:sz w:val="16"/>
          <w:szCs w:val="16"/>
        </w:rPr>
      </w:pPr>
      <w:r w:rsidRPr="00F64022">
        <w:rPr>
          <w:rStyle w:val="FootnoteReference"/>
          <w:rFonts w:ascii="CG Omega" w:hAnsi="CG Omega"/>
          <w:sz w:val="16"/>
          <w:szCs w:val="16"/>
        </w:rPr>
        <w:footnoteRef/>
      </w:r>
      <w:r w:rsidRPr="00F64022">
        <w:rPr>
          <w:rFonts w:ascii="CG Omega" w:hAnsi="CG Omega"/>
          <w:sz w:val="16"/>
          <w:szCs w:val="16"/>
        </w:rPr>
        <w:t xml:space="preserve"> https://www.onecpd.info/resources/documents/ahar-2013-part1.pdf</w:t>
      </w:r>
    </w:p>
  </w:footnote>
  <w:footnote w:id="53">
    <w:p w:rsidR="00000555" w:rsidRPr="00F64022" w:rsidRDefault="00000555" w:rsidP="00F64022">
      <w:pPr>
        <w:pStyle w:val="FootnoteText"/>
        <w:jc w:val="both"/>
        <w:rPr>
          <w:rFonts w:ascii="CG Omega" w:hAnsi="CG Omega"/>
          <w:sz w:val="16"/>
          <w:szCs w:val="16"/>
        </w:rPr>
      </w:pPr>
      <w:r w:rsidRPr="00F64022">
        <w:rPr>
          <w:rStyle w:val="FootnoteReference"/>
          <w:rFonts w:ascii="CG Omega" w:hAnsi="CG Omega"/>
          <w:sz w:val="16"/>
          <w:szCs w:val="16"/>
        </w:rPr>
        <w:footnoteRef/>
      </w:r>
      <w:r w:rsidRPr="00F64022">
        <w:rPr>
          <w:rFonts w:ascii="CG Omega" w:hAnsi="CG Omega"/>
          <w:sz w:val="16"/>
          <w:szCs w:val="16"/>
        </w:rPr>
        <w:t xml:space="preserve"> The numbers provided in the table are exact sums of numbers provided by HUD. As such, errors or discrepancies in the numbers provided in the individual charts are repeated in the population summary.</w:t>
      </w:r>
    </w:p>
  </w:footnote>
  <w:footnote w:id="54">
    <w:p w:rsidR="00000555" w:rsidRDefault="00000555" w:rsidP="00F64022">
      <w:pPr>
        <w:pStyle w:val="FootnoteText"/>
        <w:jc w:val="both"/>
      </w:pPr>
      <w:r w:rsidRPr="00F64022">
        <w:rPr>
          <w:rStyle w:val="FootnoteReference"/>
          <w:rFonts w:ascii="CG Omega" w:hAnsi="CG Omega"/>
          <w:sz w:val="16"/>
          <w:szCs w:val="16"/>
        </w:rPr>
        <w:footnoteRef/>
      </w:r>
      <w:r w:rsidRPr="00F64022">
        <w:rPr>
          <w:rFonts w:ascii="CG Omega" w:hAnsi="CG Omega"/>
          <w:sz w:val="16"/>
          <w:szCs w:val="16"/>
        </w:rPr>
        <w:t xml:space="preserve"> http://www.endhomelessness.org/pages/chronic_homelessness</w:t>
      </w:r>
    </w:p>
  </w:footnote>
  <w:footnote w:id="55">
    <w:p w:rsidR="00000555" w:rsidRPr="008770D9" w:rsidRDefault="00000555" w:rsidP="00126EB2">
      <w:pPr>
        <w:pStyle w:val="FootnoteText"/>
        <w:rPr>
          <w:rFonts w:ascii="CG Omega" w:hAnsi="CG Omega"/>
          <w:sz w:val="16"/>
          <w:szCs w:val="16"/>
        </w:rPr>
      </w:pPr>
      <w:r w:rsidRPr="00047D06">
        <w:rPr>
          <w:rStyle w:val="FootnoteReference"/>
          <w:rFonts w:ascii="CG Omega" w:hAnsi="CG Omega"/>
          <w:sz w:val="16"/>
          <w:szCs w:val="16"/>
        </w:rPr>
        <w:footnoteRef/>
      </w:r>
      <w:r w:rsidRPr="00047D06">
        <w:rPr>
          <w:rFonts w:ascii="CG Omega" w:hAnsi="CG Omega"/>
          <w:i/>
          <w:sz w:val="16"/>
          <w:szCs w:val="16"/>
        </w:rPr>
        <w:t xml:space="preserve"> </w:t>
      </w:r>
      <w:r w:rsidRPr="00047D06">
        <w:rPr>
          <w:rFonts w:ascii="CG Omega" w:hAnsi="CG Omega"/>
          <w:i/>
          <w:color w:val="262A2C"/>
          <w:sz w:val="16"/>
          <w:szCs w:val="16"/>
          <w:lang w:val="en"/>
        </w:rPr>
        <w:t>Consolidated Plan Final Rule 24 CFR Part 91.</w:t>
      </w:r>
      <w:r w:rsidRPr="008770D9">
        <w:rPr>
          <w:rFonts w:ascii="CG Omega" w:hAnsi="CG Omega"/>
          <w:color w:val="262A2C"/>
          <w:sz w:val="16"/>
          <w:szCs w:val="16"/>
          <w:lang w:val="en"/>
        </w:rPr>
        <w:t xml:space="preserve">  United States Department of Housing and Urban Development. Community Planning and Development. 1995. 14.</w:t>
      </w:r>
    </w:p>
  </w:footnote>
  <w:footnote w:id="56">
    <w:p w:rsidR="00000555" w:rsidRPr="008770D9" w:rsidRDefault="00000555" w:rsidP="00943E45">
      <w:pPr>
        <w:pStyle w:val="FootnoteText"/>
        <w:rPr>
          <w:rFonts w:ascii="CG Omega" w:hAnsi="CG Omega"/>
          <w:sz w:val="16"/>
          <w:szCs w:val="16"/>
        </w:rPr>
      </w:pPr>
      <w:r w:rsidRPr="008770D9">
        <w:rPr>
          <w:rStyle w:val="FootnoteReference"/>
          <w:rFonts w:ascii="CG Omega" w:hAnsi="CG Omega"/>
          <w:sz w:val="16"/>
          <w:szCs w:val="16"/>
        </w:rPr>
        <w:footnoteRef/>
      </w:r>
      <w:r w:rsidRPr="008770D9">
        <w:rPr>
          <w:rFonts w:ascii="CG Omega" w:hAnsi="CG Omega"/>
          <w:sz w:val="16"/>
          <w:szCs w:val="16"/>
        </w:rPr>
        <w:t xml:space="preserve"> </w:t>
      </w:r>
      <w:r w:rsidRPr="008770D9">
        <w:rPr>
          <w:rFonts w:ascii="CG Omega" w:hAnsi="CG Omega"/>
          <w:color w:val="262A2C"/>
          <w:sz w:val="16"/>
          <w:szCs w:val="16"/>
          <w:lang w:val="en"/>
        </w:rPr>
        <w:t>http://law.justia.com/us/cfr/ti</w:t>
      </w:r>
      <w:r>
        <w:rPr>
          <w:rFonts w:ascii="CG Omega" w:hAnsi="CG Omega"/>
          <w:color w:val="262A2C"/>
          <w:sz w:val="16"/>
          <w:szCs w:val="16"/>
          <w:lang w:val="en"/>
        </w:rPr>
        <w:t>tle24/24-4.0.2.1.12.2.3.2.html</w:t>
      </w:r>
    </w:p>
  </w:footnote>
  <w:footnote w:id="57">
    <w:p w:rsidR="00000555" w:rsidRPr="00BB7D8C" w:rsidRDefault="00000555" w:rsidP="00943E45">
      <w:pPr>
        <w:pStyle w:val="FootnoteText"/>
        <w:rPr>
          <w:rFonts w:ascii="CG Omega" w:hAnsi="CG Omega"/>
          <w:sz w:val="16"/>
          <w:szCs w:val="16"/>
        </w:rPr>
      </w:pPr>
      <w:r w:rsidRPr="00BB7D8C">
        <w:rPr>
          <w:rStyle w:val="FootnoteReference"/>
          <w:rFonts w:ascii="CG Omega" w:hAnsi="CG Omega"/>
          <w:sz w:val="16"/>
          <w:szCs w:val="16"/>
        </w:rPr>
        <w:footnoteRef/>
      </w:r>
      <w:r w:rsidRPr="00BB7D8C">
        <w:rPr>
          <w:rFonts w:ascii="CG Omega" w:hAnsi="CG Omega"/>
          <w:sz w:val="16"/>
          <w:szCs w:val="16"/>
        </w:rPr>
        <w:t xml:space="preserve"> http://www.nmaging.state.nm.us/Reports.aspx</w:t>
      </w:r>
    </w:p>
  </w:footnote>
  <w:footnote w:id="58">
    <w:p w:rsidR="00000555" w:rsidRPr="008770D9" w:rsidRDefault="00000555" w:rsidP="00943E45">
      <w:pPr>
        <w:pStyle w:val="FootnoteText"/>
        <w:rPr>
          <w:rFonts w:ascii="CG Omega" w:hAnsi="CG Omega"/>
          <w:sz w:val="16"/>
          <w:szCs w:val="16"/>
        </w:rPr>
      </w:pPr>
      <w:r w:rsidRPr="008770D9">
        <w:rPr>
          <w:rStyle w:val="FootnoteReference"/>
          <w:rFonts w:ascii="CG Omega" w:hAnsi="CG Omega"/>
          <w:sz w:val="16"/>
          <w:szCs w:val="16"/>
        </w:rPr>
        <w:footnoteRef/>
      </w:r>
      <w:r w:rsidRPr="008770D9">
        <w:rPr>
          <w:rFonts w:ascii="CG Omega" w:hAnsi="CG Omega"/>
          <w:sz w:val="16"/>
          <w:szCs w:val="16"/>
        </w:rPr>
        <w:t xml:space="preserve"> </w:t>
      </w:r>
      <w:r w:rsidRPr="00D17D53">
        <w:rPr>
          <w:rFonts w:ascii="CG Omega" w:hAnsi="CG Omega"/>
          <w:sz w:val="16"/>
          <w:szCs w:val="16"/>
        </w:rPr>
        <w:t>http://www.nhpf.org/library/the-basics/Basics_OlderAmericansAct_02-23-12.pdf</w:t>
      </w:r>
    </w:p>
  </w:footnote>
  <w:footnote w:id="59">
    <w:p w:rsidR="00000555" w:rsidRPr="005C446B" w:rsidRDefault="00000555" w:rsidP="00943E45">
      <w:pPr>
        <w:pStyle w:val="FootnoteText"/>
        <w:rPr>
          <w:rFonts w:ascii="CG Omega" w:hAnsi="CG Omega"/>
          <w:sz w:val="16"/>
          <w:szCs w:val="16"/>
        </w:rPr>
      </w:pPr>
      <w:r w:rsidRPr="005C446B">
        <w:rPr>
          <w:rStyle w:val="FootnoteReference"/>
          <w:rFonts w:ascii="CG Omega" w:hAnsi="CG Omega"/>
          <w:sz w:val="16"/>
          <w:szCs w:val="16"/>
        </w:rPr>
        <w:footnoteRef/>
      </w:r>
      <w:r w:rsidRPr="005C446B">
        <w:rPr>
          <w:rFonts w:ascii="CG Omega" w:hAnsi="CG Omega"/>
          <w:sz w:val="16"/>
          <w:szCs w:val="16"/>
        </w:rPr>
        <w:t xml:space="preserve"> http://www.nmaging.state.nm.us/Reports.aspx</w:t>
      </w:r>
    </w:p>
  </w:footnote>
  <w:footnote w:id="60">
    <w:p w:rsidR="00000555" w:rsidRPr="00CB18D7" w:rsidRDefault="00000555" w:rsidP="00943E45">
      <w:pPr>
        <w:pStyle w:val="FootnoteText"/>
        <w:rPr>
          <w:rFonts w:ascii="CG Omega" w:hAnsi="CG Omega"/>
          <w:sz w:val="16"/>
          <w:szCs w:val="16"/>
        </w:rPr>
      </w:pPr>
      <w:r w:rsidRPr="00CB18D7">
        <w:rPr>
          <w:rStyle w:val="FootnoteReference"/>
          <w:rFonts w:ascii="CG Omega" w:hAnsi="CG Omega"/>
          <w:sz w:val="16"/>
          <w:szCs w:val="16"/>
        </w:rPr>
        <w:footnoteRef/>
      </w:r>
      <w:r w:rsidRPr="00CB18D7">
        <w:rPr>
          <w:rFonts w:ascii="CG Omega" w:hAnsi="CG Omega"/>
          <w:sz w:val="16"/>
          <w:szCs w:val="16"/>
        </w:rPr>
        <w:t xml:space="preserve"> Lipman</w:t>
      </w:r>
      <w:r w:rsidRPr="00CB18D7">
        <w:rPr>
          <w:rFonts w:ascii="CG Omega" w:hAnsi="CG Omega"/>
          <w:color w:val="262A2C"/>
          <w:sz w:val="16"/>
          <w:szCs w:val="16"/>
          <w:lang w:val="en"/>
        </w:rPr>
        <w:t xml:space="preserve">, Barbara., Jeffery Lubell, Emily Salmon. "Housing an Aging Population: Are We Prepared?" </w:t>
      </w:r>
      <w:r w:rsidRPr="00CB18D7">
        <w:rPr>
          <w:rFonts w:ascii="CG Omega" w:hAnsi="CG Omega"/>
          <w:i/>
          <w:color w:val="262A2C"/>
          <w:sz w:val="16"/>
          <w:szCs w:val="16"/>
          <w:lang w:val="en"/>
        </w:rPr>
        <w:t>Center for Housing Policy</w:t>
      </w:r>
      <w:r w:rsidRPr="00CB18D7">
        <w:rPr>
          <w:rFonts w:ascii="CG Omega" w:hAnsi="CG Omega"/>
          <w:color w:val="262A2C"/>
          <w:sz w:val="16"/>
          <w:szCs w:val="16"/>
          <w:lang w:val="en"/>
        </w:rPr>
        <w:t xml:space="preserve"> (2012). 21 May 2014 &lt;http://www.nhc.org/media/files/AgingReport2012.pdf&gt;.</w:t>
      </w:r>
    </w:p>
  </w:footnote>
  <w:footnote w:id="61">
    <w:p w:rsidR="00000555" w:rsidRPr="000849A4" w:rsidRDefault="00000555" w:rsidP="00943E45">
      <w:pPr>
        <w:pStyle w:val="FootnoteText"/>
        <w:rPr>
          <w:rFonts w:ascii="CG Omega" w:hAnsi="CG Omega"/>
          <w:sz w:val="16"/>
          <w:szCs w:val="16"/>
        </w:rPr>
      </w:pPr>
      <w:r w:rsidRPr="000849A4">
        <w:rPr>
          <w:rStyle w:val="FootnoteReference"/>
          <w:rFonts w:ascii="CG Omega" w:hAnsi="CG Omega"/>
          <w:sz w:val="16"/>
          <w:szCs w:val="16"/>
        </w:rPr>
        <w:footnoteRef/>
      </w:r>
      <w:r w:rsidRPr="000849A4">
        <w:rPr>
          <w:rFonts w:ascii="CG Omega" w:hAnsi="CG Omega"/>
          <w:sz w:val="16"/>
          <w:szCs w:val="16"/>
        </w:rPr>
        <w:t xml:space="preserve"> </w:t>
      </w:r>
      <w:r w:rsidRPr="00CF1970">
        <w:rPr>
          <w:rFonts w:ascii="CG Omega" w:hAnsi="CG Omega"/>
          <w:color w:val="262A2C"/>
          <w:sz w:val="16"/>
          <w:szCs w:val="16"/>
          <w:lang w:val="en"/>
        </w:rPr>
        <w:t>http://portal.hud.gov/hudportal/HUD?src=/program_offices/fair_housing_equal_opp/disabilities/inhousing</w:t>
      </w:r>
    </w:p>
  </w:footnote>
  <w:footnote w:id="62">
    <w:p w:rsidR="00000555" w:rsidRPr="00746DC7" w:rsidRDefault="00000555" w:rsidP="00943E45">
      <w:pPr>
        <w:pStyle w:val="FootnoteText"/>
        <w:rPr>
          <w:rFonts w:ascii="CG Omega" w:hAnsi="CG Omega"/>
          <w:sz w:val="16"/>
          <w:szCs w:val="16"/>
        </w:rPr>
      </w:pPr>
      <w:r w:rsidRPr="00746DC7">
        <w:rPr>
          <w:rStyle w:val="FootnoteReference"/>
          <w:rFonts w:ascii="CG Omega" w:hAnsi="CG Omega"/>
          <w:sz w:val="16"/>
          <w:szCs w:val="16"/>
        </w:rPr>
        <w:footnoteRef/>
      </w:r>
      <w:r w:rsidRPr="00746DC7">
        <w:rPr>
          <w:rFonts w:ascii="CG Omega" w:hAnsi="CG Omega"/>
          <w:sz w:val="16"/>
          <w:szCs w:val="16"/>
        </w:rPr>
        <w:t xml:space="preserve"> http://www.usmayors.org/pressreleases/uploads/2013/1210-report-HH.pdf</w:t>
      </w:r>
    </w:p>
  </w:footnote>
  <w:footnote w:id="63">
    <w:p w:rsidR="00000555" w:rsidRPr="00DC6DB8" w:rsidRDefault="00000555" w:rsidP="00943E45">
      <w:pPr>
        <w:pStyle w:val="FootnoteText"/>
        <w:rPr>
          <w:rFonts w:ascii="CG Omega" w:hAnsi="CG Omega"/>
          <w:sz w:val="16"/>
          <w:szCs w:val="16"/>
        </w:rPr>
      </w:pPr>
      <w:r w:rsidRPr="00DC6DB8">
        <w:rPr>
          <w:rStyle w:val="FootnoteReference"/>
          <w:rFonts w:ascii="CG Omega" w:hAnsi="CG Omega"/>
          <w:sz w:val="16"/>
          <w:szCs w:val="16"/>
        </w:rPr>
        <w:footnoteRef/>
      </w:r>
      <w:r w:rsidRPr="00DC6DB8">
        <w:rPr>
          <w:rFonts w:ascii="CG Omega" w:hAnsi="CG Omega"/>
          <w:sz w:val="16"/>
          <w:szCs w:val="16"/>
        </w:rPr>
        <w:t xml:space="preserve"> http://www.nmaging.state.nm.us/Services.aspx</w:t>
      </w:r>
    </w:p>
  </w:footnote>
  <w:footnote w:id="64">
    <w:p w:rsidR="00000555" w:rsidRPr="001358CD" w:rsidRDefault="00000555" w:rsidP="00943E45">
      <w:pPr>
        <w:pStyle w:val="FootnoteText"/>
        <w:rPr>
          <w:rFonts w:ascii="CG Omega" w:hAnsi="CG Omega"/>
          <w:sz w:val="16"/>
          <w:szCs w:val="16"/>
        </w:rPr>
      </w:pPr>
      <w:r w:rsidRPr="001358CD">
        <w:rPr>
          <w:rStyle w:val="FootnoteReference"/>
          <w:rFonts w:ascii="CG Omega" w:hAnsi="CG Omega"/>
          <w:sz w:val="16"/>
          <w:szCs w:val="16"/>
        </w:rPr>
        <w:footnoteRef/>
      </w:r>
      <w:r w:rsidRPr="001358CD">
        <w:rPr>
          <w:rFonts w:ascii="CG Omega" w:hAnsi="CG Omega"/>
          <w:sz w:val="16"/>
          <w:szCs w:val="16"/>
        </w:rPr>
        <w:t xml:space="preserve"> http://archive.nmhealth.org/ddsd/whoweare/whowearepg02.htm</w:t>
      </w:r>
    </w:p>
  </w:footnote>
  <w:footnote w:id="65">
    <w:p w:rsidR="00000555" w:rsidRPr="00287590" w:rsidRDefault="00000555" w:rsidP="00943E45">
      <w:pPr>
        <w:pStyle w:val="FootnoteText"/>
        <w:rPr>
          <w:rFonts w:ascii="CG Omega" w:hAnsi="CG Omega"/>
          <w:sz w:val="16"/>
          <w:szCs w:val="16"/>
        </w:rPr>
      </w:pPr>
      <w:r w:rsidRPr="00287590">
        <w:rPr>
          <w:rStyle w:val="FootnoteReference"/>
          <w:rFonts w:ascii="CG Omega" w:hAnsi="CG Omega"/>
          <w:sz w:val="16"/>
          <w:szCs w:val="16"/>
        </w:rPr>
        <w:footnoteRef/>
      </w:r>
      <w:r w:rsidRPr="00287590">
        <w:rPr>
          <w:rFonts w:ascii="CG Omega" w:hAnsi="CG Omega"/>
          <w:sz w:val="16"/>
          <w:szCs w:val="16"/>
        </w:rPr>
        <w:t xml:space="preserve"> </w:t>
      </w:r>
      <w:r w:rsidRPr="001358CD">
        <w:rPr>
          <w:rFonts w:ascii="CG Omega" w:hAnsi="CG Omega"/>
          <w:sz w:val="16"/>
          <w:szCs w:val="16"/>
        </w:rPr>
        <w:t>http://archive.nmhealth.org/ddsd/index.htm</w:t>
      </w:r>
    </w:p>
  </w:footnote>
  <w:footnote w:id="66">
    <w:p w:rsidR="00000555" w:rsidRPr="00070DCB" w:rsidRDefault="00000555" w:rsidP="00943E45">
      <w:pPr>
        <w:pStyle w:val="FootnoteText"/>
        <w:rPr>
          <w:rFonts w:ascii="CG Omega" w:hAnsi="CG Omega" w:cs="Arial"/>
          <w:sz w:val="16"/>
          <w:szCs w:val="16"/>
        </w:rPr>
      </w:pPr>
      <w:r w:rsidRPr="00070DCB">
        <w:rPr>
          <w:rStyle w:val="FootnoteReference"/>
          <w:rFonts w:ascii="CG Omega" w:hAnsi="CG Omega" w:cs="Arial"/>
          <w:sz w:val="16"/>
          <w:szCs w:val="16"/>
        </w:rPr>
        <w:footnoteRef/>
      </w:r>
      <w:r w:rsidRPr="00070DCB">
        <w:rPr>
          <w:rFonts w:ascii="CG Omega" w:hAnsi="CG Omega" w:cs="Arial"/>
          <w:sz w:val="16"/>
          <w:szCs w:val="16"/>
        </w:rPr>
        <w:t xml:space="preserve"> http://www.nationalhomeless.org/publications/facts/addiction.pdf</w:t>
      </w:r>
    </w:p>
  </w:footnote>
  <w:footnote w:id="67">
    <w:p w:rsidR="00000555" w:rsidRPr="003440E9" w:rsidRDefault="00000555" w:rsidP="00943E45">
      <w:pPr>
        <w:pStyle w:val="FootnoteText"/>
        <w:rPr>
          <w:rFonts w:ascii="CG Omega" w:hAnsi="CG Omega"/>
          <w:sz w:val="16"/>
          <w:szCs w:val="16"/>
        </w:rPr>
      </w:pPr>
      <w:r w:rsidRPr="003440E9">
        <w:rPr>
          <w:rStyle w:val="FootnoteReference"/>
          <w:rFonts w:ascii="CG Omega" w:hAnsi="CG Omega"/>
          <w:sz w:val="16"/>
          <w:szCs w:val="16"/>
        </w:rPr>
        <w:footnoteRef/>
      </w:r>
      <w:r w:rsidRPr="003440E9">
        <w:rPr>
          <w:rFonts w:ascii="CG Omega" w:hAnsi="CG Omega"/>
          <w:sz w:val="16"/>
          <w:szCs w:val="16"/>
        </w:rPr>
        <w:t xml:space="preserve"> http://www.usmayors.org/pressreleases/uploads/2013/1210-report-HH.pdf</w:t>
      </w:r>
    </w:p>
  </w:footnote>
  <w:footnote w:id="68">
    <w:p w:rsidR="00000555" w:rsidRPr="00CD07AB" w:rsidRDefault="00000555" w:rsidP="00943E45">
      <w:pPr>
        <w:pStyle w:val="FootnoteText"/>
        <w:rPr>
          <w:rFonts w:ascii="CG Omega" w:hAnsi="CG Omega"/>
          <w:sz w:val="16"/>
          <w:szCs w:val="16"/>
        </w:rPr>
      </w:pPr>
      <w:r w:rsidRPr="00CD07AB">
        <w:rPr>
          <w:rStyle w:val="FootnoteReference"/>
          <w:rFonts w:ascii="CG Omega" w:hAnsi="CG Omega"/>
          <w:sz w:val="16"/>
          <w:szCs w:val="16"/>
        </w:rPr>
        <w:footnoteRef/>
      </w:r>
      <w:r w:rsidRPr="00CD07AB">
        <w:rPr>
          <w:rFonts w:ascii="CG Omega" w:hAnsi="CG Omega"/>
          <w:sz w:val="16"/>
          <w:szCs w:val="16"/>
        </w:rPr>
        <w:t xml:space="preserve"> http://www.nmprevention.org/Project_Docs/2011%20New%20Mexico%20Substance%20Abuse%20Epidemiology%20Profile.pdf</w:t>
      </w:r>
    </w:p>
  </w:footnote>
  <w:footnote w:id="69">
    <w:p w:rsidR="00000555" w:rsidRPr="00A022EF" w:rsidRDefault="00000555" w:rsidP="00943E45">
      <w:pPr>
        <w:pStyle w:val="FootnoteText"/>
        <w:rPr>
          <w:rFonts w:ascii="CG Omega" w:hAnsi="CG Omega"/>
          <w:sz w:val="16"/>
          <w:szCs w:val="16"/>
        </w:rPr>
      </w:pPr>
      <w:r w:rsidRPr="00A022EF">
        <w:rPr>
          <w:rStyle w:val="FootnoteReference"/>
          <w:rFonts w:ascii="CG Omega" w:hAnsi="CG Omega"/>
          <w:sz w:val="16"/>
          <w:szCs w:val="16"/>
        </w:rPr>
        <w:footnoteRef/>
      </w:r>
      <w:r w:rsidRPr="00A022EF">
        <w:rPr>
          <w:rFonts w:ascii="CG Omega" w:hAnsi="CG Omega"/>
          <w:sz w:val="16"/>
          <w:szCs w:val="16"/>
        </w:rPr>
        <w:t xml:space="preserve"> http://healthyamericans.org/reports/drugabuse2013/release.php?stateid=NM</w:t>
      </w:r>
    </w:p>
  </w:footnote>
  <w:footnote w:id="70">
    <w:p w:rsidR="00000555" w:rsidRPr="0080677E" w:rsidRDefault="00000555" w:rsidP="00943E45">
      <w:pPr>
        <w:pStyle w:val="FootnoteText"/>
        <w:rPr>
          <w:rFonts w:ascii="CG Omega" w:hAnsi="CG Omega"/>
          <w:sz w:val="16"/>
          <w:szCs w:val="16"/>
        </w:rPr>
      </w:pPr>
      <w:r w:rsidRPr="0080677E">
        <w:rPr>
          <w:rStyle w:val="FootnoteReference"/>
          <w:rFonts w:ascii="CG Omega" w:hAnsi="CG Omega"/>
          <w:sz w:val="16"/>
          <w:szCs w:val="16"/>
        </w:rPr>
        <w:footnoteRef/>
      </w:r>
      <w:r w:rsidRPr="0080677E">
        <w:rPr>
          <w:rFonts w:ascii="CG Omega" w:hAnsi="CG Omega"/>
          <w:sz w:val="16"/>
          <w:szCs w:val="16"/>
        </w:rPr>
        <w:t xml:space="preserve"> http://www.nmprevention.org/OSAP_Prevention.htm</w:t>
      </w:r>
    </w:p>
  </w:footnote>
  <w:footnote w:id="71">
    <w:p w:rsidR="00000555" w:rsidRPr="00C416E5" w:rsidRDefault="00000555" w:rsidP="00943E45">
      <w:pPr>
        <w:pStyle w:val="FootnoteText"/>
        <w:rPr>
          <w:rFonts w:ascii="CG Omega" w:hAnsi="CG Omega"/>
          <w:sz w:val="16"/>
          <w:szCs w:val="16"/>
        </w:rPr>
      </w:pPr>
      <w:r w:rsidRPr="00C416E5">
        <w:rPr>
          <w:rStyle w:val="FootnoteReference"/>
          <w:rFonts w:ascii="CG Omega" w:hAnsi="CG Omega"/>
          <w:sz w:val="16"/>
          <w:szCs w:val="16"/>
        </w:rPr>
        <w:footnoteRef/>
      </w:r>
      <w:r w:rsidRPr="00C416E5">
        <w:rPr>
          <w:rFonts w:ascii="CG Omega" w:hAnsi="CG Omega"/>
          <w:sz w:val="16"/>
          <w:szCs w:val="16"/>
        </w:rPr>
        <w:t xml:space="preserve"> http://www.bhc.state.nm.us/index.htm</w:t>
      </w:r>
    </w:p>
  </w:footnote>
  <w:footnote w:id="72">
    <w:p w:rsidR="00000555" w:rsidRPr="00441F38" w:rsidRDefault="00000555" w:rsidP="00943E45">
      <w:pPr>
        <w:pStyle w:val="FootnoteText"/>
        <w:rPr>
          <w:rFonts w:ascii="CG Omega" w:hAnsi="CG Omega"/>
          <w:sz w:val="16"/>
          <w:szCs w:val="16"/>
        </w:rPr>
      </w:pPr>
      <w:r w:rsidRPr="00441F38">
        <w:rPr>
          <w:rStyle w:val="FootnoteReference"/>
          <w:rFonts w:ascii="CG Omega" w:hAnsi="CG Omega"/>
          <w:sz w:val="16"/>
          <w:szCs w:val="16"/>
        </w:rPr>
        <w:footnoteRef/>
      </w:r>
      <w:r w:rsidRPr="00441F38">
        <w:rPr>
          <w:rFonts w:ascii="CG Omega" w:hAnsi="CG Omega"/>
          <w:sz w:val="16"/>
          <w:szCs w:val="16"/>
        </w:rPr>
        <w:t xml:space="preserve"> http://www.healthypeople.gov/2020/TopicsObjectives2020/overview.aspx?topicId=40#star</w:t>
      </w:r>
    </w:p>
  </w:footnote>
  <w:footnote w:id="73">
    <w:p w:rsidR="00000555" w:rsidRPr="003A2042" w:rsidRDefault="00000555" w:rsidP="00943E45">
      <w:pPr>
        <w:pStyle w:val="FootnoteText"/>
        <w:rPr>
          <w:rFonts w:ascii="CG Omega" w:hAnsi="CG Omega"/>
          <w:sz w:val="16"/>
          <w:szCs w:val="16"/>
        </w:rPr>
      </w:pPr>
      <w:r w:rsidRPr="003A2042">
        <w:rPr>
          <w:rStyle w:val="FootnoteReference"/>
          <w:rFonts w:ascii="CG Omega" w:hAnsi="CG Omega"/>
          <w:sz w:val="16"/>
          <w:szCs w:val="16"/>
        </w:rPr>
        <w:footnoteRef/>
      </w:r>
      <w:r w:rsidRPr="003A2042">
        <w:rPr>
          <w:rFonts w:ascii="CG Omega" w:hAnsi="CG Omega"/>
          <w:sz w:val="16"/>
          <w:szCs w:val="16"/>
        </w:rPr>
        <w:t xml:space="preserve"> http://www.nationalhomeless.org/publications/facts/addiction.pdf</w:t>
      </w:r>
    </w:p>
  </w:footnote>
  <w:footnote w:id="74">
    <w:p w:rsidR="00000555" w:rsidRPr="004B0146" w:rsidRDefault="00000555" w:rsidP="00943E45">
      <w:pPr>
        <w:pStyle w:val="FootnoteText"/>
        <w:rPr>
          <w:rFonts w:ascii="CG Omega" w:hAnsi="CG Omega"/>
          <w:sz w:val="16"/>
          <w:szCs w:val="16"/>
        </w:rPr>
      </w:pPr>
      <w:r w:rsidRPr="004B0146">
        <w:rPr>
          <w:rStyle w:val="FootnoteReference"/>
          <w:rFonts w:ascii="CG Omega" w:hAnsi="CG Omega"/>
          <w:sz w:val="16"/>
          <w:szCs w:val="16"/>
        </w:rPr>
        <w:footnoteRef/>
      </w:r>
      <w:r w:rsidRPr="004B0146">
        <w:rPr>
          <w:rFonts w:ascii="CG Omega" w:hAnsi="CG Omega"/>
          <w:sz w:val="16"/>
          <w:szCs w:val="16"/>
        </w:rPr>
        <w:t xml:space="preserve"> http://www.ovw.usdoj.gov/domviolence.htm</w:t>
      </w:r>
    </w:p>
  </w:footnote>
  <w:footnote w:id="75">
    <w:p w:rsidR="00000555" w:rsidRPr="00487DC6" w:rsidRDefault="00000555" w:rsidP="00943E45">
      <w:pPr>
        <w:pStyle w:val="FootnoteText"/>
        <w:rPr>
          <w:rFonts w:ascii="CG Omega" w:hAnsi="CG Omega"/>
          <w:sz w:val="16"/>
          <w:szCs w:val="16"/>
        </w:rPr>
      </w:pPr>
      <w:r w:rsidRPr="00487DC6">
        <w:rPr>
          <w:rStyle w:val="FootnoteReference"/>
          <w:rFonts w:ascii="CG Omega" w:hAnsi="CG Omega"/>
          <w:sz w:val="16"/>
          <w:szCs w:val="16"/>
        </w:rPr>
        <w:footnoteRef/>
      </w:r>
      <w:r w:rsidRPr="00487DC6">
        <w:rPr>
          <w:rFonts w:ascii="CG Omega" w:hAnsi="CG Omega"/>
          <w:sz w:val="16"/>
          <w:szCs w:val="16"/>
        </w:rPr>
        <w:t xml:space="preserve"> https://www.ncjrs.gov/pdffiles1/nij/183781.pdf</w:t>
      </w:r>
    </w:p>
  </w:footnote>
  <w:footnote w:id="76">
    <w:p w:rsidR="00000555" w:rsidRPr="00870804" w:rsidRDefault="00000555" w:rsidP="00943E45">
      <w:pPr>
        <w:pStyle w:val="FootnoteText"/>
        <w:rPr>
          <w:rFonts w:ascii="CG Omega" w:hAnsi="CG Omega"/>
          <w:sz w:val="16"/>
          <w:szCs w:val="16"/>
        </w:rPr>
      </w:pPr>
      <w:r w:rsidRPr="00870804">
        <w:rPr>
          <w:rStyle w:val="FootnoteReference"/>
          <w:rFonts w:ascii="CG Omega" w:hAnsi="CG Omega"/>
          <w:sz w:val="16"/>
          <w:szCs w:val="16"/>
        </w:rPr>
        <w:footnoteRef/>
      </w:r>
      <w:r w:rsidRPr="00870804">
        <w:rPr>
          <w:rFonts w:ascii="CG Omega" w:hAnsi="CG Omega"/>
          <w:sz w:val="16"/>
          <w:szCs w:val="16"/>
        </w:rPr>
        <w:t xml:space="preserve"> http://www.nmcadv.org/wp-content/uploads/2013/03/NM-DV-Facts.pdf</w:t>
      </w:r>
    </w:p>
  </w:footnote>
  <w:footnote w:id="77">
    <w:p w:rsidR="00000555" w:rsidRPr="005E4F0B" w:rsidRDefault="00000555" w:rsidP="00943E45">
      <w:pPr>
        <w:pStyle w:val="FootnoteText"/>
        <w:rPr>
          <w:rFonts w:ascii="CG Omega" w:hAnsi="CG Omega"/>
          <w:sz w:val="16"/>
          <w:szCs w:val="16"/>
        </w:rPr>
      </w:pPr>
      <w:r w:rsidRPr="005E4F0B">
        <w:rPr>
          <w:rStyle w:val="FootnoteReference"/>
          <w:rFonts w:ascii="CG Omega" w:hAnsi="CG Omega"/>
          <w:sz w:val="16"/>
          <w:szCs w:val="16"/>
        </w:rPr>
        <w:footnoteRef/>
      </w:r>
      <w:r w:rsidRPr="005E4F0B">
        <w:rPr>
          <w:rFonts w:ascii="CG Omega" w:hAnsi="CG Omega"/>
          <w:sz w:val="16"/>
          <w:szCs w:val="16"/>
        </w:rPr>
        <w:t xml:space="preserve"> http://www.ncadv.org/resources/FactSheets.php</w:t>
      </w:r>
    </w:p>
  </w:footnote>
  <w:footnote w:id="78">
    <w:p w:rsidR="00000555" w:rsidRPr="005D41B0" w:rsidRDefault="00000555" w:rsidP="00943E45">
      <w:pPr>
        <w:pStyle w:val="FootnoteText"/>
        <w:rPr>
          <w:rFonts w:ascii="CG Omega" w:hAnsi="CG Omega"/>
          <w:sz w:val="16"/>
          <w:szCs w:val="16"/>
        </w:rPr>
      </w:pPr>
      <w:r w:rsidRPr="005D41B0">
        <w:rPr>
          <w:rStyle w:val="FootnoteReference"/>
          <w:rFonts w:ascii="CG Omega" w:hAnsi="CG Omega"/>
          <w:sz w:val="16"/>
          <w:szCs w:val="16"/>
        </w:rPr>
        <w:footnoteRef/>
      </w:r>
      <w:r w:rsidRPr="005D41B0">
        <w:rPr>
          <w:rFonts w:ascii="CG Omega" w:hAnsi="CG Omega"/>
          <w:sz w:val="16"/>
          <w:szCs w:val="16"/>
        </w:rPr>
        <w:t xml:space="preserve"> http://www.nmcadv.org/about-us/</w:t>
      </w:r>
    </w:p>
  </w:footnote>
  <w:footnote w:id="79">
    <w:p w:rsidR="00000555" w:rsidRPr="009A3B28" w:rsidRDefault="00000555">
      <w:pPr>
        <w:pStyle w:val="FootnoteText"/>
        <w:rPr>
          <w:rFonts w:ascii="CG Omega" w:hAnsi="CG Omega"/>
          <w:sz w:val="16"/>
          <w:szCs w:val="16"/>
        </w:rPr>
      </w:pPr>
      <w:r w:rsidRPr="009A3B28">
        <w:rPr>
          <w:rStyle w:val="FootnoteReference"/>
          <w:rFonts w:ascii="CG Omega" w:hAnsi="CG Omega"/>
          <w:sz w:val="16"/>
          <w:szCs w:val="16"/>
        </w:rPr>
        <w:footnoteRef/>
      </w:r>
      <w:r w:rsidRPr="009A3B28">
        <w:rPr>
          <w:rFonts w:ascii="CG Omega" w:hAnsi="CG Omega"/>
          <w:sz w:val="16"/>
          <w:szCs w:val="16"/>
        </w:rPr>
        <w:t xml:space="preserve"> http://nationalaidshousing.org/legisadvocacy/hopwa/</w:t>
      </w:r>
    </w:p>
  </w:footnote>
  <w:footnote w:id="80">
    <w:p w:rsidR="00000555" w:rsidRPr="009A3B28" w:rsidRDefault="00000555" w:rsidP="00E7106E">
      <w:pPr>
        <w:pStyle w:val="FootnoteText"/>
        <w:rPr>
          <w:rFonts w:ascii="CG Omega" w:hAnsi="CG Omega"/>
          <w:sz w:val="16"/>
          <w:szCs w:val="16"/>
        </w:rPr>
      </w:pPr>
      <w:r w:rsidRPr="009A3B28">
        <w:rPr>
          <w:rStyle w:val="FootnoteReference"/>
          <w:rFonts w:ascii="CG Omega" w:hAnsi="CG Omega"/>
          <w:sz w:val="16"/>
          <w:szCs w:val="16"/>
        </w:rPr>
        <w:footnoteRef/>
      </w:r>
      <w:r w:rsidRPr="009A3B28">
        <w:rPr>
          <w:rFonts w:ascii="CG Omega" w:hAnsi="CG Omega"/>
          <w:sz w:val="16"/>
          <w:szCs w:val="16"/>
        </w:rPr>
        <w:t xml:space="preserve"> http://www.nationalhomeless.org/publications/facts/HIV.pdf</w:t>
      </w:r>
    </w:p>
  </w:footnote>
  <w:footnote w:id="81">
    <w:p w:rsidR="00000555" w:rsidRPr="009A3B28" w:rsidRDefault="00000555">
      <w:pPr>
        <w:pStyle w:val="FootnoteText"/>
        <w:rPr>
          <w:rFonts w:ascii="CG Omega" w:hAnsi="CG Omega"/>
          <w:sz w:val="16"/>
          <w:szCs w:val="16"/>
        </w:rPr>
      </w:pPr>
      <w:r w:rsidRPr="009A3B28">
        <w:rPr>
          <w:rStyle w:val="FootnoteReference"/>
          <w:rFonts w:ascii="CG Omega" w:hAnsi="CG Omega"/>
          <w:sz w:val="16"/>
          <w:szCs w:val="16"/>
        </w:rPr>
        <w:footnoteRef/>
      </w:r>
      <w:r w:rsidRPr="009A3B28">
        <w:rPr>
          <w:rFonts w:ascii="CG Omega" w:hAnsi="CG Omega"/>
          <w:sz w:val="16"/>
          <w:szCs w:val="16"/>
        </w:rPr>
        <w:t xml:space="preserve"> http://nationalaidshousing.org/legisadvocacy/hopwa/</w:t>
      </w:r>
    </w:p>
  </w:footnote>
  <w:footnote w:id="82">
    <w:p w:rsidR="00000555" w:rsidRPr="009A3B28" w:rsidRDefault="00000555" w:rsidP="00E7106E">
      <w:pPr>
        <w:pStyle w:val="FootnoteText"/>
        <w:rPr>
          <w:rFonts w:ascii="CG Omega" w:hAnsi="CG Omega"/>
          <w:sz w:val="16"/>
          <w:szCs w:val="16"/>
        </w:rPr>
      </w:pPr>
      <w:r w:rsidRPr="009A3B28">
        <w:rPr>
          <w:rStyle w:val="FootnoteReference"/>
          <w:rFonts w:ascii="CG Omega" w:hAnsi="CG Omega"/>
          <w:sz w:val="16"/>
          <w:szCs w:val="16"/>
        </w:rPr>
        <w:footnoteRef/>
      </w:r>
      <w:r w:rsidRPr="009A3B28">
        <w:rPr>
          <w:rFonts w:ascii="CG Omega" w:hAnsi="CG Omega"/>
          <w:color w:val="262A2C"/>
          <w:sz w:val="16"/>
          <w:szCs w:val="16"/>
          <w:lang w:val="en"/>
        </w:rPr>
        <w:t>http://www.nationalaidshousing.org/PDF/Housing%20&amp;%20HIV-AIDS%20Policy%20Paper%2005.pdf</w:t>
      </w:r>
    </w:p>
  </w:footnote>
  <w:footnote w:id="83">
    <w:p w:rsidR="00000555" w:rsidRDefault="00000555" w:rsidP="00E249CE">
      <w:pPr>
        <w:pStyle w:val="FootnoteText"/>
      </w:pPr>
      <w:r w:rsidRPr="009A3B28">
        <w:rPr>
          <w:rStyle w:val="FootnoteReference"/>
          <w:rFonts w:ascii="CG Omega" w:hAnsi="CG Omega"/>
          <w:sz w:val="16"/>
          <w:szCs w:val="16"/>
        </w:rPr>
        <w:footnoteRef/>
      </w:r>
      <w:r w:rsidRPr="009A3B28">
        <w:rPr>
          <w:rFonts w:ascii="CG Omega" w:hAnsi="CG Omega"/>
          <w:sz w:val="16"/>
          <w:szCs w:val="16"/>
        </w:rPr>
        <w:t xml:space="preserve"> http://archive.nmhealth.org/ERD/HealthData/documents/NMDOH-ERD-HIVAIDS-AnnualReport-2013-EN.pdf</w:t>
      </w:r>
    </w:p>
  </w:footnote>
  <w:footnote w:id="84">
    <w:p w:rsidR="00000555" w:rsidRPr="006E01A5" w:rsidRDefault="00000555" w:rsidP="00E249CE">
      <w:pPr>
        <w:pStyle w:val="FootnoteText"/>
        <w:rPr>
          <w:rFonts w:ascii="CG Omega" w:hAnsi="CG Omega"/>
          <w:sz w:val="16"/>
          <w:szCs w:val="16"/>
        </w:rPr>
      </w:pPr>
      <w:r w:rsidRPr="006E01A5">
        <w:rPr>
          <w:rStyle w:val="FootnoteReference"/>
          <w:rFonts w:ascii="CG Omega" w:hAnsi="CG Omega"/>
          <w:sz w:val="16"/>
          <w:szCs w:val="16"/>
        </w:rPr>
        <w:footnoteRef/>
      </w:r>
      <w:r w:rsidRPr="006E01A5">
        <w:rPr>
          <w:rFonts w:ascii="CG Omega" w:hAnsi="CG Omega"/>
          <w:sz w:val="16"/>
          <w:szCs w:val="16"/>
        </w:rPr>
        <w:t xml:space="preserve"> http://archive.nmhealth.org/ERD/HealthData/documents/NMDOH-ERD-HIVAIDS-AnnualReport-2013-EN.pdf</w:t>
      </w:r>
    </w:p>
  </w:footnote>
  <w:footnote w:id="85">
    <w:p w:rsidR="00000555" w:rsidRPr="00B95EF6" w:rsidRDefault="00000555" w:rsidP="00E04AE8">
      <w:pPr>
        <w:pStyle w:val="FootnoteText"/>
        <w:rPr>
          <w:rFonts w:ascii="CG Omega" w:hAnsi="CG Omega"/>
          <w:sz w:val="16"/>
          <w:szCs w:val="16"/>
        </w:rPr>
      </w:pPr>
      <w:r w:rsidRPr="006E01A5">
        <w:rPr>
          <w:rStyle w:val="FootnoteReference"/>
          <w:rFonts w:ascii="CG Omega" w:hAnsi="CG Omega"/>
          <w:sz w:val="16"/>
          <w:szCs w:val="16"/>
        </w:rPr>
        <w:footnoteRef/>
      </w:r>
      <w:r w:rsidRPr="006E01A5">
        <w:rPr>
          <w:rFonts w:ascii="CG Omega" w:hAnsi="CG Omega"/>
          <w:sz w:val="16"/>
          <w:szCs w:val="16"/>
        </w:rPr>
        <w:t xml:space="preserve"> http://archive.nmhealth.org/idb/hiv.shtml</w:t>
      </w:r>
    </w:p>
  </w:footnote>
  <w:footnote w:id="86">
    <w:p w:rsidR="00000555" w:rsidRPr="006E01A5" w:rsidRDefault="00000555" w:rsidP="00E249CE">
      <w:pPr>
        <w:pStyle w:val="FootnoteText"/>
        <w:rPr>
          <w:rFonts w:ascii="CG Omega" w:hAnsi="CG Omega"/>
          <w:sz w:val="16"/>
          <w:szCs w:val="16"/>
        </w:rPr>
      </w:pPr>
      <w:r w:rsidRPr="006E01A5">
        <w:rPr>
          <w:rStyle w:val="FootnoteReference"/>
          <w:rFonts w:ascii="CG Omega" w:hAnsi="CG Omega"/>
          <w:sz w:val="16"/>
          <w:szCs w:val="16"/>
        </w:rPr>
        <w:footnoteRef/>
      </w:r>
      <w:r w:rsidRPr="006E01A5">
        <w:rPr>
          <w:rFonts w:ascii="CG Omega" w:hAnsi="CG Omega"/>
          <w:sz w:val="16"/>
          <w:szCs w:val="16"/>
        </w:rPr>
        <w:t xml:space="preserve"> https://www.onecpd.info/resources/documents/HOPWA-Fact-Sheet.pdf</w:t>
      </w:r>
    </w:p>
  </w:footnote>
  <w:footnote w:id="87">
    <w:p w:rsidR="00000555" w:rsidRDefault="00000555" w:rsidP="00A75B3D">
      <w:pPr>
        <w:pStyle w:val="FootnoteText"/>
      </w:pPr>
      <w:r w:rsidRPr="006E01A5">
        <w:rPr>
          <w:rStyle w:val="FootnoteReference"/>
          <w:rFonts w:ascii="CG Omega" w:hAnsi="CG Omega"/>
          <w:sz w:val="16"/>
          <w:szCs w:val="16"/>
        </w:rPr>
        <w:footnoteRef/>
      </w:r>
      <w:r w:rsidRPr="006E01A5">
        <w:rPr>
          <w:rFonts w:ascii="CG Omega" w:hAnsi="CG Omega"/>
          <w:sz w:val="16"/>
          <w:szCs w:val="16"/>
        </w:rPr>
        <w:t xml:space="preserve"> http://hab.hrsa.gov/abouthab/aboutprogram.html</w:t>
      </w:r>
    </w:p>
  </w:footnote>
  <w:footnote w:id="88">
    <w:p w:rsidR="00000555" w:rsidRDefault="00000555">
      <w:pPr>
        <w:pStyle w:val="FootnoteText"/>
      </w:pPr>
      <w:r>
        <w:rPr>
          <w:rStyle w:val="FootnoteReference"/>
        </w:rPr>
        <w:footnoteRef/>
      </w:r>
      <w:r>
        <w:t xml:space="preserve"> </w:t>
      </w:r>
      <w:r w:rsidRPr="005B55EF">
        <w:rPr>
          <w:rFonts w:ascii="CG Omega" w:hAnsi="CG Omega"/>
          <w:sz w:val="16"/>
          <w:szCs w:val="16"/>
        </w:rPr>
        <w:t>http://www.tceq.state.tx.us/news/releases/01-14NMWater1-29</w:t>
      </w:r>
    </w:p>
  </w:footnote>
  <w:footnote w:id="89">
    <w:p w:rsidR="00000555" w:rsidRDefault="00000555" w:rsidP="00E3004B">
      <w:pPr>
        <w:pStyle w:val="FootnoteText"/>
      </w:pPr>
      <w:r>
        <w:rPr>
          <w:rStyle w:val="FootnoteReference"/>
        </w:rPr>
        <w:footnoteRef/>
      </w:r>
      <w:r w:rsidRPr="0036510B">
        <w:rPr>
          <w:szCs w:val="16"/>
        </w:rPr>
        <w:t xml:space="preserve"> </w:t>
      </w:r>
      <w:r>
        <w:rPr>
          <w:szCs w:val="16"/>
        </w:rPr>
        <w:t xml:space="preserve">U.S. Department of Housing and Urban Development, Office of Fair Housing and Equal Opportunity. </w:t>
      </w:r>
      <w:r>
        <w:rPr>
          <w:i/>
          <w:szCs w:val="16"/>
        </w:rPr>
        <w:t>Fair Housing Planning Guide</w:t>
      </w:r>
      <w:r>
        <w:rPr>
          <w:szCs w:val="16"/>
        </w:rPr>
        <w:t xml:space="preserve">. Vol. 1, p. 2-8. </w:t>
      </w:r>
      <w:r w:rsidRPr="0036510B">
        <w:rPr>
          <w:szCs w:val="16"/>
        </w:rPr>
        <w:t>http://www.hud.gov/offices/cpd/about/conplan/fairhousingexs/Module5_TopSevenAFFH.pdf</w:t>
      </w:r>
    </w:p>
  </w:footnote>
  <w:footnote w:id="90">
    <w:p w:rsidR="00000555" w:rsidRDefault="00000555" w:rsidP="00E3004B">
      <w:pPr>
        <w:pStyle w:val="FootnoteText"/>
      </w:pPr>
      <w:r>
        <w:rPr>
          <w:rStyle w:val="FootnoteReference"/>
        </w:rPr>
        <w:footnoteRef/>
      </w:r>
      <w:r>
        <w:t xml:space="preserve"> New Mexico Statutes §28-1-7, available at </w:t>
      </w:r>
      <w:r w:rsidRPr="00243699">
        <w:t>http://public.nmcompcomm.us/nmpublic/gateway.dll/?f=templates&amp;fn=default.htm</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555" w:rsidRPr="00451253" w:rsidRDefault="00000555" w:rsidP="00BD2432">
    <w:pPr>
      <w:pStyle w:val="Header"/>
      <w:tabs>
        <w:tab w:val="clear" w:pos="8640"/>
        <w:tab w:val="right" w:pos="8100"/>
      </w:tabs>
      <w:jc w:val="right"/>
      <w:rPr>
        <w:rFonts w:ascii="CG Omega" w:hAnsi="CG Omega"/>
        <w:b/>
        <w:sz w:val="16"/>
        <w:szCs w:val="16"/>
      </w:rPr>
    </w:pPr>
  </w:p>
  <w:p w:rsidR="00000555" w:rsidRPr="00451253" w:rsidRDefault="00000555" w:rsidP="00451253">
    <w:pPr>
      <w:pStyle w:val="Header"/>
      <w:pBdr>
        <w:bottom w:val="thickThinSmallGap" w:sz="24" w:space="1" w:color="auto"/>
      </w:pBdr>
      <w:tabs>
        <w:tab w:val="clear" w:pos="8640"/>
        <w:tab w:val="right" w:pos="8100"/>
      </w:tabs>
      <w:rPr>
        <w:rFonts w:ascii="CG Omega" w:hAnsi="CG Omega"/>
        <w:b/>
        <w:sz w:val="16"/>
        <w:szCs w:val="16"/>
      </w:rPr>
    </w:pPr>
    <w:r w:rsidRPr="00451253">
      <w:rPr>
        <w:rFonts w:ascii="CG Omega" w:hAnsi="CG Omega"/>
        <w:b/>
        <w:sz w:val="16"/>
        <w:szCs w:val="16"/>
      </w:rPr>
      <w:t>Table of Contents</w:t>
    </w:r>
  </w:p>
  <w:p w:rsidR="00000555" w:rsidRDefault="00000555">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555" w:rsidRDefault="00000555" w:rsidP="001B5A28">
    <w:pPr>
      <w:pStyle w:val="Header"/>
      <w:tabs>
        <w:tab w:val="clear" w:pos="8640"/>
        <w:tab w:val="right" w:pos="8100"/>
      </w:tabs>
      <w:jc w:val="right"/>
      <w:rPr>
        <w:rFonts w:ascii="CG Omega" w:hAnsi="CG Omega"/>
        <w:b/>
        <w:color w:val="993300"/>
        <w:sz w:val="16"/>
        <w:szCs w:val="16"/>
      </w:rPr>
    </w:pPr>
  </w:p>
  <w:p w:rsidR="00000555" w:rsidRPr="009E7733" w:rsidRDefault="00000555" w:rsidP="009E7733">
    <w:pPr>
      <w:pStyle w:val="Heading4"/>
      <w:pBdr>
        <w:bottom w:val="thickThinSmallGap" w:sz="24" w:space="1" w:color="auto"/>
      </w:pBdr>
      <w:rPr>
        <w:rFonts w:ascii="CG Omega" w:hAnsi="CG Omega" w:cs="Arial"/>
        <w:i w:val="0"/>
        <w:smallCaps/>
        <w:sz w:val="32"/>
        <w:szCs w:val="32"/>
      </w:rPr>
    </w:pPr>
    <w:r>
      <w:rPr>
        <w:rFonts w:ascii="CG Omega" w:hAnsi="CG Omega" w:cs="Arial"/>
        <w:i w:val="0"/>
        <w:smallCaps/>
        <w:sz w:val="32"/>
        <w:szCs w:val="32"/>
      </w:rPr>
      <w:t>IV. Housing Market Analysis</w:t>
    </w:r>
  </w:p>
  <w:p w:rsidR="00000555" w:rsidRPr="00AC65DF" w:rsidRDefault="00000555" w:rsidP="00CC5C67">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555" w:rsidRDefault="00000555" w:rsidP="00451253">
    <w:pPr>
      <w:pStyle w:val="Header"/>
      <w:tabs>
        <w:tab w:val="clear" w:pos="8640"/>
        <w:tab w:val="right" w:pos="8100"/>
      </w:tabs>
      <w:jc w:val="right"/>
      <w:rPr>
        <w:rFonts w:ascii="CG Omega" w:hAnsi="CG Omega"/>
        <w:b/>
        <w:color w:val="993300"/>
        <w:sz w:val="16"/>
        <w:szCs w:val="16"/>
      </w:rPr>
    </w:pPr>
  </w:p>
  <w:p w:rsidR="00000555" w:rsidRPr="00451253" w:rsidRDefault="00000555" w:rsidP="00451253">
    <w:pPr>
      <w:pStyle w:val="Header"/>
      <w:pBdr>
        <w:bottom w:val="thickThinSmallGap" w:sz="24" w:space="1" w:color="auto"/>
      </w:pBdr>
      <w:tabs>
        <w:tab w:val="clear" w:pos="8640"/>
        <w:tab w:val="right" w:pos="8100"/>
      </w:tabs>
      <w:rPr>
        <w:rFonts w:ascii="CG Omega" w:hAnsi="CG Omega"/>
        <w:b/>
        <w:sz w:val="16"/>
        <w:szCs w:val="16"/>
      </w:rPr>
    </w:pPr>
    <w:r>
      <w:rPr>
        <w:rFonts w:ascii="CG Omega" w:hAnsi="CG Omega"/>
        <w:b/>
        <w:sz w:val="16"/>
        <w:szCs w:val="16"/>
      </w:rPr>
      <w:t>V. Housing and Homeless Needs Assessment</w:t>
    </w:r>
  </w:p>
  <w:p w:rsidR="00000555" w:rsidRPr="00AC65DF" w:rsidRDefault="00000555" w:rsidP="00AC65DF">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555" w:rsidRDefault="00000555" w:rsidP="001B5A28">
    <w:pPr>
      <w:pStyle w:val="Header"/>
      <w:tabs>
        <w:tab w:val="clear" w:pos="8640"/>
        <w:tab w:val="right" w:pos="8100"/>
      </w:tabs>
      <w:jc w:val="right"/>
      <w:rPr>
        <w:rFonts w:ascii="CG Omega" w:hAnsi="CG Omega"/>
        <w:b/>
        <w:color w:val="993300"/>
        <w:sz w:val="16"/>
        <w:szCs w:val="16"/>
      </w:rPr>
    </w:pPr>
  </w:p>
  <w:p w:rsidR="00000555" w:rsidRPr="009E7733" w:rsidRDefault="00000555" w:rsidP="009E7733">
    <w:pPr>
      <w:pStyle w:val="Heading4"/>
      <w:pBdr>
        <w:bottom w:val="thickThinSmallGap" w:sz="24" w:space="1" w:color="auto"/>
      </w:pBdr>
      <w:rPr>
        <w:rFonts w:ascii="CG Omega" w:hAnsi="CG Omega" w:cs="Arial"/>
        <w:i w:val="0"/>
        <w:smallCaps/>
        <w:sz w:val="32"/>
        <w:szCs w:val="32"/>
      </w:rPr>
    </w:pPr>
    <w:r>
      <w:rPr>
        <w:rFonts w:ascii="CG Omega" w:hAnsi="CG Omega" w:cs="Arial"/>
        <w:i w:val="0"/>
        <w:smallCaps/>
        <w:sz w:val="32"/>
        <w:szCs w:val="32"/>
      </w:rPr>
      <w:t>V. Housing and Homeless Needs Assessment</w:t>
    </w:r>
  </w:p>
  <w:p w:rsidR="00000555" w:rsidRPr="00AC65DF" w:rsidRDefault="00000555" w:rsidP="00CC5C67">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555" w:rsidRDefault="00000555" w:rsidP="00451253">
    <w:pPr>
      <w:pStyle w:val="Header"/>
      <w:tabs>
        <w:tab w:val="clear" w:pos="8640"/>
        <w:tab w:val="right" w:pos="8100"/>
      </w:tabs>
      <w:jc w:val="right"/>
      <w:rPr>
        <w:rFonts w:ascii="CG Omega" w:hAnsi="CG Omega"/>
        <w:b/>
        <w:color w:val="993300"/>
        <w:sz w:val="16"/>
        <w:szCs w:val="16"/>
      </w:rPr>
    </w:pPr>
  </w:p>
  <w:p w:rsidR="00000555" w:rsidRPr="00451253" w:rsidRDefault="00000555" w:rsidP="00451253">
    <w:pPr>
      <w:pStyle w:val="Header"/>
      <w:pBdr>
        <w:bottom w:val="thickThinSmallGap" w:sz="24" w:space="1" w:color="auto"/>
      </w:pBdr>
      <w:tabs>
        <w:tab w:val="clear" w:pos="8640"/>
        <w:tab w:val="right" w:pos="8100"/>
      </w:tabs>
      <w:rPr>
        <w:rFonts w:ascii="CG Omega" w:hAnsi="CG Omega"/>
        <w:b/>
        <w:sz w:val="16"/>
        <w:szCs w:val="16"/>
      </w:rPr>
    </w:pPr>
    <w:r>
      <w:rPr>
        <w:rFonts w:ascii="CG Omega" w:hAnsi="CG Omega"/>
        <w:b/>
        <w:sz w:val="16"/>
        <w:szCs w:val="16"/>
      </w:rPr>
      <w:t>V. Housing and Homeless Needs Assessment</w:t>
    </w:r>
  </w:p>
  <w:p w:rsidR="00000555" w:rsidRPr="00AC65DF" w:rsidRDefault="00000555" w:rsidP="00AC65DF">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555" w:rsidRDefault="00000555" w:rsidP="001B5A28">
    <w:pPr>
      <w:pStyle w:val="Header"/>
      <w:tabs>
        <w:tab w:val="clear" w:pos="8640"/>
        <w:tab w:val="right" w:pos="8100"/>
      </w:tabs>
      <w:jc w:val="right"/>
      <w:rPr>
        <w:rFonts w:ascii="CG Omega" w:hAnsi="CG Omega"/>
        <w:b/>
        <w:color w:val="993300"/>
        <w:sz w:val="16"/>
        <w:szCs w:val="16"/>
      </w:rPr>
    </w:pPr>
  </w:p>
  <w:p w:rsidR="00000555" w:rsidRPr="00451253" w:rsidRDefault="00000555" w:rsidP="00C31654">
    <w:pPr>
      <w:pStyle w:val="Heading4"/>
      <w:pBdr>
        <w:bottom w:val="thickThinSmallGap" w:sz="24" w:space="1" w:color="auto"/>
      </w:pBdr>
      <w:rPr>
        <w:rFonts w:ascii="CG Omega" w:hAnsi="CG Omega" w:cs="Arial"/>
        <w:i w:val="0"/>
        <w:smallCaps/>
        <w:sz w:val="32"/>
        <w:szCs w:val="32"/>
      </w:rPr>
    </w:pPr>
    <w:r>
      <w:rPr>
        <w:rFonts w:ascii="CG Omega" w:hAnsi="CG Omega" w:cs="Arial"/>
        <w:i w:val="0"/>
        <w:smallCaps/>
        <w:sz w:val="32"/>
        <w:szCs w:val="32"/>
      </w:rPr>
      <w:t>V</w:t>
    </w:r>
    <w:r w:rsidRPr="00451253">
      <w:rPr>
        <w:rFonts w:ascii="CG Omega" w:hAnsi="CG Omega" w:cs="Arial"/>
        <w:smallCaps/>
        <w:sz w:val="32"/>
        <w:szCs w:val="32"/>
      </w:rPr>
      <w:t>.</w:t>
    </w:r>
    <w:r>
      <w:rPr>
        <w:rFonts w:ascii="CG Omega" w:hAnsi="CG Omega" w:cs="Arial"/>
        <w:i w:val="0"/>
        <w:smallCaps/>
        <w:sz w:val="32"/>
        <w:szCs w:val="32"/>
      </w:rPr>
      <w:t xml:space="preserve"> Housing and Homeless Needs Assessment</w:t>
    </w:r>
  </w:p>
  <w:p w:rsidR="00000555" w:rsidRPr="00AC65DF" w:rsidRDefault="00000555" w:rsidP="00C31654">
    <w:pPr>
      <w:pStyle w:val="Header"/>
      <w:tabs>
        <w:tab w:val="clear" w:pos="8640"/>
        <w:tab w:val="right" w:pos="8100"/>
      </w:tabs>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555" w:rsidRDefault="00000555" w:rsidP="00451253">
    <w:pPr>
      <w:pStyle w:val="Header"/>
      <w:tabs>
        <w:tab w:val="clear" w:pos="8640"/>
        <w:tab w:val="right" w:pos="8100"/>
      </w:tabs>
      <w:jc w:val="right"/>
      <w:rPr>
        <w:rFonts w:ascii="CG Omega" w:hAnsi="CG Omega"/>
        <w:b/>
        <w:color w:val="993300"/>
        <w:sz w:val="16"/>
        <w:szCs w:val="16"/>
      </w:rPr>
    </w:pPr>
  </w:p>
  <w:p w:rsidR="00000555" w:rsidRPr="00451253" w:rsidRDefault="00000555" w:rsidP="00451253">
    <w:pPr>
      <w:pStyle w:val="Header"/>
      <w:pBdr>
        <w:bottom w:val="thickThinSmallGap" w:sz="24" w:space="1" w:color="auto"/>
      </w:pBdr>
      <w:tabs>
        <w:tab w:val="clear" w:pos="8640"/>
        <w:tab w:val="right" w:pos="8100"/>
      </w:tabs>
      <w:rPr>
        <w:rFonts w:ascii="CG Omega" w:hAnsi="CG Omega"/>
        <w:b/>
        <w:sz w:val="16"/>
        <w:szCs w:val="16"/>
      </w:rPr>
    </w:pPr>
    <w:r>
      <w:rPr>
        <w:rFonts w:ascii="CG Omega" w:hAnsi="CG Omega"/>
        <w:b/>
        <w:sz w:val="16"/>
        <w:szCs w:val="16"/>
      </w:rPr>
      <w:t>VI</w:t>
    </w:r>
    <w:r w:rsidRPr="00451253">
      <w:rPr>
        <w:rFonts w:ascii="CG Omega" w:hAnsi="CG Omega"/>
        <w:b/>
        <w:sz w:val="16"/>
        <w:szCs w:val="16"/>
      </w:rPr>
      <w:t xml:space="preserve">. </w:t>
    </w:r>
    <w:r>
      <w:rPr>
        <w:rFonts w:ascii="CG Omega" w:hAnsi="CG Omega"/>
        <w:b/>
        <w:sz w:val="16"/>
        <w:szCs w:val="16"/>
      </w:rPr>
      <w:t>Community Development Needs Assessment</w:t>
    </w:r>
  </w:p>
  <w:p w:rsidR="00000555" w:rsidRPr="00AC65DF" w:rsidRDefault="00000555" w:rsidP="00AC65DF">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555" w:rsidRDefault="00000555" w:rsidP="001B5A28">
    <w:pPr>
      <w:pStyle w:val="Header"/>
      <w:tabs>
        <w:tab w:val="clear" w:pos="8640"/>
        <w:tab w:val="right" w:pos="8100"/>
      </w:tabs>
      <w:jc w:val="right"/>
      <w:rPr>
        <w:rFonts w:ascii="CG Omega" w:hAnsi="CG Omega"/>
        <w:b/>
        <w:color w:val="993300"/>
        <w:sz w:val="16"/>
        <w:szCs w:val="16"/>
      </w:rPr>
    </w:pPr>
  </w:p>
  <w:p w:rsidR="00000555" w:rsidRPr="00451253" w:rsidRDefault="00000555" w:rsidP="00C31654">
    <w:pPr>
      <w:pStyle w:val="Heading4"/>
      <w:pBdr>
        <w:bottom w:val="thickThinSmallGap" w:sz="24" w:space="1" w:color="auto"/>
      </w:pBdr>
      <w:rPr>
        <w:rFonts w:ascii="CG Omega" w:hAnsi="CG Omega" w:cs="Arial"/>
        <w:i w:val="0"/>
        <w:smallCaps/>
        <w:sz w:val="32"/>
        <w:szCs w:val="32"/>
      </w:rPr>
    </w:pPr>
    <w:r>
      <w:rPr>
        <w:rFonts w:ascii="CG Omega" w:hAnsi="CG Omega" w:cs="Arial"/>
        <w:i w:val="0"/>
        <w:smallCaps/>
        <w:sz w:val="32"/>
        <w:szCs w:val="32"/>
      </w:rPr>
      <w:t>VI</w:t>
    </w:r>
    <w:r w:rsidRPr="00451253">
      <w:rPr>
        <w:rFonts w:ascii="CG Omega" w:hAnsi="CG Omega" w:cs="Arial"/>
        <w:smallCaps/>
        <w:sz w:val="32"/>
        <w:szCs w:val="32"/>
      </w:rPr>
      <w:t>.</w:t>
    </w:r>
    <w:r w:rsidRPr="00451253">
      <w:rPr>
        <w:rFonts w:ascii="CG Omega" w:hAnsi="CG Omega" w:cs="Arial"/>
        <w:i w:val="0"/>
        <w:smallCaps/>
        <w:sz w:val="32"/>
        <w:szCs w:val="32"/>
      </w:rPr>
      <w:t xml:space="preserve"> </w:t>
    </w:r>
    <w:r>
      <w:rPr>
        <w:rFonts w:ascii="CG Omega" w:hAnsi="CG Omega" w:cs="Arial"/>
        <w:i w:val="0"/>
        <w:smallCaps/>
        <w:sz w:val="32"/>
        <w:szCs w:val="32"/>
      </w:rPr>
      <w:t>Community Development Needs Assessment</w:t>
    </w:r>
  </w:p>
  <w:p w:rsidR="00000555" w:rsidRPr="00AC65DF" w:rsidRDefault="00000555" w:rsidP="00C31654">
    <w:pPr>
      <w:pStyle w:val="Header"/>
      <w:tabs>
        <w:tab w:val="clear" w:pos="8640"/>
        <w:tab w:val="right" w:pos="8100"/>
      </w:tabs>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555" w:rsidRDefault="00000555" w:rsidP="00451253">
    <w:pPr>
      <w:pStyle w:val="Header"/>
      <w:tabs>
        <w:tab w:val="clear" w:pos="8640"/>
        <w:tab w:val="right" w:pos="8100"/>
      </w:tabs>
      <w:jc w:val="right"/>
      <w:rPr>
        <w:rFonts w:ascii="CG Omega" w:hAnsi="CG Omega"/>
        <w:b/>
        <w:color w:val="993300"/>
        <w:sz w:val="16"/>
        <w:szCs w:val="16"/>
      </w:rPr>
    </w:pPr>
  </w:p>
  <w:p w:rsidR="00000555" w:rsidRPr="00451253" w:rsidRDefault="00000555" w:rsidP="00987891">
    <w:pPr>
      <w:pStyle w:val="Heading4"/>
      <w:pBdr>
        <w:bottom w:val="thickThinSmallGap" w:sz="24" w:space="1" w:color="auto"/>
      </w:pBdr>
      <w:rPr>
        <w:rFonts w:ascii="CG Omega" w:hAnsi="CG Omega" w:cs="Arial"/>
        <w:i w:val="0"/>
        <w:smallCaps/>
        <w:sz w:val="32"/>
        <w:szCs w:val="32"/>
      </w:rPr>
    </w:pPr>
    <w:r>
      <w:rPr>
        <w:rFonts w:ascii="CG Omega" w:hAnsi="CG Omega" w:cs="Arial"/>
        <w:i w:val="0"/>
        <w:smallCaps/>
        <w:sz w:val="32"/>
        <w:szCs w:val="32"/>
      </w:rPr>
      <w:t>VII. Strategic Plan</w:t>
    </w:r>
  </w:p>
  <w:p w:rsidR="00000555" w:rsidRPr="00AC65DF" w:rsidRDefault="00000555" w:rsidP="00AC65DF">
    <w:pPr>
      <w:pStyle w:val="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555" w:rsidRDefault="00000555" w:rsidP="00451253">
    <w:pPr>
      <w:pStyle w:val="Header"/>
      <w:tabs>
        <w:tab w:val="clear" w:pos="8640"/>
        <w:tab w:val="right" w:pos="8100"/>
      </w:tabs>
      <w:jc w:val="right"/>
      <w:rPr>
        <w:rFonts w:ascii="CG Omega" w:hAnsi="CG Omega"/>
        <w:b/>
        <w:color w:val="993300"/>
        <w:sz w:val="16"/>
        <w:szCs w:val="16"/>
      </w:rPr>
    </w:pPr>
  </w:p>
  <w:p w:rsidR="00000555" w:rsidRDefault="00000555" w:rsidP="00B03A03">
    <w:pPr>
      <w:pStyle w:val="Header"/>
      <w:pBdr>
        <w:bottom w:val="thickThinSmallGap" w:sz="24" w:space="1" w:color="auto"/>
      </w:pBdr>
      <w:tabs>
        <w:tab w:val="clear" w:pos="8640"/>
        <w:tab w:val="right" w:pos="8100"/>
      </w:tabs>
      <w:rPr>
        <w:rFonts w:ascii="CG Omega" w:hAnsi="CG Omega"/>
        <w:b/>
        <w:sz w:val="16"/>
        <w:szCs w:val="16"/>
      </w:rPr>
    </w:pPr>
    <w:r>
      <w:rPr>
        <w:rFonts w:ascii="CG Omega" w:hAnsi="CG Omega"/>
        <w:b/>
        <w:sz w:val="16"/>
        <w:szCs w:val="16"/>
      </w:rPr>
      <w:t>VII. Strategic Plan</w:t>
    </w:r>
  </w:p>
  <w:p w:rsidR="00000555" w:rsidRPr="00AC65DF" w:rsidRDefault="00000555" w:rsidP="00AC65DF">
    <w:pPr>
      <w:pStyle w:val="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555" w:rsidRDefault="00000555" w:rsidP="002074BB">
    <w:pPr>
      <w:pStyle w:val="Header"/>
      <w:tabs>
        <w:tab w:val="clear" w:pos="8640"/>
        <w:tab w:val="right" w:pos="8100"/>
      </w:tabs>
      <w:jc w:val="right"/>
      <w:rPr>
        <w:rFonts w:ascii="CG Omega" w:hAnsi="CG Omega"/>
        <w:b/>
        <w:color w:val="993300"/>
        <w:sz w:val="16"/>
        <w:szCs w:val="16"/>
      </w:rPr>
    </w:pPr>
  </w:p>
  <w:p w:rsidR="00000555" w:rsidRDefault="00000555" w:rsidP="005E0B33">
    <w:pPr>
      <w:pStyle w:val="Header"/>
      <w:pBdr>
        <w:bottom w:val="thickThinSmallGap" w:sz="24" w:space="1" w:color="auto"/>
      </w:pBdr>
      <w:tabs>
        <w:tab w:val="clear" w:pos="8640"/>
        <w:tab w:val="right" w:pos="8100"/>
      </w:tabs>
      <w:rPr>
        <w:rFonts w:ascii="CG Omega" w:hAnsi="CG Omega"/>
        <w:b/>
        <w:sz w:val="16"/>
        <w:szCs w:val="16"/>
      </w:rPr>
    </w:pPr>
    <w:r>
      <w:rPr>
        <w:rFonts w:ascii="CG Omega" w:hAnsi="CG Omega"/>
        <w:b/>
        <w:sz w:val="16"/>
        <w:szCs w:val="16"/>
      </w:rPr>
      <w:t xml:space="preserve">Appendix A: Citizen Participation Plan. </w:t>
    </w:r>
  </w:p>
  <w:p w:rsidR="00000555" w:rsidRPr="00AC65DF" w:rsidRDefault="00000555" w:rsidP="00AC65D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555" w:rsidRPr="00451253" w:rsidRDefault="00000555" w:rsidP="00451253">
    <w:pPr>
      <w:pStyle w:val="Heading4"/>
      <w:pBdr>
        <w:bottom w:val="thickThinSmallGap" w:sz="24" w:space="1" w:color="auto"/>
      </w:pBdr>
      <w:rPr>
        <w:rFonts w:ascii="CG Omega" w:hAnsi="CG Omega" w:cs="Arial"/>
        <w:i w:val="0"/>
        <w:smallCaps/>
        <w:sz w:val="32"/>
        <w:szCs w:val="32"/>
      </w:rPr>
    </w:pPr>
    <w:r w:rsidRPr="00451253">
      <w:rPr>
        <w:rFonts w:ascii="CG Omega" w:hAnsi="CG Omega" w:cs="Arial"/>
        <w:i w:val="0"/>
        <w:smallCaps/>
        <w:sz w:val="32"/>
        <w:szCs w:val="32"/>
      </w:rPr>
      <w:t>Table of Contents</w:t>
    </w:r>
  </w:p>
  <w:p w:rsidR="00000555" w:rsidRDefault="00000555">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555" w:rsidRDefault="00000555" w:rsidP="005E08B5">
    <w:pPr>
      <w:pStyle w:val="Header"/>
      <w:tabs>
        <w:tab w:val="clear" w:pos="8640"/>
        <w:tab w:val="right" w:pos="8100"/>
      </w:tabs>
      <w:jc w:val="right"/>
      <w:rPr>
        <w:rFonts w:ascii="CG Omega" w:hAnsi="CG Omega"/>
        <w:b/>
        <w:color w:val="993300"/>
        <w:sz w:val="16"/>
        <w:szCs w:val="16"/>
      </w:rPr>
    </w:pPr>
  </w:p>
  <w:p w:rsidR="00000555" w:rsidRPr="00451253" w:rsidRDefault="00000555" w:rsidP="005B54F2">
    <w:pPr>
      <w:pStyle w:val="Heading4"/>
      <w:pBdr>
        <w:bottom w:val="thickThinSmallGap" w:sz="24" w:space="1" w:color="auto"/>
      </w:pBdr>
      <w:rPr>
        <w:rFonts w:ascii="CG Omega" w:hAnsi="CG Omega" w:cs="Arial"/>
        <w:i w:val="0"/>
        <w:smallCaps/>
        <w:sz w:val="32"/>
        <w:szCs w:val="32"/>
      </w:rPr>
    </w:pPr>
    <w:r>
      <w:rPr>
        <w:rFonts w:ascii="CG Omega" w:hAnsi="CG Omega" w:cs="Arial"/>
        <w:i w:val="0"/>
        <w:smallCaps/>
        <w:sz w:val="32"/>
        <w:szCs w:val="32"/>
      </w:rPr>
      <w:t>Appendix A:  Citizen Participation Plan</w:t>
    </w:r>
  </w:p>
  <w:p w:rsidR="00000555" w:rsidRPr="00AC65DF" w:rsidRDefault="00000555" w:rsidP="00CC5C67">
    <w:pPr>
      <w:pStyle w:val="Heade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555" w:rsidRDefault="00000555" w:rsidP="002074BB">
    <w:pPr>
      <w:pStyle w:val="Header"/>
      <w:tabs>
        <w:tab w:val="clear" w:pos="8640"/>
        <w:tab w:val="right" w:pos="8100"/>
      </w:tabs>
      <w:jc w:val="right"/>
      <w:rPr>
        <w:rFonts w:ascii="CG Omega" w:hAnsi="CG Omega"/>
        <w:b/>
        <w:color w:val="993300"/>
        <w:sz w:val="16"/>
        <w:szCs w:val="16"/>
      </w:rPr>
    </w:pPr>
  </w:p>
  <w:p w:rsidR="00000555" w:rsidRDefault="00000555" w:rsidP="00E3004B">
    <w:pPr>
      <w:pStyle w:val="Header"/>
      <w:pBdr>
        <w:bottom w:val="thickThinSmallGap" w:sz="24" w:space="1" w:color="auto"/>
      </w:pBdr>
      <w:tabs>
        <w:tab w:val="clear" w:pos="8640"/>
        <w:tab w:val="right" w:pos="8100"/>
      </w:tabs>
      <w:rPr>
        <w:rFonts w:ascii="CG Omega" w:hAnsi="CG Omega"/>
        <w:b/>
        <w:sz w:val="16"/>
        <w:szCs w:val="16"/>
      </w:rPr>
    </w:pPr>
    <w:r>
      <w:rPr>
        <w:rFonts w:ascii="CG Omega" w:hAnsi="CG Omega"/>
        <w:b/>
        <w:sz w:val="16"/>
        <w:szCs w:val="16"/>
      </w:rPr>
      <w:t xml:space="preserve">Appendix B: Analysis of Impediments </w:t>
    </w:r>
  </w:p>
  <w:p w:rsidR="00000555" w:rsidRDefault="00000555" w:rsidP="00BD1303">
    <w:pPr>
      <w:pStyle w:val="Heade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555" w:rsidRPr="005E0B33" w:rsidRDefault="00000555" w:rsidP="00AC65DF">
    <w:pPr>
      <w:pStyle w:val="Header"/>
      <w:rPr>
        <w:rFonts w:ascii="CG Omega" w:hAnsi="CG Omega"/>
        <w:b/>
        <w:sz w:val="16"/>
        <w:szCs w:val="16"/>
      </w:rPr>
    </w:pPr>
    <w:r>
      <w:rPr>
        <w:rFonts w:ascii="CG Omega" w:hAnsi="CG Omega"/>
        <w:b/>
        <w:sz w:val="16"/>
        <w:szCs w:val="16"/>
      </w:rPr>
      <w:t>Appendix C: Additional Plan Data</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555" w:rsidRDefault="00000555" w:rsidP="002074BB">
    <w:pPr>
      <w:pStyle w:val="Header"/>
      <w:tabs>
        <w:tab w:val="clear" w:pos="8640"/>
        <w:tab w:val="right" w:pos="8100"/>
      </w:tabs>
      <w:jc w:val="right"/>
      <w:rPr>
        <w:rFonts w:ascii="CG Omega" w:hAnsi="CG Omega"/>
        <w:b/>
        <w:color w:val="993300"/>
        <w:sz w:val="16"/>
        <w:szCs w:val="16"/>
      </w:rPr>
    </w:pPr>
  </w:p>
  <w:p w:rsidR="00000555" w:rsidRPr="00451253" w:rsidRDefault="00000555" w:rsidP="002074BB">
    <w:pPr>
      <w:pStyle w:val="Heading4"/>
      <w:pBdr>
        <w:bottom w:val="thickThinSmallGap" w:sz="24" w:space="1" w:color="auto"/>
      </w:pBdr>
      <w:rPr>
        <w:rFonts w:ascii="CG Omega" w:hAnsi="CG Omega" w:cs="Arial"/>
        <w:i w:val="0"/>
        <w:smallCaps/>
        <w:sz w:val="32"/>
        <w:szCs w:val="32"/>
      </w:rPr>
    </w:pPr>
    <w:r>
      <w:rPr>
        <w:rFonts w:ascii="CG Omega" w:hAnsi="CG Omega" w:cs="Arial"/>
        <w:i w:val="0"/>
        <w:smallCaps/>
        <w:sz w:val="32"/>
        <w:szCs w:val="32"/>
      </w:rPr>
      <w:t>Appendix C: Additional Plan Data</w:t>
    </w:r>
  </w:p>
  <w:p w:rsidR="00000555" w:rsidRDefault="00000555" w:rsidP="00BD1303">
    <w:pPr>
      <w:pStyle w:val="Heade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555" w:rsidRDefault="00000555" w:rsidP="00451253">
    <w:pPr>
      <w:pStyle w:val="Header"/>
      <w:tabs>
        <w:tab w:val="clear" w:pos="8640"/>
        <w:tab w:val="right" w:pos="8100"/>
      </w:tabs>
      <w:jc w:val="right"/>
      <w:rPr>
        <w:rFonts w:ascii="CG Omega" w:hAnsi="CG Omega"/>
        <w:b/>
        <w:color w:val="993300"/>
        <w:sz w:val="16"/>
        <w:szCs w:val="16"/>
      </w:rPr>
    </w:pPr>
  </w:p>
  <w:p w:rsidR="00000555" w:rsidRPr="00451253" w:rsidRDefault="00000555" w:rsidP="00451253">
    <w:pPr>
      <w:pStyle w:val="Header"/>
      <w:pBdr>
        <w:bottom w:val="thickThinSmallGap" w:sz="24" w:space="1" w:color="auto"/>
      </w:pBdr>
      <w:tabs>
        <w:tab w:val="clear" w:pos="8640"/>
        <w:tab w:val="right" w:pos="8100"/>
      </w:tabs>
      <w:rPr>
        <w:rFonts w:ascii="CG Omega" w:hAnsi="CG Omega"/>
        <w:b/>
        <w:sz w:val="16"/>
        <w:szCs w:val="16"/>
      </w:rPr>
    </w:pPr>
    <w:r>
      <w:rPr>
        <w:rFonts w:ascii="CG Omega" w:hAnsi="CG Omega"/>
        <w:b/>
        <w:sz w:val="16"/>
        <w:szCs w:val="16"/>
      </w:rPr>
      <w:t>Appendix D. Public Involvement Process</w:t>
    </w:r>
  </w:p>
  <w:p w:rsidR="00000555" w:rsidRPr="00AC65DF" w:rsidRDefault="00000555" w:rsidP="00AC65DF">
    <w:pPr>
      <w:pStyle w:val="Heade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555" w:rsidRDefault="00000555" w:rsidP="001B5A28">
    <w:pPr>
      <w:pStyle w:val="Header"/>
      <w:tabs>
        <w:tab w:val="clear" w:pos="8640"/>
        <w:tab w:val="right" w:pos="8100"/>
      </w:tabs>
      <w:jc w:val="right"/>
      <w:rPr>
        <w:rFonts w:ascii="CG Omega" w:hAnsi="CG Omega"/>
        <w:b/>
        <w:color w:val="993300"/>
        <w:sz w:val="16"/>
        <w:szCs w:val="16"/>
      </w:rPr>
    </w:pPr>
  </w:p>
  <w:p w:rsidR="00000555" w:rsidRPr="00451253" w:rsidRDefault="00000555" w:rsidP="00BD1303">
    <w:pPr>
      <w:pStyle w:val="Heading4"/>
      <w:pBdr>
        <w:bottom w:val="thickThinSmallGap" w:sz="24" w:space="1" w:color="auto"/>
      </w:pBdr>
      <w:rPr>
        <w:rFonts w:ascii="CG Omega" w:hAnsi="CG Omega" w:cs="Arial"/>
        <w:i w:val="0"/>
        <w:smallCaps/>
        <w:sz w:val="32"/>
        <w:szCs w:val="32"/>
      </w:rPr>
    </w:pPr>
    <w:r>
      <w:rPr>
        <w:rFonts w:ascii="CG Omega" w:hAnsi="CG Omega" w:cs="Arial"/>
        <w:i w:val="0"/>
        <w:smallCaps/>
        <w:sz w:val="32"/>
        <w:szCs w:val="32"/>
      </w:rPr>
      <w:t>Appendix D:  Public Involvement Process</w:t>
    </w:r>
  </w:p>
  <w:p w:rsidR="00000555" w:rsidRDefault="00000555" w:rsidP="00BD1303">
    <w:pPr>
      <w:pStyle w:val="Heade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555" w:rsidRDefault="00000555" w:rsidP="00451253">
    <w:pPr>
      <w:pStyle w:val="Header"/>
      <w:tabs>
        <w:tab w:val="clear" w:pos="8640"/>
        <w:tab w:val="right" w:pos="8100"/>
      </w:tabs>
      <w:jc w:val="right"/>
      <w:rPr>
        <w:rFonts w:ascii="CG Omega" w:hAnsi="CG Omega"/>
        <w:b/>
        <w:color w:val="993300"/>
        <w:sz w:val="16"/>
        <w:szCs w:val="16"/>
      </w:rPr>
    </w:pPr>
  </w:p>
  <w:p w:rsidR="00000555" w:rsidRPr="00451253" w:rsidRDefault="00000555" w:rsidP="00451253">
    <w:pPr>
      <w:pStyle w:val="Header"/>
      <w:pBdr>
        <w:bottom w:val="thickThinSmallGap" w:sz="24" w:space="1" w:color="auto"/>
      </w:pBdr>
      <w:tabs>
        <w:tab w:val="clear" w:pos="8640"/>
        <w:tab w:val="right" w:pos="8100"/>
      </w:tabs>
      <w:rPr>
        <w:rFonts w:ascii="CG Omega" w:hAnsi="CG Omega"/>
        <w:b/>
        <w:sz w:val="16"/>
        <w:szCs w:val="16"/>
      </w:rPr>
    </w:pPr>
    <w:bookmarkStart w:id="150" w:name="OLE_LINK1"/>
    <w:bookmarkStart w:id="151" w:name="OLE_LINK2"/>
    <w:r>
      <w:rPr>
        <w:rFonts w:ascii="CG Omega" w:hAnsi="CG Omega"/>
        <w:b/>
        <w:sz w:val="16"/>
        <w:szCs w:val="16"/>
      </w:rPr>
      <w:t>Appendix E: Glossary</w:t>
    </w:r>
  </w:p>
  <w:bookmarkEnd w:id="150"/>
  <w:bookmarkEnd w:id="151"/>
  <w:p w:rsidR="00000555" w:rsidRPr="00AC65DF" w:rsidRDefault="00000555" w:rsidP="00AC65DF">
    <w:pPr>
      <w:pStyle w:val="Heade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555" w:rsidRDefault="00000555" w:rsidP="001B5A28">
    <w:pPr>
      <w:pStyle w:val="Header"/>
      <w:tabs>
        <w:tab w:val="clear" w:pos="8640"/>
        <w:tab w:val="right" w:pos="8100"/>
      </w:tabs>
      <w:jc w:val="right"/>
      <w:rPr>
        <w:rFonts w:ascii="CG Omega" w:hAnsi="CG Omega"/>
        <w:b/>
        <w:color w:val="993300"/>
        <w:sz w:val="16"/>
        <w:szCs w:val="16"/>
      </w:rPr>
    </w:pPr>
  </w:p>
  <w:p w:rsidR="00000555" w:rsidRPr="00451253" w:rsidRDefault="00000555" w:rsidP="00BD1303">
    <w:pPr>
      <w:pStyle w:val="Heading4"/>
      <w:pBdr>
        <w:bottom w:val="thickThinSmallGap" w:sz="24" w:space="1" w:color="auto"/>
      </w:pBdr>
      <w:rPr>
        <w:rFonts w:ascii="CG Omega" w:hAnsi="CG Omega" w:cs="Arial"/>
        <w:i w:val="0"/>
        <w:smallCaps/>
        <w:sz w:val="32"/>
        <w:szCs w:val="32"/>
      </w:rPr>
    </w:pPr>
    <w:r>
      <w:rPr>
        <w:rFonts w:ascii="CG Omega" w:hAnsi="CG Omega" w:cs="Arial"/>
        <w:i w:val="0"/>
        <w:smallCaps/>
        <w:sz w:val="32"/>
        <w:szCs w:val="32"/>
      </w:rPr>
      <w:t>Appendix E:  Glossary</w:t>
    </w:r>
  </w:p>
  <w:p w:rsidR="00000555" w:rsidRPr="00955C8C" w:rsidRDefault="00000555" w:rsidP="005249F1">
    <w:pPr>
      <w:pStyle w:val="Subhead1"/>
      <w:rPr>
        <w:highlight w:val="yellow"/>
      </w:rPr>
    </w:pPr>
    <w:r w:rsidRPr="00955C8C">
      <w:rPr>
        <w:highlight w:val="yellow"/>
      </w:rPr>
      <w:fldChar w:fldCharType="begin"/>
    </w:r>
    <w:r w:rsidRPr="00955C8C">
      <w:rPr>
        <w:highlight w:val="yellow"/>
      </w:rPr>
      <w:instrText xml:space="preserve"> TC  "Appendix </w:instrText>
    </w:r>
    <w:r>
      <w:rPr>
        <w:highlight w:val="yellow"/>
      </w:rPr>
      <w:instrText>E</w:instrText>
    </w:r>
    <w:r w:rsidRPr="00955C8C">
      <w:rPr>
        <w:highlight w:val="yellow"/>
      </w:rPr>
      <w:instrText xml:space="preserve">: </w:instrText>
    </w:r>
    <w:r>
      <w:rPr>
        <w:highlight w:val="yellow"/>
      </w:rPr>
      <w:instrText>Glossary</w:instrText>
    </w:r>
    <w:r w:rsidRPr="00955C8C">
      <w:rPr>
        <w:highlight w:val="yellow"/>
      </w:rPr>
      <w:instrText xml:space="preserve">" </w:instrText>
    </w:r>
    <w:r w:rsidRPr="00955C8C">
      <w:rPr>
        <w:highlight w:val="yellow"/>
      </w:rPr>
      <w:fldChar w:fldCharType="end"/>
    </w:r>
  </w:p>
  <w:p w:rsidR="00000555" w:rsidRDefault="00000555" w:rsidP="00BD1303">
    <w:pPr>
      <w:pStyle w:val="Heade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555" w:rsidRDefault="00000555" w:rsidP="00B32B59">
    <w:pPr>
      <w:pStyle w:val="Header"/>
      <w:tabs>
        <w:tab w:val="clear" w:pos="8640"/>
        <w:tab w:val="right" w:pos="8100"/>
      </w:tabs>
      <w:jc w:val="right"/>
      <w:rPr>
        <w:rFonts w:ascii="CG Omega" w:hAnsi="CG Omega"/>
        <w:b/>
        <w:color w:val="993300"/>
        <w:sz w:val="16"/>
        <w:szCs w:val="16"/>
      </w:rPr>
    </w:pPr>
  </w:p>
  <w:p w:rsidR="00000555" w:rsidRPr="00451253" w:rsidRDefault="00000555" w:rsidP="004B691E">
    <w:pPr>
      <w:pStyle w:val="Header"/>
      <w:pBdr>
        <w:bottom w:val="thickThinSmallGap" w:sz="24" w:space="1" w:color="auto"/>
      </w:pBdr>
      <w:tabs>
        <w:tab w:val="clear" w:pos="8640"/>
        <w:tab w:val="right" w:pos="8100"/>
      </w:tabs>
      <w:rPr>
        <w:rFonts w:ascii="CG Omega" w:hAnsi="CG Omega"/>
        <w:b/>
        <w:sz w:val="16"/>
        <w:szCs w:val="16"/>
      </w:rPr>
    </w:pPr>
    <w:r>
      <w:rPr>
        <w:rFonts w:ascii="CG Omega" w:hAnsi="CG Omega"/>
        <w:b/>
        <w:sz w:val="16"/>
        <w:szCs w:val="16"/>
      </w:rPr>
      <w:t>Appendix F: 2009 Housing and Community Development Survey</w:t>
    </w:r>
  </w:p>
  <w:p w:rsidR="00000555" w:rsidRPr="00AC65DF" w:rsidRDefault="00000555" w:rsidP="00B32B59">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555" w:rsidRDefault="00000555" w:rsidP="00451253">
    <w:pPr>
      <w:pStyle w:val="Header"/>
      <w:tabs>
        <w:tab w:val="clear" w:pos="8640"/>
        <w:tab w:val="right" w:pos="8100"/>
      </w:tabs>
      <w:jc w:val="right"/>
      <w:rPr>
        <w:rFonts w:ascii="CG Omega" w:hAnsi="CG Omega"/>
        <w:b/>
        <w:color w:val="993300"/>
        <w:sz w:val="16"/>
        <w:szCs w:val="16"/>
      </w:rPr>
    </w:pPr>
  </w:p>
  <w:p w:rsidR="00000555" w:rsidRPr="00451253" w:rsidRDefault="00000555" w:rsidP="00451253">
    <w:pPr>
      <w:pStyle w:val="Header"/>
      <w:pBdr>
        <w:bottom w:val="thickThinSmallGap" w:sz="24" w:space="1" w:color="auto"/>
      </w:pBdr>
      <w:tabs>
        <w:tab w:val="clear" w:pos="8640"/>
        <w:tab w:val="right" w:pos="8100"/>
      </w:tabs>
      <w:rPr>
        <w:rFonts w:ascii="CG Omega" w:hAnsi="CG Omega"/>
        <w:b/>
        <w:sz w:val="16"/>
        <w:szCs w:val="16"/>
      </w:rPr>
    </w:pPr>
    <w:r w:rsidRPr="00451253">
      <w:rPr>
        <w:rFonts w:ascii="CG Omega" w:hAnsi="CG Omega"/>
        <w:b/>
        <w:sz w:val="16"/>
        <w:szCs w:val="16"/>
      </w:rPr>
      <w:t xml:space="preserve">I. </w:t>
    </w:r>
    <w:r>
      <w:rPr>
        <w:rFonts w:ascii="CG Omega" w:hAnsi="CG Omega"/>
        <w:b/>
        <w:sz w:val="16"/>
        <w:szCs w:val="16"/>
      </w:rPr>
      <w:t>E</w:t>
    </w:r>
    <w:r w:rsidRPr="00451253">
      <w:rPr>
        <w:rFonts w:ascii="CG Omega" w:hAnsi="CG Omega"/>
        <w:b/>
        <w:sz w:val="16"/>
        <w:szCs w:val="16"/>
      </w:rPr>
      <w:t>xecutive Summary</w:t>
    </w:r>
  </w:p>
  <w:p w:rsidR="00000555" w:rsidRDefault="00000555" w:rsidP="00892D73">
    <w:pPr>
      <w:pStyle w:val="Header"/>
      <w:jc w:val="both"/>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555" w:rsidRPr="00451253" w:rsidRDefault="00000555" w:rsidP="00451253">
    <w:pPr>
      <w:pStyle w:val="Heading4"/>
      <w:pBdr>
        <w:bottom w:val="thickThinSmallGap" w:sz="24" w:space="1" w:color="auto"/>
      </w:pBdr>
      <w:rPr>
        <w:rFonts w:ascii="CG Omega" w:hAnsi="CG Omega" w:cs="Arial"/>
        <w:i w:val="0"/>
        <w:smallCaps/>
        <w:sz w:val="32"/>
        <w:szCs w:val="32"/>
      </w:rPr>
    </w:pPr>
    <w:r w:rsidRPr="00451253">
      <w:rPr>
        <w:rFonts w:ascii="CG Omega" w:hAnsi="CG Omega" w:cs="Arial"/>
        <w:i w:val="0"/>
        <w:smallCaps/>
        <w:sz w:val="32"/>
        <w:szCs w:val="32"/>
      </w:rPr>
      <w:t>I.</w:t>
    </w:r>
    <w:r>
      <w:rPr>
        <w:rFonts w:ascii="CG Omega" w:hAnsi="CG Omega" w:cs="Arial"/>
        <w:i w:val="0"/>
        <w:smallCaps/>
        <w:sz w:val="32"/>
        <w:szCs w:val="32"/>
      </w:rPr>
      <w:t xml:space="preserve"> </w:t>
    </w:r>
    <w:r w:rsidRPr="00451253">
      <w:rPr>
        <w:rFonts w:ascii="CG Omega" w:hAnsi="CG Omega" w:cs="Arial"/>
        <w:i w:val="0"/>
        <w:smallCaps/>
        <w:sz w:val="32"/>
        <w:szCs w:val="32"/>
      </w:rPr>
      <w:t>Executive Summary</w:t>
    </w:r>
  </w:p>
  <w:p w:rsidR="00000555" w:rsidRDefault="00000555">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555" w:rsidRDefault="00000555" w:rsidP="00451253">
    <w:pPr>
      <w:pStyle w:val="Header"/>
      <w:tabs>
        <w:tab w:val="clear" w:pos="8640"/>
        <w:tab w:val="right" w:pos="8100"/>
      </w:tabs>
      <w:jc w:val="right"/>
      <w:rPr>
        <w:rFonts w:ascii="CG Omega" w:hAnsi="CG Omega"/>
        <w:b/>
        <w:color w:val="993300"/>
        <w:sz w:val="16"/>
        <w:szCs w:val="16"/>
      </w:rPr>
    </w:pPr>
  </w:p>
  <w:p w:rsidR="00000555" w:rsidRPr="00451253" w:rsidRDefault="00000555" w:rsidP="00451253">
    <w:pPr>
      <w:pStyle w:val="Header"/>
      <w:pBdr>
        <w:bottom w:val="thickThinSmallGap" w:sz="24" w:space="1" w:color="auto"/>
      </w:pBdr>
      <w:tabs>
        <w:tab w:val="clear" w:pos="8640"/>
        <w:tab w:val="right" w:pos="8100"/>
      </w:tabs>
      <w:rPr>
        <w:rFonts w:ascii="CG Omega" w:hAnsi="CG Omega"/>
        <w:b/>
        <w:sz w:val="16"/>
        <w:szCs w:val="16"/>
      </w:rPr>
    </w:pPr>
    <w:bookmarkStart w:id="28" w:name="OLE_LINK13"/>
    <w:bookmarkStart w:id="29" w:name="OLE_LINK14"/>
    <w:r>
      <w:rPr>
        <w:rFonts w:ascii="CG Omega" w:hAnsi="CG Omega"/>
        <w:b/>
        <w:sz w:val="16"/>
        <w:szCs w:val="16"/>
      </w:rPr>
      <w:t xml:space="preserve">II. </w:t>
    </w:r>
    <w:r w:rsidRPr="00451253">
      <w:rPr>
        <w:rFonts w:ascii="CG Omega" w:hAnsi="CG Omega"/>
        <w:b/>
        <w:sz w:val="16"/>
        <w:szCs w:val="16"/>
      </w:rPr>
      <w:t>Consolidated Plan Development Process</w:t>
    </w:r>
  </w:p>
  <w:bookmarkEnd w:id="28"/>
  <w:bookmarkEnd w:id="29"/>
  <w:p w:rsidR="00000555" w:rsidRPr="00AC65DF" w:rsidRDefault="00000555" w:rsidP="00AC65DF">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555" w:rsidRPr="00451253" w:rsidRDefault="00000555" w:rsidP="00451253">
    <w:pPr>
      <w:pStyle w:val="Heading4"/>
      <w:pBdr>
        <w:bottom w:val="thickThinSmallGap" w:sz="24" w:space="1" w:color="auto"/>
      </w:pBdr>
      <w:rPr>
        <w:rFonts w:ascii="CG Omega" w:hAnsi="CG Omega" w:cs="Arial"/>
        <w:i w:val="0"/>
        <w:smallCaps/>
        <w:sz w:val="32"/>
        <w:szCs w:val="32"/>
      </w:rPr>
    </w:pPr>
    <w:r w:rsidRPr="00451253">
      <w:rPr>
        <w:rFonts w:ascii="CG Omega" w:hAnsi="CG Omega" w:cs="Arial"/>
        <w:i w:val="0"/>
        <w:smallCaps/>
        <w:sz w:val="32"/>
        <w:szCs w:val="32"/>
      </w:rPr>
      <w:t>II</w:t>
    </w:r>
    <w:r w:rsidRPr="00451253">
      <w:rPr>
        <w:rFonts w:ascii="CG Omega" w:hAnsi="CG Omega" w:cs="Arial"/>
        <w:smallCaps/>
        <w:sz w:val="32"/>
        <w:szCs w:val="32"/>
      </w:rPr>
      <w:t>.</w:t>
    </w:r>
    <w:r>
      <w:rPr>
        <w:rFonts w:ascii="CG Omega" w:hAnsi="CG Omega" w:cs="Arial"/>
        <w:smallCaps/>
        <w:sz w:val="32"/>
        <w:szCs w:val="32"/>
      </w:rPr>
      <w:t xml:space="preserve"> </w:t>
    </w:r>
    <w:r w:rsidRPr="00451253">
      <w:rPr>
        <w:rFonts w:ascii="CG Omega" w:hAnsi="CG Omega" w:cs="Arial"/>
        <w:i w:val="0"/>
        <w:smallCaps/>
        <w:sz w:val="32"/>
        <w:szCs w:val="32"/>
      </w:rPr>
      <w:t>Consolidated Plan Development Process</w:t>
    </w:r>
  </w:p>
  <w:p w:rsidR="00000555" w:rsidRDefault="00000555">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555" w:rsidRDefault="00000555" w:rsidP="00451253">
    <w:pPr>
      <w:pStyle w:val="Header"/>
      <w:tabs>
        <w:tab w:val="clear" w:pos="8640"/>
        <w:tab w:val="right" w:pos="8100"/>
      </w:tabs>
      <w:jc w:val="right"/>
      <w:rPr>
        <w:rFonts w:ascii="CG Omega" w:hAnsi="CG Omega"/>
        <w:b/>
        <w:color w:val="993300"/>
        <w:sz w:val="16"/>
        <w:szCs w:val="16"/>
      </w:rPr>
    </w:pPr>
  </w:p>
  <w:p w:rsidR="00000555" w:rsidRPr="00451253" w:rsidRDefault="00000555" w:rsidP="00451253">
    <w:pPr>
      <w:pStyle w:val="Header"/>
      <w:pBdr>
        <w:bottom w:val="thickThinSmallGap" w:sz="24" w:space="1" w:color="auto"/>
      </w:pBdr>
      <w:tabs>
        <w:tab w:val="clear" w:pos="8640"/>
        <w:tab w:val="right" w:pos="8100"/>
      </w:tabs>
      <w:rPr>
        <w:rFonts w:ascii="CG Omega" w:hAnsi="CG Omega"/>
        <w:b/>
        <w:sz w:val="16"/>
        <w:szCs w:val="16"/>
      </w:rPr>
    </w:pPr>
    <w:r>
      <w:rPr>
        <w:rFonts w:ascii="CG Omega" w:hAnsi="CG Omega"/>
        <w:b/>
        <w:sz w:val="16"/>
        <w:szCs w:val="16"/>
      </w:rPr>
      <w:t>III. Demographic and Economic Profile</w:t>
    </w:r>
  </w:p>
  <w:p w:rsidR="00000555" w:rsidRPr="00AC65DF" w:rsidRDefault="00000555" w:rsidP="00AC65DF">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555" w:rsidRPr="00451253" w:rsidRDefault="00000555" w:rsidP="00CF4EA7">
    <w:pPr>
      <w:pStyle w:val="Heading4"/>
      <w:pBdr>
        <w:bottom w:val="thickThinSmallGap" w:sz="24" w:space="0" w:color="auto"/>
      </w:pBdr>
      <w:rPr>
        <w:rFonts w:ascii="CG Omega" w:hAnsi="CG Omega" w:cs="Arial"/>
        <w:i w:val="0"/>
        <w:smallCaps/>
        <w:sz w:val="32"/>
        <w:szCs w:val="32"/>
      </w:rPr>
    </w:pPr>
    <w:r w:rsidRPr="00451253">
      <w:rPr>
        <w:rFonts w:ascii="CG Omega" w:hAnsi="CG Omega" w:cs="Arial"/>
        <w:i w:val="0"/>
        <w:smallCaps/>
        <w:sz w:val="32"/>
        <w:szCs w:val="32"/>
      </w:rPr>
      <w:t>II</w:t>
    </w:r>
    <w:r>
      <w:rPr>
        <w:rFonts w:ascii="CG Omega" w:hAnsi="CG Omega" w:cs="Arial"/>
        <w:i w:val="0"/>
        <w:smallCaps/>
        <w:sz w:val="32"/>
        <w:szCs w:val="32"/>
      </w:rPr>
      <w:t>I</w:t>
    </w:r>
    <w:r w:rsidRPr="00451253">
      <w:rPr>
        <w:rFonts w:ascii="CG Omega" w:hAnsi="CG Omega" w:cs="Arial"/>
        <w:smallCaps/>
        <w:sz w:val="32"/>
        <w:szCs w:val="32"/>
      </w:rPr>
      <w:t>.</w:t>
    </w:r>
    <w:r w:rsidRPr="00451253">
      <w:rPr>
        <w:rFonts w:ascii="CG Omega" w:hAnsi="CG Omega" w:cs="Arial"/>
        <w:i w:val="0"/>
        <w:smallCaps/>
        <w:sz w:val="32"/>
        <w:szCs w:val="32"/>
      </w:rPr>
      <w:t xml:space="preserve"> </w:t>
    </w:r>
    <w:r>
      <w:rPr>
        <w:rFonts w:ascii="CG Omega" w:hAnsi="CG Omega" w:cs="Arial"/>
        <w:i w:val="0"/>
        <w:smallCaps/>
        <w:sz w:val="32"/>
        <w:szCs w:val="32"/>
      </w:rPr>
      <w:t>Demographic and Economic Profile</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555" w:rsidRDefault="00000555" w:rsidP="00451253">
    <w:pPr>
      <w:pStyle w:val="Header"/>
      <w:tabs>
        <w:tab w:val="clear" w:pos="8640"/>
        <w:tab w:val="right" w:pos="8100"/>
      </w:tabs>
      <w:jc w:val="right"/>
      <w:rPr>
        <w:rFonts w:ascii="CG Omega" w:hAnsi="CG Omega"/>
        <w:b/>
        <w:color w:val="993300"/>
        <w:sz w:val="16"/>
        <w:szCs w:val="16"/>
      </w:rPr>
    </w:pPr>
  </w:p>
  <w:p w:rsidR="00000555" w:rsidRPr="00451253" w:rsidRDefault="00000555" w:rsidP="00451253">
    <w:pPr>
      <w:pStyle w:val="Header"/>
      <w:pBdr>
        <w:bottom w:val="thickThinSmallGap" w:sz="24" w:space="1" w:color="auto"/>
      </w:pBdr>
      <w:tabs>
        <w:tab w:val="clear" w:pos="8640"/>
        <w:tab w:val="right" w:pos="8100"/>
      </w:tabs>
      <w:rPr>
        <w:rFonts w:ascii="CG Omega" w:hAnsi="CG Omega"/>
        <w:b/>
        <w:sz w:val="16"/>
        <w:szCs w:val="16"/>
      </w:rPr>
    </w:pPr>
    <w:r>
      <w:rPr>
        <w:rFonts w:ascii="CG Omega" w:hAnsi="CG Omega"/>
        <w:b/>
        <w:sz w:val="16"/>
        <w:szCs w:val="16"/>
      </w:rPr>
      <w:t>IV. Housing Market Analysis</w:t>
    </w:r>
  </w:p>
  <w:p w:rsidR="00000555" w:rsidRPr="00AC65DF" w:rsidRDefault="00000555" w:rsidP="00AC65D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5454A6"/>
    <w:multiLevelType w:val="hybridMultilevel"/>
    <w:tmpl w:val="4D9E19C8"/>
    <w:lvl w:ilvl="0" w:tplc="3C643DEC">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01635E0B"/>
    <w:multiLevelType w:val="hybridMultilevel"/>
    <w:tmpl w:val="0E0EA1CE"/>
    <w:lvl w:ilvl="0" w:tplc="04090001">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02651B52"/>
    <w:multiLevelType w:val="multilevel"/>
    <w:tmpl w:val="03C6120A"/>
    <w:lvl w:ilvl="0">
      <w:start w:val="1"/>
      <w:numFmt w:val="decimal"/>
      <w:lvlText w:val="%1."/>
      <w:lvlJc w:val="left"/>
      <w:pPr>
        <w:tabs>
          <w:tab w:val="num" w:pos="360"/>
        </w:tabs>
        <w:ind w:left="360" w:hanging="360"/>
      </w:pPr>
      <w:rPr>
        <w:rFonts w:ascii="CG Omega" w:hAnsi="CG Omega" w:hint="default"/>
        <w:b w:val="0"/>
        <w:i w:val="0"/>
        <w:sz w:val="24"/>
        <w:szCs w:val="24"/>
      </w:rPr>
    </w:lvl>
    <w:lvl w:ilvl="1">
      <w:start w:val="1"/>
      <w:numFmt w:val="upperLetter"/>
      <w:lvlText w:val="%2."/>
      <w:lvlJc w:val="left"/>
      <w:pPr>
        <w:tabs>
          <w:tab w:val="num" w:pos="720"/>
        </w:tabs>
        <w:ind w:left="720" w:hanging="360"/>
      </w:pPr>
      <w:rPr>
        <w:rFonts w:ascii="CG Omega" w:hAnsi="CG Omega" w:hint="default"/>
        <w:b w:val="0"/>
        <w:i w:val="0"/>
        <w:sz w:val="24"/>
        <w:szCs w:val="24"/>
      </w:rPr>
    </w:lvl>
    <w:lvl w:ilvl="2">
      <w:start w:val="1"/>
      <w:numFmt w:val="decimal"/>
      <w:lvlText w:val="%3."/>
      <w:lvlJc w:val="left"/>
      <w:pPr>
        <w:tabs>
          <w:tab w:val="num" w:pos="1080"/>
        </w:tabs>
        <w:ind w:left="1080" w:hanging="360"/>
      </w:pPr>
      <w:rPr>
        <w:rFonts w:ascii="CG Omega" w:hAnsi="CG Omega" w:hint="default"/>
        <w:b w:val="0"/>
        <w:i w:val="0"/>
        <w:sz w:val="24"/>
        <w:szCs w:val="24"/>
      </w:rPr>
    </w:lvl>
    <w:lvl w:ilvl="3">
      <w:start w:val="1"/>
      <w:numFmt w:val="lowerLetter"/>
      <w:lvlText w:val="%4."/>
      <w:lvlJc w:val="left"/>
      <w:pPr>
        <w:tabs>
          <w:tab w:val="num" w:pos="1440"/>
        </w:tabs>
        <w:ind w:left="1440" w:hanging="360"/>
      </w:pPr>
      <w:rPr>
        <w:rFonts w:ascii="CG Omega" w:hAnsi="CG Omega" w:hint="default"/>
        <w:b w:val="0"/>
        <w:i w:val="0"/>
        <w:sz w:val="24"/>
        <w:szCs w:val="24"/>
      </w:rPr>
    </w:lvl>
    <w:lvl w:ilvl="4">
      <w:start w:val="1"/>
      <w:numFmt w:val="lowerRoman"/>
      <w:lvlText w:val="%5"/>
      <w:lvlJc w:val="left"/>
      <w:pPr>
        <w:tabs>
          <w:tab w:val="num" w:pos="1800"/>
        </w:tabs>
        <w:ind w:left="1800" w:hanging="360"/>
      </w:pPr>
      <w:rPr>
        <w:rFonts w:ascii="CG Omega" w:hAnsi="CG Omega" w:hint="default"/>
        <w:sz w:val="24"/>
        <w:szCs w:val="24"/>
      </w:rPr>
    </w:lvl>
    <w:lvl w:ilvl="5">
      <w:start w:val="1"/>
      <w:numFmt w:val="bullet"/>
      <w:lvlText w:val=""/>
      <w:lvlJc w:val="left"/>
      <w:pPr>
        <w:tabs>
          <w:tab w:val="num" w:pos="2160"/>
        </w:tabs>
        <w:ind w:left="2160" w:hanging="360"/>
      </w:pPr>
      <w:rPr>
        <w:rFonts w:ascii="Symbol" w:hAnsi="Symbol" w:hint="default"/>
        <w:color w:val="auto"/>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
    <w:nsid w:val="0457265D"/>
    <w:multiLevelType w:val="multilevel"/>
    <w:tmpl w:val="59C2ECB6"/>
    <w:lvl w:ilvl="0">
      <w:start w:val="1"/>
      <w:numFmt w:val="decimal"/>
      <w:lvlText w:val="%1."/>
      <w:lvlJc w:val="left"/>
      <w:pPr>
        <w:tabs>
          <w:tab w:val="num" w:pos="360"/>
        </w:tabs>
        <w:ind w:left="360" w:hanging="360"/>
      </w:pPr>
      <w:rPr>
        <w:rFonts w:ascii="CG Omega" w:hAnsi="CG Omega" w:hint="default"/>
        <w:b w:val="0"/>
        <w:i w:val="0"/>
        <w:sz w:val="24"/>
        <w:szCs w:val="24"/>
      </w:rPr>
    </w:lvl>
    <w:lvl w:ilvl="1">
      <w:start w:val="1"/>
      <w:numFmt w:val="upperLetter"/>
      <w:lvlText w:val="%2."/>
      <w:lvlJc w:val="left"/>
      <w:pPr>
        <w:tabs>
          <w:tab w:val="num" w:pos="720"/>
        </w:tabs>
        <w:ind w:left="720" w:hanging="360"/>
      </w:pPr>
      <w:rPr>
        <w:rFonts w:ascii="CG Omega" w:hAnsi="CG Omega" w:hint="default"/>
        <w:b w:val="0"/>
        <w:i w:val="0"/>
        <w:sz w:val="24"/>
        <w:szCs w:val="24"/>
      </w:rPr>
    </w:lvl>
    <w:lvl w:ilvl="2">
      <w:start w:val="1"/>
      <w:numFmt w:val="decimal"/>
      <w:lvlText w:val="%3."/>
      <w:lvlJc w:val="left"/>
      <w:pPr>
        <w:tabs>
          <w:tab w:val="num" w:pos="1080"/>
        </w:tabs>
        <w:ind w:left="1080" w:hanging="360"/>
      </w:pPr>
      <w:rPr>
        <w:rFonts w:ascii="CG Omega" w:hAnsi="CG Omega" w:hint="default"/>
        <w:b w:val="0"/>
        <w:i w:val="0"/>
        <w:sz w:val="24"/>
        <w:szCs w:val="24"/>
      </w:rPr>
    </w:lvl>
    <w:lvl w:ilvl="3">
      <w:start w:val="1"/>
      <w:numFmt w:val="lowerLetter"/>
      <w:lvlText w:val="%4."/>
      <w:lvlJc w:val="left"/>
      <w:pPr>
        <w:tabs>
          <w:tab w:val="num" w:pos="1440"/>
        </w:tabs>
        <w:ind w:left="1440" w:hanging="360"/>
      </w:pPr>
      <w:rPr>
        <w:rFonts w:ascii="CG Omega" w:hAnsi="CG Omega" w:hint="default"/>
        <w:b w:val="0"/>
        <w:i w:val="0"/>
        <w:sz w:val="24"/>
        <w:szCs w:val="24"/>
      </w:rPr>
    </w:lvl>
    <w:lvl w:ilvl="4">
      <w:start w:val="1"/>
      <w:numFmt w:val="lowerRoman"/>
      <w:lvlText w:val="%5"/>
      <w:lvlJc w:val="left"/>
      <w:pPr>
        <w:tabs>
          <w:tab w:val="num" w:pos="1800"/>
        </w:tabs>
        <w:ind w:left="1800" w:hanging="360"/>
      </w:pPr>
      <w:rPr>
        <w:rFonts w:ascii="CG Omega" w:hAnsi="CG Omega" w:hint="default"/>
        <w:sz w:val="24"/>
        <w:szCs w:val="24"/>
      </w:rPr>
    </w:lvl>
    <w:lvl w:ilvl="5">
      <w:start w:val="1"/>
      <w:numFmt w:val="bullet"/>
      <w:lvlText w:val=""/>
      <w:lvlJc w:val="left"/>
      <w:pPr>
        <w:tabs>
          <w:tab w:val="num" w:pos="2160"/>
        </w:tabs>
        <w:ind w:left="2160" w:hanging="360"/>
      </w:pPr>
      <w:rPr>
        <w:rFonts w:ascii="Symbol" w:hAnsi="Symbol" w:hint="default"/>
        <w:color w:val="auto"/>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
    <w:nsid w:val="05BA72C3"/>
    <w:multiLevelType w:val="hybridMultilevel"/>
    <w:tmpl w:val="07826C0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05C16129"/>
    <w:multiLevelType w:val="hybridMultilevel"/>
    <w:tmpl w:val="79F049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08E61440"/>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7">
    <w:nsid w:val="09E677A8"/>
    <w:multiLevelType w:val="singleLevel"/>
    <w:tmpl w:val="6BE238DC"/>
    <w:lvl w:ilvl="0">
      <w:start w:val="1"/>
      <w:numFmt w:val="decimal"/>
      <w:lvlText w:val="%1)"/>
      <w:lvlJc w:val="left"/>
      <w:pPr>
        <w:tabs>
          <w:tab w:val="num" w:pos="1080"/>
        </w:tabs>
        <w:ind w:left="1080" w:hanging="360"/>
      </w:pPr>
      <w:rPr>
        <w:rFonts w:hint="default"/>
      </w:rPr>
    </w:lvl>
  </w:abstractNum>
  <w:abstractNum w:abstractNumId="8">
    <w:nsid w:val="0BC356B1"/>
    <w:multiLevelType w:val="multilevel"/>
    <w:tmpl w:val="0AEC5F12"/>
    <w:lvl w:ilvl="0">
      <w:start w:val="1"/>
      <w:numFmt w:val="decimal"/>
      <w:lvlText w:val="%1."/>
      <w:lvlJc w:val="left"/>
      <w:pPr>
        <w:tabs>
          <w:tab w:val="num" w:pos="360"/>
        </w:tabs>
        <w:ind w:left="360" w:hanging="360"/>
      </w:pPr>
      <w:rPr>
        <w:rFonts w:ascii="CG Omega" w:hAnsi="CG Omega" w:hint="default"/>
        <w:b w:val="0"/>
        <w:i w:val="0"/>
        <w:sz w:val="22"/>
        <w:szCs w:val="22"/>
      </w:rPr>
    </w:lvl>
    <w:lvl w:ilvl="1">
      <w:start w:val="1"/>
      <w:numFmt w:val="lowerLetter"/>
      <w:lvlText w:val="%2."/>
      <w:lvlJc w:val="left"/>
      <w:pPr>
        <w:tabs>
          <w:tab w:val="num" w:pos="720"/>
        </w:tabs>
        <w:ind w:left="720" w:hanging="360"/>
      </w:pPr>
      <w:rPr>
        <w:rFonts w:ascii="CG Omega" w:hAnsi="CG Omega" w:hint="default"/>
        <w:b w:val="0"/>
        <w:i w:val="0"/>
        <w:sz w:val="22"/>
        <w:szCs w:val="22"/>
      </w:rPr>
    </w:lvl>
    <w:lvl w:ilvl="2">
      <w:numFmt w:val="bullet"/>
      <w:lvlText w:val=""/>
      <w:lvlJc w:val="left"/>
      <w:pPr>
        <w:tabs>
          <w:tab w:val="num" w:pos="1080"/>
        </w:tabs>
        <w:ind w:left="1080" w:hanging="360"/>
      </w:pPr>
      <w:rPr>
        <w:rFonts w:ascii="Symbol" w:hAnsi="Symbol" w:hint="default"/>
        <w:b w:val="0"/>
        <w:i w:val="0"/>
        <w:color w:val="auto"/>
        <w:sz w:val="22"/>
      </w:rPr>
    </w:lvl>
    <w:lvl w:ilvl="3">
      <w:start w:val="1"/>
      <w:numFmt w:val="lowerLetter"/>
      <w:lvlText w:val="%4"/>
      <w:lvlJc w:val="left"/>
      <w:pPr>
        <w:tabs>
          <w:tab w:val="num" w:pos="1440"/>
        </w:tabs>
        <w:ind w:left="1440" w:hanging="360"/>
      </w:pPr>
      <w:rPr>
        <w:rFonts w:hint="default"/>
        <w:b w:val="0"/>
        <w:i w:val="0"/>
        <w:sz w:val="22"/>
      </w:rPr>
    </w:lvl>
    <w:lvl w:ilvl="4">
      <w:start w:val="1"/>
      <w:numFmt w:val="lowerRoman"/>
      <w:lvlText w:val="%5"/>
      <w:lvlJc w:val="left"/>
      <w:pPr>
        <w:tabs>
          <w:tab w:val="num" w:pos="1800"/>
        </w:tabs>
        <w:ind w:left="1800" w:hanging="360"/>
      </w:pPr>
      <w:rPr>
        <w:rFonts w:hint="default"/>
      </w:rPr>
    </w:lvl>
    <w:lvl w:ilvl="5">
      <w:start w:val="1"/>
      <w:numFmt w:val="bullet"/>
      <w:lvlText w:val=""/>
      <w:lvlJc w:val="left"/>
      <w:pPr>
        <w:tabs>
          <w:tab w:val="num" w:pos="1800"/>
        </w:tabs>
        <w:ind w:left="1800" w:hanging="360"/>
      </w:pPr>
      <w:rPr>
        <w:rFonts w:ascii="Symbol" w:hAnsi="Symbol" w:hint="default"/>
        <w:color w:val="auto"/>
      </w:rPr>
    </w:lvl>
    <w:lvl w:ilvl="6">
      <w:start w:val="1"/>
      <w:numFmt w:val="bullet"/>
      <w:lvlText w:val="►"/>
      <w:lvlJc w:val="left"/>
      <w:pPr>
        <w:tabs>
          <w:tab w:val="num" w:pos="2160"/>
        </w:tabs>
        <w:ind w:left="2160" w:hanging="360"/>
      </w:pPr>
      <w:rPr>
        <w:rFonts w:ascii="CG Omega" w:hAnsi="CG Omega" w:hint="default"/>
        <w:sz w:val="16"/>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9">
    <w:nsid w:val="12405FA8"/>
    <w:multiLevelType w:val="hybridMultilevel"/>
    <w:tmpl w:val="F7FAB8C4"/>
    <w:lvl w:ilvl="0" w:tplc="E88E3AB8">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132C32EC"/>
    <w:multiLevelType w:val="hybridMultilevel"/>
    <w:tmpl w:val="ABA0A59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136711B1"/>
    <w:multiLevelType w:val="hybridMultilevel"/>
    <w:tmpl w:val="2DF8DEDA"/>
    <w:lvl w:ilvl="0" w:tplc="BFCC9C1A">
      <w:start w:val="1"/>
      <w:numFmt w:val="decimal"/>
      <w:lvlText w:val="%1."/>
      <w:lvlJc w:val="center"/>
      <w:pPr>
        <w:tabs>
          <w:tab w:val="num" w:pos="720"/>
        </w:tabs>
        <w:ind w:left="720" w:hanging="360"/>
      </w:pPr>
      <w:rPr>
        <w:rFonts w:hint="default"/>
      </w:rPr>
    </w:lvl>
    <w:lvl w:ilvl="1" w:tplc="F5FA139E">
      <w:start w:val="1"/>
      <w:numFmt w:val="decimal"/>
      <w:lvlText w:val="%2."/>
      <w:lvlJc w:val="left"/>
      <w:pPr>
        <w:tabs>
          <w:tab w:val="num" w:pos="1440"/>
        </w:tabs>
        <w:ind w:left="1440" w:hanging="360"/>
      </w:pPr>
      <w:rPr>
        <w:rFonts w:hint="default"/>
        <w:b w:val="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15F74DFE"/>
    <w:multiLevelType w:val="multilevel"/>
    <w:tmpl w:val="CB7E1E6C"/>
    <w:lvl w:ilvl="0">
      <w:start w:val="1"/>
      <w:numFmt w:val="decimal"/>
      <w:lvlText w:val="%1."/>
      <w:lvlJc w:val="left"/>
      <w:pPr>
        <w:tabs>
          <w:tab w:val="num" w:pos="360"/>
        </w:tabs>
        <w:ind w:left="360" w:hanging="360"/>
      </w:pPr>
      <w:rPr>
        <w:rFonts w:ascii="CG Omega" w:hAnsi="CG Omega" w:hint="default"/>
        <w:b w:val="0"/>
        <w:i w:val="0"/>
        <w:sz w:val="22"/>
        <w:szCs w:val="22"/>
      </w:rPr>
    </w:lvl>
    <w:lvl w:ilvl="1">
      <w:start w:val="1"/>
      <w:numFmt w:val="lowerLetter"/>
      <w:lvlText w:val="%2."/>
      <w:lvlJc w:val="left"/>
      <w:pPr>
        <w:tabs>
          <w:tab w:val="num" w:pos="720"/>
        </w:tabs>
        <w:ind w:left="720" w:hanging="360"/>
      </w:pPr>
      <w:rPr>
        <w:rFonts w:ascii="CG Omega" w:hAnsi="CG Omega" w:hint="default"/>
        <w:b w:val="0"/>
        <w:i w:val="0"/>
        <w:sz w:val="22"/>
        <w:szCs w:val="22"/>
      </w:rPr>
    </w:lvl>
    <w:lvl w:ilvl="2">
      <w:numFmt w:val="bullet"/>
      <w:lvlText w:val=""/>
      <w:lvlJc w:val="left"/>
      <w:pPr>
        <w:tabs>
          <w:tab w:val="num" w:pos="1080"/>
        </w:tabs>
        <w:ind w:left="1080" w:hanging="360"/>
      </w:pPr>
      <w:rPr>
        <w:rFonts w:ascii="Symbol" w:hAnsi="Symbol" w:hint="default"/>
        <w:b w:val="0"/>
        <w:i w:val="0"/>
        <w:color w:val="auto"/>
        <w:sz w:val="22"/>
      </w:rPr>
    </w:lvl>
    <w:lvl w:ilvl="3">
      <w:start w:val="1"/>
      <w:numFmt w:val="lowerLetter"/>
      <w:lvlText w:val="%4"/>
      <w:lvlJc w:val="left"/>
      <w:pPr>
        <w:tabs>
          <w:tab w:val="num" w:pos="1440"/>
        </w:tabs>
        <w:ind w:left="1440" w:hanging="360"/>
      </w:pPr>
      <w:rPr>
        <w:rFonts w:hint="default"/>
        <w:b w:val="0"/>
        <w:i w:val="0"/>
        <w:sz w:val="22"/>
      </w:rPr>
    </w:lvl>
    <w:lvl w:ilvl="4">
      <w:start w:val="1"/>
      <w:numFmt w:val="lowerRoman"/>
      <w:lvlText w:val="%5"/>
      <w:lvlJc w:val="left"/>
      <w:pPr>
        <w:tabs>
          <w:tab w:val="num" w:pos="1800"/>
        </w:tabs>
        <w:ind w:left="1800" w:hanging="360"/>
      </w:pPr>
      <w:rPr>
        <w:rFonts w:hint="default"/>
      </w:rPr>
    </w:lvl>
    <w:lvl w:ilvl="5">
      <w:start w:val="1"/>
      <w:numFmt w:val="bullet"/>
      <w:lvlText w:val=""/>
      <w:lvlJc w:val="left"/>
      <w:pPr>
        <w:tabs>
          <w:tab w:val="num" w:pos="1800"/>
        </w:tabs>
        <w:ind w:left="1800" w:hanging="360"/>
      </w:pPr>
      <w:rPr>
        <w:rFonts w:ascii="Symbol" w:hAnsi="Symbol" w:hint="default"/>
        <w:color w:val="auto"/>
      </w:rPr>
    </w:lvl>
    <w:lvl w:ilvl="6">
      <w:start w:val="1"/>
      <w:numFmt w:val="bullet"/>
      <w:lvlText w:val="►"/>
      <w:lvlJc w:val="left"/>
      <w:pPr>
        <w:tabs>
          <w:tab w:val="num" w:pos="2160"/>
        </w:tabs>
        <w:ind w:left="2160" w:hanging="360"/>
      </w:pPr>
      <w:rPr>
        <w:rFonts w:ascii="CG Omega" w:hAnsi="CG Omega" w:hint="default"/>
        <w:sz w:val="16"/>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3">
    <w:nsid w:val="1AA853A1"/>
    <w:multiLevelType w:val="multilevel"/>
    <w:tmpl w:val="A5AA1140"/>
    <w:lvl w:ilvl="0">
      <w:start w:val="1"/>
      <w:numFmt w:val="decimal"/>
      <w:lvlText w:val="%1."/>
      <w:lvlJc w:val="left"/>
      <w:pPr>
        <w:tabs>
          <w:tab w:val="num" w:pos="360"/>
        </w:tabs>
        <w:ind w:left="360" w:hanging="360"/>
      </w:pPr>
      <w:rPr>
        <w:rFonts w:ascii="CG Omega" w:hAnsi="CG Omega" w:hint="default"/>
        <w:b w:val="0"/>
        <w:i w:val="0"/>
        <w:sz w:val="24"/>
        <w:szCs w:val="24"/>
      </w:rPr>
    </w:lvl>
    <w:lvl w:ilvl="1">
      <w:start w:val="1"/>
      <w:numFmt w:val="upperLetter"/>
      <w:lvlText w:val="%2."/>
      <w:lvlJc w:val="left"/>
      <w:pPr>
        <w:tabs>
          <w:tab w:val="num" w:pos="720"/>
        </w:tabs>
        <w:ind w:left="720" w:hanging="360"/>
      </w:pPr>
      <w:rPr>
        <w:rFonts w:ascii="CG Omega" w:hAnsi="CG Omega" w:hint="default"/>
        <w:b w:val="0"/>
        <w:i w:val="0"/>
        <w:sz w:val="24"/>
        <w:szCs w:val="24"/>
      </w:rPr>
    </w:lvl>
    <w:lvl w:ilvl="2">
      <w:start w:val="1"/>
      <w:numFmt w:val="decimal"/>
      <w:lvlText w:val="%3."/>
      <w:lvlJc w:val="left"/>
      <w:pPr>
        <w:tabs>
          <w:tab w:val="num" w:pos="1080"/>
        </w:tabs>
        <w:ind w:left="1080" w:hanging="360"/>
      </w:pPr>
      <w:rPr>
        <w:rFonts w:ascii="CG Omega" w:hAnsi="CG Omega" w:hint="default"/>
        <w:b w:val="0"/>
        <w:i w:val="0"/>
        <w:sz w:val="24"/>
        <w:szCs w:val="24"/>
      </w:rPr>
    </w:lvl>
    <w:lvl w:ilvl="3">
      <w:start w:val="1"/>
      <w:numFmt w:val="lowerLetter"/>
      <w:lvlText w:val="%4."/>
      <w:lvlJc w:val="left"/>
      <w:pPr>
        <w:tabs>
          <w:tab w:val="num" w:pos="1440"/>
        </w:tabs>
        <w:ind w:left="1440" w:hanging="360"/>
      </w:pPr>
      <w:rPr>
        <w:rFonts w:ascii="CG Omega" w:hAnsi="CG Omega" w:hint="default"/>
        <w:b w:val="0"/>
        <w:i w:val="0"/>
        <w:sz w:val="24"/>
        <w:szCs w:val="24"/>
      </w:rPr>
    </w:lvl>
    <w:lvl w:ilvl="4">
      <w:start w:val="1"/>
      <w:numFmt w:val="lowerRoman"/>
      <w:lvlText w:val="%5"/>
      <w:lvlJc w:val="left"/>
      <w:pPr>
        <w:tabs>
          <w:tab w:val="num" w:pos="1800"/>
        </w:tabs>
        <w:ind w:left="1800" w:hanging="360"/>
      </w:pPr>
      <w:rPr>
        <w:rFonts w:ascii="CG Omega" w:hAnsi="CG Omega" w:hint="default"/>
        <w:sz w:val="24"/>
        <w:szCs w:val="24"/>
      </w:rPr>
    </w:lvl>
    <w:lvl w:ilvl="5">
      <w:start w:val="1"/>
      <w:numFmt w:val="bullet"/>
      <w:lvlText w:val=""/>
      <w:lvlJc w:val="left"/>
      <w:pPr>
        <w:tabs>
          <w:tab w:val="num" w:pos="2160"/>
        </w:tabs>
        <w:ind w:left="2160" w:hanging="360"/>
      </w:pPr>
      <w:rPr>
        <w:rFonts w:ascii="Symbol" w:hAnsi="Symbol" w:hint="default"/>
        <w:color w:val="auto"/>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4">
    <w:nsid w:val="1CAE7A6D"/>
    <w:multiLevelType w:val="hybridMultilevel"/>
    <w:tmpl w:val="F99A175A"/>
    <w:lvl w:ilvl="0" w:tplc="BFCC9C1A">
      <w:start w:val="1"/>
      <w:numFmt w:val="decimal"/>
      <w:lvlText w:val="%1."/>
      <w:lvlJc w:val="center"/>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1D882252"/>
    <w:multiLevelType w:val="hybridMultilevel"/>
    <w:tmpl w:val="F660723C"/>
    <w:lvl w:ilvl="0" w:tplc="5B96FD3A">
      <w:start w:val="1"/>
      <w:numFmt w:val="decimal"/>
      <w:lvlText w:val="%1."/>
      <w:lvlJc w:val="left"/>
      <w:pPr>
        <w:tabs>
          <w:tab w:val="num" w:pos="360"/>
        </w:tabs>
        <w:ind w:left="360" w:hanging="360"/>
      </w:pPr>
      <w:rPr>
        <w:rFonts w:ascii="CG Omega" w:hAnsi="CG Omega" w:hint="default"/>
        <w:b w:val="0"/>
        <w:i w:val="0"/>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1F7D26B3"/>
    <w:multiLevelType w:val="hybridMultilevel"/>
    <w:tmpl w:val="0E1A671A"/>
    <w:lvl w:ilvl="0" w:tplc="CB0AC162">
      <w:start w:val="1"/>
      <w:numFmt w:val="decimal"/>
      <w:lvlText w:val="%1."/>
      <w:lvlJc w:val="left"/>
      <w:rPr>
        <w:rFonts w:ascii="CG Omega" w:eastAsia="Times New Roman" w:hAnsi="CG Omega" w:cs="Times New Roman" w:hint="default"/>
      </w:r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7">
    <w:nsid w:val="20150C4E"/>
    <w:multiLevelType w:val="hybridMultilevel"/>
    <w:tmpl w:val="66B49662"/>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8">
    <w:nsid w:val="208A0C4C"/>
    <w:multiLevelType w:val="hybridMultilevel"/>
    <w:tmpl w:val="F46A40AE"/>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9">
    <w:nsid w:val="20F640F6"/>
    <w:multiLevelType w:val="multilevel"/>
    <w:tmpl w:val="59C2ECB6"/>
    <w:lvl w:ilvl="0">
      <w:start w:val="1"/>
      <w:numFmt w:val="decimal"/>
      <w:lvlText w:val="%1."/>
      <w:lvlJc w:val="left"/>
      <w:pPr>
        <w:tabs>
          <w:tab w:val="num" w:pos="360"/>
        </w:tabs>
        <w:ind w:left="360" w:hanging="360"/>
      </w:pPr>
      <w:rPr>
        <w:rFonts w:ascii="CG Omega" w:hAnsi="CG Omega" w:hint="default"/>
        <w:b w:val="0"/>
        <w:i w:val="0"/>
        <w:sz w:val="24"/>
        <w:szCs w:val="24"/>
      </w:rPr>
    </w:lvl>
    <w:lvl w:ilvl="1">
      <w:start w:val="1"/>
      <w:numFmt w:val="upperLetter"/>
      <w:lvlText w:val="%2."/>
      <w:lvlJc w:val="left"/>
      <w:pPr>
        <w:tabs>
          <w:tab w:val="num" w:pos="720"/>
        </w:tabs>
        <w:ind w:left="720" w:hanging="360"/>
      </w:pPr>
      <w:rPr>
        <w:rFonts w:ascii="CG Omega" w:hAnsi="CG Omega" w:hint="default"/>
        <w:b w:val="0"/>
        <w:i w:val="0"/>
        <w:sz w:val="24"/>
        <w:szCs w:val="24"/>
      </w:rPr>
    </w:lvl>
    <w:lvl w:ilvl="2">
      <w:start w:val="1"/>
      <w:numFmt w:val="decimal"/>
      <w:lvlText w:val="%3."/>
      <w:lvlJc w:val="left"/>
      <w:pPr>
        <w:tabs>
          <w:tab w:val="num" w:pos="1080"/>
        </w:tabs>
        <w:ind w:left="1080" w:hanging="360"/>
      </w:pPr>
      <w:rPr>
        <w:rFonts w:ascii="CG Omega" w:hAnsi="CG Omega" w:hint="default"/>
        <w:b w:val="0"/>
        <w:i w:val="0"/>
        <w:sz w:val="24"/>
        <w:szCs w:val="24"/>
      </w:rPr>
    </w:lvl>
    <w:lvl w:ilvl="3">
      <w:start w:val="1"/>
      <w:numFmt w:val="lowerLetter"/>
      <w:lvlText w:val="%4."/>
      <w:lvlJc w:val="left"/>
      <w:pPr>
        <w:tabs>
          <w:tab w:val="num" w:pos="1440"/>
        </w:tabs>
        <w:ind w:left="1440" w:hanging="360"/>
      </w:pPr>
      <w:rPr>
        <w:rFonts w:ascii="CG Omega" w:hAnsi="CG Omega" w:hint="default"/>
        <w:b w:val="0"/>
        <w:i w:val="0"/>
        <w:sz w:val="24"/>
        <w:szCs w:val="24"/>
      </w:rPr>
    </w:lvl>
    <w:lvl w:ilvl="4">
      <w:start w:val="1"/>
      <w:numFmt w:val="lowerRoman"/>
      <w:lvlText w:val="%5"/>
      <w:lvlJc w:val="left"/>
      <w:pPr>
        <w:tabs>
          <w:tab w:val="num" w:pos="1800"/>
        </w:tabs>
        <w:ind w:left="1800" w:hanging="360"/>
      </w:pPr>
      <w:rPr>
        <w:rFonts w:ascii="CG Omega" w:hAnsi="CG Omega" w:hint="default"/>
        <w:sz w:val="24"/>
        <w:szCs w:val="24"/>
      </w:rPr>
    </w:lvl>
    <w:lvl w:ilvl="5">
      <w:start w:val="1"/>
      <w:numFmt w:val="bullet"/>
      <w:lvlText w:val=""/>
      <w:lvlJc w:val="left"/>
      <w:pPr>
        <w:tabs>
          <w:tab w:val="num" w:pos="2160"/>
        </w:tabs>
        <w:ind w:left="2160" w:hanging="360"/>
      </w:pPr>
      <w:rPr>
        <w:rFonts w:ascii="Symbol" w:hAnsi="Symbol" w:hint="default"/>
        <w:color w:val="auto"/>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0">
    <w:nsid w:val="24022ABD"/>
    <w:multiLevelType w:val="hybridMultilevel"/>
    <w:tmpl w:val="96A4A4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67E7773"/>
    <w:multiLevelType w:val="multilevel"/>
    <w:tmpl w:val="578E5CC2"/>
    <w:lvl w:ilvl="0">
      <w:start w:val="1"/>
      <w:numFmt w:val="decimal"/>
      <w:lvlText w:val="%1."/>
      <w:lvlJc w:val="left"/>
      <w:pPr>
        <w:tabs>
          <w:tab w:val="num" w:pos="360"/>
        </w:tabs>
        <w:ind w:left="360" w:hanging="360"/>
      </w:pPr>
      <w:rPr>
        <w:rFonts w:ascii="CG Omega" w:hAnsi="CG Omega" w:hint="default"/>
        <w:b w:val="0"/>
        <w:i w:val="0"/>
        <w:sz w:val="24"/>
        <w:szCs w:val="24"/>
      </w:rPr>
    </w:lvl>
    <w:lvl w:ilvl="1">
      <w:start w:val="1"/>
      <w:numFmt w:val="upperLetter"/>
      <w:lvlText w:val="%2."/>
      <w:lvlJc w:val="left"/>
      <w:pPr>
        <w:tabs>
          <w:tab w:val="num" w:pos="720"/>
        </w:tabs>
        <w:ind w:left="720" w:hanging="360"/>
      </w:pPr>
      <w:rPr>
        <w:rFonts w:ascii="CG Omega" w:hAnsi="CG Omega" w:hint="default"/>
        <w:b w:val="0"/>
        <w:i w:val="0"/>
        <w:sz w:val="24"/>
        <w:szCs w:val="24"/>
      </w:rPr>
    </w:lvl>
    <w:lvl w:ilvl="2">
      <w:start w:val="1"/>
      <w:numFmt w:val="decimal"/>
      <w:lvlText w:val="%3."/>
      <w:lvlJc w:val="left"/>
      <w:pPr>
        <w:tabs>
          <w:tab w:val="num" w:pos="1080"/>
        </w:tabs>
        <w:ind w:left="1080" w:hanging="360"/>
      </w:pPr>
      <w:rPr>
        <w:rFonts w:ascii="CG Omega" w:hAnsi="CG Omega" w:hint="default"/>
        <w:b w:val="0"/>
        <w:i w:val="0"/>
        <w:sz w:val="24"/>
        <w:szCs w:val="24"/>
      </w:rPr>
    </w:lvl>
    <w:lvl w:ilvl="3">
      <w:start w:val="1"/>
      <w:numFmt w:val="lowerLetter"/>
      <w:lvlText w:val="%4."/>
      <w:lvlJc w:val="left"/>
      <w:pPr>
        <w:tabs>
          <w:tab w:val="num" w:pos="1440"/>
        </w:tabs>
        <w:ind w:left="1440" w:hanging="360"/>
      </w:pPr>
      <w:rPr>
        <w:rFonts w:ascii="CG Omega" w:hAnsi="CG Omega" w:hint="default"/>
        <w:b w:val="0"/>
        <w:i w:val="0"/>
        <w:sz w:val="24"/>
        <w:szCs w:val="24"/>
      </w:rPr>
    </w:lvl>
    <w:lvl w:ilvl="4">
      <w:start w:val="1"/>
      <w:numFmt w:val="lowerRoman"/>
      <w:lvlText w:val="%5"/>
      <w:lvlJc w:val="left"/>
      <w:pPr>
        <w:tabs>
          <w:tab w:val="num" w:pos="1800"/>
        </w:tabs>
        <w:ind w:left="1800" w:hanging="360"/>
      </w:pPr>
      <w:rPr>
        <w:rFonts w:ascii="CG Omega" w:hAnsi="CG Omega" w:hint="default"/>
        <w:sz w:val="24"/>
        <w:szCs w:val="24"/>
      </w:rPr>
    </w:lvl>
    <w:lvl w:ilvl="5">
      <w:start w:val="1"/>
      <w:numFmt w:val="bullet"/>
      <w:lvlText w:val=""/>
      <w:lvlJc w:val="left"/>
      <w:pPr>
        <w:tabs>
          <w:tab w:val="num" w:pos="2160"/>
        </w:tabs>
        <w:ind w:left="2160" w:hanging="360"/>
      </w:pPr>
      <w:rPr>
        <w:rFonts w:ascii="Symbol" w:hAnsi="Symbol" w:hint="default"/>
        <w:color w:val="auto"/>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2">
    <w:nsid w:val="2B0A5A44"/>
    <w:multiLevelType w:val="hybridMultilevel"/>
    <w:tmpl w:val="4D2883DE"/>
    <w:lvl w:ilvl="0" w:tplc="04090001">
      <w:start w:val="1"/>
      <w:numFmt w:val="bullet"/>
      <w:lvlText w:val=""/>
      <w:lvlJc w:val="left"/>
      <w:pPr>
        <w:tabs>
          <w:tab w:val="num" w:pos="360"/>
        </w:tabs>
        <w:ind w:left="360" w:hanging="360"/>
      </w:pPr>
      <w:rPr>
        <w:rFonts w:ascii="Symbol" w:hAnsi="Symbol" w:hint="default"/>
        <w:color w:val="auto"/>
      </w:rPr>
    </w:lvl>
    <w:lvl w:ilvl="1" w:tplc="0FD6FF94" w:tentative="1">
      <w:start w:val="1"/>
      <w:numFmt w:val="bullet"/>
      <w:lvlText w:val="o"/>
      <w:lvlJc w:val="left"/>
      <w:pPr>
        <w:tabs>
          <w:tab w:val="num" w:pos="1440"/>
        </w:tabs>
        <w:ind w:left="1440" w:hanging="360"/>
      </w:pPr>
      <w:rPr>
        <w:rFonts w:ascii="Courier New" w:hAnsi="Courier New" w:cs="Courier New" w:hint="default"/>
      </w:rPr>
    </w:lvl>
    <w:lvl w:ilvl="2" w:tplc="7996039A" w:tentative="1">
      <w:start w:val="1"/>
      <w:numFmt w:val="bullet"/>
      <w:lvlText w:val=""/>
      <w:lvlJc w:val="left"/>
      <w:pPr>
        <w:tabs>
          <w:tab w:val="num" w:pos="2160"/>
        </w:tabs>
        <w:ind w:left="2160" w:hanging="360"/>
      </w:pPr>
      <w:rPr>
        <w:rFonts w:ascii="Wingdings" w:hAnsi="Wingdings" w:hint="default"/>
      </w:rPr>
    </w:lvl>
    <w:lvl w:ilvl="3" w:tplc="695E9972" w:tentative="1">
      <w:start w:val="1"/>
      <w:numFmt w:val="bullet"/>
      <w:lvlText w:val=""/>
      <w:lvlJc w:val="left"/>
      <w:pPr>
        <w:tabs>
          <w:tab w:val="num" w:pos="2880"/>
        </w:tabs>
        <w:ind w:left="2880" w:hanging="360"/>
      </w:pPr>
      <w:rPr>
        <w:rFonts w:ascii="Symbol" w:hAnsi="Symbol" w:hint="default"/>
      </w:rPr>
    </w:lvl>
    <w:lvl w:ilvl="4" w:tplc="38A2E62C" w:tentative="1">
      <w:start w:val="1"/>
      <w:numFmt w:val="bullet"/>
      <w:lvlText w:val="o"/>
      <w:lvlJc w:val="left"/>
      <w:pPr>
        <w:tabs>
          <w:tab w:val="num" w:pos="3600"/>
        </w:tabs>
        <w:ind w:left="3600" w:hanging="360"/>
      </w:pPr>
      <w:rPr>
        <w:rFonts w:ascii="Courier New" w:hAnsi="Courier New" w:cs="Courier New" w:hint="default"/>
      </w:rPr>
    </w:lvl>
    <w:lvl w:ilvl="5" w:tplc="E05CB92A" w:tentative="1">
      <w:start w:val="1"/>
      <w:numFmt w:val="bullet"/>
      <w:lvlText w:val=""/>
      <w:lvlJc w:val="left"/>
      <w:pPr>
        <w:tabs>
          <w:tab w:val="num" w:pos="4320"/>
        </w:tabs>
        <w:ind w:left="4320" w:hanging="360"/>
      </w:pPr>
      <w:rPr>
        <w:rFonts w:ascii="Wingdings" w:hAnsi="Wingdings" w:hint="default"/>
      </w:rPr>
    </w:lvl>
    <w:lvl w:ilvl="6" w:tplc="2AF66280" w:tentative="1">
      <w:start w:val="1"/>
      <w:numFmt w:val="bullet"/>
      <w:lvlText w:val=""/>
      <w:lvlJc w:val="left"/>
      <w:pPr>
        <w:tabs>
          <w:tab w:val="num" w:pos="5040"/>
        </w:tabs>
        <w:ind w:left="5040" w:hanging="360"/>
      </w:pPr>
      <w:rPr>
        <w:rFonts w:ascii="Symbol" w:hAnsi="Symbol" w:hint="default"/>
      </w:rPr>
    </w:lvl>
    <w:lvl w:ilvl="7" w:tplc="2BD4E79C" w:tentative="1">
      <w:start w:val="1"/>
      <w:numFmt w:val="bullet"/>
      <w:lvlText w:val="o"/>
      <w:lvlJc w:val="left"/>
      <w:pPr>
        <w:tabs>
          <w:tab w:val="num" w:pos="5760"/>
        </w:tabs>
        <w:ind w:left="5760" w:hanging="360"/>
      </w:pPr>
      <w:rPr>
        <w:rFonts w:ascii="Courier New" w:hAnsi="Courier New" w:cs="Courier New" w:hint="default"/>
      </w:rPr>
    </w:lvl>
    <w:lvl w:ilvl="8" w:tplc="FB2ED86E" w:tentative="1">
      <w:start w:val="1"/>
      <w:numFmt w:val="bullet"/>
      <w:lvlText w:val=""/>
      <w:lvlJc w:val="left"/>
      <w:pPr>
        <w:tabs>
          <w:tab w:val="num" w:pos="6480"/>
        </w:tabs>
        <w:ind w:left="6480" w:hanging="360"/>
      </w:pPr>
      <w:rPr>
        <w:rFonts w:ascii="Wingdings" w:hAnsi="Wingdings" w:hint="default"/>
      </w:rPr>
    </w:lvl>
  </w:abstractNum>
  <w:abstractNum w:abstractNumId="23">
    <w:nsid w:val="2BB042E6"/>
    <w:multiLevelType w:val="multilevel"/>
    <w:tmpl w:val="A5AA1140"/>
    <w:lvl w:ilvl="0">
      <w:start w:val="1"/>
      <w:numFmt w:val="decimal"/>
      <w:lvlText w:val="%1."/>
      <w:lvlJc w:val="left"/>
      <w:pPr>
        <w:tabs>
          <w:tab w:val="num" w:pos="360"/>
        </w:tabs>
        <w:ind w:left="360" w:hanging="360"/>
      </w:pPr>
      <w:rPr>
        <w:rFonts w:ascii="CG Omega" w:hAnsi="CG Omega" w:hint="default"/>
        <w:b w:val="0"/>
        <w:i w:val="0"/>
        <w:sz w:val="24"/>
        <w:szCs w:val="24"/>
      </w:rPr>
    </w:lvl>
    <w:lvl w:ilvl="1">
      <w:start w:val="1"/>
      <w:numFmt w:val="upperLetter"/>
      <w:lvlText w:val="%2."/>
      <w:lvlJc w:val="left"/>
      <w:pPr>
        <w:tabs>
          <w:tab w:val="num" w:pos="720"/>
        </w:tabs>
        <w:ind w:left="720" w:hanging="360"/>
      </w:pPr>
      <w:rPr>
        <w:rFonts w:ascii="CG Omega" w:hAnsi="CG Omega" w:hint="default"/>
        <w:b w:val="0"/>
        <w:i w:val="0"/>
        <w:sz w:val="24"/>
        <w:szCs w:val="24"/>
      </w:rPr>
    </w:lvl>
    <w:lvl w:ilvl="2">
      <w:start w:val="1"/>
      <w:numFmt w:val="decimal"/>
      <w:lvlText w:val="%3."/>
      <w:lvlJc w:val="left"/>
      <w:pPr>
        <w:tabs>
          <w:tab w:val="num" w:pos="1080"/>
        </w:tabs>
        <w:ind w:left="1080" w:hanging="360"/>
      </w:pPr>
      <w:rPr>
        <w:rFonts w:ascii="CG Omega" w:hAnsi="CG Omega" w:hint="default"/>
        <w:b w:val="0"/>
        <w:i w:val="0"/>
        <w:sz w:val="24"/>
        <w:szCs w:val="24"/>
      </w:rPr>
    </w:lvl>
    <w:lvl w:ilvl="3">
      <w:start w:val="1"/>
      <w:numFmt w:val="lowerLetter"/>
      <w:lvlText w:val="%4."/>
      <w:lvlJc w:val="left"/>
      <w:pPr>
        <w:tabs>
          <w:tab w:val="num" w:pos="1440"/>
        </w:tabs>
        <w:ind w:left="1440" w:hanging="360"/>
      </w:pPr>
      <w:rPr>
        <w:rFonts w:ascii="CG Omega" w:hAnsi="CG Omega" w:hint="default"/>
        <w:b w:val="0"/>
        <w:i w:val="0"/>
        <w:sz w:val="24"/>
        <w:szCs w:val="24"/>
      </w:rPr>
    </w:lvl>
    <w:lvl w:ilvl="4">
      <w:start w:val="1"/>
      <w:numFmt w:val="lowerRoman"/>
      <w:lvlText w:val="%5"/>
      <w:lvlJc w:val="left"/>
      <w:pPr>
        <w:tabs>
          <w:tab w:val="num" w:pos="1800"/>
        </w:tabs>
        <w:ind w:left="1800" w:hanging="360"/>
      </w:pPr>
      <w:rPr>
        <w:rFonts w:ascii="CG Omega" w:hAnsi="CG Omega" w:hint="default"/>
        <w:sz w:val="24"/>
        <w:szCs w:val="24"/>
      </w:rPr>
    </w:lvl>
    <w:lvl w:ilvl="5">
      <w:start w:val="1"/>
      <w:numFmt w:val="bullet"/>
      <w:lvlText w:val=""/>
      <w:lvlJc w:val="left"/>
      <w:pPr>
        <w:tabs>
          <w:tab w:val="num" w:pos="2160"/>
        </w:tabs>
        <w:ind w:left="2160" w:hanging="360"/>
      </w:pPr>
      <w:rPr>
        <w:rFonts w:ascii="Symbol" w:hAnsi="Symbol" w:hint="default"/>
        <w:color w:val="auto"/>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4">
    <w:nsid w:val="2C6E3FC0"/>
    <w:multiLevelType w:val="hybridMultilevel"/>
    <w:tmpl w:val="B8366E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EA4113F"/>
    <w:multiLevelType w:val="hybridMultilevel"/>
    <w:tmpl w:val="BF605FC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2ECA40E7"/>
    <w:multiLevelType w:val="hybridMultilevel"/>
    <w:tmpl w:val="0DF49D62"/>
    <w:lvl w:ilvl="0" w:tplc="5524DC9E">
      <w:start w:val="1"/>
      <w:numFmt w:val="decimal"/>
      <w:lvlText w:val="%1."/>
      <w:lvlJc w:val="left"/>
      <w:pPr>
        <w:tabs>
          <w:tab w:val="num" w:pos="360"/>
        </w:tabs>
        <w:ind w:left="360" w:hanging="360"/>
      </w:pPr>
      <w:rPr>
        <w:rFonts w:ascii="CG Omega" w:hAnsi="CG Omega" w:hint="default"/>
        <w:b w:val="0"/>
        <w:i w:val="0"/>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nsid w:val="309F6FC8"/>
    <w:multiLevelType w:val="hybridMultilevel"/>
    <w:tmpl w:val="2D80CF10"/>
    <w:lvl w:ilvl="0" w:tplc="04090001">
      <w:start w:val="1"/>
      <w:numFmt w:val="bullet"/>
      <w:lvlText w:val=""/>
      <w:lvlJc w:val="left"/>
      <w:pPr>
        <w:tabs>
          <w:tab w:val="num" w:pos="780"/>
        </w:tabs>
        <w:ind w:left="780" w:hanging="360"/>
      </w:pPr>
      <w:rPr>
        <w:rFonts w:ascii="Symbol" w:hAnsi="Symbol" w:hint="default"/>
      </w:rPr>
    </w:lvl>
    <w:lvl w:ilvl="1" w:tplc="04090003" w:tentative="1">
      <w:start w:val="1"/>
      <w:numFmt w:val="bullet"/>
      <w:lvlText w:val="o"/>
      <w:lvlJc w:val="left"/>
      <w:pPr>
        <w:tabs>
          <w:tab w:val="num" w:pos="1500"/>
        </w:tabs>
        <w:ind w:left="1500" w:hanging="360"/>
      </w:pPr>
      <w:rPr>
        <w:rFonts w:ascii="Courier New" w:hAnsi="Courier New" w:cs="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cs="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cs="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28">
    <w:nsid w:val="30EA4D5F"/>
    <w:multiLevelType w:val="hybridMultilevel"/>
    <w:tmpl w:val="E7B805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162367C"/>
    <w:multiLevelType w:val="hybridMultilevel"/>
    <w:tmpl w:val="EF4CF9A8"/>
    <w:lvl w:ilvl="0" w:tplc="04090003">
      <w:start w:val="1"/>
      <w:numFmt w:val="bullet"/>
      <w:lvlText w:val="o"/>
      <w:lvlJc w:val="left"/>
      <w:pPr>
        <w:tabs>
          <w:tab w:val="num" w:pos="1080"/>
        </w:tabs>
        <w:ind w:left="1080" w:hanging="360"/>
      </w:pPr>
      <w:rPr>
        <w:rFonts w:ascii="Courier New" w:hAnsi="Courier New" w:cs="Courier New" w:hint="default"/>
        <w:b w:val="0"/>
        <w:i w:val="0"/>
        <w:sz w:val="22"/>
        <w:szCs w:val="22"/>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0">
    <w:nsid w:val="3213337E"/>
    <w:multiLevelType w:val="multilevel"/>
    <w:tmpl w:val="CB7E1E6C"/>
    <w:lvl w:ilvl="0">
      <w:start w:val="1"/>
      <w:numFmt w:val="decimal"/>
      <w:lvlText w:val="%1."/>
      <w:lvlJc w:val="left"/>
      <w:pPr>
        <w:tabs>
          <w:tab w:val="num" w:pos="360"/>
        </w:tabs>
        <w:ind w:left="360" w:hanging="360"/>
      </w:pPr>
      <w:rPr>
        <w:rFonts w:ascii="CG Omega" w:hAnsi="CG Omega" w:hint="default"/>
        <w:b w:val="0"/>
        <w:i w:val="0"/>
        <w:sz w:val="22"/>
        <w:szCs w:val="22"/>
      </w:rPr>
    </w:lvl>
    <w:lvl w:ilvl="1">
      <w:start w:val="1"/>
      <w:numFmt w:val="lowerLetter"/>
      <w:lvlText w:val="%2."/>
      <w:lvlJc w:val="left"/>
      <w:pPr>
        <w:tabs>
          <w:tab w:val="num" w:pos="720"/>
        </w:tabs>
        <w:ind w:left="720" w:hanging="360"/>
      </w:pPr>
      <w:rPr>
        <w:rFonts w:ascii="CG Omega" w:hAnsi="CG Omega" w:hint="default"/>
        <w:b w:val="0"/>
        <w:i w:val="0"/>
        <w:sz w:val="22"/>
        <w:szCs w:val="22"/>
      </w:rPr>
    </w:lvl>
    <w:lvl w:ilvl="2">
      <w:numFmt w:val="bullet"/>
      <w:lvlText w:val=""/>
      <w:lvlJc w:val="left"/>
      <w:pPr>
        <w:tabs>
          <w:tab w:val="num" w:pos="1080"/>
        </w:tabs>
        <w:ind w:left="1080" w:hanging="360"/>
      </w:pPr>
      <w:rPr>
        <w:rFonts w:ascii="Symbol" w:hAnsi="Symbol" w:hint="default"/>
        <w:b w:val="0"/>
        <w:i w:val="0"/>
        <w:color w:val="auto"/>
        <w:sz w:val="22"/>
      </w:rPr>
    </w:lvl>
    <w:lvl w:ilvl="3">
      <w:start w:val="1"/>
      <w:numFmt w:val="lowerLetter"/>
      <w:lvlText w:val="%4"/>
      <w:lvlJc w:val="left"/>
      <w:pPr>
        <w:tabs>
          <w:tab w:val="num" w:pos="1440"/>
        </w:tabs>
        <w:ind w:left="1440" w:hanging="360"/>
      </w:pPr>
      <w:rPr>
        <w:rFonts w:hint="default"/>
        <w:b w:val="0"/>
        <w:i w:val="0"/>
        <w:sz w:val="22"/>
      </w:rPr>
    </w:lvl>
    <w:lvl w:ilvl="4">
      <w:start w:val="1"/>
      <w:numFmt w:val="lowerRoman"/>
      <w:lvlText w:val="%5"/>
      <w:lvlJc w:val="left"/>
      <w:pPr>
        <w:tabs>
          <w:tab w:val="num" w:pos="1800"/>
        </w:tabs>
        <w:ind w:left="1800" w:hanging="360"/>
      </w:pPr>
      <w:rPr>
        <w:rFonts w:hint="default"/>
      </w:rPr>
    </w:lvl>
    <w:lvl w:ilvl="5">
      <w:start w:val="1"/>
      <w:numFmt w:val="bullet"/>
      <w:lvlText w:val=""/>
      <w:lvlJc w:val="left"/>
      <w:pPr>
        <w:tabs>
          <w:tab w:val="num" w:pos="1800"/>
        </w:tabs>
        <w:ind w:left="1800" w:hanging="360"/>
      </w:pPr>
      <w:rPr>
        <w:rFonts w:ascii="Symbol" w:hAnsi="Symbol" w:hint="default"/>
        <w:color w:val="auto"/>
      </w:rPr>
    </w:lvl>
    <w:lvl w:ilvl="6">
      <w:start w:val="1"/>
      <w:numFmt w:val="bullet"/>
      <w:lvlText w:val="►"/>
      <w:lvlJc w:val="left"/>
      <w:pPr>
        <w:tabs>
          <w:tab w:val="num" w:pos="2160"/>
        </w:tabs>
        <w:ind w:left="2160" w:hanging="360"/>
      </w:pPr>
      <w:rPr>
        <w:rFonts w:ascii="CG Omega" w:hAnsi="CG Omega" w:hint="default"/>
        <w:sz w:val="16"/>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31">
    <w:nsid w:val="32C61949"/>
    <w:multiLevelType w:val="multilevel"/>
    <w:tmpl w:val="FA58C950"/>
    <w:lvl w:ilvl="0">
      <w:start w:val="1"/>
      <w:numFmt w:val="decimal"/>
      <w:lvlText w:val="%1."/>
      <w:lvlJc w:val="left"/>
      <w:pPr>
        <w:tabs>
          <w:tab w:val="num" w:pos="360"/>
        </w:tabs>
        <w:ind w:left="360" w:hanging="360"/>
      </w:pPr>
      <w:rPr>
        <w:rFonts w:ascii="CG Omega" w:hAnsi="CG Omega" w:hint="default"/>
        <w:b w:val="0"/>
        <w:i w:val="0"/>
        <w:sz w:val="24"/>
        <w:szCs w:val="24"/>
      </w:rPr>
    </w:lvl>
    <w:lvl w:ilvl="1">
      <w:start w:val="1"/>
      <w:numFmt w:val="upperLetter"/>
      <w:lvlText w:val="%2."/>
      <w:lvlJc w:val="left"/>
      <w:pPr>
        <w:tabs>
          <w:tab w:val="num" w:pos="720"/>
        </w:tabs>
        <w:ind w:left="720" w:hanging="360"/>
      </w:pPr>
      <w:rPr>
        <w:rFonts w:ascii="CG Omega" w:hAnsi="CG Omega" w:hint="default"/>
        <w:b w:val="0"/>
        <w:i w:val="0"/>
        <w:sz w:val="24"/>
        <w:szCs w:val="24"/>
      </w:rPr>
    </w:lvl>
    <w:lvl w:ilvl="2">
      <w:start w:val="1"/>
      <w:numFmt w:val="decimal"/>
      <w:lvlText w:val="%3."/>
      <w:lvlJc w:val="left"/>
      <w:pPr>
        <w:tabs>
          <w:tab w:val="num" w:pos="1080"/>
        </w:tabs>
        <w:ind w:left="1080" w:hanging="360"/>
      </w:pPr>
      <w:rPr>
        <w:rFonts w:ascii="CG Omega" w:hAnsi="CG Omega" w:hint="default"/>
        <w:b w:val="0"/>
        <w:i w:val="0"/>
        <w:sz w:val="24"/>
        <w:szCs w:val="24"/>
      </w:rPr>
    </w:lvl>
    <w:lvl w:ilvl="3">
      <w:start w:val="1"/>
      <w:numFmt w:val="lowerLetter"/>
      <w:lvlText w:val="%4."/>
      <w:lvlJc w:val="left"/>
      <w:pPr>
        <w:tabs>
          <w:tab w:val="num" w:pos="1440"/>
        </w:tabs>
        <w:ind w:left="1440" w:hanging="360"/>
      </w:pPr>
      <w:rPr>
        <w:rFonts w:ascii="CG Omega" w:hAnsi="CG Omega" w:hint="default"/>
        <w:b w:val="0"/>
        <w:i w:val="0"/>
        <w:sz w:val="24"/>
        <w:szCs w:val="24"/>
      </w:rPr>
    </w:lvl>
    <w:lvl w:ilvl="4">
      <w:start w:val="1"/>
      <w:numFmt w:val="lowerRoman"/>
      <w:lvlText w:val="%5"/>
      <w:lvlJc w:val="left"/>
      <w:pPr>
        <w:tabs>
          <w:tab w:val="num" w:pos="1800"/>
        </w:tabs>
        <w:ind w:left="1800" w:hanging="360"/>
      </w:pPr>
      <w:rPr>
        <w:rFonts w:ascii="CG Omega" w:hAnsi="CG Omega" w:hint="default"/>
        <w:sz w:val="24"/>
        <w:szCs w:val="24"/>
      </w:rPr>
    </w:lvl>
    <w:lvl w:ilvl="5">
      <w:start w:val="1"/>
      <w:numFmt w:val="bullet"/>
      <w:lvlText w:val=""/>
      <w:lvlJc w:val="left"/>
      <w:pPr>
        <w:tabs>
          <w:tab w:val="num" w:pos="2160"/>
        </w:tabs>
        <w:ind w:left="2160" w:hanging="360"/>
      </w:pPr>
      <w:rPr>
        <w:rFonts w:ascii="Symbol" w:hAnsi="Symbol" w:hint="default"/>
        <w:color w:val="auto"/>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2">
    <w:nsid w:val="33521D60"/>
    <w:multiLevelType w:val="hybridMultilevel"/>
    <w:tmpl w:val="5C64EB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34C34C68"/>
    <w:multiLevelType w:val="hybridMultilevel"/>
    <w:tmpl w:val="EA3818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35703EC8"/>
    <w:multiLevelType w:val="hybridMultilevel"/>
    <w:tmpl w:val="8C40F3C8"/>
    <w:lvl w:ilvl="0" w:tplc="6CF4569C">
      <w:start w:val="1"/>
      <w:numFmt w:val="decimal"/>
      <w:lvlText w:val="%1."/>
      <w:lvlJc w:val="left"/>
      <w:pPr>
        <w:tabs>
          <w:tab w:val="num" w:pos="780"/>
        </w:tabs>
        <w:ind w:left="780" w:hanging="360"/>
      </w:pPr>
    </w:lvl>
    <w:lvl w:ilvl="1" w:tplc="FF3C2A5A">
      <w:start w:val="19"/>
      <w:numFmt w:val="upperLetter"/>
      <w:lvlText w:val="%2."/>
      <w:lvlJc w:val="left"/>
      <w:pPr>
        <w:tabs>
          <w:tab w:val="num" w:pos="1500"/>
        </w:tabs>
        <w:ind w:left="1500" w:hanging="360"/>
      </w:pPr>
      <w:rPr>
        <w:rFonts w:hint="default"/>
      </w:rPr>
    </w:lvl>
    <w:lvl w:ilvl="2" w:tplc="0409001B" w:tentative="1">
      <w:start w:val="1"/>
      <w:numFmt w:val="lowerRoman"/>
      <w:lvlText w:val="%3."/>
      <w:lvlJc w:val="right"/>
      <w:pPr>
        <w:tabs>
          <w:tab w:val="num" w:pos="2220"/>
        </w:tabs>
        <w:ind w:left="2220" w:hanging="180"/>
      </w:pPr>
    </w:lvl>
    <w:lvl w:ilvl="3" w:tplc="0409000F" w:tentative="1">
      <w:start w:val="1"/>
      <w:numFmt w:val="decimal"/>
      <w:lvlText w:val="%4."/>
      <w:lvlJc w:val="left"/>
      <w:pPr>
        <w:tabs>
          <w:tab w:val="num" w:pos="2940"/>
        </w:tabs>
        <w:ind w:left="2940" w:hanging="360"/>
      </w:pPr>
    </w:lvl>
    <w:lvl w:ilvl="4" w:tplc="04090019" w:tentative="1">
      <w:start w:val="1"/>
      <w:numFmt w:val="lowerLetter"/>
      <w:lvlText w:val="%5."/>
      <w:lvlJc w:val="left"/>
      <w:pPr>
        <w:tabs>
          <w:tab w:val="num" w:pos="3660"/>
        </w:tabs>
        <w:ind w:left="3660" w:hanging="360"/>
      </w:pPr>
    </w:lvl>
    <w:lvl w:ilvl="5" w:tplc="0409001B" w:tentative="1">
      <w:start w:val="1"/>
      <w:numFmt w:val="lowerRoman"/>
      <w:lvlText w:val="%6."/>
      <w:lvlJc w:val="right"/>
      <w:pPr>
        <w:tabs>
          <w:tab w:val="num" w:pos="4380"/>
        </w:tabs>
        <w:ind w:left="4380" w:hanging="180"/>
      </w:pPr>
    </w:lvl>
    <w:lvl w:ilvl="6" w:tplc="0409000F" w:tentative="1">
      <w:start w:val="1"/>
      <w:numFmt w:val="decimal"/>
      <w:lvlText w:val="%7."/>
      <w:lvlJc w:val="left"/>
      <w:pPr>
        <w:tabs>
          <w:tab w:val="num" w:pos="5100"/>
        </w:tabs>
        <w:ind w:left="5100" w:hanging="360"/>
      </w:pPr>
    </w:lvl>
    <w:lvl w:ilvl="7" w:tplc="04090019" w:tentative="1">
      <w:start w:val="1"/>
      <w:numFmt w:val="lowerLetter"/>
      <w:lvlText w:val="%8."/>
      <w:lvlJc w:val="left"/>
      <w:pPr>
        <w:tabs>
          <w:tab w:val="num" w:pos="5820"/>
        </w:tabs>
        <w:ind w:left="5820" w:hanging="360"/>
      </w:pPr>
    </w:lvl>
    <w:lvl w:ilvl="8" w:tplc="0409001B" w:tentative="1">
      <w:start w:val="1"/>
      <w:numFmt w:val="lowerRoman"/>
      <w:lvlText w:val="%9."/>
      <w:lvlJc w:val="right"/>
      <w:pPr>
        <w:tabs>
          <w:tab w:val="num" w:pos="6540"/>
        </w:tabs>
        <w:ind w:left="6540" w:hanging="180"/>
      </w:pPr>
    </w:lvl>
  </w:abstractNum>
  <w:abstractNum w:abstractNumId="35">
    <w:nsid w:val="37BA28FE"/>
    <w:multiLevelType w:val="multilevel"/>
    <w:tmpl w:val="0AEC5F12"/>
    <w:lvl w:ilvl="0">
      <w:start w:val="1"/>
      <w:numFmt w:val="decimal"/>
      <w:lvlText w:val="%1."/>
      <w:lvlJc w:val="left"/>
      <w:pPr>
        <w:tabs>
          <w:tab w:val="num" w:pos="360"/>
        </w:tabs>
        <w:ind w:left="360" w:hanging="360"/>
      </w:pPr>
      <w:rPr>
        <w:rFonts w:ascii="CG Omega" w:hAnsi="CG Omega" w:hint="default"/>
        <w:b w:val="0"/>
        <w:i w:val="0"/>
        <w:sz w:val="22"/>
        <w:szCs w:val="22"/>
      </w:rPr>
    </w:lvl>
    <w:lvl w:ilvl="1">
      <w:start w:val="1"/>
      <w:numFmt w:val="lowerLetter"/>
      <w:lvlText w:val="%2."/>
      <w:lvlJc w:val="left"/>
      <w:pPr>
        <w:tabs>
          <w:tab w:val="num" w:pos="720"/>
        </w:tabs>
        <w:ind w:left="720" w:hanging="360"/>
      </w:pPr>
      <w:rPr>
        <w:rFonts w:ascii="CG Omega" w:hAnsi="CG Omega" w:hint="default"/>
        <w:b w:val="0"/>
        <w:i w:val="0"/>
        <w:sz w:val="22"/>
        <w:szCs w:val="22"/>
      </w:rPr>
    </w:lvl>
    <w:lvl w:ilvl="2">
      <w:numFmt w:val="bullet"/>
      <w:lvlText w:val=""/>
      <w:lvlJc w:val="left"/>
      <w:pPr>
        <w:tabs>
          <w:tab w:val="num" w:pos="1080"/>
        </w:tabs>
        <w:ind w:left="1080" w:hanging="360"/>
      </w:pPr>
      <w:rPr>
        <w:rFonts w:ascii="Symbol" w:hAnsi="Symbol" w:hint="default"/>
        <w:b w:val="0"/>
        <w:i w:val="0"/>
        <w:color w:val="auto"/>
        <w:sz w:val="22"/>
      </w:rPr>
    </w:lvl>
    <w:lvl w:ilvl="3">
      <w:start w:val="1"/>
      <w:numFmt w:val="lowerLetter"/>
      <w:lvlText w:val="%4"/>
      <w:lvlJc w:val="left"/>
      <w:pPr>
        <w:tabs>
          <w:tab w:val="num" w:pos="1440"/>
        </w:tabs>
        <w:ind w:left="1440" w:hanging="360"/>
      </w:pPr>
      <w:rPr>
        <w:rFonts w:hint="default"/>
        <w:b w:val="0"/>
        <w:i w:val="0"/>
        <w:sz w:val="22"/>
      </w:rPr>
    </w:lvl>
    <w:lvl w:ilvl="4">
      <w:start w:val="1"/>
      <w:numFmt w:val="lowerRoman"/>
      <w:lvlText w:val="%5"/>
      <w:lvlJc w:val="left"/>
      <w:pPr>
        <w:tabs>
          <w:tab w:val="num" w:pos="1800"/>
        </w:tabs>
        <w:ind w:left="1800" w:hanging="360"/>
      </w:pPr>
      <w:rPr>
        <w:rFonts w:hint="default"/>
      </w:rPr>
    </w:lvl>
    <w:lvl w:ilvl="5">
      <w:start w:val="1"/>
      <w:numFmt w:val="bullet"/>
      <w:lvlText w:val=""/>
      <w:lvlJc w:val="left"/>
      <w:pPr>
        <w:tabs>
          <w:tab w:val="num" w:pos="1800"/>
        </w:tabs>
        <w:ind w:left="1800" w:hanging="360"/>
      </w:pPr>
      <w:rPr>
        <w:rFonts w:ascii="Symbol" w:hAnsi="Symbol" w:hint="default"/>
        <w:color w:val="auto"/>
      </w:rPr>
    </w:lvl>
    <w:lvl w:ilvl="6">
      <w:start w:val="1"/>
      <w:numFmt w:val="bullet"/>
      <w:lvlText w:val="►"/>
      <w:lvlJc w:val="left"/>
      <w:pPr>
        <w:tabs>
          <w:tab w:val="num" w:pos="2160"/>
        </w:tabs>
        <w:ind w:left="2160" w:hanging="360"/>
      </w:pPr>
      <w:rPr>
        <w:rFonts w:ascii="CG Omega" w:hAnsi="CG Omega" w:hint="default"/>
        <w:sz w:val="16"/>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36">
    <w:nsid w:val="3A7F612A"/>
    <w:multiLevelType w:val="hybridMultilevel"/>
    <w:tmpl w:val="C776B3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3B8B1639"/>
    <w:multiLevelType w:val="hybridMultilevel"/>
    <w:tmpl w:val="83C22DF0"/>
    <w:lvl w:ilvl="0" w:tplc="04090003">
      <w:start w:val="1"/>
      <w:numFmt w:val="bullet"/>
      <w:lvlText w:val="o"/>
      <w:lvlJc w:val="left"/>
      <w:pPr>
        <w:tabs>
          <w:tab w:val="num" w:pos="1080"/>
        </w:tabs>
        <w:ind w:left="1080" w:hanging="360"/>
      </w:pPr>
      <w:rPr>
        <w:rFonts w:ascii="Courier New" w:hAnsi="Courier New" w:cs="Courier New" w:hint="default"/>
        <w:b w:val="0"/>
        <w:bCs/>
        <w:i w:val="0"/>
        <w:iCs w:val="0"/>
        <w:sz w:val="22"/>
        <w:szCs w:val="22"/>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8">
    <w:nsid w:val="3BE16ACD"/>
    <w:multiLevelType w:val="hybridMultilevel"/>
    <w:tmpl w:val="1F961B3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nsid w:val="3EDF3C09"/>
    <w:multiLevelType w:val="hybridMultilevel"/>
    <w:tmpl w:val="0DF49D62"/>
    <w:lvl w:ilvl="0" w:tplc="5524DC9E">
      <w:start w:val="1"/>
      <w:numFmt w:val="decimal"/>
      <w:lvlText w:val="%1."/>
      <w:lvlJc w:val="left"/>
      <w:pPr>
        <w:tabs>
          <w:tab w:val="num" w:pos="360"/>
        </w:tabs>
        <w:ind w:left="360" w:hanging="360"/>
      </w:pPr>
      <w:rPr>
        <w:rFonts w:ascii="CG Omega" w:hAnsi="CG Omega" w:hint="default"/>
        <w:b w:val="0"/>
        <w:i w:val="0"/>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
    <w:nsid w:val="408C7F97"/>
    <w:multiLevelType w:val="hybridMultilevel"/>
    <w:tmpl w:val="296C6CA2"/>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nsid w:val="452C5F27"/>
    <w:multiLevelType w:val="hybridMultilevel"/>
    <w:tmpl w:val="6C08F256"/>
    <w:lvl w:ilvl="0" w:tplc="BFCC9C1A">
      <w:start w:val="1"/>
      <w:numFmt w:val="decimal"/>
      <w:lvlText w:val="%1."/>
      <w:lvlJc w:val="center"/>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2">
    <w:nsid w:val="472C2CEF"/>
    <w:multiLevelType w:val="multilevel"/>
    <w:tmpl w:val="578E5CC2"/>
    <w:lvl w:ilvl="0">
      <w:start w:val="1"/>
      <w:numFmt w:val="decimal"/>
      <w:lvlText w:val="%1."/>
      <w:lvlJc w:val="left"/>
      <w:pPr>
        <w:tabs>
          <w:tab w:val="num" w:pos="360"/>
        </w:tabs>
        <w:ind w:left="360" w:hanging="360"/>
      </w:pPr>
      <w:rPr>
        <w:rFonts w:ascii="CG Omega" w:hAnsi="CG Omega" w:hint="default"/>
        <w:b w:val="0"/>
        <w:i w:val="0"/>
        <w:sz w:val="24"/>
        <w:szCs w:val="24"/>
      </w:rPr>
    </w:lvl>
    <w:lvl w:ilvl="1">
      <w:start w:val="1"/>
      <w:numFmt w:val="upperLetter"/>
      <w:lvlText w:val="%2."/>
      <w:lvlJc w:val="left"/>
      <w:pPr>
        <w:tabs>
          <w:tab w:val="num" w:pos="720"/>
        </w:tabs>
        <w:ind w:left="720" w:hanging="360"/>
      </w:pPr>
      <w:rPr>
        <w:rFonts w:ascii="CG Omega" w:hAnsi="CG Omega" w:hint="default"/>
        <w:b w:val="0"/>
        <w:i w:val="0"/>
        <w:sz w:val="24"/>
        <w:szCs w:val="24"/>
      </w:rPr>
    </w:lvl>
    <w:lvl w:ilvl="2">
      <w:start w:val="1"/>
      <w:numFmt w:val="decimal"/>
      <w:lvlText w:val="%3."/>
      <w:lvlJc w:val="left"/>
      <w:pPr>
        <w:tabs>
          <w:tab w:val="num" w:pos="1080"/>
        </w:tabs>
        <w:ind w:left="1080" w:hanging="360"/>
      </w:pPr>
      <w:rPr>
        <w:rFonts w:ascii="CG Omega" w:hAnsi="CG Omega" w:hint="default"/>
        <w:b w:val="0"/>
        <w:i w:val="0"/>
        <w:sz w:val="24"/>
        <w:szCs w:val="24"/>
      </w:rPr>
    </w:lvl>
    <w:lvl w:ilvl="3">
      <w:start w:val="1"/>
      <w:numFmt w:val="lowerLetter"/>
      <w:lvlText w:val="%4."/>
      <w:lvlJc w:val="left"/>
      <w:pPr>
        <w:tabs>
          <w:tab w:val="num" w:pos="1440"/>
        </w:tabs>
        <w:ind w:left="1440" w:hanging="360"/>
      </w:pPr>
      <w:rPr>
        <w:rFonts w:ascii="CG Omega" w:hAnsi="CG Omega" w:hint="default"/>
        <w:b w:val="0"/>
        <w:i w:val="0"/>
        <w:sz w:val="24"/>
        <w:szCs w:val="24"/>
      </w:rPr>
    </w:lvl>
    <w:lvl w:ilvl="4">
      <w:start w:val="1"/>
      <w:numFmt w:val="lowerRoman"/>
      <w:lvlText w:val="%5"/>
      <w:lvlJc w:val="left"/>
      <w:pPr>
        <w:tabs>
          <w:tab w:val="num" w:pos="1800"/>
        </w:tabs>
        <w:ind w:left="1800" w:hanging="360"/>
      </w:pPr>
      <w:rPr>
        <w:rFonts w:ascii="CG Omega" w:hAnsi="CG Omega" w:hint="default"/>
        <w:sz w:val="24"/>
        <w:szCs w:val="24"/>
      </w:rPr>
    </w:lvl>
    <w:lvl w:ilvl="5">
      <w:start w:val="1"/>
      <w:numFmt w:val="bullet"/>
      <w:lvlText w:val=""/>
      <w:lvlJc w:val="left"/>
      <w:pPr>
        <w:tabs>
          <w:tab w:val="num" w:pos="2160"/>
        </w:tabs>
        <w:ind w:left="2160" w:hanging="360"/>
      </w:pPr>
      <w:rPr>
        <w:rFonts w:ascii="Symbol" w:hAnsi="Symbol" w:hint="default"/>
        <w:color w:val="auto"/>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3">
    <w:nsid w:val="47CC2F25"/>
    <w:multiLevelType w:val="hybridMultilevel"/>
    <w:tmpl w:val="8F8C65F4"/>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bullet"/>
      <w:lvlText w:val="o"/>
      <w:lvlJc w:val="left"/>
      <w:pPr>
        <w:tabs>
          <w:tab w:val="num" w:pos="1800"/>
        </w:tabs>
        <w:ind w:left="1800" w:hanging="360"/>
      </w:pPr>
      <w:rPr>
        <w:rFonts w:ascii="Courier New" w:hAnsi="Courier New" w:cs="Courier New" w:hint="default"/>
      </w:rPr>
    </w:lvl>
    <w:lvl w:ilvl="2" w:tplc="0409001B" w:tentative="1">
      <w:start w:val="1"/>
      <w:numFmt w:val="bullet"/>
      <w:lvlText w:val=""/>
      <w:lvlJc w:val="left"/>
      <w:pPr>
        <w:tabs>
          <w:tab w:val="num" w:pos="2520"/>
        </w:tabs>
        <w:ind w:left="2520" w:hanging="360"/>
      </w:pPr>
      <w:rPr>
        <w:rFonts w:ascii="Wingdings" w:hAnsi="Wingdings" w:hint="default"/>
      </w:rPr>
    </w:lvl>
    <w:lvl w:ilvl="3" w:tplc="0409000F" w:tentative="1">
      <w:start w:val="1"/>
      <w:numFmt w:val="bullet"/>
      <w:lvlText w:val=""/>
      <w:lvlJc w:val="left"/>
      <w:pPr>
        <w:tabs>
          <w:tab w:val="num" w:pos="3240"/>
        </w:tabs>
        <w:ind w:left="3240" w:hanging="360"/>
      </w:pPr>
      <w:rPr>
        <w:rFonts w:ascii="Symbol" w:hAnsi="Symbol" w:hint="default"/>
      </w:rPr>
    </w:lvl>
    <w:lvl w:ilvl="4" w:tplc="04090019" w:tentative="1">
      <w:start w:val="1"/>
      <w:numFmt w:val="bullet"/>
      <w:lvlText w:val="o"/>
      <w:lvlJc w:val="left"/>
      <w:pPr>
        <w:tabs>
          <w:tab w:val="num" w:pos="3960"/>
        </w:tabs>
        <w:ind w:left="3960" w:hanging="360"/>
      </w:pPr>
      <w:rPr>
        <w:rFonts w:ascii="Courier New" w:hAnsi="Courier New" w:cs="Courier New" w:hint="default"/>
      </w:rPr>
    </w:lvl>
    <w:lvl w:ilvl="5" w:tplc="0409001B" w:tentative="1">
      <w:start w:val="1"/>
      <w:numFmt w:val="bullet"/>
      <w:lvlText w:val=""/>
      <w:lvlJc w:val="left"/>
      <w:pPr>
        <w:tabs>
          <w:tab w:val="num" w:pos="4680"/>
        </w:tabs>
        <w:ind w:left="4680" w:hanging="360"/>
      </w:pPr>
      <w:rPr>
        <w:rFonts w:ascii="Wingdings" w:hAnsi="Wingdings" w:hint="default"/>
      </w:rPr>
    </w:lvl>
    <w:lvl w:ilvl="6" w:tplc="0409000F" w:tentative="1">
      <w:start w:val="1"/>
      <w:numFmt w:val="bullet"/>
      <w:lvlText w:val=""/>
      <w:lvlJc w:val="left"/>
      <w:pPr>
        <w:tabs>
          <w:tab w:val="num" w:pos="5400"/>
        </w:tabs>
        <w:ind w:left="5400" w:hanging="360"/>
      </w:pPr>
      <w:rPr>
        <w:rFonts w:ascii="Symbol" w:hAnsi="Symbol" w:hint="default"/>
      </w:rPr>
    </w:lvl>
    <w:lvl w:ilvl="7" w:tplc="04090019" w:tentative="1">
      <w:start w:val="1"/>
      <w:numFmt w:val="bullet"/>
      <w:lvlText w:val="o"/>
      <w:lvlJc w:val="left"/>
      <w:pPr>
        <w:tabs>
          <w:tab w:val="num" w:pos="6120"/>
        </w:tabs>
        <w:ind w:left="6120" w:hanging="360"/>
      </w:pPr>
      <w:rPr>
        <w:rFonts w:ascii="Courier New" w:hAnsi="Courier New" w:cs="Courier New" w:hint="default"/>
      </w:rPr>
    </w:lvl>
    <w:lvl w:ilvl="8" w:tplc="0409001B" w:tentative="1">
      <w:start w:val="1"/>
      <w:numFmt w:val="bullet"/>
      <w:lvlText w:val=""/>
      <w:lvlJc w:val="left"/>
      <w:pPr>
        <w:tabs>
          <w:tab w:val="num" w:pos="6840"/>
        </w:tabs>
        <w:ind w:left="6840" w:hanging="360"/>
      </w:pPr>
      <w:rPr>
        <w:rFonts w:ascii="Wingdings" w:hAnsi="Wingdings" w:hint="default"/>
      </w:rPr>
    </w:lvl>
  </w:abstractNum>
  <w:abstractNum w:abstractNumId="44">
    <w:nsid w:val="4F773F01"/>
    <w:multiLevelType w:val="hybridMultilevel"/>
    <w:tmpl w:val="85908D2A"/>
    <w:lvl w:ilvl="0" w:tplc="3C643DEC">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nsid w:val="50870DAC"/>
    <w:multiLevelType w:val="multilevel"/>
    <w:tmpl w:val="312EFF8A"/>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6">
    <w:nsid w:val="519B7431"/>
    <w:multiLevelType w:val="multilevel"/>
    <w:tmpl w:val="72E07EA0"/>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Courier New" w:hint="default"/>
      </w:rPr>
    </w:lvl>
    <w:lvl w:ilvl="2">
      <w:start w:val="1"/>
      <w:numFmt w:val="lowerRoman"/>
      <w:lvlText w:val="%3)"/>
      <w:lvlJc w:val="left"/>
      <w:pPr>
        <w:ind w:left="3420" w:hanging="720"/>
      </w:pPr>
      <w:rPr>
        <w:rFonts w:hint="default"/>
      </w:rPr>
    </w:lvl>
    <w:lvl w:ilvl="3" w:tentative="1">
      <w:start w:val="1"/>
      <w:numFmt w:val="decimal"/>
      <w:lvlText w:val="%4."/>
      <w:lvlJc w:val="left"/>
      <w:pPr>
        <w:ind w:left="3600" w:hanging="360"/>
      </w:pPr>
    </w:lvl>
    <w:lvl w:ilvl="4" w:tentative="1">
      <w:start w:val="1"/>
      <w:numFmt w:val="lowerLetter"/>
      <w:lvlText w:val="%5."/>
      <w:lvlJc w:val="left"/>
      <w:pPr>
        <w:ind w:left="4320" w:hanging="360"/>
      </w:pPr>
    </w:lvl>
    <w:lvl w:ilvl="5" w:tentative="1">
      <w:start w:val="1"/>
      <w:numFmt w:val="lowerRoman"/>
      <w:lvlText w:val="%6."/>
      <w:lvlJc w:val="right"/>
      <w:pPr>
        <w:ind w:left="5040" w:hanging="180"/>
      </w:pPr>
    </w:lvl>
    <w:lvl w:ilvl="6" w:tentative="1">
      <w:start w:val="1"/>
      <w:numFmt w:val="decimal"/>
      <w:lvlText w:val="%7."/>
      <w:lvlJc w:val="left"/>
      <w:pPr>
        <w:ind w:left="5760" w:hanging="360"/>
      </w:pPr>
    </w:lvl>
    <w:lvl w:ilvl="7" w:tentative="1">
      <w:start w:val="1"/>
      <w:numFmt w:val="lowerLetter"/>
      <w:lvlText w:val="%8."/>
      <w:lvlJc w:val="left"/>
      <w:pPr>
        <w:ind w:left="6480" w:hanging="360"/>
      </w:pPr>
    </w:lvl>
    <w:lvl w:ilvl="8" w:tentative="1">
      <w:start w:val="1"/>
      <w:numFmt w:val="lowerRoman"/>
      <w:lvlText w:val="%9."/>
      <w:lvlJc w:val="right"/>
      <w:pPr>
        <w:ind w:left="7200" w:hanging="180"/>
      </w:pPr>
    </w:lvl>
  </w:abstractNum>
  <w:abstractNum w:abstractNumId="47">
    <w:nsid w:val="54AD26AE"/>
    <w:multiLevelType w:val="multilevel"/>
    <w:tmpl w:val="312EFF8A"/>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8">
    <w:nsid w:val="581C7E59"/>
    <w:multiLevelType w:val="hybridMultilevel"/>
    <w:tmpl w:val="F660723C"/>
    <w:lvl w:ilvl="0" w:tplc="5B96FD3A">
      <w:start w:val="1"/>
      <w:numFmt w:val="decimal"/>
      <w:lvlText w:val="%1."/>
      <w:lvlJc w:val="left"/>
      <w:pPr>
        <w:tabs>
          <w:tab w:val="num" w:pos="360"/>
        </w:tabs>
        <w:ind w:left="360" w:hanging="360"/>
      </w:pPr>
      <w:rPr>
        <w:rFonts w:ascii="CG Omega" w:hAnsi="CG Omega" w:hint="default"/>
        <w:b w:val="0"/>
        <w:i w:val="0"/>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9">
    <w:nsid w:val="5A8737F6"/>
    <w:multiLevelType w:val="hybridMultilevel"/>
    <w:tmpl w:val="5B1C97BC"/>
    <w:lvl w:ilvl="0" w:tplc="A8A679AA">
      <w:start w:val="1"/>
      <w:numFmt w:val="bullet"/>
      <w:pStyle w:val="ListBullet"/>
      <w:lvlText w:val=""/>
      <w:lvlJc w:val="left"/>
      <w:pPr>
        <w:tabs>
          <w:tab w:val="num" w:pos="360"/>
        </w:tabs>
        <w:ind w:left="360" w:hanging="360"/>
      </w:pPr>
      <w:rPr>
        <w:rFonts w:ascii="Wingdings" w:hAnsi="Wingdings" w:hint="default"/>
        <w:color w:val="auto"/>
      </w:rPr>
    </w:lvl>
    <w:lvl w:ilvl="1" w:tplc="0FD6FF94" w:tentative="1">
      <w:start w:val="1"/>
      <w:numFmt w:val="bullet"/>
      <w:lvlText w:val="o"/>
      <w:lvlJc w:val="left"/>
      <w:pPr>
        <w:tabs>
          <w:tab w:val="num" w:pos="1440"/>
        </w:tabs>
        <w:ind w:left="1440" w:hanging="360"/>
      </w:pPr>
      <w:rPr>
        <w:rFonts w:ascii="Courier New" w:hAnsi="Courier New" w:cs="Courier New" w:hint="default"/>
      </w:rPr>
    </w:lvl>
    <w:lvl w:ilvl="2" w:tplc="7996039A" w:tentative="1">
      <w:start w:val="1"/>
      <w:numFmt w:val="bullet"/>
      <w:lvlText w:val=""/>
      <w:lvlJc w:val="left"/>
      <w:pPr>
        <w:tabs>
          <w:tab w:val="num" w:pos="2160"/>
        </w:tabs>
        <w:ind w:left="2160" w:hanging="360"/>
      </w:pPr>
      <w:rPr>
        <w:rFonts w:ascii="Wingdings" w:hAnsi="Wingdings" w:hint="default"/>
      </w:rPr>
    </w:lvl>
    <w:lvl w:ilvl="3" w:tplc="695E9972" w:tentative="1">
      <w:start w:val="1"/>
      <w:numFmt w:val="bullet"/>
      <w:lvlText w:val=""/>
      <w:lvlJc w:val="left"/>
      <w:pPr>
        <w:tabs>
          <w:tab w:val="num" w:pos="2880"/>
        </w:tabs>
        <w:ind w:left="2880" w:hanging="360"/>
      </w:pPr>
      <w:rPr>
        <w:rFonts w:ascii="Symbol" w:hAnsi="Symbol" w:hint="default"/>
      </w:rPr>
    </w:lvl>
    <w:lvl w:ilvl="4" w:tplc="38A2E62C" w:tentative="1">
      <w:start w:val="1"/>
      <w:numFmt w:val="bullet"/>
      <w:lvlText w:val="o"/>
      <w:lvlJc w:val="left"/>
      <w:pPr>
        <w:tabs>
          <w:tab w:val="num" w:pos="3600"/>
        </w:tabs>
        <w:ind w:left="3600" w:hanging="360"/>
      </w:pPr>
      <w:rPr>
        <w:rFonts w:ascii="Courier New" w:hAnsi="Courier New" w:cs="Courier New" w:hint="default"/>
      </w:rPr>
    </w:lvl>
    <w:lvl w:ilvl="5" w:tplc="E05CB92A" w:tentative="1">
      <w:start w:val="1"/>
      <w:numFmt w:val="bullet"/>
      <w:lvlText w:val=""/>
      <w:lvlJc w:val="left"/>
      <w:pPr>
        <w:tabs>
          <w:tab w:val="num" w:pos="4320"/>
        </w:tabs>
        <w:ind w:left="4320" w:hanging="360"/>
      </w:pPr>
      <w:rPr>
        <w:rFonts w:ascii="Wingdings" w:hAnsi="Wingdings" w:hint="default"/>
      </w:rPr>
    </w:lvl>
    <w:lvl w:ilvl="6" w:tplc="2AF66280" w:tentative="1">
      <w:start w:val="1"/>
      <w:numFmt w:val="bullet"/>
      <w:lvlText w:val=""/>
      <w:lvlJc w:val="left"/>
      <w:pPr>
        <w:tabs>
          <w:tab w:val="num" w:pos="5040"/>
        </w:tabs>
        <w:ind w:left="5040" w:hanging="360"/>
      </w:pPr>
      <w:rPr>
        <w:rFonts w:ascii="Symbol" w:hAnsi="Symbol" w:hint="default"/>
      </w:rPr>
    </w:lvl>
    <w:lvl w:ilvl="7" w:tplc="2BD4E79C" w:tentative="1">
      <w:start w:val="1"/>
      <w:numFmt w:val="bullet"/>
      <w:lvlText w:val="o"/>
      <w:lvlJc w:val="left"/>
      <w:pPr>
        <w:tabs>
          <w:tab w:val="num" w:pos="5760"/>
        </w:tabs>
        <w:ind w:left="5760" w:hanging="360"/>
      </w:pPr>
      <w:rPr>
        <w:rFonts w:ascii="Courier New" w:hAnsi="Courier New" w:cs="Courier New" w:hint="default"/>
      </w:rPr>
    </w:lvl>
    <w:lvl w:ilvl="8" w:tplc="FB2ED86E" w:tentative="1">
      <w:start w:val="1"/>
      <w:numFmt w:val="bullet"/>
      <w:lvlText w:val=""/>
      <w:lvlJc w:val="left"/>
      <w:pPr>
        <w:tabs>
          <w:tab w:val="num" w:pos="6480"/>
        </w:tabs>
        <w:ind w:left="6480" w:hanging="360"/>
      </w:pPr>
      <w:rPr>
        <w:rFonts w:ascii="Wingdings" w:hAnsi="Wingdings" w:hint="default"/>
      </w:rPr>
    </w:lvl>
  </w:abstractNum>
  <w:abstractNum w:abstractNumId="50">
    <w:nsid w:val="5AD97494"/>
    <w:multiLevelType w:val="hybridMultilevel"/>
    <w:tmpl w:val="2D1610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5B994BD2"/>
    <w:multiLevelType w:val="hybridMultilevel"/>
    <w:tmpl w:val="E01C567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
    <w:nsid w:val="5F8826B6"/>
    <w:multiLevelType w:val="multilevel"/>
    <w:tmpl w:val="FA58C950"/>
    <w:lvl w:ilvl="0">
      <w:start w:val="1"/>
      <w:numFmt w:val="decimal"/>
      <w:lvlText w:val="%1."/>
      <w:lvlJc w:val="left"/>
      <w:pPr>
        <w:tabs>
          <w:tab w:val="num" w:pos="360"/>
        </w:tabs>
        <w:ind w:left="360" w:hanging="360"/>
      </w:pPr>
      <w:rPr>
        <w:rFonts w:ascii="CG Omega" w:hAnsi="CG Omega" w:hint="default"/>
        <w:b w:val="0"/>
        <w:i w:val="0"/>
        <w:sz w:val="24"/>
        <w:szCs w:val="24"/>
      </w:rPr>
    </w:lvl>
    <w:lvl w:ilvl="1">
      <w:start w:val="1"/>
      <w:numFmt w:val="upperLetter"/>
      <w:lvlText w:val="%2."/>
      <w:lvlJc w:val="left"/>
      <w:pPr>
        <w:tabs>
          <w:tab w:val="num" w:pos="720"/>
        </w:tabs>
        <w:ind w:left="720" w:hanging="360"/>
      </w:pPr>
      <w:rPr>
        <w:rFonts w:ascii="CG Omega" w:hAnsi="CG Omega" w:hint="default"/>
        <w:b w:val="0"/>
        <w:i w:val="0"/>
        <w:sz w:val="24"/>
        <w:szCs w:val="24"/>
      </w:rPr>
    </w:lvl>
    <w:lvl w:ilvl="2">
      <w:start w:val="1"/>
      <w:numFmt w:val="decimal"/>
      <w:lvlText w:val="%3."/>
      <w:lvlJc w:val="left"/>
      <w:pPr>
        <w:tabs>
          <w:tab w:val="num" w:pos="1080"/>
        </w:tabs>
        <w:ind w:left="1080" w:hanging="360"/>
      </w:pPr>
      <w:rPr>
        <w:rFonts w:ascii="CG Omega" w:hAnsi="CG Omega" w:hint="default"/>
        <w:b w:val="0"/>
        <w:i w:val="0"/>
        <w:sz w:val="24"/>
        <w:szCs w:val="24"/>
      </w:rPr>
    </w:lvl>
    <w:lvl w:ilvl="3">
      <w:start w:val="1"/>
      <w:numFmt w:val="lowerLetter"/>
      <w:lvlText w:val="%4."/>
      <w:lvlJc w:val="left"/>
      <w:pPr>
        <w:tabs>
          <w:tab w:val="num" w:pos="1440"/>
        </w:tabs>
        <w:ind w:left="1440" w:hanging="360"/>
      </w:pPr>
      <w:rPr>
        <w:rFonts w:ascii="CG Omega" w:hAnsi="CG Omega" w:hint="default"/>
        <w:b w:val="0"/>
        <w:i w:val="0"/>
        <w:sz w:val="24"/>
        <w:szCs w:val="24"/>
      </w:rPr>
    </w:lvl>
    <w:lvl w:ilvl="4">
      <w:start w:val="1"/>
      <w:numFmt w:val="lowerRoman"/>
      <w:lvlText w:val="%5"/>
      <w:lvlJc w:val="left"/>
      <w:pPr>
        <w:tabs>
          <w:tab w:val="num" w:pos="1800"/>
        </w:tabs>
        <w:ind w:left="1800" w:hanging="360"/>
      </w:pPr>
      <w:rPr>
        <w:rFonts w:ascii="CG Omega" w:hAnsi="CG Omega" w:hint="default"/>
        <w:sz w:val="24"/>
        <w:szCs w:val="24"/>
      </w:rPr>
    </w:lvl>
    <w:lvl w:ilvl="5">
      <w:start w:val="1"/>
      <w:numFmt w:val="bullet"/>
      <w:lvlText w:val=""/>
      <w:lvlJc w:val="left"/>
      <w:pPr>
        <w:tabs>
          <w:tab w:val="num" w:pos="2160"/>
        </w:tabs>
        <w:ind w:left="2160" w:hanging="360"/>
      </w:pPr>
      <w:rPr>
        <w:rFonts w:ascii="Symbol" w:hAnsi="Symbol" w:hint="default"/>
        <w:color w:val="auto"/>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3">
    <w:nsid w:val="60D635CB"/>
    <w:multiLevelType w:val="multilevel"/>
    <w:tmpl w:val="08920F72"/>
    <w:lvl w:ilvl="0">
      <w:start w:val="1"/>
      <w:numFmt w:val="decimal"/>
      <w:lvlText w:val="%1."/>
      <w:lvlJc w:val="left"/>
      <w:pPr>
        <w:tabs>
          <w:tab w:val="num" w:pos="360"/>
        </w:tabs>
        <w:ind w:left="360" w:hanging="360"/>
      </w:pPr>
      <w:rPr>
        <w:rFonts w:ascii="CG Omega" w:hAnsi="CG Omega" w:hint="default"/>
        <w:b w:val="0"/>
        <w:i w:val="0"/>
        <w:sz w:val="24"/>
        <w:szCs w:val="24"/>
      </w:rPr>
    </w:lvl>
    <w:lvl w:ilvl="1">
      <w:start w:val="1"/>
      <w:numFmt w:val="upperLetter"/>
      <w:lvlText w:val="%2."/>
      <w:lvlJc w:val="left"/>
      <w:pPr>
        <w:tabs>
          <w:tab w:val="num" w:pos="720"/>
        </w:tabs>
        <w:ind w:left="720" w:hanging="360"/>
      </w:pPr>
      <w:rPr>
        <w:rFonts w:ascii="CG Omega" w:hAnsi="CG Omega" w:hint="default"/>
        <w:b w:val="0"/>
        <w:i w:val="0"/>
        <w:sz w:val="24"/>
        <w:szCs w:val="24"/>
      </w:rPr>
    </w:lvl>
    <w:lvl w:ilvl="2">
      <w:start w:val="1"/>
      <w:numFmt w:val="decimal"/>
      <w:lvlText w:val="%3."/>
      <w:lvlJc w:val="left"/>
      <w:pPr>
        <w:tabs>
          <w:tab w:val="num" w:pos="1080"/>
        </w:tabs>
        <w:ind w:left="1080" w:hanging="360"/>
      </w:pPr>
      <w:rPr>
        <w:rFonts w:ascii="CG Omega" w:hAnsi="CG Omega" w:hint="default"/>
        <w:b w:val="0"/>
        <w:i w:val="0"/>
        <w:sz w:val="24"/>
        <w:szCs w:val="24"/>
      </w:rPr>
    </w:lvl>
    <w:lvl w:ilvl="3">
      <w:start w:val="1"/>
      <w:numFmt w:val="lowerLetter"/>
      <w:lvlText w:val="%4."/>
      <w:lvlJc w:val="left"/>
      <w:pPr>
        <w:tabs>
          <w:tab w:val="num" w:pos="1440"/>
        </w:tabs>
        <w:ind w:left="1440" w:hanging="360"/>
      </w:pPr>
      <w:rPr>
        <w:rFonts w:ascii="CG Omega" w:hAnsi="CG Omega" w:hint="default"/>
        <w:b w:val="0"/>
        <w:i w:val="0"/>
        <w:sz w:val="24"/>
        <w:szCs w:val="24"/>
      </w:rPr>
    </w:lvl>
    <w:lvl w:ilvl="4">
      <w:start w:val="1"/>
      <w:numFmt w:val="lowerRoman"/>
      <w:lvlText w:val="%5"/>
      <w:lvlJc w:val="left"/>
      <w:pPr>
        <w:tabs>
          <w:tab w:val="num" w:pos="1800"/>
        </w:tabs>
        <w:ind w:left="1800" w:hanging="360"/>
      </w:pPr>
      <w:rPr>
        <w:rFonts w:ascii="CG Omega" w:hAnsi="CG Omega" w:hint="default"/>
        <w:sz w:val="24"/>
        <w:szCs w:val="24"/>
      </w:rPr>
    </w:lvl>
    <w:lvl w:ilvl="5">
      <w:start w:val="1"/>
      <w:numFmt w:val="bullet"/>
      <w:lvlText w:val=""/>
      <w:lvlJc w:val="left"/>
      <w:pPr>
        <w:tabs>
          <w:tab w:val="num" w:pos="2160"/>
        </w:tabs>
        <w:ind w:left="2160" w:hanging="360"/>
      </w:pPr>
      <w:rPr>
        <w:rFonts w:ascii="Symbol" w:hAnsi="Symbol" w:hint="default"/>
        <w:color w:val="auto"/>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4">
    <w:nsid w:val="63FC0957"/>
    <w:multiLevelType w:val="multilevel"/>
    <w:tmpl w:val="03C6120A"/>
    <w:lvl w:ilvl="0">
      <w:start w:val="1"/>
      <w:numFmt w:val="decimal"/>
      <w:lvlText w:val="%1."/>
      <w:lvlJc w:val="left"/>
      <w:pPr>
        <w:tabs>
          <w:tab w:val="num" w:pos="360"/>
        </w:tabs>
        <w:ind w:left="360" w:hanging="360"/>
      </w:pPr>
      <w:rPr>
        <w:rFonts w:ascii="CG Omega" w:hAnsi="CG Omega" w:hint="default"/>
        <w:b w:val="0"/>
        <w:i w:val="0"/>
        <w:sz w:val="24"/>
        <w:szCs w:val="24"/>
      </w:rPr>
    </w:lvl>
    <w:lvl w:ilvl="1">
      <w:start w:val="1"/>
      <w:numFmt w:val="upperLetter"/>
      <w:lvlText w:val="%2."/>
      <w:lvlJc w:val="left"/>
      <w:pPr>
        <w:tabs>
          <w:tab w:val="num" w:pos="720"/>
        </w:tabs>
        <w:ind w:left="720" w:hanging="360"/>
      </w:pPr>
      <w:rPr>
        <w:rFonts w:ascii="CG Omega" w:hAnsi="CG Omega" w:hint="default"/>
        <w:b w:val="0"/>
        <w:i w:val="0"/>
        <w:sz w:val="24"/>
        <w:szCs w:val="24"/>
      </w:rPr>
    </w:lvl>
    <w:lvl w:ilvl="2">
      <w:start w:val="1"/>
      <w:numFmt w:val="decimal"/>
      <w:lvlText w:val="%3."/>
      <w:lvlJc w:val="left"/>
      <w:pPr>
        <w:tabs>
          <w:tab w:val="num" w:pos="1080"/>
        </w:tabs>
        <w:ind w:left="1080" w:hanging="360"/>
      </w:pPr>
      <w:rPr>
        <w:rFonts w:ascii="CG Omega" w:hAnsi="CG Omega" w:hint="default"/>
        <w:b w:val="0"/>
        <w:i w:val="0"/>
        <w:sz w:val="24"/>
        <w:szCs w:val="24"/>
      </w:rPr>
    </w:lvl>
    <w:lvl w:ilvl="3">
      <w:start w:val="1"/>
      <w:numFmt w:val="lowerLetter"/>
      <w:lvlText w:val="%4."/>
      <w:lvlJc w:val="left"/>
      <w:pPr>
        <w:tabs>
          <w:tab w:val="num" w:pos="1440"/>
        </w:tabs>
        <w:ind w:left="1440" w:hanging="360"/>
      </w:pPr>
      <w:rPr>
        <w:rFonts w:ascii="CG Omega" w:hAnsi="CG Omega" w:hint="default"/>
        <w:b w:val="0"/>
        <w:i w:val="0"/>
        <w:sz w:val="24"/>
        <w:szCs w:val="24"/>
      </w:rPr>
    </w:lvl>
    <w:lvl w:ilvl="4">
      <w:start w:val="1"/>
      <w:numFmt w:val="lowerRoman"/>
      <w:lvlText w:val="%5"/>
      <w:lvlJc w:val="left"/>
      <w:pPr>
        <w:tabs>
          <w:tab w:val="num" w:pos="1800"/>
        </w:tabs>
        <w:ind w:left="1800" w:hanging="360"/>
      </w:pPr>
      <w:rPr>
        <w:rFonts w:ascii="CG Omega" w:hAnsi="CG Omega" w:hint="default"/>
        <w:sz w:val="24"/>
        <w:szCs w:val="24"/>
      </w:rPr>
    </w:lvl>
    <w:lvl w:ilvl="5">
      <w:start w:val="1"/>
      <w:numFmt w:val="bullet"/>
      <w:lvlText w:val=""/>
      <w:lvlJc w:val="left"/>
      <w:pPr>
        <w:tabs>
          <w:tab w:val="num" w:pos="2160"/>
        </w:tabs>
        <w:ind w:left="2160" w:hanging="360"/>
      </w:pPr>
      <w:rPr>
        <w:rFonts w:ascii="Symbol" w:hAnsi="Symbol" w:hint="default"/>
        <w:color w:val="auto"/>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5">
    <w:nsid w:val="648521B1"/>
    <w:multiLevelType w:val="hybridMultilevel"/>
    <w:tmpl w:val="A226F724"/>
    <w:lvl w:ilvl="0" w:tplc="DBD07388">
      <w:start w:val="1"/>
      <w:numFmt w:val="decimal"/>
      <w:lvlText w:val="%1."/>
      <w:lvlJc w:val="left"/>
      <w:pPr>
        <w:ind w:left="0" w:firstLine="360"/>
      </w:pPr>
      <w:rPr>
        <w:rFonts w:ascii="CG Omega" w:eastAsia="Times New Roman" w:hAnsi="CG Omega" w:cs="Times New Roman" w:hint="default"/>
      </w:rPr>
    </w:lvl>
    <w:lvl w:ilvl="1" w:tplc="04090019">
      <w:start w:val="1"/>
      <w:numFmt w:val="lowerLetter"/>
      <w:lvlText w:val="%2."/>
      <w:lvlJc w:val="left"/>
      <w:pPr>
        <w:tabs>
          <w:tab w:val="num" w:pos="1080"/>
        </w:tabs>
        <w:ind w:left="108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6">
    <w:nsid w:val="656A4D14"/>
    <w:multiLevelType w:val="hybridMultilevel"/>
    <w:tmpl w:val="6F5C98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66B0327E"/>
    <w:multiLevelType w:val="multilevel"/>
    <w:tmpl w:val="08920F72"/>
    <w:lvl w:ilvl="0">
      <w:start w:val="1"/>
      <w:numFmt w:val="decimal"/>
      <w:lvlText w:val="%1."/>
      <w:lvlJc w:val="left"/>
      <w:pPr>
        <w:tabs>
          <w:tab w:val="num" w:pos="360"/>
        </w:tabs>
        <w:ind w:left="360" w:hanging="360"/>
      </w:pPr>
      <w:rPr>
        <w:rFonts w:ascii="CG Omega" w:hAnsi="CG Omega" w:hint="default"/>
        <w:b w:val="0"/>
        <w:i w:val="0"/>
        <w:sz w:val="24"/>
        <w:szCs w:val="24"/>
      </w:rPr>
    </w:lvl>
    <w:lvl w:ilvl="1">
      <w:start w:val="1"/>
      <w:numFmt w:val="upperLetter"/>
      <w:lvlText w:val="%2."/>
      <w:lvlJc w:val="left"/>
      <w:pPr>
        <w:tabs>
          <w:tab w:val="num" w:pos="720"/>
        </w:tabs>
        <w:ind w:left="720" w:hanging="360"/>
      </w:pPr>
      <w:rPr>
        <w:rFonts w:ascii="CG Omega" w:hAnsi="CG Omega" w:hint="default"/>
        <w:b w:val="0"/>
        <w:i w:val="0"/>
        <w:sz w:val="24"/>
        <w:szCs w:val="24"/>
      </w:rPr>
    </w:lvl>
    <w:lvl w:ilvl="2">
      <w:start w:val="1"/>
      <w:numFmt w:val="decimal"/>
      <w:lvlText w:val="%3."/>
      <w:lvlJc w:val="left"/>
      <w:pPr>
        <w:tabs>
          <w:tab w:val="num" w:pos="1080"/>
        </w:tabs>
        <w:ind w:left="1080" w:hanging="360"/>
      </w:pPr>
      <w:rPr>
        <w:rFonts w:ascii="CG Omega" w:hAnsi="CG Omega" w:hint="default"/>
        <w:b w:val="0"/>
        <w:i w:val="0"/>
        <w:sz w:val="24"/>
        <w:szCs w:val="24"/>
      </w:rPr>
    </w:lvl>
    <w:lvl w:ilvl="3">
      <w:start w:val="1"/>
      <w:numFmt w:val="lowerLetter"/>
      <w:lvlText w:val="%4."/>
      <w:lvlJc w:val="left"/>
      <w:pPr>
        <w:tabs>
          <w:tab w:val="num" w:pos="1440"/>
        </w:tabs>
        <w:ind w:left="1440" w:hanging="360"/>
      </w:pPr>
      <w:rPr>
        <w:rFonts w:ascii="CG Omega" w:hAnsi="CG Omega" w:hint="default"/>
        <w:b w:val="0"/>
        <w:i w:val="0"/>
        <w:sz w:val="24"/>
        <w:szCs w:val="24"/>
      </w:rPr>
    </w:lvl>
    <w:lvl w:ilvl="4">
      <w:start w:val="1"/>
      <w:numFmt w:val="lowerRoman"/>
      <w:lvlText w:val="%5"/>
      <w:lvlJc w:val="left"/>
      <w:pPr>
        <w:tabs>
          <w:tab w:val="num" w:pos="1800"/>
        </w:tabs>
        <w:ind w:left="1800" w:hanging="360"/>
      </w:pPr>
      <w:rPr>
        <w:rFonts w:ascii="CG Omega" w:hAnsi="CG Omega" w:hint="default"/>
        <w:sz w:val="24"/>
        <w:szCs w:val="24"/>
      </w:rPr>
    </w:lvl>
    <w:lvl w:ilvl="5">
      <w:start w:val="1"/>
      <w:numFmt w:val="bullet"/>
      <w:lvlText w:val=""/>
      <w:lvlJc w:val="left"/>
      <w:pPr>
        <w:tabs>
          <w:tab w:val="num" w:pos="2160"/>
        </w:tabs>
        <w:ind w:left="2160" w:hanging="360"/>
      </w:pPr>
      <w:rPr>
        <w:rFonts w:ascii="Symbol" w:hAnsi="Symbol" w:hint="default"/>
        <w:color w:val="auto"/>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8">
    <w:nsid w:val="671E4863"/>
    <w:multiLevelType w:val="hybridMultilevel"/>
    <w:tmpl w:val="A9E89F4A"/>
    <w:lvl w:ilvl="0" w:tplc="04090001">
      <w:start w:val="1"/>
      <w:numFmt w:val="bullet"/>
      <w:lvlText w:val=""/>
      <w:lvlJc w:val="left"/>
      <w:pPr>
        <w:tabs>
          <w:tab w:val="num" w:pos="360"/>
        </w:tabs>
        <w:ind w:left="360" w:hanging="360"/>
      </w:pPr>
      <w:rPr>
        <w:rFonts w:ascii="Symbol" w:hAnsi="Symbol" w:hint="default"/>
        <w:color w:val="auto"/>
      </w:rPr>
    </w:lvl>
    <w:lvl w:ilvl="1" w:tplc="0FD6FF94" w:tentative="1">
      <w:start w:val="1"/>
      <w:numFmt w:val="bullet"/>
      <w:lvlText w:val="o"/>
      <w:lvlJc w:val="left"/>
      <w:pPr>
        <w:tabs>
          <w:tab w:val="num" w:pos="1440"/>
        </w:tabs>
        <w:ind w:left="1440" w:hanging="360"/>
      </w:pPr>
      <w:rPr>
        <w:rFonts w:ascii="Courier New" w:hAnsi="Courier New" w:cs="Courier New" w:hint="default"/>
      </w:rPr>
    </w:lvl>
    <w:lvl w:ilvl="2" w:tplc="7996039A" w:tentative="1">
      <w:start w:val="1"/>
      <w:numFmt w:val="bullet"/>
      <w:lvlText w:val=""/>
      <w:lvlJc w:val="left"/>
      <w:pPr>
        <w:tabs>
          <w:tab w:val="num" w:pos="2160"/>
        </w:tabs>
        <w:ind w:left="2160" w:hanging="360"/>
      </w:pPr>
      <w:rPr>
        <w:rFonts w:ascii="Wingdings" w:hAnsi="Wingdings" w:hint="default"/>
      </w:rPr>
    </w:lvl>
    <w:lvl w:ilvl="3" w:tplc="695E9972" w:tentative="1">
      <w:start w:val="1"/>
      <w:numFmt w:val="bullet"/>
      <w:lvlText w:val=""/>
      <w:lvlJc w:val="left"/>
      <w:pPr>
        <w:tabs>
          <w:tab w:val="num" w:pos="2880"/>
        </w:tabs>
        <w:ind w:left="2880" w:hanging="360"/>
      </w:pPr>
      <w:rPr>
        <w:rFonts w:ascii="Symbol" w:hAnsi="Symbol" w:hint="default"/>
      </w:rPr>
    </w:lvl>
    <w:lvl w:ilvl="4" w:tplc="38A2E62C" w:tentative="1">
      <w:start w:val="1"/>
      <w:numFmt w:val="bullet"/>
      <w:lvlText w:val="o"/>
      <w:lvlJc w:val="left"/>
      <w:pPr>
        <w:tabs>
          <w:tab w:val="num" w:pos="3600"/>
        </w:tabs>
        <w:ind w:left="3600" w:hanging="360"/>
      </w:pPr>
      <w:rPr>
        <w:rFonts w:ascii="Courier New" w:hAnsi="Courier New" w:cs="Courier New" w:hint="default"/>
      </w:rPr>
    </w:lvl>
    <w:lvl w:ilvl="5" w:tplc="E05CB92A" w:tentative="1">
      <w:start w:val="1"/>
      <w:numFmt w:val="bullet"/>
      <w:lvlText w:val=""/>
      <w:lvlJc w:val="left"/>
      <w:pPr>
        <w:tabs>
          <w:tab w:val="num" w:pos="4320"/>
        </w:tabs>
        <w:ind w:left="4320" w:hanging="360"/>
      </w:pPr>
      <w:rPr>
        <w:rFonts w:ascii="Wingdings" w:hAnsi="Wingdings" w:hint="default"/>
      </w:rPr>
    </w:lvl>
    <w:lvl w:ilvl="6" w:tplc="2AF66280" w:tentative="1">
      <w:start w:val="1"/>
      <w:numFmt w:val="bullet"/>
      <w:lvlText w:val=""/>
      <w:lvlJc w:val="left"/>
      <w:pPr>
        <w:tabs>
          <w:tab w:val="num" w:pos="5040"/>
        </w:tabs>
        <w:ind w:left="5040" w:hanging="360"/>
      </w:pPr>
      <w:rPr>
        <w:rFonts w:ascii="Symbol" w:hAnsi="Symbol" w:hint="default"/>
      </w:rPr>
    </w:lvl>
    <w:lvl w:ilvl="7" w:tplc="2BD4E79C" w:tentative="1">
      <w:start w:val="1"/>
      <w:numFmt w:val="bullet"/>
      <w:lvlText w:val="o"/>
      <w:lvlJc w:val="left"/>
      <w:pPr>
        <w:tabs>
          <w:tab w:val="num" w:pos="5760"/>
        </w:tabs>
        <w:ind w:left="5760" w:hanging="360"/>
      </w:pPr>
      <w:rPr>
        <w:rFonts w:ascii="Courier New" w:hAnsi="Courier New" w:cs="Courier New" w:hint="default"/>
      </w:rPr>
    </w:lvl>
    <w:lvl w:ilvl="8" w:tplc="FB2ED86E" w:tentative="1">
      <w:start w:val="1"/>
      <w:numFmt w:val="bullet"/>
      <w:lvlText w:val=""/>
      <w:lvlJc w:val="left"/>
      <w:pPr>
        <w:tabs>
          <w:tab w:val="num" w:pos="6480"/>
        </w:tabs>
        <w:ind w:left="6480" w:hanging="360"/>
      </w:pPr>
      <w:rPr>
        <w:rFonts w:ascii="Wingdings" w:hAnsi="Wingdings" w:hint="default"/>
      </w:rPr>
    </w:lvl>
  </w:abstractNum>
  <w:abstractNum w:abstractNumId="59">
    <w:nsid w:val="676421AC"/>
    <w:multiLevelType w:val="hybridMultilevel"/>
    <w:tmpl w:val="E5102DF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0">
    <w:nsid w:val="6CB53A6A"/>
    <w:multiLevelType w:val="singleLevel"/>
    <w:tmpl w:val="65D8A516"/>
    <w:lvl w:ilvl="0">
      <w:start w:val="1"/>
      <w:numFmt w:val="lowerRoman"/>
      <w:lvlText w:val="%1)"/>
      <w:lvlJc w:val="left"/>
      <w:pPr>
        <w:tabs>
          <w:tab w:val="num" w:pos="1800"/>
        </w:tabs>
        <w:ind w:left="1800" w:hanging="720"/>
      </w:pPr>
      <w:rPr>
        <w:rFonts w:hint="default"/>
      </w:rPr>
    </w:lvl>
  </w:abstractNum>
  <w:abstractNum w:abstractNumId="61">
    <w:nsid w:val="6FA6770B"/>
    <w:multiLevelType w:val="hybridMultilevel"/>
    <w:tmpl w:val="6EC293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714E09DE"/>
    <w:multiLevelType w:val="multilevel"/>
    <w:tmpl w:val="08920F72"/>
    <w:lvl w:ilvl="0">
      <w:start w:val="1"/>
      <w:numFmt w:val="decimal"/>
      <w:lvlText w:val="%1."/>
      <w:lvlJc w:val="left"/>
      <w:pPr>
        <w:tabs>
          <w:tab w:val="num" w:pos="360"/>
        </w:tabs>
        <w:ind w:left="360" w:hanging="360"/>
      </w:pPr>
      <w:rPr>
        <w:rFonts w:ascii="CG Omega" w:hAnsi="CG Omega" w:hint="default"/>
        <w:b w:val="0"/>
        <w:i w:val="0"/>
        <w:sz w:val="24"/>
        <w:szCs w:val="24"/>
      </w:rPr>
    </w:lvl>
    <w:lvl w:ilvl="1">
      <w:start w:val="1"/>
      <w:numFmt w:val="upperLetter"/>
      <w:lvlText w:val="%2."/>
      <w:lvlJc w:val="left"/>
      <w:pPr>
        <w:tabs>
          <w:tab w:val="num" w:pos="720"/>
        </w:tabs>
        <w:ind w:left="720" w:hanging="360"/>
      </w:pPr>
      <w:rPr>
        <w:rFonts w:ascii="CG Omega" w:hAnsi="CG Omega" w:hint="default"/>
        <w:b w:val="0"/>
        <w:i w:val="0"/>
        <w:sz w:val="24"/>
        <w:szCs w:val="24"/>
      </w:rPr>
    </w:lvl>
    <w:lvl w:ilvl="2">
      <w:start w:val="1"/>
      <w:numFmt w:val="decimal"/>
      <w:lvlText w:val="%3."/>
      <w:lvlJc w:val="left"/>
      <w:pPr>
        <w:tabs>
          <w:tab w:val="num" w:pos="1080"/>
        </w:tabs>
        <w:ind w:left="1080" w:hanging="360"/>
      </w:pPr>
      <w:rPr>
        <w:rFonts w:ascii="CG Omega" w:hAnsi="CG Omega" w:hint="default"/>
        <w:b w:val="0"/>
        <w:i w:val="0"/>
        <w:sz w:val="24"/>
        <w:szCs w:val="24"/>
      </w:rPr>
    </w:lvl>
    <w:lvl w:ilvl="3">
      <w:start w:val="1"/>
      <w:numFmt w:val="lowerLetter"/>
      <w:lvlText w:val="%4."/>
      <w:lvlJc w:val="left"/>
      <w:pPr>
        <w:tabs>
          <w:tab w:val="num" w:pos="1440"/>
        </w:tabs>
        <w:ind w:left="1440" w:hanging="360"/>
      </w:pPr>
      <w:rPr>
        <w:rFonts w:ascii="CG Omega" w:hAnsi="CG Omega" w:hint="default"/>
        <w:b w:val="0"/>
        <w:i w:val="0"/>
        <w:sz w:val="24"/>
        <w:szCs w:val="24"/>
      </w:rPr>
    </w:lvl>
    <w:lvl w:ilvl="4">
      <w:start w:val="1"/>
      <w:numFmt w:val="lowerRoman"/>
      <w:lvlText w:val="%5"/>
      <w:lvlJc w:val="left"/>
      <w:pPr>
        <w:tabs>
          <w:tab w:val="num" w:pos="1800"/>
        </w:tabs>
        <w:ind w:left="1800" w:hanging="360"/>
      </w:pPr>
      <w:rPr>
        <w:rFonts w:ascii="CG Omega" w:hAnsi="CG Omega" w:hint="default"/>
        <w:sz w:val="24"/>
        <w:szCs w:val="24"/>
      </w:rPr>
    </w:lvl>
    <w:lvl w:ilvl="5">
      <w:start w:val="1"/>
      <w:numFmt w:val="bullet"/>
      <w:lvlText w:val=""/>
      <w:lvlJc w:val="left"/>
      <w:pPr>
        <w:tabs>
          <w:tab w:val="num" w:pos="2160"/>
        </w:tabs>
        <w:ind w:left="2160" w:hanging="360"/>
      </w:pPr>
      <w:rPr>
        <w:rFonts w:ascii="Symbol" w:hAnsi="Symbol" w:hint="default"/>
        <w:color w:val="auto"/>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3">
    <w:nsid w:val="72DF2424"/>
    <w:multiLevelType w:val="multilevel"/>
    <w:tmpl w:val="312EFF8A"/>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4">
    <w:nsid w:val="73670E72"/>
    <w:multiLevelType w:val="hybridMultilevel"/>
    <w:tmpl w:val="A6F473E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5">
    <w:nsid w:val="736F3B69"/>
    <w:multiLevelType w:val="hybridMultilevel"/>
    <w:tmpl w:val="E432EF0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6">
    <w:nsid w:val="73C47983"/>
    <w:multiLevelType w:val="multilevel"/>
    <w:tmpl w:val="C77C7BC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7">
    <w:nsid w:val="788E3369"/>
    <w:multiLevelType w:val="hybridMultilevel"/>
    <w:tmpl w:val="E126FEAE"/>
    <w:lvl w:ilvl="0" w:tplc="118EC8B6">
      <w:start w:val="1"/>
      <w:numFmt w:val="bullet"/>
      <w:lvlText w:val=""/>
      <w:lvlJc w:val="left"/>
      <w:pPr>
        <w:tabs>
          <w:tab w:val="num" w:pos="720"/>
        </w:tabs>
        <w:ind w:left="720" w:hanging="360"/>
      </w:pPr>
      <w:rPr>
        <w:rFonts w:ascii="Symbol" w:hAnsi="Symbol" w:hint="default"/>
      </w:rPr>
    </w:lvl>
    <w:lvl w:ilvl="1" w:tplc="A3E4E3EE" w:tentative="1">
      <w:start w:val="1"/>
      <w:numFmt w:val="bullet"/>
      <w:lvlText w:val="o"/>
      <w:lvlJc w:val="left"/>
      <w:pPr>
        <w:tabs>
          <w:tab w:val="num" w:pos="1440"/>
        </w:tabs>
        <w:ind w:left="1440" w:hanging="360"/>
      </w:pPr>
      <w:rPr>
        <w:rFonts w:ascii="Courier New" w:hAnsi="Courier New" w:cs="Courier New" w:hint="default"/>
      </w:rPr>
    </w:lvl>
    <w:lvl w:ilvl="2" w:tplc="CF709FC6" w:tentative="1">
      <w:start w:val="1"/>
      <w:numFmt w:val="bullet"/>
      <w:lvlText w:val=""/>
      <w:lvlJc w:val="left"/>
      <w:pPr>
        <w:tabs>
          <w:tab w:val="num" w:pos="2160"/>
        </w:tabs>
        <w:ind w:left="2160" w:hanging="360"/>
      </w:pPr>
      <w:rPr>
        <w:rFonts w:ascii="Wingdings" w:hAnsi="Wingdings" w:hint="default"/>
      </w:rPr>
    </w:lvl>
    <w:lvl w:ilvl="3" w:tplc="F8C2F3A8" w:tentative="1">
      <w:start w:val="1"/>
      <w:numFmt w:val="bullet"/>
      <w:lvlText w:val=""/>
      <w:lvlJc w:val="left"/>
      <w:pPr>
        <w:tabs>
          <w:tab w:val="num" w:pos="2880"/>
        </w:tabs>
        <w:ind w:left="2880" w:hanging="360"/>
      </w:pPr>
      <w:rPr>
        <w:rFonts w:ascii="Symbol" w:hAnsi="Symbol" w:hint="default"/>
      </w:rPr>
    </w:lvl>
    <w:lvl w:ilvl="4" w:tplc="053ADCB0" w:tentative="1">
      <w:start w:val="1"/>
      <w:numFmt w:val="bullet"/>
      <w:lvlText w:val="o"/>
      <w:lvlJc w:val="left"/>
      <w:pPr>
        <w:tabs>
          <w:tab w:val="num" w:pos="3600"/>
        </w:tabs>
        <w:ind w:left="3600" w:hanging="360"/>
      </w:pPr>
      <w:rPr>
        <w:rFonts w:ascii="Courier New" w:hAnsi="Courier New" w:cs="Courier New" w:hint="default"/>
      </w:rPr>
    </w:lvl>
    <w:lvl w:ilvl="5" w:tplc="0366DB40" w:tentative="1">
      <w:start w:val="1"/>
      <w:numFmt w:val="bullet"/>
      <w:lvlText w:val=""/>
      <w:lvlJc w:val="left"/>
      <w:pPr>
        <w:tabs>
          <w:tab w:val="num" w:pos="4320"/>
        </w:tabs>
        <w:ind w:left="4320" w:hanging="360"/>
      </w:pPr>
      <w:rPr>
        <w:rFonts w:ascii="Wingdings" w:hAnsi="Wingdings" w:hint="default"/>
      </w:rPr>
    </w:lvl>
    <w:lvl w:ilvl="6" w:tplc="BBAE730E" w:tentative="1">
      <w:start w:val="1"/>
      <w:numFmt w:val="bullet"/>
      <w:lvlText w:val=""/>
      <w:lvlJc w:val="left"/>
      <w:pPr>
        <w:tabs>
          <w:tab w:val="num" w:pos="5040"/>
        </w:tabs>
        <w:ind w:left="5040" w:hanging="360"/>
      </w:pPr>
      <w:rPr>
        <w:rFonts w:ascii="Symbol" w:hAnsi="Symbol" w:hint="default"/>
      </w:rPr>
    </w:lvl>
    <w:lvl w:ilvl="7" w:tplc="82707F48" w:tentative="1">
      <w:start w:val="1"/>
      <w:numFmt w:val="bullet"/>
      <w:lvlText w:val="o"/>
      <w:lvlJc w:val="left"/>
      <w:pPr>
        <w:tabs>
          <w:tab w:val="num" w:pos="5760"/>
        </w:tabs>
        <w:ind w:left="5760" w:hanging="360"/>
      </w:pPr>
      <w:rPr>
        <w:rFonts w:ascii="Courier New" w:hAnsi="Courier New" w:cs="Courier New" w:hint="default"/>
      </w:rPr>
    </w:lvl>
    <w:lvl w:ilvl="8" w:tplc="5DA28A86" w:tentative="1">
      <w:start w:val="1"/>
      <w:numFmt w:val="bullet"/>
      <w:lvlText w:val=""/>
      <w:lvlJc w:val="left"/>
      <w:pPr>
        <w:tabs>
          <w:tab w:val="num" w:pos="6480"/>
        </w:tabs>
        <w:ind w:left="6480" w:hanging="360"/>
      </w:pPr>
      <w:rPr>
        <w:rFonts w:ascii="Wingdings" w:hAnsi="Wingdings" w:hint="default"/>
      </w:rPr>
    </w:lvl>
  </w:abstractNum>
  <w:abstractNum w:abstractNumId="68">
    <w:nsid w:val="7C3D7EF0"/>
    <w:multiLevelType w:val="singleLevel"/>
    <w:tmpl w:val="04090001"/>
    <w:lvl w:ilvl="0">
      <w:start w:val="1"/>
      <w:numFmt w:val="bullet"/>
      <w:lvlText w:val=""/>
      <w:lvlJc w:val="left"/>
      <w:pPr>
        <w:tabs>
          <w:tab w:val="num" w:pos="360"/>
        </w:tabs>
        <w:ind w:left="360" w:hanging="360"/>
      </w:pPr>
      <w:rPr>
        <w:rFonts w:ascii="Symbol" w:hAnsi="Symbol" w:hint="default"/>
      </w:rPr>
    </w:lvl>
  </w:abstractNum>
  <w:num w:numId="1">
    <w:abstractNumId w:val="7"/>
  </w:num>
  <w:num w:numId="2">
    <w:abstractNumId w:val="60"/>
  </w:num>
  <w:num w:numId="3">
    <w:abstractNumId w:val="68"/>
  </w:num>
  <w:num w:numId="4">
    <w:abstractNumId w:val="6"/>
  </w:num>
  <w:num w:numId="5">
    <w:abstractNumId w:val="49"/>
  </w:num>
  <w:num w:numId="6">
    <w:abstractNumId w:val="11"/>
  </w:num>
  <w:num w:numId="7">
    <w:abstractNumId w:val="14"/>
  </w:num>
  <w:num w:numId="8">
    <w:abstractNumId w:val="41"/>
  </w:num>
  <w:num w:numId="9">
    <w:abstractNumId w:val="22"/>
  </w:num>
  <w:num w:numId="10">
    <w:abstractNumId w:val="58"/>
  </w:num>
  <w:num w:numId="11">
    <w:abstractNumId w:val="17"/>
  </w:num>
  <w:num w:numId="12">
    <w:abstractNumId w:val="1"/>
  </w:num>
  <w:num w:numId="13">
    <w:abstractNumId w:val="40"/>
  </w:num>
  <w:num w:numId="14">
    <w:abstractNumId w:val="67"/>
  </w:num>
  <w:num w:numId="15">
    <w:abstractNumId w:val="9"/>
  </w:num>
  <w:num w:numId="16">
    <w:abstractNumId w:val="34"/>
  </w:num>
  <w:num w:numId="17">
    <w:abstractNumId w:val="4"/>
  </w:num>
  <w:num w:numId="18">
    <w:abstractNumId w:val="65"/>
  </w:num>
  <w:num w:numId="19">
    <w:abstractNumId w:val="44"/>
  </w:num>
  <w:num w:numId="20">
    <w:abstractNumId w:val="0"/>
  </w:num>
  <w:num w:numId="21">
    <w:abstractNumId w:val="16"/>
  </w:num>
  <w:num w:numId="22">
    <w:abstractNumId w:val="59"/>
  </w:num>
  <w:num w:numId="23">
    <w:abstractNumId w:val="35"/>
  </w:num>
  <w:num w:numId="24">
    <w:abstractNumId w:val="39"/>
  </w:num>
  <w:num w:numId="25">
    <w:abstractNumId w:val="30"/>
  </w:num>
  <w:num w:numId="26">
    <w:abstractNumId w:val="48"/>
  </w:num>
  <w:num w:numId="27">
    <w:abstractNumId w:val="42"/>
  </w:num>
  <w:num w:numId="28">
    <w:abstractNumId w:val="23"/>
  </w:num>
  <w:num w:numId="29">
    <w:abstractNumId w:val="2"/>
  </w:num>
  <w:num w:numId="30">
    <w:abstractNumId w:val="19"/>
  </w:num>
  <w:num w:numId="31">
    <w:abstractNumId w:val="31"/>
  </w:num>
  <w:num w:numId="32">
    <w:abstractNumId w:val="62"/>
  </w:num>
  <w:num w:numId="33">
    <w:abstractNumId w:val="43"/>
  </w:num>
  <w:num w:numId="34">
    <w:abstractNumId w:val="25"/>
  </w:num>
  <w:num w:numId="35">
    <w:abstractNumId w:val="64"/>
  </w:num>
  <w:num w:numId="36">
    <w:abstractNumId w:val="10"/>
  </w:num>
  <w:num w:numId="37">
    <w:abstractNumId w:val="27"/>
  </w:num>
  <w:num w:numId="38">
    <w:abstractNumId w:val="18"/>
  </w:num>
  <w:num w:numId="39">
    <w:abstractNumId w:val="61"/>
  </w:num>
  <w:num w:numId="40">
    <w:abstractNumId w:val="47"/>
  </w:num>
  <w:num w:numId="41">
    <w:abstractNumId w:val="50"/>
  </w:num>
  <w:num w:numId="42">
    <w:abstractNumId w:val="63"/>
  </w:num>
  <w:num w:numId="43">
    <w:abstractNumId w:val="66"/>
  </w:num>
  <w:num w:numId="44">
    <w:abstractNumId w:val="46"/>
  </w:num>
  <w:num w:numId="45">
    <w:abstractNumId w:val="32"/>
  </w:num>
  <w:num w:numId="46">
    <w:abstractNumId w:val="37"/>
  </w:num>
  <w:num w:numId="47">
    <w:abstractNumId w:val="56"/>
  </w:num>
  <w:num w:numId="48">
    <w:abstractNumId w:val="29"/>
  </w:num>
  <w:num w:numId="49">
    <w:abstractNumId w:val="28"/>
  </w:num>
  <w:num w:numId="50">
    <w:abstractNumId w:val="51"/>
  </w:num>
  <w:num w:numId="51">
    <w:abstractNumId w:val="20"/>
  </w:num>
  <w:num w:numId="52">
    <w:abstractNumId w:val="36"/>
  </w:num>
  <w:num w:numId="53">
    <w:abstractNumId w:val="24"/>
  </w:num>
  <w:num w:numId="54">
    <w:abstractNumId w:val="33"/>
  </w:num>
  <w:num w:numId="55">
    <w:abstractNumId w:val="55"/>
  </w:num>
  <w:num w:numId="56">
    <w:abstractNumId w:val="26"/>
  </w:num>
  <w:num w:numId="57">
    <w:abstractNumId w:val="8"/>
  </w:num>
  <w:num w:numId="58">
    <w:abstractNumId w:val="12"/>
  </w:num>
  <w:num w:numId="59">
    <w:abstractNumId w:val="15"/>
  </w:num>
  <w:num w:numId="60">
    <w:abstractNumId w:val="21"/>
  </w:num>
  <w:num w:numId="61">
    <w:abstractNumId w:val="13"/>
  </w:num>
  <w:num w:numId="62">
    <w:abstractNumId w:val="54"/>
  </w:num>
  <w:num w:numId="63">
    <w:abstractNumId w:val="3"/>
  </w:num>
  <w:num w:numId="64">
    <w:abstractNumId w:val="52"/>
  </w:num>
  <w:num w:numId="65">
    <w:abstractNumId w:val="53"/>
  </w:num>
  <w:num w:numId="66">
    <w:abstractNumId w:val="38"/>
  </w:num>
  <w:num w:numId="67">
    <w:abstractNumId w:val="5"/>
  </w:num>
  <w:num w:numId="68">
    <w:abstractNumId w:val="57"/>
  </w:num>
  <w:num w:numId="69">
    <w:abstractNumId w:val="45"/>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2"/>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60"/>
  <w:characterSpacingControl w:val="doNotCompress"/>
  <w:hdrShapeDefaults>
    <o:shapedefaults v:ext="edit" spidmax="27955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1A62"/>
    <w:rsid w:val="00000244"/>
    <w:rsid w:val="000003E4"/>
    <w:rsid w:val="00000429"/>
    <w:rsid w:val="00000555"/>
    <w:rsid w:val="00002473"/>
    <w:rsid w:val="00003753"/>
    <w:rsid w:val="0000455D"/>
    <w:rsid w:val="00004566"/>
    <w:rsid w:val="000046AD"/>
    <w:rsid w:val="00005A73"/>
    <w:rsid w:val="000066DC"/>
    <w:rsid w:val="00006A2C"/>
    <w:rsid w:val="0001089B"/>
    <w:rsid w:val="00010CCD"/>
    <w:rsid w:val="00013FC2"/>
    <w:rsid w:val="00014040"/>
    <w:rsid w:val="000145AB"/>
    <w:rsid w:val="000155B6"/>
    <w:rsid w:val="000158A8"/>
    <w:rsid w:val="000165F6"/>
    <w:rsid w:val="00016FF5"/>
    <w:rsid w:val="00020F17"/>
    <w:rsid w:val="0002137F"/>
    <w:rsid w:val="0002196B"/>
    <w:rsid w:val="00022123"/>
    <w:rsid w:val="00022676"/>
    <w:rsid w:val="00022741"/>
    <w:rsid w:val="00023319"/>
    <w:rsid w:val="00023C11"/>
    <w:rsid w:val="000247E5"/>
    <w:rsid w:val="00024FB1"/>
    <w:rsid w:val="0002542C"/>
    <w:rsid w:val="00026029"/>
    <w:rsid w:val="000272E1"/>
    <w:rsid w:val="0003074D"/>
    <w:rsid w:val="000307B2"/>
    <w:rsid w:val="00030AC4"/>
    <w:rsid w:val="0003196B"/>
    <w:rsid w:val="00031A38"/>
    <w:rsid w:val="0003267B"/>
    <w:rsid w:val="00033140"/>
    <w:rsid w:val="000343E4"/>
    <w:rsid w:val="00035EAD"/>
    <w:rsid w:val="00035FC6"/>
    <w:rsid w:val="0003620F"/>
    <w:rsid w:val="00036C14"/>
    <w:rsid w:val="00036E3A"/>
    <w:rsid w:val="0003792E"/>
    <w:rsid w:val="00040031"/>
    <w:rsid w:val="00040552"/>
    <w:rsid w:val="00043837"/>
    <w:rsid w:val="0004474C"/>
    <w:rsid w:val="00044860"/>
    <w:rsid w:val="00046532"/>
    <w:rsid w:val="00046E4D"/>
    <w:rsid w:val="000477BA"/>
    <w:rsid w:val="00047D06"/>
    <w:rsid w:val="000509A7"/>
    <w:rsid w:val="00050B0A"/>
    <w:rsid w:val="00051344"/>
    <w:rsid w:val="00051550"/>
    <w:rsid w:val="000517D1"/>
    <w:rsid w:val="00051A96"/>
    <w:rsid w:val="00051BCD"/>
    <w:rsid w:val="000529CD"/>
    <w:rsid w:val="00053853"/>
    <w:rsid w:val="00053990"/>
    <w:rsid w:val="00054D08"/>
    <w:rsid w:val="0005570F"/>
    <w:rsid w:val="000568FC"/>
    <w:rsid w:val="0005714D"/>
    <w:rsid w:val="00057F8A"/>
    <w:rsid w:val="00060298"/>
    <w:rsid w:val="0006056C"/>
    <w:rsid w:val="00060C29"/>
    <w:rsid w:val="00060F7C"/>
    <w:rsid w:val="000615F2"/>
    <w:rsid w:val="00062243"/>
    <w:rsid w:val="000667A0"/>
    <w:rsid w:val="0006718B"/>
    <w:rsid w:val="00067776"/>
    <w:rsid w:val="00067F5F"/>
    <w:rsid w:val="00070DCB"/>
    <w:rsid w:val="00071B4E"/>
    <w:rsid w:val="00071BCA"/>
    <w:rsid w:val="00071E0B"/>
    <w:rsid w:val="00072309"/>
    <w:rsid w:val="00072DD5"/>
    <w:rsid w:val="00073157"/>
    <w:rsid w:val="00073239"/>
    <w:rsid w:val="00073620"/>
    <w:rsid w:val="0007376D"/>
    <w:rsid w:val="00073D8C"/>
    <w:rsid w:val="000745A9"/>
    <w:rsid w:val="000763EF"/>
    <w:rsid w:val="00080720"/>
    <w:rsid w:val="00080C76"/>
    <w:rsid w:val="000812A3"/>
    <w:rsid w:val="00082256"/>
    <w:rsid w:val="0008264D"/>
    <w:rsid w:val="00082C47"/>
    <w:rsid w:val="0008362A"/>
    <w:rsid w:val="000846EC"/>
    <w:rsid w:val="00084E5D"/>
    <w:rsid w:val="00085DCF"/>
    <w:rsid w:val="000869BD"/>
    <w:rsid w:val="00086CB5"/>
    <w:rsid w:val="00086EC0"/>
    <w:rsid w:val="00090512"/>
    <w:rsid w:val="00090B86"/>
    <w:rsid w:val="000915BC"/>
    <w:rsid w:val="0009205B"/>
    <w:rsid w:val="00092493"/>
    <w:rsid w:val="0009259A"/>
    <w:rsid w:val="0009263D"/>
    <w:rsid w:val="00092949"/>
    <w:rsid w:val="00092CD3"/>
    <w:rsid w:val="00093270"/>
    <w:rsid w:val="00093B88"/>
    <w:rsid w:val="00094995"/>
    <w:rsid w:val="00094A60"/>
    <w:rsid w:val="000955EA"/>
    <w:rsid w:val="000960B9"/>
    <w:rsid w:val="000965DA"/>
    <w:rsid w:val="0009686A"/>
    <w:rsid w:val="000968B8"/>
    <w:rsid w:val="00096CBC"/>
    <w:rsid w:val="00097427"/>
    <w:rsid w:val="000976AC"/>
    <w:rsid w:val="000A01CC"/>
    <w:rsid w:val="000A0302"/>
    <w:rsid w:val="000A0308"/>
    <w:rsid w:val="000A0EB6"/>
    <w:rsid w:val="000A13EB"/>
    <w:rsid w:val="000A1870"/>
    <w:rsid w:val="000A19E0"/>
    <w:rsid w:val="000A2C35"/>
    <w:rsid w:val="000A4A62"/>
    <w:rsid w:val="000A536A"/>
    <w:rsid w:val="000A65EA"/>
    <w:rsid w:val="000A6E83"/>
    <w:rsid w:val="000A799A"/>
    <w:rsid w:val="000A7B2C"/>
    <w:rsid w:val="000A7CAC"/>
    <w:rsid w:val="000B0818"/>
    <w:rsid w:val="000B1649"/>
    <w:rsid w:val="000B1F0B"/>
    <w:rsid w:val="000B4C3B"/>
    <w:rsid w:val="000B4FE4"/>
    <w:rsid w:val="000B514F"/>
    <w:rsid w:val="000B66F9"/>
    <w:rsid w:val="000B7114"/>
    <w:rsid w:val="000B7BB6"/>
    <w:rsid w:val="000C00FD"/>
    <w:rsid w:val="000C218C"/>
    <w:rsid w:val="000C2A8A"/>
    <w:rsid w:val="000C2BCB"/>
    <w:rsid w:val="000C3BC5"/>
    <w:rsid w:val="000C4B6A"/>
    <w:rsid w:val="000C5638"/>
    <w:rsid w:val="000C5FB6"/>
    <w:rsid w:val="000C793E"/>
    <w:rsid w:val="000C7C3A"/>
    <w:rsid w:val="000C7E36"/>
    <w:rsid w:val="000D02F1"/>
    <w:rsid w:val="000D165C"/>
    <w:rsid w:val="000D1C28"/>
    <w:rsid w:val="000D21C9"/>
    <w:rsid w:val="000D2285"/>
    <w:rsid w:val="000D297C"/>
    <w:rsid w:val="000D2C25"/>
    <w:rsid w:val="000D2C4F"/>
    <w:rsid w:val="000D3D88"/>
    <w:rsid w:val="000D48F3"/>
    <w:rsid w:val="000D50F9"/>
    <w:rsid w:val="000D5643"/>
    <w:rsid w:val="000D61CE"/>
    <w:rsid w:val="000D656D"/>
    <w:rsid w:val="000D66B4"/>
    <w:rsid w:val="000D7E46"/>
    <w:rsid w:val="000E0137"/>
    <w:rsid w:val="000E02BB"/>
    <w:rsid w:val="000E09C3"/>
    <w:rsid w:val="000E0DD3"/>
    <w:rsid w:val="000E1A62"/>
    <w:rsid w:val="000E1B99"/>
    <w:rsid w:val="000E2B80"/>
    <w:rsid w:val="000E310C"/>
    <w:rsid w:val="000E3282"/>
    <w:rsid w:val="000E352B"/>
    <w:rsid w:val="000E3C21"/>
    <w:rsid w:val="000E4067"/>
    <w:rsid w:val="000E64EA"/>
    <w:rsid w:val="000E6900"/>
    <w:rsid w:val="000E6F93"/>
    <w:rsid w:val="000E7144"/>
    <w:rsid w:val="000F191E"/>
    <w:rsid w:val="000F1974"/>
    <w:rsid w:val="000F42FA"/>
    <w:rsid w:val="000F463D"/>
    <w:rsid w:val="000F4B7C"/>
    <w:rsid w:val="000F5CAD"/>
    <w:rsid w:val="000F7055"/>
    <w:rsid w:val="000F744E"/>
    <w:rsid w:val="001007B8"/>
    <w:rsid w:val="0010178E"/>
    <w:rsid w:val="0010255A"/>
    <w:rsid w:val="001029E8"/>
    <w:rsid w:val="00103561"/>
    <w:rsid w:val="00103625"/>
    <w:rsid w:val="001038C8"/>
    <w:rsid w:val="001041D8"/>
    <w:rsid w:val="00106D13"/>
    <w:rsid w:val="00107221"/>
    <w:rsid w:val="001078C1"/>
    <w:rsid w:val="00110553"/>
    <w:rsid w:val="001112AB"/>
    <w:rsid w:val="00111516"/>
    <w:rsid w:val="001149A2"/>
    <w:rsid w:val="00115E07"/>
    <w:rsid w:val="001168CD"/>
    <w:rsid w:val="0011728F"/>
    <w:rsid w:val="001219DB"/>
    <w:rsid w:val="001222F0"/>
    <w:rsid w:val="00122DC3"/>
    <w:rsid w:val="00122FE7"/>
    <w:rsid w:val="00122FED"/>
    <w:rsid w:val="00124F09"/>
    <w:rsid w:val="0012567C"/>
    <w:rsid w:val="00126110"/>
    <w:rsid w:val="00126700"/>
    <w:rsid w:val="00126EB2"/>
    <w:rsid w:val="00126F37"/>
    <w:rsid w:val="00127496"/>
    <w:rsid w:val="00127B4D"/>
    <w:rsid w:val="00130B17"/>
    <w:rsid w:val="00130CC7"/>
    <w:rsid w:val="00130E4C"/>
    <w:rsid w:val="0013149D"/>
    <w:rsid w:val="001318CF"/>
    <w:rsid w:val="001321F3"/>
    <w:rsid w:val="0013222E"/>
    <w:rsid w:val="00133117"/>
    <w:rsid w:val="00133EC0"/>
    <w:rsid w:val="0013476F"/>
    <w:rsid w:val="00134B95"/>
    <w:rsid w:val="00135D81"/>
    <w:rsid w:val="00137149"/>
    <w:rsid w:val="00137DCF"/>
    <w:rsid w:val="0014063D"/>
    <w:rsid w:val="00140998"/>
    <w:rsid w:val="00140A38"/>
    <w:rsid w:val="00140B4C"/>
    <w:rsid w:val="00140F59"/>
    <w:rsid w:val="001427C4"/>
    <w:rsid w:val="00142FC6"/>
    <w:rsid w:val="00143180"/>
    <w:rsid w:val="00143EAC"/>
    <w:rsid w:val="001446DC"/>
    <w:rsid w:val="0014487B"/>
    <w:rsid w:val="00145B2C"/>
    <w:rsid w:val="00147210"/>
    <w:rsid w:val="00147CDD"/>
    <w:rsid w:val="00150BF9"/>
    <w:rsid w:val="001511DD"/>
    <w:rsid w:val="0015261B"/>
    <w:rsid w:val="00152887"/>
    <w:rsid w:val="0015297B"/>
    <w:rsid w:val="00152BDE"/>
    <w:rsid w:val="00153857"/>
    <w:rsid w:val="001541F2"/>
    <w:rsid w:val="00154752"/>
    <w:rsid w:val="00157473"/>
    <w:rsid w:val="001602B1"/>
    <w:rsid w:val="00160596"/>
    <w:rsid w:val="00160D5F"/>
    <w:rsid w:val="00160EB4"/>
    <w:rsid w:val="001615FC"/>
    <w:rsid w:val="00161980"/>
    <w:rsid w:val="00161E6E"/>
    <w:rsid w:val="00162BE4"/>
    <w:rsid w:val="00163158"/>
    <w:rsid w:val="001640EB"/>
    <w:rsid w:val="00164A01"/>
    <w:rsid w:val="00165C48"/>
    <w:rsid w:val="00166FE9"/>
    <w:rsid w:val="00167177"/>
    <w:rsid w:val="001675F8"/>
    <w:rsid w:val="00167E61"/>
    <w:rsid w:val="00170294"/>
    <w:rsid w:val="0017052C"/>
    <w:rsid w:val="00170E30"/>
    <w:rsid w:val="001726F3"/>
    <w:rsid w:val="00172E86"/>
    <w:rsid w:val="0017350F"/>
    <w:rsid w:val="001735FA"/>
    <w:rsid w:val="00174597"/>
    <w:rsid w:val="00175C8D"/>
    <w:rsid w:val="00176ACE"/>
    <w:rsid w:val="001774E4"/>
    <w:rsid w:val="00177652"/>
    <w:rsid w:val="00177749"/>
    <w:rsid w:val="00177959"/>
    <w:rsid w:val="00177B4A"/>
    <w:rsid w:val="00177C83"/>
    <w:rsid w:val="00180A7A"/>
    <w:rsid w:val="00180C2A"/>
    <w:rsid w:val="00181CE8"/>
    <w:rsid w:val="001831C3"/>
    <w:rsid w:val="00184562"/>
    <w:rsid w:val="001857F9"/>
    <w:rsid w:val="00186EE2"/>
    <w:rsid w:val="001874FC"/>
    <w:rsid w:val="001904EE"/>
    <w:rsid w:val="00193A6C"/>
    <w:rsid w:val="001956B2"/>
    <w:rsid w:val="001959D0"/>
    <w:rsid w:val="001961C8"/>
    <w:rsid w:val="0019667B"/>
    <w:rsid w:val="00196804"/>
    <w:rsid w:val="00196C8C"/>
    <w:rsid w:val="001971F0"/>
    <w:rsid w:val="00197304"/>
    <w:rsid w:val="0019741B"/>
    <w:rsid w:val="001977F1"/>
    <w:rsid w:val="001A022D"/>
    <w:rsid w:val="001A0B5C"/>
    <w:rsid w:val="001A1714"/>
    <w:rsid w:val="001A179E"/>
    <w:rsid w:val="001A1AB9"/>
    <w:rsid w:val="001A239E"/>
    <w:rsid w:val="001A2B8D"/>
    <w:rsid w:val="001A3513"/>
    <w:rsid w:val="001A387C"/>
    <w:rsid w:val="001A3B65"/>
    <w:rsid w:val="001A4C34"/>
    <w:rsid w:val="001A4E59"/>
    <w:rsid w:val="001A51A3"/>
    <w:rsid w:val="001A5308"/>
    <w:rsid w:val="001A5A3D"/>
    <w:rsid w:val="001A5B9A"/>
    <w:rsid w:val="001A5FB1"/>
    <w:rsid w:val="001A7190"/>
    <w:rsid w:val="001A7E5E"/>
    <w:rsid w:val="001B275D"/>
    <w:rsid w:val="001B2CA2"/>
    <w:rsid w:val="001B4914"/>
    <w:rsid w:val="001B5A28"/>
    <w:rsid w:val="001C1E08"/>
    <w:rsid w:val="001C2A56"/>
    <w:rsid w:val="001C3A1F"/>
    <w:rsid w:val="001C417C"/>
    <w:rsid w:val="001C4452"/>
    <w:rsid w:val="001C44AE"/>
    <w:rsid w:val="001C44CD"/>
    <w:rsid w:val="001C4EF7"/>
    <w:rsid w:val="001C6508"/>
    <w:rsid w:val="001C78B7"/>
    <w:rsid w:val="001C78BE"/>
    <w:rsid w:val="001D0EDB"/>
    <w:rsid w:val="001D150D"/>
    <w:rsid w:val="001D23D3"/>
    <w:rsid w:val="001D2465"/>
    <w:rsid w:val="001D4007"/>
    <w:rsid w:val="001D4F9A"/>
    <w:rsid w:val="001D6576"/>
    <w:rsid w:val="001D6AA5"/>
    <w:rsid w:val="001D6D1E"/>
    <w:rsid w:val="001D6EBE"/>
    <w:rsid w:val="001D715B"/>
    <w:rsid w:val="001D7371"/>
    <w:rsid w:val="001D7DCD"/>
    <w:rsid w:val="001E0368"/>
    <w:rsid w:val="001E0A24"/>
    <w:rsid w:val="001E0E1F"/>
    <w:rsid w:val="001E0F36"/>
    <w:rsid w:val="001E12A8"/>
    <w:rsid w:val="001E3D43"/>
    <w:rsid w:val="001E4D5C"/>
    <w:rsid w:val="001E517F"/>
    <w:rsid w:val="001E57AB"/>
    <w:rsid w:val="001E5A07"/>
    <w:rsid w:val="001E5EA9"/>
    <w:rsid w:val="001E6134"/>
    <w:rsid w:val="001E61ED"/>
    <w:rsid w:val="001E688E"/>
    <w:rsid w:val="001E6C5C"/>
    <w:rsid w:val="001E713A"/>
    <w:rsid w:val="001E7220"/>
    <w:rsid w:val="001F0216"/>
    <w:rsid w:val="001F0E1C"/>
    <w:rsid w:val="001F135E"/>
    <w:rsid w:val="001F16A7"/>
    <w:rsid w:val="001F1821"/>
    <w:rsid w:val="001F2DD1"/>
    <w:rsid w:val="001F3811"/>
    <w:rsid w:val="001F3837"/>
    <w:rsid w:val="001F3B24"/>
    <w:rsid w:val="001F4825"/>
    <w:rsid w:val="001F5C5C"/>
    <w:rsid w:val="001F74E7"/>
    <w:rsid w:val="0020027C"/>
    <w:rsid w:val="00200530"/>
    <w:rsid w:val="00200A6C"/>
    <w:rsid w:val="002012DE"/>
    <w:rsid w:val="0020186E"/>
    <w:rsid w:val="00201AF7"/>
    <w:rsid w:val="00201DFC"/>
    <w:rsid w:val="00202537"/>
    <w:rsid w:val="00202AF5"/>
    <w:rsid w:val="00202DC2"/>
    <w:rsid w:val="002046C3"/>
    <w:rsid w:val="00204EA8"/>
    <w:rsid w:val="0020555C"/>
    <w:rsid w:val="002065F3"/>
    <w:rsid w:val="00206625"/>
    <w:rsid w:val="0020678D"/>
    <w:rsid w:val="00206DF4"/>
    <w:rsid w:val="002074BB"/>
    <w:rsid w:val="00210785"/>
    <w:rsid w:val="00211755"/>
    <w:rsid w:val="0021320E"/>
    <w:rsid w:val="00213450"/>
    <w:rsid w:val="0021384B"/>
    <w:rsid w:val="00214D41"/>
    <w:rsid w:val="00215575"/>
    <w:rsid w:val="00216052"/>
    <w:rsid w:val="00220493"/>
    <w:rsid w:val="00220550"/>
    <w:rsid w:val="00220BDC"/>
    <w:rsid w:val="00222AA3"/>
    <w:rsid w:val="00222B65"/>
    <w:rsid w:val="002234CE"/>
    <w:rsid w:val="00224B5C"/>
    <w:rsid w:val="00225184"/>
    <w:rsid w:val="00225F1A"/>
    <w:rsid w:val="0022758C"/>
    <w:rsid w:val="00230232"/>
    <w:rsid w:val="002309AE"/>
    <w:rsid w:val="0023104F"/>
    <w:rsid w:val="00231CDE"/>
    <w:rsid w:val="00233EE7"/>
    <w:rsid w:val="00234B3D"/>
    <w:rsid w:val="002352E8"/>
    <w:rsid w:val="00235345"/>
    <w:rsid w:val="00235462"/>
    <w:rsid w:val="00236049"/>
    <w:rsid w:val="0023664D"/>
    <w:rsid w:val="00236A7D"/>
    <w:rsid w:val="00236C61"/>
    <w:rsid w:val="00237C69"/>
    <w:rsid w:val="002412BC"/>
    <w:rsid w:val="002413A1"/>
    <w:rsid w:val="00241BA7"/>
    <w:rsid w:val="00241C21"/>
    <w:rsid w:val="00243380"/>
    <w:rsid w:val="002436B5"/>
    <w:rsid w:val="002436B6"/>
    <w:rsid w:val="002440DA"/>
    <w:rsid w:val="00245152"/>
    <w:rsid w:val="0024580B"/>
    <w:rsid w:val="00245A8F"/>
    <w:rsid w:val="00246546"/>
    <w:rsid w:val="00247306"/>
    <w:rsid w:val="002474E3"/>
    <w:rsid w:val="002507E4"/>
    <w:rsid w:val="00250B9F"/>
    <w:rsid w:val="00251FE3"/>
    <w:rsid w:val="00252E9D"/>
    <w:rsid w:val="00253F51"/>
    <w:rsid w:val="002552B0"/>
    <w:rsid w:val="002559E8"/>
    <w:rsid w:val="002566C6"/>
    <w:rsid w:val="002567F3"/>
    <w:rsid w:val="00257967"/>
    <w:rsid w:val="00261882"/>
    <w:rsid w:val="00263807"/>
    <w:rsid w:val="002644F4"/>
    <w:rsid w:val="00264A87"/>
    <w:rsid w:val="00264BD6"/>
    <w:rsid w:val="0026533E"/>
    <w:rsid w:val="0026744A"/>
    <w:rsid w:val="0026794C"/>
    <w:rsid w:val="00270015"/>
    <w:rsid w:val="002700A9"/>
    <w:rsid w:val="0027061D"/>
    <w:rsid w:val="00271F8D"/>
    <w:rsid w:val="002721E3"/>
    <w:rsid w:val="0027360F"/>
    <w:rsid w:val="00273D9E"/>
    <w:rsid w:val="0027426E"/>
    <w:rsid w:val="00274486"/>
    <w:rsid w:val="002748EA"/>
    <w:rsid w:val="002752DA"/>
    <w:rsid w:val="00275B4E"/>
    <w:rsid w:val="00275D14"/>
    <w:rsid w:val="00275E0D"/>
    <w:rsid w:val="00276412"/>
    <w:rsid w:val="0027693B"/>
    <w:rsid w:val="00277064"/>
    <w:rsid w:val="00277344"/>
    <w:rsid w:val="00277485"/>
    <w:rsid w:val="00277D09"/>
    <w:rsid w:val="002802BA"/>
    <w:rsid w:val="00280DD5"/>
    <w:rsid w:val="0028107E"/>
    <w:rsid w:val="0028184C"/>
    <w:rsid w:val="00281938"/>
    <w:rsid w:val="002819A2"/>
    <w:rsid w:val="00281F0D"/>
    <w:rsid w:val="00282442"/>
    <w:rsid w:val="002838CE"/>
    <w:rsid w:val="002841A5"/>
    <w:rsid w:val="0028423E"/>
    <w:rsid w:val="00284814"/>
    <w:rsid w:val="002848D4"/>
    <w:rsid w:val="00285F79"/>
    <w:rsid w:val="002861F6"/>
    <w:rsid w:val="0028624A"/>
    <w:rsid w:val="0028662F"/>
    <w:rsid w:val="00286B5D"/>
    <w:rsid w:val="00287590"/>
    <w:rsid w:val="00290BE9"/>
    <w:rsid w:val="002913C2"/>
    <w:rsid w:val="00291A75"/>
    <w:rsid w:val="00291C3D"/>
    <w:rsid w:val="00291D14"/>
    <w:rsid w:val="00292471"/>
    <w:rsid w:val="00292817"/>
    <w:rsid w:val="00292A62"/>
    <w:rsid w:val="002942AF"/>
    <w:rsid w:val="00294E53"/>
    <w:rsid w:val="00295E1A"/>
    <w:rsid w:val="002970B3"/>
    <w:rsid w:val="002A0DBB"/>
    <w:rsid w:val="002A1053"/>
    <w:rsid w:val="002A2BE1"/>
    <w:rsid w:val="002A35F1"/>
    <w:rsid w:val="002A4179"/>
    <w:rsid w:val="002A4AF3"/>
    <w:rsid w:val="002A5217"/>
    <w:rsid w:val="002B01EC"/>
    <w:rsid w:val="002B086B"/>
    <w:rsid w:val="002B0A5F"/>
    <w:rsid w:val="002B1D1A"/>
    <w:rsid w:val="002B20A9"/>
    <w:rsid w:val="002B2D4E"/>
    <w:rsid w:val="002B5A6B"/>
    <w:rsid w:val="002B65C4"/>
    <w:rsid w:val="002B6BF8"/>
    <w:rsid w:val="002B6CE8"/>
    <w:rsid w:val="002B6E94"/>
    <w:rsid w:val="002B6EFE"/>
    <w:rsid w:val="002B7382"/>
    <w:rsid w:val="002B743B"/>
    <w:rsid w:val="002B7FA9"/>
    <w:rsid w:val="002C02D6"/>
    <w:rsid w:val="002C1019"/>
    <w:rsid w:val="002C14BA"/>
    <w:rsid w:val="002C263C"/>
    <w:rsid w:val="002C2A96"/>
    <w:rsid w:val="002C31E7"/>
    <w:rsid w:val="002C3BFC"/>
    <w:rsid w:val="002C5BD6"/>
    <w:rsid w:val="002C6263"/>
    <w:rsid w:val="002C63B3"/>
    <w:rsid w:val="002C6D87"/>
    <w:rsid w:val="002C6EB7"/>
    <w:rsid w:val="002D017E"/>
    <w:rsid w:val="002D01F2"/>
    <w:rsid w:val="002D1A5F"/>
    <w:rsid w:val="002D2505"/>
    <w:rsid w:val="002D2600"/>
    <w:rsid w:val="002D321A"/>
    <w:rsid w:val="002D3A71"/>
    <w:rsid w:val="002D3C90"/>
    <w:rsid w:val="002D406D"/>
    <w:rsid w:val="002D5521"/>
    <w:rsid w:val="002D5573"/>
    <w:rsid w:val="002D642E"/>
    <w:rsid w:val="002D6AAA"/>
    <w:rsid w:val="002D6AC2"/>
    <w:rsid w:val="002E09AD"/>
    <w:rsid w:val="002E29C9"/>
    <w:rsid w:val="002E29D5"/>
    <w:rsid w:val="002E2A95"/>
    <w:rsid w:val="002E3A32"/>
    <w:rsid w:val="002E5BBB"/>
    <w:rsid w:val="002E5DDB"/>
    <w:rsid w:val="002E6CA8"/>
    <w:rsid w:val="002E77F1"/>
    <w:rsid w:val="002E7F72"/>
    <w:rsid w:val="002F01F8"/>
    <w:rsid w:val="002F0583"/>
    <w:rsid w:val="002F068A"/>
    <w:rsid w:val="002F2326"/>
    <w:rsid w:val="002F237B"/>
    <w:rsid w:val="002F26F3"/>
    <w:rsid w:val="002F35FB"/>
    <w:rsid w:val="002F3DDE"/>
    <w:rsid w:val="002F4C30"/>
    <w:rsid w:val="002F500C"/>
    <w:rsid w:val="002F5FBF"/>
    <w:rsid w:val="002F6C02"/>
    <w:rsid w:val="002F7516"/>
    <w:rsid w:val="00300170"/>
    <w:rsid w:val="003001BD"/>
    <w:rsid w:val="00300EBA"/>
    <w:rsid w:val="0030197E"/>
    <w:rsid w:val="00301992"/>
    <w:rsid w:val="00302344"/>
    <w:rsid w:val="00302556"/>
    <w:rsid w:val="00302C26"/>
    <w:rsid w:val="00303502"/>
    <w:rsid w:val="00304100"/>
    <w:rsid w:val="00304F94"/>
    <w:rsid w:val="00305B1A"/>
    <w:rsid w:val="0030657E"/>
    <w:rsid w:val="003068B4"/>
    <w:rsid w:val="00307BB1"/>
    <w:rsid w:val="00307C8E"/>
    <w:rsid w:val="00307E74"/>
    <w:rsid w:val="0031015D"/>
    <w:rsid w:val="003104B3"/>
    <w:rsid w:val="00310F05"/>
    <w:rsid w:val="00310FDA"/>
    <w:rsid w:val="00311267"/>
    <w:rsid w:val="00311D52"/>
    <w:rsid w:val="00311E33"/>
    <w:rsid w:val="00313E4A"/>
    <w:rsid w:val="00315F82"/>
    <w:rsid w:val="00316529"/>
    <w:rsid w:val="0031661D"/>
    <w:rsid w:val="003173C4"/>
    <w:rsid w:val="003177A2"/>
    <w:rsid w:val="00320AD3"/>
    <w:rsid w:val="00320F39"/>
    <w:rsid w:val="00321774"/>
    <w:rsid w:val="00321D13"/>
    <w:rsid w:val="003221C2"/>
    <w:rsid w:val="003227FF"/>
    <w:rsid w:val="00322CDF"/>
    <w:rsid w:val="003235B7"/>
    <w:rsid w:val="00323ADC"/>
    <w:rsid w:val="00323ADE"/>
    <w:rsid w:val="00325AE2"/>
    <w:rsid w:val="00325E13"/>
    <w:rsid w:val="00326B6D"/>
    <w:rsid w:val="00326FA7"/>
    <w:rsid w:val="00330D60"/>
    <w:rsid w:val="00331571"/>
    <w:rsid w:val="00331963"/>
    <w:rsid w:val="00332BE9"/>
    <w:rsid w:val="00333628"/>
    <w:rsid w:val="00333693"/>
    <w:rsid w:val="00334210"/>
    <w:rsid w:val="0033425C"/>
    <w:rsid w:val="00335995"/>
    <w:rsid w:val="003359F8"/>
    <w:rsid w:val="003369FA"/>
    <w:rsid w:val="00337A4E"/>
    <w:rsid w:val="00337D95"/>
    <w:rsid w:val="003404CB"/>
    <w:rsid w:val="003405B1"/>
    <w:rsid w:val="00341231"/>
    <w:rsid w:val="003412AD"/>
    <w:rsid w:val="0034293B"/>
    <w:rsid w:val="00342DBB"/>
    <w:rsid w:val="003435C8"/>
    <w:rsid w:val="00343821"/>
    <w:rsid w:val="00344B28"/>
    <w:rsid w:val="00344D17"/>
    <w:rsid w:val="003458BE"/>
    <w:rsid w:val="00345CF5"/>
    <w:rsid w:val="00346067"/>
    <w:rsid w:val="003460B1"/>
    <w:rsid w:val="003461B0"/>
    <w:rsid w:val="003468DE"/>
    <w:rsid w:val="00346BF1"/>
    <w:rsid w:val="00346C29"/>
    <w:rsid w:val="00346CAA"/>
    <w:rsid w:val="00346DC8"/>
    <w:rsid w:val="00346EC6"/>
    <w:rsid w:val="0034762A"/>
    <w:rsid w:val="00347631"/>
    <w:rsid w:val="003501D2"/>
    <w:rsid w:val="003503D2"/>
    <w:rsid w:val="003512FA"/>
    <w:rsid w:val="00351833"/>
    <w:rsid w:val="00353167"/>
    <w:rsid w:val="00353BA6"/>
    <w:rsid w:val="00354405"/>
    <w:rsid w:val="00354D78"/>
    <w:rsid w:val="003554D2"/>
    <w:rsid w:val="003555A3"/>
    <w:rsid w:val="0035571F"/>
    <w:rsid w:val="003567DC"/>
    <w:rsid w:val="00356F9F"/>
    <w:rsid w:val="00357D8C"/>
    <w:rsid w:val="00357F08"/>
    <w:rsid w:val="003603CD"/>
    <w:rsid w:val="00360CE1"/>
    <w:rsid w:val="003614DA"/>
    <w:rsid w:val="00361FB3"/>
    <w:rsid w:val="00362017"/>
    <w:rsid w:val="003626FC"/>
    <w:rsid w:val="00362F09"/>
    <w:rsid w:val="00363871"/>
    <w:rsid w:val="003638B5"/>
    <w:rsid w:val="0036516B"/>
    <w:rsid w:val="00365B5C"/>
    <w:rsid w:val="00365DF0"/>
    <w:rsid w:val="00366870"/>
    <w:rsid w:val="00366DB0"/>
    <w:rsid w:val="00367E1D"/>
    <w:rsid w:val="00370212"/>
    <w:rsid w:val="00371842"/>
    <w:rsid w:val="00373013"/>
    <w:rsid w:val="003738F1"/>
    <w:rsid w:val="00373AB7"/>
    <w:rsid w:val="00374F3E"/>
    <w:rsid w:val="00375C0C"/>
    <w:rsid w:val="00375D1A"/>
    <w:rsid w:val="003766DF"/>
    <w:rsid w:val="00376F59"/>
    <w:rsid w:val="00377926"/>
    <w:rsid w:val="00377958"/>
    <w:rsid w:val="00380AD9"/>
    <w:rsid w:val="00380D59"/>
    <w:rsid w:val="003813F2"/>
    <w:rsid w:val="0038195D"/>
    <w:rsid w:val="00381EE3"/>
    <w:rsid w:val="00382921"/>
    <w:rsid w:val="00382AAF"/>
    <w:rsid w:val="00384234"/>
    <w:rsid w:val="00384BD2"/>
    <w:rsid w:val="0038570C"/>
    <w:rsid w:val="00386938"/>
    <w:rsid w:val="00386A03"/>
    <w:rsid w:val="00386F48"/>
    <w:rsid w:val="00390275"/>
    <w:rsid w:val="00390CA5"/>
    <w:rsid w:val="003915F1"/>
    <w:rsid w:val="003922CA"/>
    <w:rsid w:val="00392630"/>
    <w:rsid w:val="0039294F"/>
    <w:rsid w:val="00392A73"/>
    <w:rsid w:val="00392B0B"/>
    <w:rsid w:val="00392B2D"/>
    <w:rsid w:val="003931F6"/>
    <w:rsid w:val="003945E4"/>
    <w:rsid w:val="00394954"/>
    <w:rsid w:val="00394FF6"/>
    <w:rsid w:val="0039513C"/>
    <w:rsid w:val="00395473"/>
    <w:rsid w:val="00395865"/>
    <w:rsid w:val="00395B8E"/>
    <w:rsid w:val="00395BD3"/>
    <w:rsid w:val="003961EE"/>
    <w:rsid w:val="00396263"/>
    <w:rsid w:val="00396DCF"/>
    <w:rsid w:val="00397429"/>
    <w:rsid w:val="00397586"/>
    <w:rsid w:val="003978C2"/>
    <w:rsid w:val="003A04BA"/>
    <w:rsid w:val="003A1285"/>
    <w:rsid w:val="003A2D3A"/>
    <w:rsid w:val="003A4D45"/>
    <w:rsid w:val="003A56D0"/>
    <w:rsid w:val="003A58D2"/>
    <w:rsid w:val="003A604E"/>
    <w:rsid w:val="003A74FB"/>
    <w:rsid w:val="003A7A59"/>
    <w:rsid w:val="003A7AB4"/>
    <w:rsid w:val="003B0A00"/>
    <w:rsid w:val="003B14F8"/>
    <w:rsid w:val="003B166C"/>
    <w:rsid w:val="003B167D"/>
    <w:rsid w:val="003B1AE8"/>
    <w:rsid w:val="003B2808"/>
    <w:rsid w:val="003B2DBC"/>
    <w:rsid w:val="003B4017"/>
    <w:rsid w:val="003B5A57"/>
    <w:rsid w:val="003B6AD4"/>
    <w:rsid w:val="003B6D67"/>
    <w:rsid w:val="003B6F0A"/>
    <w:rsid w:val="003B761A"/>
    <w:rsid w:val="003C0155"/>
    <w:rsid w:val="003C0C4B"/>
    <w:rsid w:val="003C1BBA"/>
    <w:rsid w:val="003C412A"/>
    <w:rsid w:val="003C41DA"/>
    <w:rsid w:val="003C43F4"/>
    <w:rsid w:val="003C459D"/>
    <w:rsid w:val="003C62A4"/>
    <w:rsid w:val="003C6441"/>
    <w:rsid w:val="003C758B"/>
    <w:rsid w:val="003C75D4"/>
    <w:rsid w:val="003D0C66"/>
    <w:rsid w:val="003D0DBD"/>
    <w:rsid w:val="003D185C"/>
    <w:rsid w:val="003D2191"/>
    <w:rsid w:val="003D2863"/>
    <w:rsid w:val="003D4346"/>
    <w:rsid w:val="003D697D"/>
    <w:rsid w:val="003D76AC"/>
    <w:rsid w:val="003D7CB2"/>
    <w:rsid w:val="003E0287"/>
    <w:rsid w:val="003E0C92"/>
    <w:rsid w:val="003E13B4"/>
    <w:rsid w:val="003E1818"/>
    <w:rsid w:val="003E1F50"/>
    <w:rsid w:val="003E2A19"/>
    <w:rsid w:val="003E36EA"/>
    <w:rsid w:val="003E4D26"/>
    <w:rsid w:val="003E5B79"/>
    <w:rsid w:val="003E674B"/>
    <w:rsid w:val="003E67F8"/>
    <w:rsid w:val="003E760A"/>
    <w:rsid w:val="003F0DD6"/>
    <w:rsid w:val="003F24E9"/>
    <w:rsid w:val="003F285A"/>
    <w:rsid w:val="003F3648"/>
    <w:rsid w:val="003F476A"/>
    <w:rsid w:val="003F6744"/>
    <w:rsid w:val="003F731E"/>
    <w:rsid w:val="003F7621"/>
    <w:rsid w:val="003F7CCB"/>
    <w:rsid w:val="004004A4"/>
    <w:rsid w:val="00400D43"/>
    <w:rsid w:val="00400FF0"/>
    <w:rsid w:val="004015D1"/>
    <w:rsid w:val="00402430"/>
    <w:rsid w:val="00403232"/>
    <w:rsid w:val="00403881"/>
    <w:rsid w:val="00404074"/>
    <w:rsid w:val="0040477F"/>
    <w:rsid w:val="00405F3F"/>
    <w:rsid w:val="00405F93"/>
    <w:rsid w:val="00406223"/>
    <w:rsid w:val="00406E24"/>
    <w:rsid w:val="004075DF"/>
    <w:rsid w:val="00407717"/>
    <w:rsid w:val="004100CD"/>
    <w:rsid w:val="0041155F"/>
    <w:rsid w:val="004118FB"/>
    <w:rsid w:val="00412471"/>
    <w:rsid w:val="0041325B"/>
    <w:rsid w:val="004136CF"/>
    <w:rsid w:val="00413825"/>
    <w:rsid w:val="00413906"/>
    <w:rsid w:val="00414911"/>
    <w:rsid w:val="0041576B"/>
    <w:rsid w:val="00415884"/>
    <w:rsid w:val="00415F0E"/>
    <w:rsid w:val="00416C9D"/>
    <w:rsid w:val="00417646"/>
    <w:rsid w:val="0042019A"/>
    <w:rsid w:val="004202A3"/>
    <w:rsid w:val="004203C5"/>
    <w:rsid w:val="0042152F"/>
    <w:rsid w:val="004219AB"/>
    <w:rsid w:val="00422780"/>
    <w:rsid w:val="00423348"/>
    <w:rsid w:val="00423CE3"/>
    <w:rsid w:val="004244D4"/>
    <w:rsid w:val="004259BE"/>
    <w:rsid w:val="00425AB0"/>
    <w:rsid w:val="00425EFC"/>
    <w:rsid w:val="00427725"/>
    <w:rsid w:val="004305C8"/>
    <w:rsid w:val="00431213"/>
    <w:rsid w:val="0043127C"/>
    <w:rsid w:val="00432338"/>
    <w:rsid w:val="00432622"/>
    <w:rsid w:val="00432D5C"/>
    <w:rsid w:val="00434590"/>
    <w:rsid w:val="00434906"/>
    <w:rsid w:val="004350A2"/>
    <w:rsid w:val="00435746"/>
    <w:rsid w:val="0043621C"/>
    <w:rsid w:val="00437747"/>
    <w:rsid w:val="00437DB5"/>
    <w:rsid w:val="00440244"/>
    <w:rsid w:val="0044083A"/>
    <w:rsid w:val="00440A03"/>
    <w:rsid w:val="00440AB4"/>
    <w:rsid w:val="004421C6"/>
    <w:rsid w:val="004446FC"/>
    <w:rsid w:val="0044489E"/>
    <w:rsid w:val="00445045"/>
    <w:rsid w:val="0044525C"/>
    <w:rsid w:val="00445D53"/>
    <w:rsid w:val="00445F93"/>
    <w:rsid w:val="0044674C"/>
    <w:rsid w:val="0044685E"/>
    <w:rsid w:val="0044725C"/>
    <w:rsid w:val="00447518"/>
    <w:rsid w:val="00447D37"/>
    <w:rsid w:val="004502F1"/>
    <w:rsid w:val="00450882"/>
    <w:rsid w:val="00451253"/>
    <w:rsid w:val="00451AD9"/>
    <w:rsid w:val="00451F4D"/>
    <w:rsid w:val="00453636"/>
    <w:rsid w:val="00453B0E"/>
    <w:rsid w:val="00453B1B"/>
    <w:rsid w:val="004545CD"/>
    <w:rsid w:val="00454B41"/>
    <w:rsid w:val="00454F9A"/>
    <w:rsid w:val="00456004"/>
    <w:rsid w:val="004561C2"/>
    <w:rsid w:val="00456F81"/>
    <w:rsid w:val="00457265"/>
    <w:rsid w:val="00457693"/>
    <w:rsid w:val="00457C92"/>
    <w:rsid w:val="00457DDE"/>
    <w:rsid w:val="004608D1"/>
    <w:rsid w:val="004619A2"/>
    <w:rsid w:val="00461CAF"/>
    <w:rsid w:val="00462FEC"/>
    <w:rsid w:val="00463072"/>
    <w:rsid w:val="004646BA"/>
    <w:rsid w:val="004653AC"/>
    <w:rsid w:val="00465967"/>
    <w:rsid w:val="00466FD1"/>
    <w:rsid w:val="004670E9"/>
    <w:rsid w:val="00467101"/>
    <w:rsid w:val="004703C5"/>
    <w:rsid w:val="0047148D"/>
    <w:rsid w:val="004721FA"/>
    <w:rsid w:val="00472E10"/>
    <w:rsid w:val="00472E22"/>
    <w:rsid w:val="0047387B"/>
    <w:rsid w:val="00473A69"/>
    <w:rsid w:val="00473A7B"/>
    <w:rsid w:val="004742F1"/>
    <w:rsid w:val="0047611B"/>
    <w:rsid w:val="00476226"/>
    <w:rsid w:val="00477894"/>
    <w:rsid w:val="004809D7"/>
    <w:rsid w:val="00480DF3"/>
    <w:rsid w:val="0048116C"/>
    <w:rsid w:val="00482218"/>
    <w:rsid w:val="004825BF"/>
    <w:rsid w:val="004827A8"/>
    <w:rsid w:val="00482BAC"/>
    <w:rsid w:val="00482C15"/>
    <w:rsid w:val="00482D3F"/>
    <w:rsid w:val="004842F6"/>
    <w:rsid w:val="0048455C"/>
    <w:rsid w:val="00484BF2"/>
    <w:rsid w:val="00484D9C"/>
    <w:rsid w:val="004850A9"/>
    <w:rsid w:val="00485C5F"/>
    <w:rsid w:val="00486E00"/>
    <w:rsid w:val="00486E2C"/>
    <w:rsid w:val="004876A4"/>
    <w:rsid w:val="00487819"/>
    <w:rsid w:val="00490DCC"/>
    <w:rsid w:val="00490F3D"/>
    <w:rsid w:val="00491EB0"/>
    <w:rsid w:val="00492197"/>
    <w:rsid w:val="00494730"/>
    <w:rsid w:val="0049477B"/>
    <w:rsid w:val="00494A8A"/>
    <w:rsid w:val="00495008"/>
    <w:rsid w:val="0049580D"/>
    <w:rsid w:val="00495FB7"/>
    <w:rsid w:val="004969C8"/>
    <w:rsid w:val="00496BD0"/>
    <w:rsid w:val="004A0208"/>
    <w:rsid w:val="004A04A4"/>
    <w:rsid w:val="004A07BF"/>
    <w:rsid w:val="004A0F75"/>
    <w:rsid w:val="004A1C14"/>
    <w:rsid w:val="004A3B78"/>
    <w:rsid w:val="004A4275"/>
    <w:rsid w:val="004A476A"/>
    <w:rsid w:val="004A5272"/>
    <w:rsid w:val="004A587E"/>
    <w:rsid w:val="004A593B"/>
    <w:rsid w:val="004A59CF"/>
    <w:rsid w:val="004A5F8E"/>
    <w:rsid w:val="004A6B1D"/>
    <w:rsid w:val="004A6FB4"/>
    <w:rsid w:val="004B0BC9"/>
    <w:rsid w:val="004B1909"/>
    <w:rsid w:val="004B20FF"/>
    <w:rsid w:val="004B25B2"/>
    <w:rsid w:val="004B37E3"/>
    <w:rsid w:val="004B3A01"/>
    <w:rsid w:val="004B5051"/>
    <w:rsid w:val="004B691E"/>
    <w:rsid w:val="004B7AFC"/>
    <w:rsid w:val="004C005B"/>
    <w:rsid w:val="004C0C7F"/>
    <w:rsid w:val="004C1FCB"/>
    <w:rsid w:val="004C2599"/>
    <w:rsid w:val="004C2AA6"/>
    <w:rsid w:val="004C3216"/>
    <w:rsid w:val="004C32D7"/>
    <w:rsid w:val="004C4439"/>
    <w:rsid w:val="004C4825"/>
    <w:rsid w:val="004C6836"/>
    <w:rsid w:val="004C7334"/>
    <w:rsid w:val="004C74E0"/>
    <w:rsid w:val="004D1428"/>
    <w:rsid w:val="004D165F"/>
    <w:rsid w:val="004D3113"/>
    <w:rsid w:val="004D3C37"/>
    <w:rsid w:val="004D499D"/>
    <w:rsid w:val="004D4EDB"/>
    <w:rsid w:val="004D5232"/>
    <w:rsid w:val="004D558F"/>
    <w:rsid w:val="004D62E5"/>
    <w:rsid w:val="004D7AB6"/>
    <w:rsid w:val="004E01CD"/>
    <w:rsid w:val="004E2338"/>
    <w:rsid w:val="004E27C8"/>
    <w:rsid w:val="004E2A5D"/>
    <w:rsid w:val="004E40F9"/>
    <w:rsid w:val="004E4183"/>
    <w:rsid w:val="004E48E6"/>
    <w:rsid w:val="004E4BF1"/>
    <w:rsid w:val="004E5F54"/>
    <w:rsid w:val="004E6443"/>
    <w:rsid w:val="004E784C"/>
    <w:rsid w:val="004E79B6"/>
    <w:rsid w:val="004E7BC6"/>
    <w:rsid w:val="004F04DB"/>
    <w:rsid w:val="004F248D"/>
    <w:rsid w:val="004F350A"/>
    <w:rsid w:val="004F48D1"/>
    <w:rsid w:val="004F5824"/>
    <w:rsid w:val="004F58C5"/>
    <w:rsid w:val="004F6AC6"/>
    <w:rsid w:val="004F750F"/>
    <w:rsid w:val="004F7921"/>
    <w:rsid w:val="00501D53"/>
    <w:rsid w:val="0050298A"/>
    <w:rsid w:val="005029A1"/>
    <w:rsid w:val="00503BA4"/>
    <w:rsid w:val="005049D4"/>
    <w:rsid w:val="0050648C"/>
    <w:rsid w:val="00506EA2"/>
    <w:rsid w:val="0050713E"/>
    <w:rsid w:val="00507547"/>
    <w:rsid w:val="00510742"/>
    <w:rsid w:val="00511453"/>
    <w:rsid w:val="00512178"/>
    <w:rsid w:val="005129F2"/>
    <w:rsid w:val="0051335C"/>
    <w:rsid w:val="0051439D"/>
    <w:rsid w:val="00514940"/>
    <w:rsid w:val="00514CCF"/>
    <w:rsid w:val="0051514A"/>
    <w:rsid w:val="00515440"/>
    <w:rsid w:val="00516C7B"/>
    <w:rsid w:val="005173B2"/>
    <w:rsid w:val="00520819"/>
    <w:rsid w:val="00520904"/>
    <w:rsid w:val="00521525"/>
    <w:rsid w:val="00521AE6"/>
    <w:rsid w:val="00521BD9"/>
    <w:rsid w:val="00522044"/>
    <w:rsid w:val="00522B87"/>
    <w:rsid w:val="00522F83"/>
    <w:rsid w:val="005239BA"/>
    <w:rsid w:val="005249F1"/>
    <w:rsid w:val="005265B6"/>
    <w:rsid w:val="00526C80"/>
    <w:rsid w:val="00527C65"/>
    <w:rsid w:val="005305F3"/>
    <w:rsid w:val="00530CBD"/>
    <w:rsid w:val="00531670"/>
    <w:rsid w:val="0053173A"/>
    <w:rsid w:val="00532F21"/>
    <w:rsid w:val="005338D4"/>
    <w:rsid w:val="005347C1"/>
    <w:rsid w:val="00535609"/>
    <w:rsid w:val="00535890"/>
    <w:rsid w:val="00536D1C"/>
    <w:rsid w:val="00537CBE"/>
    <w:rsid w:val="00540891"/>
    <w:rsid w:val="0054106B"/>
    <w:rsid w:val="005413AD"/>
    <w:rsid w:val="005414DD"/>
    <w:rsid w:val="00541D55"/>
    <w:rsid w:val="00542F38"/>
    <w:rsid w:val="005430B8"/>
    <w:rsid w:val="005436BF"/>
    <w:rsid w:val="00543AA8"/>
    <w:rsid w:val="00544435"/>
    <w:rsid w:val="00544A70"/>
    <w:rsid w:val="00545E24"/>
    <w:rsid w:val="0054618D"/>
    <w:rsid w:val="00546D68"/>
    <w:rsid w:val="00547179"/>
    <w:rsid w:val="005471FD"/>
    <w:rsid w:val="005473C1"/>
    <w:rsid w:val="00547B73"/>
    <w:rsid w:val="00547C3B"/>
    <w:rsid w:val="00547F33"/>
    <w:rsid w:val="00547F7C"/>
    <w:rsid w:val="0055040D"/>
    <w:rsid w:val="00550FDF"/>
    <w:rsid w:val="00551718"/>
    <w:rsid w:val="00553D85"/>
    <w:rsid w:val="005551BD"/>
    <w:rsid w:val="005567C3"/>
    <w:rsid w:val="00556ADB"/>
    <w:rsid w:val="00557868"/>
    <w:rsid w:val="00557B37"/>
    <w:rsid w:val="00560DCD"/>
    <w:rsid w:val="0056183D"/>
    <w:rsid w:val="005619B4"/>
    <w:rsid w:val="005632D2"/>
    <w:rsid w:val="0056425A"/>
    <w:rsid w:val="005646C9"/>
    <w:rsid w:val="0056500C"/>
    <w:rsid w:val="0056528E"/>
    <w:rsid w:val="005669CA"/>
    <w:rsid w:val="00570829"/>
    <w:rsid w:val="005716F7"/>
    <w:rsid w:val="0057268E"/>
    <w:rsid w:val="00573B69"/>
    <w:rsid w:val="00574AE1"/>
    <w:rsid w:val="00574F8A"/>
    <w:rsid w:val="00580BBC"/>
    <w:rsid w:val="0058100D"/>
    <w:rsid w:val="00581976"/>
    <w:rsid w:val="005838AC"/>
    <w:rsid w:val="00583AD9"/>
    <w:rsid w:val="00583FE9"/>
    <w:rsid w:val="005851AA"/>
    <w:rsid w:val="00585BFC"/>
    <w:rsid w:val="005865E7"/>
    <w:rsid w:val="005872F1"/>
    <w:rsid w:val="00587DE3"/>
    <w:rsid w:val="00592A54"/>
    <w:rsid w:val="0059564B"/>
    <w:rsid w:val="00595EF2"/>
    <w:rsid w:val="00595F11"/>
    <w:rsid w:val="005977AE"/>
    <w:rsid w:val="005A0444"/>
    <w:rsid w:val="005A045A"/>
    <w:rsid w:val="005A15DA"/>
    <w:rsid w:val="005A20B2"/>
    <w:rsid w:val="005A20DB"/>
    <w:rsid w:val="005A2932"/>
    <w:rsid w:val="005A2FA7"/>
    <w:rsid w:val="005A3181"/>
    <w:rsid w:val="005A4232"/>
    <w:rsid w:val="005A47B2"/>
    <w:rsid w:val="005A48F8"/>
    <w:rsid w:val="005A4996"/>
    <w:rsid w:val="005A4B8D"/>
    <w:rsid w:val="005A5E72"/>
    <w:rsid w:val="005A6338"/>
    <w:rsid w:val="005A6A51"/>
    <w:rsid w:val="005A6AAD"/>
    <w:rsid w:val="005A71AE"/>
    <w:rsid w:val="005A73B4"/>
    <w:rsid w:val="005B00C5"/>
    <w:rsid w:val="005B0B51"/>
    <w:rsid w:val="005B1960"/>
    <w:rsid w:val="005B1975"/>
    <w:rsid w:val="005B1E9F"/>
    <w:rsid w:val="005B1EEB"/>
    <w:rsid w:val="005B20A7"/>
    <w:rsid w:val="005B4117"/>
    <w:rsid w:val="005B4284"/>
    <w:rsid w:val="005B54F2"/>
    <w:rsid w:val="005B55EF"/>
    <w:rsid w:val="005B5B20"/>
    <w:rsid w:val="005B654F"/>
    <w:rsid w:val="005C1825"/>
    <w:rsid w:val="005C312D"/>
    <w:rsid w:val="005C3561"/>
    <w:rsid w:val="005C426A"/>
    <w:rsid w:val="005C48C7"/>
    <w:rsid w:val="005C5016"/>
    <w:rsid w:val="005C5539"/>
    <w:rsid w:val="005C5863"/>
    <w:rsid w:val="005C5F6F"/>
    <w:rsid w:val="005C628C"/>
    <w:rsid w:val="005C6903"/>
    <w:rsid w:val="005C7476"/>
    <w:rsid w:val="005C77E8"/>
    <w:rsid w:val="005D1370"/>
    <w:rsid w:val="005D16A2"/>
    <w:rsid w:val="005D216B"/>
    <w:rsid w:val="005D27AF"/>
    <w:rsid w:val="005D2A18"/>
    <w:rsid w:val="005D2B9E"/>
    <w:rsid w:val="005D32B4"/>
    <w:rsid w:val="005D44F8"/>
    <w:rsid w:val="005D4E63"/>
    <w:rsid w:val="005D5972"/>
    <w:rsid w:val="005D5A45"/>
    <w:rsid w:val="005D6E08"/>
    <w:rsid w:val="005D6F19"/>
    <w:rsid w:val="005D7524"/>
    <w:rsid w:val="005D7736"/>
    <w:rsid w:val="005E0346"/>
    <w:rsid w:val="005E04B3"/>
    <w:rsid w:val="005E08B5"/>
    <w:rsid w:val="005E0B33"/>
    <w:rsid w:val="005E194C"/>
    <w:rsid w:val="005E20BB"/>
    <w:rsid w:val="005E214C"/>
    <w:rsid w:val="005E262E"/>
    <w:rsid w:val="005E27D1"/>
    <w:rsid w:val="005E3A32"/>
    <w:rsid w:val="005E4F0B"/>
    <w:rsid w:val="005E653A"/>
    <w:rsid w:val="005E7236"/>
    <w:rsid w:val="005F01DB"/>
    <w:rsid w:val="005F1587"/>
    <w:rsid w:val="005F2221"/>
    <w:rsid w:val="005F2483"/>
    <w:rsid w:val="005F2590"/>
    <w:rsid w:val="005F2F34"/>
    <w:rsid w:val="005F3668"/>
    <w:rsid w:val="005F3D56"/>
    <w:rsid w:val="005F5CB5"/>
    <w:rsid w:val="005F609E"/>
    <w:rsid w:val="006004F0"/>
    <w:rsid w:val="00601547"/>
    <w:rsid w:val="006023CD"/>
    <w:rsid w:val="006028F7"/>
    <w:rsid w:val="00602A16"/>
    <w:rsid w:val="006031B3"/>
    <w:rsid w:val="006039DE"/>
    <w:rsid w:val="00604581"/>
    <w:rsid w:val="00605238"/>
    <w:rsid w:val="006052AE"/>
    <w:rsid w:val="00605A06"/>
    <w:rsid w:val="00605D72"/>
    <w:rsid w:val="00606500"/>
    <w:rsid w:val="0060650D"/>
    <w:rsid w:val="0060654C"/>
    <w:rsid w:val="00607115"/>
    <w:rsid w:val="00607615"/>
    <w:rsid w:val="00607E2A"/>
    <w:rsid w:val="006100F6"/>
    <w:rsid w:val="00611A6E"/>
    <w:rsid w:val="00611BB7"/>
    <w:rsid w:val="00611EDC"/>
    <w:rsid w:val="00613028"/>
    <w:rsid w:val="00613415"/>
    <w:rsid w:val="00613740"/>
    <w:rsid w:val="006140D1"/>
    <w:rsid w:val="006141CD"/>
    <w:rsid w:val="00614863"/>
    <w:rsid w:val="00615AF4"/>
    <w:rsid w:val="00616354"/>
    <w:rsid w:val="00616B90"/>
    <w:rsid w:val="00617DF8"/>
    <w:rsid w:val="0062037C"/>
    <w:rsid w:val="00620537"/>
    <w:rsid w:val="0062255B"/>
    <w:rsid w:val="006232B5"/>
    <w:rsid w:val="006233D9"/>
    <w:rsid w:val="00623506"/>
    <w:rsid w:val="00623549"/>
    <w:rsid w:val="00623759"/>
    <w:rsid w:val="00623ADC"/>
    <w:rsid w:val="00624435"/>
    <w:rsid w:val="00624E48"/>
    <w:rsid w:val="006264C2"/>
    <w:rsid w:val="0062664B"/>
    <w:rsid w:val="00626D13"/>
    <w:rsid w:val="00627A01"/>
    <w:rsid w:val="00631168"/>
    <w:rsid w:val="00631C81"/>
    <w:rsid w:val="006334B4"/>
    <w:rsid w:val="00633BED"/>
    <w:rsid w:val="00634963"/>
    <w:rsid w:val="00634D9D"/>
    <w:rsid w:val="0063526E"/>
    <w:rsid w:val="0063599F"/>
    <w:rsid w:val="006360A3"/>
    <w:rsid w:val="006367AB"/>
    <w:rsid w:val="00636ECD"/>
    <w:rsid w:val="00637020"/>
    <w:rsid w:val="00640179"/>
    <w:rsid w:val="00640640"/>
    <w:rsid w:val="006409E7"/>
    <w:rsid w:val="00640ED1"/>
    <w:rsid w:val="00641E81"/>
    <w:rsid w:val="00643E97"/>
    <w:rsid w:val="00644A45"/>
    <w:rsid w:val="006458D4"/>
    <w:rsid w:val="00646D63"/>
    <w:rsid w:val="00646D77"/>
    <w:rsid w:val="006501E6"/>
    <w:rsid w:val="0065043C"/>
    <w:rsid w:val="00650763"/>
    <w:rsid w:val="00650AAD"/>
    <w:rsid w:val="006523C2"/>
    <w:rsid w:val="00653AC5"/>
    <w:rsid w:val="00653FE3"/>
    <w:rsid w:val="0065415A"/>
    <w:rsid w:val="00654561"/>
    <w:rsid w:val="00654663"/>
    <w:rsid w:val="006549BD"/>
    <w:rsid w:val="0066017F"/>
    <w:rsid w:val="006608C7"/>
    <w:rsid w:val="006616A1"/>
    <w:rsid w:val="00661F28"/>
    <w:rsid w:val="0066258F"/>
    <w:rsid w:val="00662801"/>
    <w:rsid w:val="006629E0"/>
    <w:rsid w:val="00662BAC"/>
    <w:rsid w:val="00663EF1"/>
    <w:rsid w:val="00664088"/>
    <w:rsid w:val="00664207"/>
    <w:rsid w:val="006644EC"/>
    <w:rsid w:val="006646E3"/>
    <w:rsid w:val="006657CA"/>
    <w:rsid w:val="00665BE0"/>
    <w:rsid w:val="0066655B"/>
    <w:rsid w:val="00666E9B"/>
    <w:rsid w:val="006678B8"/>
    <w:rsid w:val="006700D6"/>
    <w:rsid w:val="00670296"/>
    <w:rsid w:val="00671DB6"/>
    <w:rsid w:val="00671F83"/>
    <w:rsid w:val="00672B7F"/>
    <w:rsid w:val="00672DA9"/>
    <w:rsid w:val="00674520"/>
    <w:rsid w:val="00674652"/>
    <w:rsid w:val="00674C3E"/>
    <w:rsid w:val="00674F4D"/>
    <w:rsid w:val="006757C0"/>
    <w:rsid w:val="00675D0E"/>
    <w:rsid w:val="00676666"/>
    <w:rsid w:val="006802D9"/>
    <w:rsid w:val="00681B29"/>
    <w:rsid w:val="00681C25"/>
    <w:rsid w:val="00683792"/>
    <w:rsid w:val="00684136"/>
    <w:rsid w:val="006842B2"/>
    <w:rsid w:val="00684BE9"/>
    <w:rsid w:val="00685085"/>
    <w:rsid w:val="006850BD"/>
    <w:rsid w:val="006857D4"/>
    <w:rsid w:val="00686952"/>
    <w:rsid w:val="00686F12"/>
    <w:rsid w:val="00687666"/>
    <w:rsid w:val="00687D30"/>
    <w:rsid w:val="00690266"/>
    <w:rsid w:val="00690C83"/>
    <w:rsid w:val="00691792"/>
    <w:rsid w:val="00692519"/>
    <w:rsid w:val="00692652"/>
    <w:rsid w:val="006926CD"/>
    <w:rsid w:val="00694197"/>
    <w:rsid w:val="00694281"/>
    <w:rsid w:val="00694C93"/>
    <w:rsid w:val="00695048"/>
    <w:rsid w:val="00695562"/>
    <w:rsid w:val="00695E1E"/>
    <w:rsid w:val="00697522"/>
    <w:rsid w:val="00697CCB"/>
    <w:rsid w:val="006A00B8"/>
    <w:rsid w:val="006A075F"/>
    <w:rsid w:val="006A0C5C"/>
    <w:rsid w:val="006A1425"/>
    <w:rsid w:val="006A176C"/>
    <w:rsid w:val="006A215D"/>
    <w:rsid w:val="006A2260"/>
    <w:rsid w:val="006A3A5B"/>
    <w:rsid w:val="006A44AA"/>
    <w:rsid w:val="006A4537"/>
    <w:rsid w:val="006A489D"/>
    <w:rsid w:val="006A64FA"/>
    <w:rsid w:val="006A6D2B"/>
    <w:rsid w:val="006A7833"/>
    <w:rsid w:val="006A7EE4"/>
    <w:rsid w:val="006B0D0F"/>
    <w:rsid w:val="006B1CB7"/>
    <w:rsid w:val="006B25F4"/>
    <w:rsid w:val="006B2A3D"/>
    <w:rsid w:val="006B35BF"/>
    <w:rsid w:val="006B3A59"/>
    <w:rsid w:val="006B41FC"/>
    <w:rsid w:val="006B7654"/>
    <w:rsid w:val="006C12E6"/>
    <w:rsid w:val="006C16F4"/>
    <w:rsid w:val="006C188D"/>
    <w:rsid w:val="006C1F92"/>
    <w:rsid w:val="006C2BCA"/>
    <w:rsid w:val="006C2FD8"/>
    <w:rsid w:val="006C45A2"/>
    <w:rsid w:val="006C4B9D"/>
    <w:rsid w:val="006C5355"/>
    <w:rsid w:val="006C6060"/>
    <w:rsid w:val="006C639D"/>
    <w:rsid w:val="006C7646"/>
    <w:rsid w:val="006C78A1"/>
    <w:rsid w:val="006D0691"/>
    <w:rsid w:val="006D207A"/>
    <w:rsid w:val="006D23B6"/>
    <w:rsid w:val="006D2497"/>
    <w:rsid w:val="006D395B"/>
    <w:rsid w:val="006D421B"/>
    <w:rsid w:val="006D5EC0"/>
    <w:rsid w:val="006D63EE"/>
    <w:rsid w:val="006D780C"/>
    <w:rsid w:val="006D7B8C"/>
    <w:rsid w:val="006D7D84"/>
    <w:rsid w:val="006E01A5"/>
    <w:rsid w:val="006E0B0A"/>
    <w:rsid w:val="006E0EFD"/>
    <w:rsid w:val="006E1218"/>
    <w:rsid w:val="006E1B4D"/>
    <w:rsid w:val="006E5444"/>
    <w:rsid w:val="006E562F"/>
    <w:rsid w:val="006E5E8D"/>
    <w:rsid w:val="006E5FA9"/>
    <w:rsid w:val="006E6831"/>
    <w:rsid w:val="006E7954"/>
    <w:rsid w:val="006E79FC"/>
    <w:rsid w:val="006F0894"/>
    <w:rsid w:val="006F0A14"/>
    <w:rsid w:val="006F0A30"/>
    <w:rsid w:val="006F19F5"/>
    <w:rsid w:val="006F2610"/>
    <w:rsid w:val="006F3823"/>
    <w:rsid w:val="006F53A0"/>
    <w:rsid w:val="006F79D4"/>
    <w:rsid w:val="007014B9"/>
    <w:rsid w:val="00702661"/>
    <w:rsid w:val="007048EC"/>
    <w:rsid w:val="00704B12"/>
    <w:rsid w:val="00705C62"/>
    <w:rsid w:val="00707430"/>
    <w:rsid w:val="007078DB"/>
    <w:rsid w:val="007078FE"/>
    <w:rsid w:val="00707A0F"/>
    <w:rsid w:val="0071016C"/>
    <w:rsid w:val="00710890"/>
    <w:rsid w:val="00713155"/>
    <w:rsid w:val="00713524"/>
    <w:rsid w:val="00713A4F"/>
    <w:rsid w:val="00713A84"/>
    <w:rsid w:val="00713D43"/>
    <w:rsid w:val="00714082"/>
    <w:rsid w:val="00714E75"/>
    <w:rsid w:val="00715664"/>
    <w:rsid w:val="007159C8"/>
    <w:rsid w:val="00715D0F"/>
    <w:rsid w:val="00715F82"/>
    <w:rsid w:val="00715FC2"/>
    <w:rsid w:val="00720216"/>
    <w:rsid w:val="00720620"/>
    <w:rsid w:val="00720970"/>
    <w:rsid w:val="0072122A"/>
    <w:rsid w:val="00721CE4"/>
    <w:rsid w:val="00722B36"/>
    <w:rsid w:val="0072347A"/>
    <w:rsid w:val="007236B0"/>
    <w:rsid w:val="0072441C"/>
    <w:rsid w:val="00724541"/>
    <w:rsid w:val="00724A23"/>
    <w:rsid w:val="00725DAB"/>
    <w:rsid w:val="0072631C"/>
    <w:rsid w:val="0072645E"/>
    <w:rsid w:val="00726527"/>
    <w:rsid w:val="0072780D"/>
    <w:rsid w:val="00727E9F"/>
    <w:rsid w:val="00730A1C"/>
    <w:rsid w:val="00730AFA"/>
    <w:rsid w:val="00731B99"/>
    <w:rsid w:val="00732813"/>
    <w:rsid w:val="007339CA"/>
    <w:rsid w:val="00734C6C"/>
    <w:rsid w:val="007360B1"/>
    <w:rsid w:val="007361CF"/>
    <w:rsid w:val="0073664A"/>
    <w:rsid w:val="00736953"/>
    <w:rsid w:val="007373D5"/>
    <w:rsid w:val="00737B00"/>
    <w:rsid w:val="00737F73"/>
    <w:rsid w:val="00740E06"/>
    <w:rsid w:val="007410C7"/>
    <w:rsid w:val="00741437"/>
    <w:rsid w:val="00741987"/>
    <w:rsid w:val="0074207D"/>
    <w:rsid w:val="007429E9"/>
    <w:rsid w:val="00742D38"/>
    <w:rsid w:val="0074377E"/>
    <w:rsid w:val="00743FC9"/>
    <w:rsid w:val="0074463A"/>
    <w:rsid w:val="0074490E"/>
    <w:rsid w:val="00744B0B"/>
    <w:rsid w:val="0074534D"/>
    <w:rsid w:val="00746495"/>
    <w:rsid w:val="007465E2"/>
    <w:rsid w:val="00746744"/>
    <w:rsid w:val="007467E8"/>
    <w:rsid w:val="00746B64"/>
    <w:rsid w:val="00746E14"/>
    <w:rsid w:val="00746F7E"/>
    <w:rsid w:val="00747807"/>
    <w:rsid w:val="00750738"/>
    <w:rsid w:val="00750883"/>
    <w:rsid w:val="0075135A"/>
    <w:rsid w:val="007515D3"/>
    <w:rsid w:val="007522F8"/>
    <w:rsid w:val="007527F9"/>
    <w:rsid w:val="00752E8B"/>
    <w:rsid w:val="00753436"/>
    <w:rsid w:val="00753DEF"/>
    <w:rsid w:val="00754819"/>
    <w:rsid w:val="00754A91"/>
    <w:rsid w:val="00754D99"/>
    <w:rsid w:val="00755E89"/>
    <w:rsid w:val="007565F2"/>
    <w:rsid w:val="0075709E"/>
    <w:rsid w:val="00757B24"/>
    <w:rsid w:val="00760DAB"/>
    <w:rsid w:val="00760EEB"/>
    <w:rsid w:val="00761060"/>
    <w:rsid w:val="00762200"/>
    <w:rsid w:val="00763ABD"/>
    <w:rsid w:val="00763E51"/>
    <w:rsid w:val="00764767"/>
    <w:rsid w:val="00765099"/>
    <w:rsid w:val="0076524E"/>
    <w:rsid w:val="00765293"/>
    <w:rsid w:val="007652DF"/>
    <w:rsid w:val="00766654"/>
    <w:rsid w:val="00767435"/>
    <w:rsid w:val="0076747D"/>
    <w:rsid w:val="00770371"/>
    <w:rsid w:val="007715CF"/>
    <w:rsid w:val="00772F6D"/>
    <w:rsid w:val="007732D8"/>
    <w:rsid w:val="00773CD1"/>
    <w:rsid w:val="0077556E"/>
    <w:rsid w:val="00775D46"/>
    <w:rsid w:val="00775E78"/>
    <w:rsid w:val="00776240"/>
    <w:rsid w:val="007767FA"/>
    <w:rsid w:val="0077688E"/>
    <w:rsid w:val="007777E6"/>
    <w:rsid w:val="00781082"/>
    <w:rsid w:val="0078133F"/>
    <w:rsid w:val="0078185F"/>
    <w:rsid w:val="00781A37"/>
    <w:rsid w:val="00782BEF"/>
    <w:rsid w:val="007834CD"/>
    <w:rsid w:val="00783B70"/>
    <w:rsid w:val="00784B85"/>
    <w:rsid w:val="007862FE"/>
    <w:rsid w:val="00786E94"/>
    <w:rsid w:val="007870D0"/>
    <w:rsid w:val="00787F25"/>
    <w:rsid w:val="007919FE"/>
    <w:rsid w:val="00793144"/>
    <w:rsid w:val="007931E1"/>
    <w:rsid w:val="0079416D"/>
    <w:rsid w:val="007951DD"/>
    <w:rsid w:val="00795384"/>
    <w:rsid w:val="00796578"/>
    <w:rsid w:val="00796F33"/>
    <w:rsid w:val="0079786D"/>
    <w:rsid w:val="00797DBD"/>
    <w:rsid w:val="007A0652"/>
    <w:rsid w:val="007A2FF8"/>
    <w:rsid w:val="007A3AE3"/>
    <w:rsid w:val="007A505D"/>
    <w:rsid w:val="007A5D67"/>
    <w:rsid w:val="007A7842"/>
    <w:rsid w:val="007B040A"/>
    <w:rsid w:val="007B2548"/>
    <w:rsid w:val="007B28DC"/>
    <w:rsid w:val="007B297A"/>
    <w:rsid w:val="007B2988"/>
    <w:rsid w:val="007B4298"/>
    <w:rsid w:val="007B42A3"/>
    <w:rsid w:val="007B4D9D"/>
    <w:rsid w:val="007B6442"/>
    <w:rsid w:val="007B7165"/>
    <w:rsid w:val="007C03D5"/>
    <w:rsid w:val="007C2499"/>
    <w:rsid w:val="007C269E"/>
    <w:rsid w:val="007C2809"/>
    <w:rsid w:val="007C2EAA"/>
    <w:rsid w:val="007C40A5"/>
    <w:rsid w:val="007C45F1"/>
    <w:rsid w:val="007C4B5F"/>
    <w:rsid w:val="007C54C3"/>
    <w:rsid w:val="007C6681"/>
    <w:rsid w:val="007C7040"/>
    <w:rsid w:val="007C7A08"/>
    <w:rsid w:val="007C7D55"/>
    <w:rsid w:val="007C7F03"/>
    <w:rsid w:val="007D0186"/>
    <w:rsid w:val="007D062D"/>
    <w:rsid w:val="007D07A8"/>
    <w:rsid w:val="007D099A"/>
    <w:rsid w:val="007D0DCD"/>
    <w:rsid w:val="007D1F0E"/>
    <w:rsid w:val="007D23B1"/>
    <w:rsid w:val="007D2A18"/>
    <w:rsid w:val="007D2B29"/>
    <w:rsid w:val="007D3C6E"/>
    <w:rsid w:val="007D41F6"/>
    <w:rsid w:val="007D4859"/>
    <w:rsid w:val="007D62BA"/>
    <w:rsid w:val="007D65F4"/>
    <w:rsid w:val="007D6613"/>
    <w:rsid w:val="007D6814"/>
    <w:rsid w:val="007D733C"/>
    <w:rsid w:val="007D7CDD"/>
    <w:rsid w:val="007E041D"/>
    <w:rsid w:val="007E082F"/>
    <w:rsid w:val="007E0909"/>
    <w:rsid w:val="007E0C63"/>
    <w:rsid w:val="007E0D18"/>
    <w:rsid w:val="007E0F86"/>
    <w:rsid w:val="007E15A1"/>
    <w:rsid w:val="007E2BF2"/>
    <w:rsid w:val="007E2ECE"/>
    <w:rsid w:val="007E399E"/>
    <w:rsid w:val="007E3D67"/>
    <w:rsid w:val="007E3E61"/>
    <w:rsid w:val="007E5A12"/>
    <w:rsid w:val="007E6151"/>
    <w:rsid w:val="007E6207"/>
    <w:rsid w:val="007E6ECF"/>
    <w:rsid w:val="007E7BE0"/>
    <w:rsid w:val="007F033A"/>
    <w:rsid w:val="007F0435"/>
    <w:rsid w:val="007F0699"/>
    <w:rsid w:val="007F0868"/>
    <w:rsid w:val="007F08C0"/>
    <w:rsid w:val="007F24FC"/>
    <w:rsid w:val="007F3713"/>
    <w:rsid w:val="007F3AAE"/>
    <w:rsid w:val="007F3D63"/>
    <w:rsid w:val="007F51C1"/>
    <w:rsid w:val="007F5F61"/>
    <w:rsid w:val="007F6B6C"/>
    <w:rsid w:val="007F79A6"/>
    <w:rsid w:val="008003FA"/>
    <w:rsid w:val="008026A9"/>
    <w:rsid w:val="00803055"/>
    <w:rsid w:val="008033FC"/>
    <w:rsid w:val="008042AD"/>
    <w:rsid w:val="00804776"/>
    <w:rsid w:val="00804992"/>
    <w:rsid w:val="00804FAF"/>
    <w:rsid w:val="008052D5"/>
    <w:rsid w:val="00805B0C"/>
    <w:rsid w:val="00805B25"/>
    <w:rsid w:val="00805F96"/>
    <w:rsid w:val="00805FA4"/>
    <w:rsid w:val="008067BC"/>
    <w:rsid w:val="008070ED"/>
    <w:rsid w:val="008073DF"/>
    <w:rsid w:val="00807715"/>
    <w:rsid w:val="0080784A"/>
    <w:rsid w:val="008115A0"/>
    <w:rsid w:val="00811872"/>
    <w:rsid w:val="00812193"/>
    <w:rsid w:val="00812296"/>
    <w:rsid w:val="00812AE6"/>
    <w:rsid w:val="00813ECB"/>
    <w:rsid w:val="0081513C"/>
    <w:rsid w:val="008155FA"/>
    <w:rsid w:val="008156AE"/>
    <w:rsid w:val="00815780"/>
    <w:rsid w:val="00815CD4"/>
    <w:rsid w:val="00815DC6"/>
    <w:rsid w:val="008162D6"/>
    <w:rsid w:val="008168AF"/>
    <w:rsid w:val="00816D6F"/>
    <w:rsid w:val="0081729F"/>
    <w:rsid w:val="0081761F"/>
    <w:rsid w:val="008207B5"/>
    <w:rsid w:val="00820BD1"/>
    <w:rsid w:val="00821DC2"/>
    <w:rsid w:val="00822124"/>
    <w:rsid w:val="008227DE"/>
    <w:rsid w:val="00823613"/>
    <w:rsid w:val="008238D1"/>
    <w:rsid w:val="00824CEA"/>
    <w:rsid w:val="008252CC"/>
    <w:rsid w:val="00825725"/>
    <w:rsid w:val="00825BE6"/>
    <w:rsid w:val="008260B7"/>
    <w:rsid w:val="00827F50"/>
    <w:rsid w:val="008301A7"/>
    <w:rsid w:val="0083033A"/>
    <w:rsid w:val="008310F2"/>
    <w:rsid w:val="00832AB3"/>
    <w:rsid w:val="00833087"/>
    <w:rsid w:val="0083362E"/>
    <w:rsid w:val="008336CA"/>
    <w:rsid w:val="0083437C"/>
    <w:rsid w:val="00834ABD"/>
    <w:rsid w:val="00834F30"/>
    <w:rsid w:val="00836BFF"/>
    <w:rsid w:val="00837657"/>
    <w:rsid w:val="0083778B"/>
    <w:rsid w:val="00840D92"/>
    <w:rsid w:val="0084311F"/>
    <w:rsid w:val="00843394"/>
    <w:rsid w:val="008436AB"/>
    <w:rsid w:val="00843C21"/>
    <w:rsid w:val="00844A59"/>
    <w:rsid w:val="00844C09"/>
    <w:rsid w:val="00844F6A"/>
    <w:rsid w:val="008503F8"/>
    <w:rsid w:val="00851747"/>
    <w:rsid w:val="00853877"/>
    <w:rsid w:val="00853960"/>
    <w:rsid w:val="00853C32"/>
    <w:rsid w:val="00854DBF"/>
    <w:rsid w:val="008553DE"/>
    <w:rsid w:val="00855F49"/>
    <w:rsid w:val="008566E0"/>
    <w:rsid w:val="00856C56"/>
    <w:rsid w:val="008575B1"/>
    <w:rsid w:val="0086042F"/>
    <w:rsid w:val="008605C0"/>
    <w:rsid w:val="008606FE"/>
    <w:rsid w:val="00860A3B"/>
    <w:rsid w:val="00861A29"/>
    <w:rsid w:val="00862931"/>
    <w:rsid w:val="00862B07"/>
    <w:rsid w:val="00864037"/>
    <w:rsid w:val="008653FA"/>
    <w:rsid w:val="00865C66"/>
    <w:rsid w:val="00865CC3"/>
    <w:rsid w:val="00865F04"/>
    <w:rsid w:val="008662AC"/>
    <w:rsid w:val="00866A4D"/>
    <w:rsid w:val="00866AFC"/>
    <w:rsid w:val="0086790D"/>
    <w:rsid w:val="008709A0"/>
    <w:rsid w:val="00873BD6"/>
    <w:rsid w:val="00873C5E"/>
    <w:rsid w:val="00875872"/>
    <w:rsid w:val="00875E4A"/>
    <w:rsid w:val="00876BEE"/>
    <w:rsid w:val="008777BA"/>
    <w:rsid w:val="0088074E"/>
    <w:rsid w:val="00880E0D"/>
    <w:rsid w:val="00881AAB"/>
    <w:rsid w:val="008821C8"/>
    <w:rsid w:val="00882505"/>
    <w:rsid w:val="00882824"/>
    <w:rsid w:val="008857FC"/>
    <w:rsid w:val="00887441"/>
    <w:rsid w:val="00887A98"/>
    <w:rsid w:val="00890A39"/>
    <w:rsid w:val="00891C0C"/>
    <w:rsid w:val="00891D73"/>
    <w:rsid w:val="00891F16"/>
    <w:rsid w:val="00891F38"/>
    <w:rsid w:val="008924DA"/>
    <w:rsid w:val="0089262A"/>
    <w:rsid w:val="00892BCA"/>
    <w:rsid w:val="00892D73"/>
    <w:rsid w:val="008959B9"/>
    <w:rsid w:val="0089749B"/>
    <w:rsid w:val="00897F09"/>
    <w:rsid w:val="008A00F5"/>
    <w:rsid w:val="008A1072"/>
    <w:rsid w:val="008A1544"/>
    <w:rsid w:val="008A293E"/>
    <w:rsid w:val="008A2BA1"/>
    <w:rsid w:val="008A3632"/>
    <w:rsid w:val="008A38CC"/>
    <w:rsid w:val="008A4B5B"/>
    <w:rsid w:val="008A78BD"/>
    <w:rsid w:val="008A78C5"/>
    <w:rsid w:val="008B061D"/>
    <w:rsid w:val="008B1561"/>
    <w:rsid w:val="008B1951"/>
    <w:rsid w:val="008B2D73"/>
    <w:rsid w:val="008B2F5B"/>
    <w:rsid w:val="008B30E9"/>
    <w:rsid w:val="008B32D7"/>
    <w:rsid w:val="008B3739"/>
    <w:rsid w:val="008B51DF"/>
    <w:rsid w:val="008B6196"/>
    <w:rsid w:val="008B681D"/>
    <w:rsid w:val="008B6B47"/>
    <w:rsid w:val="008B7E55"/>
    <w:rsid w:val="008C0D1A"/>
    <w:rsid w:val="008C10E0"/>
    <w:rsid w:val="008C1E36"/>
    <w:rsid w:val="008C36DC"/>
    <w:rsid w:val="008C3FD7"/>
    <w:rsid w:val="008C55A4"/>
    <w:rsid w:val="008C5605"/>
    <w:rsid w:val="008C6744"/>
    <w:rsid w:val="008D01C4"/>
    <w:rsid w:val="008D03FA"/>
    <w:rsid w:val="008D19B7"/>
    <w:rsid w:val="008D282C"/>
    <w:rsid w:val="008D2BD9"/>
    <w:rsid w:val="008D3A75"/>
    <w:rsid w:val="008D3B6A"/>
    <w:rsid w:val="008D4350"/>
    <w:rsid w:val="008D5925"/>
    <w:rsid w:val="008D59A1"/>
    <w:rsid w:val="008D5A3B"/>
    <w:rsid w:val="008D62B1"/>
    <w:rsid w:val="008D77E0"/>
    <w:rsid w:val="008E00B5"/>
    <w:rsid w:val="008E014A"/>
    <w:rsid w:val="008E109D"/>
    <w:rsid w:val="008E1186"/>
    <w:rsid w:val="008E151C"/>
    <w:rsid w:val="008E1E20"/>
    <w:rsid w:val="008E1ECC"/>
    <w:rsid w:val="008E20E0"/>
    <w:rsid w:val="008E2281"/>
    <w:rsid w:val="008E2483"/>
    <w:rsid w:val="008E36C4"/>
    <w:rsid w:val="008E4A98"/>
    <w:rsid w:val="008E52B8"/>
    <w:rsid w:val="008E578B"/>
    <w:rsid w:val="008E6382"/>
    <w:rsid w:val="008E6CB1"/>
    <w:rsid w:val="008E7570"/>
    <w:rsid w:val="008E7DDB"/>
    <w:rsid w:val="008F04B8"/>
    <w:rsid w:val="008F20B2"/>
    <w:rsid w:val="008F26F4"/>
    <w:rsid w:val="008F283E"/>
    <w:rsid w:val="008F47E0"/>
    <w:rsid w:val="008F55A7"/>
    <w:rsid w:val="008F5AE9"/>
    <w:rsid w:val="008F5E98"/>
    <w:rsid w:val="008F6836"/>
    <w:rsid w:val="008F759E"/>
    <w:rsid w:val="008F7B95"/>
    <w:rsid w:val="009002E7"/>
    <w:rsid w:val="009005A1"/>
    <w:rsid w:val="00902A6E"/>
    <w:rsid w:val="0090329C"/>
    <w:rsid w:val="00903B67"/>
    <w:rsid w:val="00904D06"/>
    <w:rsid w:val="00905543"/>
    <w:rsid w:val="0090639D"/>
    <w:rsid w:val="009063B6"/>
    <w:rsid w:val="00906898"/>
    <w:rsid w:val="009073A3"/>
    <w:rsid w:val="009106C4"/>
    <w:rsid w:val="009109FE"/>
    <w:rsid w:val="00910D80"/>
    <w:rsid w:val="0091123D"/>
    <w:rsid w:val="009119DD"/>
    <w:rsid w:val="0091207B"/>
    <w:rsid w:val="00912313"/>
    <w:rsid w:val="00912D9C"/>
    <w:rsid w:val="00913064"/>
    <w:rsid w:val="009145A5"/>
    <w:rsid w:val="009147A6"/>
    <w:rsid w:val="00914AB2"/>
    <w:rsid w:val="009155AB"/>
    <w:rsid w:val="00915D5D"/>
    <w:rsid w:val="00915FF7"/>
    <w:rsid w:val="00916CF3"/>
    <w:rsid w:val="00917105"/>
    <w:rsid w:val="0091768E"/>
    <w:rsid w:val="009205A2"/>
    <w:rsid w:val="00920BCD"/>
    <w:rsid w:val="00921852"/>
    <w:rsid w:val="00922548"/>
    <w:rsid w:val="009231BF"/>
    <w:rsid w:val="00924B88"/>
    <w:rsid w:val="00924DAA"/>
    <w:rsid w:val="00924E34"/>
    <w:rsid w:val="00924F92"/>
    <w:rsid w:val="00925169"/>
    <w:rsid w:val="009262F0"/>
    <w:rsid w:val="00926526"/>
    <w:rsid w:val="009267A2"/>
    <w:rsid w:val="00926AC6"/>
    <w:rsid w:val="00926BB6"/>
    <w:rsid w:val="009277DF"/>
    <w:rsid w:val="0092792D"/>
    <w:rsid w:val="00927B5A"/>
    <w:rsid w:val="0093065C"/>
    <w:rsid w:val="009310BF"/>
    <w:rsid w:val="009320C4"/>
    <w:rsid w:val="009322FB"/>
    <w:rsid w:val="009325D8"/>
    <w:rsid w:val="00932914"/>
    <w:rsid w:val="009336CB"/>
    <w:rsid w:val="00933C3A"/>
    <w:rsid w:val="009351E1"/>
    <w:rsid w:val="00936D90"/>
    <w:rsid w:val="0094091C"/>
    <w:rsid w:val="00940D88"/>
    <w:rsid w:val="00940FB0"/>
    <w:rsid w:val="00941552"/>
    <w:rsid w:val="00941B07"/>
    <w:rsid w:val="00943E45"/>
    <w:rsid w:val="009440E4"/>
    <w:rsid w:val="00945D1F"/>
    <w:rsid w:val="00945ED0"/>
    <w:rsid w:val="00945EFE"/>
    <w:rsid w:val="0094704F"/>
    <w:rsid w:val="009470A4"/>
    <w:rsid w:val="009478B6"/>
    <w:rsid w:val="00947F74"/>
    <w:rsid w:val="00951341"/>
    <w:rsid w:val="009513C7"/>
    <w:rsid w:val="009516ED"/>
    <w:rsid w:val="00951817"/>
    <w:rsid w:val="00952997"/>
    <w:rsid w:val="00953580"/>
    <w:rsid w:val="00953A14"/>
    <w:rsid w:val="0095456C"/>
    <w:rsid w:val="009547F1"/>
    <w:rsid w:val="0095592F"/>
    <w:rsid w:val="00955C8C"/>
    <w:rsid w:val="00956D50"/>
    <w:rsid w:val="00956EFA"/>
    <w:rsid w:val="009571B6"/>
    <w:rsid w:val="00957840"/>
    <w:rsid w:val="00957E5C"/>
    <w:rsid w:val="0096049E"/>
    <w:rsid w:val="00960748"/>
    <w:rsid w:val="00960765"/>
    <w:rsid w:val="00961492"/>
    <w:rsid w:val="00962666"/>
    <w:rsid w:val="0096291A"/>
    <w:rsid w:val="00962D5D"/>
    <w:rsid w:val="00964D53"/>
    <w:rsid w:val="00964F09"/>
    <w:rsid w:val="00965003"/>
    <w:rsid w:val="00965C11"/>
    <w:rsid w:val="009671AE"/>
    <w:rsid w:val="009673D1"/>
    <w:rsid w:val="009678EB"/>
    <w:rsid w:val="00970E7A"/>
    <w:rsid w:val="009714FA"/>
    <w:rsid w:val="00971A23"/>
    <w:rsid w:val="00972658"/>
    <w:rsid w:val="009727B8"/>
    <w:rsid w:val="009733F6"/>
    <w:rsid w:val="00973749"/>
    <w:rsid w:val="0097408E"/>
    <w:rsid w:val="0097416B"/>
    <w:rsid w:val="00974B3B"/>
    <w:rsid w:val="00974D74"/>
    <w:rsid w:val="00974E80"/>
    <w:rsid w:val="0097621F"/>
    <w:rsid w:val="00976807"/>
    <w:rsid w:val="0097720A"/>
    <w:rsid w:val="00980523"/>
    <w:rsid w:val="00980849"/>
    <w:rsid w:val="00980E9C"/>
    <w:rsid w:val="009813D0"/>
    <w:rsid w:val="00982642"/>
    <w:rsid w:val="0098387F"/>
    <w:rsid w:val="009841B4"/>
    <w:rsid w:val="00984516"/>
    <w:rsid w:val="00984E24"/>
    <w:rsid w:val="00985535"/>
    <w:rsid w:val="00985951"/>
    <w:rsid w:val="00985C77"/>
    <w:rsid w:val="0098637D"/>
    <w:rsid w:val="00986855"/>
    <w:rsid w:val="00986CA6"/>
    <w:rsid w:val="00987891"/>
    <w:rsid w:val="009902E6"/>
    <w:rsid w:val="00990F52"/>
    <w:rsid w:val="009910BC"/>
    <w:rsid w:val="00991B9B"/>
    <w:rsid w:val="00992C1A"/>
    <w:rsid w:val="00992E43"/>
    <w:rsid w:val="00993092"/>
    <w:rsid w:val="009939FA"/>
    <w:rsid w:val="0099409F"/>
    <w:rsid w:val="0099496A"/>
    <w:rsid w:val="009975D7"/>
    <w:rsid w:val="009A0335"/>
    <w:rsid w:val="009A06F3"/>
    <w:rsid w:val="009A078A"/>
    <w:rsid w:val="009A1E00"/>
    <w:rsid w:val="009A1E88"/>
    <w:rsid w:val="009A2AB8"/>
    <w:rsid w:val="009A2BBE"/>
    <w:rsid w:val="009A3124"/>
    <w:rsid w:val="009A3B28"/>
    <w:rsid w:val="009A4C88"/>
    <w:rsid w:val="009A751B"/>
    <w:rsid w:val="009A7A56"/>
    <w:rsid w:val="009B09D0"/>
    <w:rsid w:val="009B12B1"/>
    <w:rsid w:val="009B1655"/>
    <w:rsid w:val="009B2B36"/>
    <w:rsid w:val="009B30DB"/>
    <w:rsid w:val="009B31F5"/>
    <w:rsid w:val="009B32C4"/>
    <w:rsid w:val="009B3CF7"/>
    <w:rsid w:val="009B429D"/>
    <w:rsid w:val="009B459B"/>
    <w:rsid w:val="009B4972"/>
    <w:rsid w:val="009B4A08"/>
    <w:rsid w:val="009B533A"/>
    <w:rsid w:val="009B602C"/>
    <w:rsid w:val="009B645E"/>
    <w:rsid w:val="009B654C"/>
    <w:rsid w:val="009B6B6E"/>
    <w:rsid w:val="009B7309"/>
    <w:rsid w:val="009C0061"/>
    <w:rsid w:val="009C1D58"/>
    <w:rsid w:val="009C20CE"/>
    <w:rsid w:val="009C261C"/>
    <w:rsid w:val="009C2F67"/>
    <w:rsid w:val="009C31B5"/>
    <w:rsid w:val="009C345B"/>
    <w:rsid w:val="009C3A2C"/>
    <w:rsid w:val="009C4148"/>
    <w:rsid w:val="009C438E"/>
    <w:rsid w:val="009C441D"/>
    <w:rsid w:val="009C5450"/>
    <w:rsid w:val="009C56BC"/>
    <w:rsid w:val="009C6A0D"/>
    <w:rsid w:val="009C76E7"/>
    <w:rsid w:val="009C7784"/>
    <w:rsid w:val="009C7F12"/>
    <w:rsid w:val="009D0CEA"/>
    <w:rsid w:val="009D133A"/>
    <w:rsid w:val="009D19FE"/>
    <w:rsid w:val="009D255B"/>
    <w:rsid w:val="009D3322"/>
    <w:rsid w:val="009D3520"/>
    <w:rsid w:val="009D496F"/>
    <w:rsid w:val="009D520F"/>
    <w:rsid w:val="009D522E"/>
    <w:rsid w:val="009D5B70"/>
    <w:rsid w:val="009D612B"/>
    <w:rsid w:val="009D7886"/>
    <w:rsid w:val="009E0E32"/>
    <w:rsid w:val="009E1320"/>
    <w:rsid w:val="009E238D"/>
    <w:rsid w:val="009E264F"/>
    <w:rsid w:val="009E2AA3"/>
    <w:rsid w:val="009E30B1"/>
    <w:rsid w:val="009E33C0"/>
    <w:rsid w:val="009E3442"/>
    <w:rsid w:val="009E4209"/>
    <w:rsid w:val="009E506E"/>
    <w:rsid w:val="009E5274"/>
    <w:rsid w:val="009E561C"/>
    <w:rsid w:val="009E583D"/>
    <w:rsid w:val="009E5E6E"/>
    <w:rsid w:val="009E6968"/>
    <w:rsid w:val="009E699D"/>
    <w:rsid w:val="009E6D22"/>
    <w:rsid w:val="009E6FC6"/>
    <w:rsid w:val="009E73D5"/>
    <w:rsid w:val="009E747D"/>
    <w:rsid w:val="009E7733"/>
    <w:rsid w:val="009F04CF"/>
    <w:rsid w:val="009F2B9C"/>
    <w:rsid w:val="009F2C37"/>
    <w:rsid w:val="009F2D11"/>
    <w:rsid w:val="009F3384"/>
    <w:rsid w:val="009F3B19"/>
    <w:rsid w:val="009F44EE"/>
    <w:rsid w:val="009F4920"/>
    <w:rsid w:val="009F4D33"/>
    <w:rsid w:val="009F607B"/>
    <w:rsid w:val="00A001B6"/>
    <w:rsid w:val="00A00EDA"/>
    <w:rsid w:val="00A02123"/>
    <w:rsid w:val="00A02C4E"/>
    <w:rsid w:val="00A02CF7"/>
    <w:rsid w:val="00A030D3"/>
    <w:rsid w:val="00A0381D"/>
    <w:rsid w:val="00A03C48"/>
    <w:rsid w:val="00A04931"/>
    <w:rsid w:val="00A06CFE"/>
    <w:rsid w:val="00A078AB"/>
    <w:rsid w:val="00A11447"/>
    <w:rsid w:val="00A1180B"/>
    <w:rsid w:val="00A13C57"/>
    <w:rsid w:val="00A1404C"/>
    <w:rsid w:val="00A14101"/>
    <w:rsid w:val="00A14145"/>
    <w:rsid w:val="00A1618F"/>
    <w:rsid w:val="00A165E8"/>
    <w:rsid w:val="00A168D1"/>
    <w:rsid w:val="00A17879"/>
    <w:rsid w:val="00A201EB"/>
    <w:rsid w:val="00A21C22"/>
    <w:rsid w:val="00A21F3F"/>
    <w:rsid w:val="00A22138"/>
    <w:rsid w:val="00A2276C"/>
    <w:rsid w:val="00A22837"/>
    <w:rsid w:val="00A22E62"/>
    <w:rsid w:val="00A23C39"/>
    <w:rsid w:val="00A243AC"/>
    <w:rsid w:val="00A24CC7"/>
    <w:rsid w:val="00A24EF3"/>
    <w:rsid w:val="00A27018"/>
    <w:rsid w:val="00A27E11"/>
    <w:rsid w:val="00A31308"/>
    <w:rsid w:val="00A32A71"/>
    <w:rsid w:val="00A32C6A"/>
    <w:rsid w:val="00A338DE"/>
    <w:rsid w:val="00A35E28"/>
    <w:rsid w:val="00A36145"/>
    <w:rsid w:val="00A364F7"/>
    <w:rsid w:val="00A36555"/>
    <w:rsid w:val="00A36EF4"/>
    <w:rsid w:val="00A37185"/>
    <w:rsid w:val="00A372E4"/>
    <w:rsid w:val="00A400B5"/>
    <w:rsid w:val="00A40E11"/>
    <w:rsid w:val="00A417E6"/>
    <w:rsid w:val="00A42245"/>
    <w:rsid w:val="00A42672"/>
    <w:rsid w:val="00A43446"/>
    <w:rsid w:val="00A4345E"/>
    <w:rsid w:val="00A44624"/>
    <w:rsid w:val="00A45594"/>
    <w:rsid w:val="00A461B5"/>
    <w:rsid w:val="00A4652C"/>
    <w:rsid w:val="00A46F88"/>
    <w:rsid w:val="00A4793F"/>
    <w:rsid w:val="00A5075E"/>
    <w:rsid w:val="00A50C65"/>
    <w:rsid w:val="00A513F9"/>
    <w:rsid w:val="00A52103"/>
    <w:rsid w:val="00A52D87"/>
    <w:rsid w:val="00A5327D"/>
    <w:rsid w:val="00A53342"/>
    <w:rsid w:val="00A5355A"/>
    <w:rsid w:val="00A53572"/>
    <w:rsid w:val="00A53D0B"/>
    <w:rsid w:val="00A53DFC"/>
    <w:rsid w:val="00A54AF0"/>
    <w:rsid w:val="00A54B0A"/>
    <w:rsid w:val="00A56206"/>
    <w:rsid w:val="00A56FE0"/>
    <w:rsid w:val="00A577A3"/>
    <w:rsid w:val="00A60C34"/>
    <w:rsid w:val="00A61D8A"/>
    <w:rsid w:val="00A63016"/>
    <w:rsid w:val="00A6548F"/>
    <w:rsid w:val="00A66D60"/>
    <w:rsid w:val="00A670C0"/>
    <w:rsid w:val="00A7019E"/>
    <w:rsid w:val="00A7082B"/>
    <w:rsid w:val="00A70CC7"/>
    <w:rsid w:val="00A71170"/>
    <w:rsid w:val="00A711C8"/>
    <w:rsid w:val="00A71EC5"/>
    <w:rsid w:val="00A71F5E"/>
    <w:rsid w:val="00A7313C"/>
    <w:rsid w:val="00A7357A"/>
    <w:rsid w:val="00A73DA4"/>
    <w:rsid w:val="00A73F51"/>
    <w:rsid w:val="00A7409F"/>
    <w:rsid w:val="00A74FEC"/>
    <w:rsid w:val="00A7560A"/>
    <w:rsid w:val="00A75B0B"/>
    <w:rsid w:val="00A75B3D"/>
    <w:rsid w:val="00A761CE"/>
    <w:rsid w:val="00A77253"/>
    <w:rsid w:val="00A773D7"/>
    <w:rsid w:val="00A77598"/>
    <w:rsid w:val="00A776CA"/>
    <w:rsid w:val="00A8030B"/>
    <w:rsid w:val="00A81510"/>
    <w:rsid w:val="00A81FE9"/>
    <w:rsid w:val="00A82D6E"/>
    <w:rsid w:val="00A83097"/>
    <w:rsid w:val="00A83488"/>
    <w:rsid w:val="00A836ED"/>
    <w:rsid w:val="00A845AF"/>
    <w:rsid w:val="00A8477C"/>
    <w:rsid w:val="00A84A31"/>
    <w:rsid w:val="00A8527C"/>
    <w:rsid w:val="00A852FE"/>
    <w:rsid w:val="00A86E27"/>
    <w:rsid w:val="00A91B75"/>
    <w:rsid w:val="00A91F23"/>
    <w:rsid w:val="00A920D0"/>
    <w:rsid w:val="00A921CB"/>
    <w:rsid w:val="00A929A2"/>
    <w:rsid w:val="00A92A73"/>
    <w:rsid w:val="00A92A98"/>
    <w:rsid w:val="00A92D18"/>
    <w:rsid w:val="00A94151"/>
    <w:rsid w:val="00A94206"/>
    <w:rsid w:val="00A9474D"/>
    <w:rsid w:val="00A9532E"/>
    <w:rsid w:val="00A959C7"/>
    <w:rsid w:val="00A963DE"/>
    <w:rsid w:val="00A96824"/>
    <w:rsid w:val="00A971CC"/>
    <w:rsid w:val="00AA0164"/>
    <w:rsid w:val="00AA0994"/>
    <w:rsid w:val="00AA0B69"/>
    <w:rsid w:val="00AA0E3A"/>
    <w:rsid w:val="00AA19EE"/>
    <w:rsid w:val="00AA29DF"/>
    <w:rsid w:val="00AA2B69"/>
    <w:rsid w:val="00AA3728"/>
    <w:rsid w:val="00AA3A14"/>
    <w:rsid w:val="00AA3CD9"/>
    <w:rsid w:val="00AA5680"/>
    <w:rsid w:val="00AA5A20"/>
    <w:rsid w:val="00AA7935"/>
    <w:rsid w:val="00AA7BEA"/>
    <w:rsid w:val="00AB1E88"/>
    <w:rsid w:val="00AB2597"/>
    <w:rsid w:val="00AB3569"/>
    <w:rsid w:val="00AB39EC"/>
    <w:rsid w:val="00AB3EE7"/>
    <w:rsid w:val="00AB5178"/>
    <w:rsid w:val="00AB5735"/>
    <w:rsid w:val="00AB58CA"/>
    <w:rsid w:val="00AB5BFE"/>
    <w:rsid w:val="00AB75A0"/>
    <w:rsid w:val="00AC09C7"/>
    <w:rsid w:val="00AC0AE9"/>
    <w:rsid w:val="00AC1DDB"/>
    <w:rsid w:val="00AC33B5"/>
    <w:rsid w:val="00AC55F0"/>
    <w:rsid w:val="00AC65DF"/>
    <w:rsid w:val="00AC6C3B"/>
    <w:rsid w:val="00AC6FDD"/>
    <w:rsid w:val="00AC7222"/>
    <w:rsid w:val="00AD0835"/>
    <w:rsid w:val="00AD133C"/>
    <w:rsid w:val="00AD2DE3"/>
    <w:rsid w:val="00AD3154"/>
    <w:rsid w:val="00AD4177"/>
    <w:rsid w:val="00AD474A"/>
    <w:rsid w:val="00AD4A2F"/>
    <w:rsid w:val="00AD4FB5"/>
    <w:rsid w:val="00AD58E4"/>
    <w:rsid w:val="00AD632B"/>
    <w:rsid w:val="00AD6638"/>
    <w:rsid w:val="00AD6A36"/>
    <w:rsid w:val="00AD77B5"/>
    <w:rsid w:val="00AE0C49"/>
    <w:rsid w:val="00AE10B3"/>
    <w:rsid w:val="00AE1337"/>
    <w:rsid w:val="00AE295A"/>
    <w:rsid w:val="00AE2CEF"/>
    <w:rsid w:val="00AE4089"/>
    <w:rsid w:val="00AE40E5"/>
    <w:rsid w:val="00AE4594"/>
    <w:rsid w:val="00AE4A16"/>
    <w:rsid w:val="00AE5814"/>
    <w:rsid w:val="00AE64CA"/>
    <w:rsid w:val="00AE7343"/>
    <w:rsid w:val="00AF0BAA"/>
    <w:rsid w:val="00AF1310"/>
    <w:rsid w:val="00AF16A2"/>
    <w:rsid w:val="00AF28F0"/>
    <w:rsid w:val="00AF45D4"/>
    <w:rsid w:val="00AF4999"/>
    <w:rsid w:val="00AF4B00"/>
    <w:rsid w:val="00AF544C"/>
    <w:rsid w:val="00AF57C4"/>
    <w:rsid w:val="00AF5EB1"/>
    <w:rsid w:val="00AF6503"/>
    <w:rsid w:val="00AF6610"/>
    <w:rsid w:val="00AF6CE7"/>
    <w:rsid w:val="00AF71D6"/>
    <w:rsid w:val="00AF7310"/>
    <w:rsid w:val="00B003F8"/>
    <w:rsid w:val="00B016B8"/>
    <w:rsid w:val="00B01806"/>
    <w:rsid w:val="00B01A85"/>
    <w:rsid w:val="00B02A00"/>
    <w:rsid w:val="00B02B1C"/>
    <w:rsid w:val="00B03A03"/>
    <w:rsid w:val="00B03CC7"/>
    <w:rsid w:val="00B046E1"/>
    <w:rsid w:val="00B04744"/>
    <w:rsid w:val="00B05793"/>
    <w:rsid w:val="00B05EA8"/>
    <w:rsid w:val="00B06B04"/>
    <w:rsid w:val="00B10097"/>
    <w:rsid w:val="00B10342"/>
    <w:rsid w:val="00B1114C"/>
    <w:rsid w:val="00B1363D"/>
    <w:rsid w:val="00B137CA"/>
    <w:rsid w:val="00B13E2C"/>
    <w:rsid w:val="00B14AC8"/>
    <w:rsid w:val="00B14F85"/>
    <w:rsid w:val="00B155CA"/>
    <w:rsid w:val="00B16458"/>
    <w:rsid w:val="00B16AC4"/>
    <w:rsid w:val="00B16F29"/>
    <w:rsid w:val="00B17237"/>
    <w:rsid w:val="00B17260"/>
    <w:rsid w:val="00B21F09"/>
    <w:rsid w:val="00B236A1"/>
    <w:rsid w:val="00B23AAE"/>
    <w:rsid w:val="00B24903"/>
    <w:rsid w:val="00B251FC"/>
    <w:rsid w:val="00B259C5"/>
    <w:rsid w:val="00B27797"/>
    <w:rsid w:val="00B27C63"/>
    <w:rsid w:val="00B30274"/>
    <w:rsid w:val="00B32A7D"/>
    <w:rsid w:val="00B32AA7"/>
    <w:rsid w:val="00B32B4E"/>
    <w:rsid w:val="00B32B59"/>
    <w:rsid w:val="00B33216"/>
    <w:rsid w:val="00B33DFC"/>
    <w:rsid w:val="00B343BE"/>
    <w:rsid w:val="00B3480A"/>
    <w:rsid w:val="00B34900"/>
    <w:rsid w:val="00B35230"/>
    <w:rsid w:val="00B353B3"/>
    <w:rsid w:val="00B35A2C"/>
    <w:rsid w:val="00B361C2"/>
    <w:rsid w:val="00B36760"/>
    <w:rsid w:val="00B36AC1"/>
    <w:rsid w:val="00B36BBD"/>
    <w:rsid w:val="00B370E4"/>
    <w:rsid w:val="00B37192"/>
    <w:rsid w:val="00B37FDF"/>
    <w:rsid w:val="00B40543"/>
    <w:rsid w:val="00B408EA"/>
    <w:rsid w:val="00B4539D"/>
    <w:rsid w:val="00B4559C"/>
    <w:rsid w:val="00B45C82"/>
    <w:rsid w:val="00B45D7D"/>
    <w:rsid w:val="00B46928"/>
    <w:rsid w:val="00B46AC1"/>
    <w:rsid w:val="00B473AB"/>
    <w:rsid w:val="00B5029E"/>
    <w:rsid w:val="00B52134"/>
    <w:rsid w:val="00B5263F"/>
    <w:rsid w:val="00B52DD8"/>
    <w:rsid w:val="00B52F42"/>
    <w:rsid w:val="00B54808"/>
    <w:rsid w:val="00B55635"/>
    <w:rsid w:val="00B556B4"/>
    <w:rsid w:val="00B5730B"/>
    <w:rsid w:val="00B6121C"/>
    <w:rsid w:val="00B61720"/>
    <w:rsid w:val="00B61957"/>
    <w:rsid w:val="00B62168"/>
    <w:rsid w:val="00B635CE"/>
    <w:rsid w:val="00B63D45"/>
    <w:rsid w:val="00B63DCD"/>
    <w:rsid w:val="00B64BBB"/>
    <w:rsid w:val="00B654E6"/>
    <w:rsid w:val="00B6585A"/>
    <w:rsid w:val="00B658B0"/>
    <w:rsid w:val="00B65F25"/>
    <w:rsid w:val="00B66518"/>
    <w:rsid w:val="00B66570"/>
    <w:rsid w:val="00B66CED"/>
    <w:rsid w:val="00B70C76"/>
    <w:rsid w:val="00B70DBF"/>
    <w:rsid w:val="00B70E22"/>
    <w:rsid w:val="00B70EE3"/>
    <w:rsid w:val="00B7171E"/>
    <w:rsid w:val="00B71DBB"/>
    <w:rsid w:val="00B72571"/>
    <w:rsid w:val="00B72905"/>
    <w:rsid w:val="00B731FC"/>
    <w:rsid w:val="00B73787"/>
    <w:rsid w:val="00B73962"/>
    <w:rsid w:val="00B755DA"/>
    <w:rsid w:val="00B75773"/>
    <w:rsid w:val="00B75827"/>
    <w:rsid w:val="00B75E58"/>
    <w:rsid w:val="00B76C4A"/>
    <w:rsid w:val="00B773FA"/>
    <w:rsid w:val="00B7744D"/>
    <w:rsid w:val="00B7756C"/>
    <w:rsid w:val="00B82A8E"/>
    <w:rsid w:val="00B82CAE"/>
    <w:rsid w:val="00B831BE"/>
    <w:rsid w:val="00B833F1"/>
    <w:rsid w:val="00B84B98"/>
    <w:rsid w:val="00B85175"/>
    <w:rsid w:val="00B8718C"/>
    <w:rsid w:val="00B87325"/>
    <w:rsid w:val="00B875D1"/>
    <w:rsid w:val="00B915EF"/>
    <w:rsid w:val="00B91C4B"/>
    <w:rsid w:val="00B91CA3"/>
    <w:rsid w:val="00B91D99"/>
    <w:rsid w:val="00B925E8"/>
    <w:rsid w:val="00B92C2E"/>
    <w:rsid w:val="00B92D9A"/>
    <w:rsid w:val="00B93492"/>
    <w:rsid w:val="00B9357E"/>
    <w:rsid w:val="00B95CEB"/>
    <w:rsid w:val="00B95EF6"/>
    <w:rsid w:val="00B96CA2"/>
    <w:rsid w:val="00B96D84"/>
    <w:rsid w:val="00B9760C"/>
    <w:rsid w:val="00B97DC4"/>
    <w:rsid w:val="00B97EF8"/>
    <w:rsid w:val="00BA0925"/>
    <w:rsid w:val="00BA1EBB"/>
    <w:rsid w:val="00BA2434"/>
    <w:rsid w:val="00BA280C"/>
    <w:rsid w:val="00BA2E8C"/>
    <w:rsid w:val="00BA36B2"/>
    <w:rsid w:val="00BA3C9C"/>
    <w:rsid w:val="00BA403E"/>
    <w:rsid w:val="00BA422B"/>
    <w:rsid w:val="00BA511E"/>
    <w:rsid w:val="00BA544F"/>
    <w:rsid w:val="00BA57C4"/>
    <w:rsid w:val="00BA58E2"/>
    <w:rsid w:val="00BA6CD4"/>
    <w:rsid w:val="00BA727B"/>
    <w:rsid w:val="00BA76C7"/>
    <w:rsid w:val="00BA7D41"/>
    <w:rsid w:val="00BB1605"/>
    <w:rsid w:val="00BB1BB2"/>
    <w:rsid w:val="00BB274E"/>
    <w:rsid w:val="00BB2854"/>
    <w:rsid w:val="00BB2D99"/>
    <w:rsid w:val="00BB3343"/>
    <w:rsid w:val="00BB3938"/>
    <w:rsid w:val="00BB43D5"/>
    <w:rsid w:val="00BB505C"/>
    <w:rsid w:val="00BB6161"/>
    <w:rsid w:val="00BB666B"/>
    <w:rsid w:val="00BB791D"/>
    <w:rsid w:val="00BC05B0"/>
    <w:rsid w:val="00BC0BB0"/>
    <w:rsid w:val="00BC0C00"/>
    <w:rsid w:val="00BC2604"/>
    <w:rsid w:val="00BC2A8D"/>
    <w:rsid w:val="00BC3AD4"/>
    <w:rsid w:val="00BC3FD0"/>
    <w:rsid w:val="00BC4403"/>
    <w:rsid w:val="00BC4AD8"/>
    <w:rsid w:val="00BC5C19"/>
    <w:rsid w:val="00BC620C"/>
    <w:rsid w:val="00BC6654"/>
    <w:rsid w:val="00BC6B33"/>
    <w:rsid w:val="00BC79FB"/>
    <w:rsid w:val="00BC7FA0"/>
    <w:rsid w:val="00BD1303"/>
    <w:rsid w:val="00BD1895"/>
    <w:rsid w:val="00BD2432"/>
    <w:rsid w:val="00BD276B"/>
    <w:rsid w:val="00BD2837"/>
    <w:rsid w:val="00BD2ECE"/>
    <w:rsid w:val="00BD38F7"/>
    <w:rsid w:val="00BD3BF7"/>
    <w:rsid w:val="00BD3F5A"/>
    <w:rsid w:val="00BD3F93"/>
    <w:rsid w:val="00BD4A3A"/>
    <w:rsid w:val="00BD4CF4"/>
    <w:rsid w:val="00BD4F17"/>
    <w:rsid w:val="00BD5A69"/>
    <w:rsid w:val="00BD621F"/>
    <w:rsid w:val="00BD659B"/>
    <w:rsid w:val="00BD68C6"/>
    <w:rsid w:val="00BD6C09"/>
    <w:rsid w:val="00BE0008"/>
    <w:rsid w:val="00BE0E22"/>
    <w:rsid w:val="00BE2104"/>
    <w:rsid w:val="00BE3680"/>
    <w:rsid w:val="00BE4360"/>
    <w:rsid w:val="00BE43D2"/>
    <w:rsid w:val="00BE47A9"/>
    <w:rsid w:val="00BE611E"/>
    <w:rsid w:val="00BE6DB9"/>
    <w:rsid w:val="00BE7767"/>
    <w:rsid w:val="00BE79E9"/>
    <w:rsid w:val="00BF00D3"/>
    <w:rsid w:val="00BF152A"/>
    <w:rsid w:val="00BF3065"/>
    <w:rsid w:val="00BF3887"/>
    <w:rsid w:val="00BF41D8"/>
    <w:rsid w:val="00BF45A2"/>
    <w:rsid w:val="00BF46E9"/>
    <w:rsid w:val="00BF4A22"/>
    <w:rsid w:val="00BF5696"/>
    <w:rsid w:val="00BF6622"/>
    <w:rsid w:val="00BF6703"/>
    <w:rsid w:val="00BF6884"/>
    <w:rsid w:val="00BF7227"/>
    <w:rsid w:val="00BF7640"/>
    <w:rsid w:val="00BF7C1B"/>
    <w:rsid w:val="00C00067"/>
    <w:rsid w:val="00C004E4"/>
    <w:rsid w:val="00C0073D"/>
    <w:rsid w:val="00C01215"/>
    <w:rsid w:val="00C012C5"/>
    <w:rsid w:val="00C020E7"/>
    <w:rsid w:val="00C03AB5"/>
    <w:rsid w:val="00C03C77"/>
    <w:rsid w:val="00C049FE"/>
    <w:rsid w:val="00C050AE"/>
    <w:rsid w:val="00C06781"/>
    <w:rsid w:val="00C067CB"/>
    <w:rsid w:val="00C11455"/>
    <w:rsid w:val="00C12A15"/>
    <w:rsid w:val="00C12D7E"/>
    <w:rsid w:val="00C13323"/>
    <w:rsid w:val="00C13749"/>
    <w:rsid w:val="00C141F6"/>
    <w:rsid w:val="00C14213"/>
    <w:rsid w:val="00C14773"/>
    <w:rsid w:val="00C15B1B"/>
    <w:rsid w:val="00C15C6F"/>
    <w:rsid w:val="00C15F19"/>
    <w:rsid w:val="00C167DD"/>
    <w:rsid w:val="00C177E0"/>
    <w:rsid w:val="00C20254"/>
    <w:rsid w:val="00C20313"/>
    <w:rsid w:val="00C22FBB"/>
    <w:rsid w:val="00C2305D"/>
    <w:rsid w:val="00C245F6"/>
    <w:rsid w:val="00C2544F"/>
    <w:rsid w:val="00C26FBE"/>
    <w:rsid w:val="00C3056E"/>
    <w:rsid w:val="00C3060F"/>
    <w:rsid w:val="00C310E8"/>
    <w:rsid w:val="00C31315"/>
    <w:rsid w:val="00C31654"/>
    <w:rsid w:val="00C320C7"/>
    <w:rsid w:val="00C322E9"/>
    <w:rsid w:val="00C32733"/>
    <w:rsid w:val="00C34A38"/>
    <w:rsid w:val="00C3592B"/>
    <w:rsid w:val="00C364A6"/>
    <w:rsid w:val="00C40442"/>
    <w:rsid w:val="00C40506"/>
    <w:rsid w:val="00C40DC2"/>
    <w:rsid w:val="00C419B6"/>
    <w:rsid w:val="00C42181"/>
    <w:rsid w:val="00C42A31"/>
    <w:rsid w:val="00C43910"/>
    <w:rsid w:val="00C44911"/>
    <w:rsid w:val="00C44D12"/>
    <w:rsid w:val="00C45042"/>
    <w:rsid w:val="00C45C4C"/>
    <w:rsid w:val="00C466F6"/>
    <w:rsid w:val="00C46D52"/>
    <w:rsid w:val="00C47022"/>
    <w:rsid w:val="00C50401"/>
    <w:rsid w:val="00C50953"/>
    <w:rsid w:val="00C50F02"/>
    <w:rsid w:val="00C51A2F"/>
    <w:rsid w:val="00C52128"/>
    <w:rsid w:val="00C524A6"/>
    <w:rsid w:val="00C5292D"/>
    <w:rsid w:val="00C530A6"/>
    <w:rsid w:val="00C5343E"/>
    <w:rsid w:val="00C54317"/>
    <w:rsid w:val="00C54682"/>
    <w:rsid w:val="00C5522D"/>
    <w:rsid w:val="00C55386"/>
    <w:rsid w:val="00C553A7"/>
    <w:rsid w:val="00C55FAD"/>
    <w:rsid w:val="00C56BF4"/>
    <w:rsid w:val="00C56C41"/>
    <w:rsid w:val="00C57ABA"/>
    <w:rsid w:val="00C601A4"/>
    <w:rsid w:val="00C602E6"/>
    <w:rsid w:val="00C60390"/>
    <w:rsid w:val="00C6065D"/>
    <w:rsid w:val="00C6124B"/>
    <w:rsid w:val="00C61527"/>
    <w:rsid w:val="00C619EF"/>
    <w:rsid w:val="00C6443D"/>
    <w:rsid w:val="00C64558"/>
    <w:rsid w:val="00C64DAE"/>
    <w:rsid w:val="00C71574"/>
    <w:rsid w:val="00C72469"/>
    <w:rsid w:val="00C737EF"/>
    <w:rsid w:val="00C73938"/>
    <w:rsid w:val="00C73B8F"/>
    <w:rsid w:val="00C74F1D"/>
    <w:rsid w:val="00C75031"/>
    <w:rsid w:val="00C75C82"/>
    <w:rsid w:val="00C7606F"/>
    <w:rsid w:val="00C76357"/>
    <w:rsid w:val="00C765F3"/>
    <w:rsid w:val="00C80870"/>
    <w:rsid w:val="00C81670"/>
    <w:rsid w:val="00C81A62"/>
    <w:rsid w:val="00C82EE8"/>
    <w:rsid w:val="00C8317C"/>
    <w:rsid w:val="00C8382E"/>
    <w:rsid w:val="00C83F93"/>
    <w:rsid w:val="00C8595B"/>
    <w:rsid w:val="00C85EA9"/>
    <w:rsid w:val="00C866A4"/>
    <w:rsid w:val="00C87DEA"/>
    <w:rsid w:val="00C87E57"/>
    <w:rsid w:val="00C90191"/>
    <w:rsid w:val="00C91D5B"/>
    <w:rsid w:val="00C928BA"/>
    <w:rsid w:val="00C92FD5"/>
    <w:rsid w:val="00C93523"/>
    <w:rsid w:val="00C946F9"/>
    <w:rsid w:val="00C95478"/>
    <w:rsid w:val="00C95498"/>
    <w:rsid w:val="00C95598"/>
    <w:rsid w:val="00C95EE8"/>
    <w:rsid w:val="00CA05A2"/>
    <w:rsid w:val="00CA1E9D"/>
    <w:rsid w:val="00CA1F0F"/>
    <w:rsid w:val="00CA2A8E"/>
    <w:rsid w:val="00CA2AAD"/>
    <w:rsid w:val="00CA5A56"/>
    <w:rsid w:val="00CA5E43"/>
    <w:rsid w:val="00CA61F2"/>
    <w:rsid w:val="00CA6268"/>
    <w:rsid w:val="00CA6691"/>
    <w:rsid w:val="00CA6D92"/>
    <w:rsid w:val="00CA7CC8"/>
    <w:rsid w:val="00CA7E7A"/>
    <w:rsid w:val="00CA7E96"/>
    <w:rsid w:val="00CA7F85"/>
    <w:rsid w:val="00CB00C0"/>
    <w:rsid w:val="00CB2204"/>
    <w:rsid w:val="00CB29B1"/>
    <w:rsid w:val="00CB3344"/>
    <w:rsid w:val="00CB35D7"/>
    <w:rsid w:val="00CB3976"/>
    <w:rsid w:val="00CB5932"/>
    <w:rsid w:val="00CB657D"/>
    <w:rsid w:val="00CB71BD"/>
    <w:rsid w:val="00CB7701"/>
    <w:rsid w:val="00CC1C96"/>
    <w:rsid w:val="00CC3344"/>
    <w:rsid w:val="00CC3459"/>
    <w:rsid w:val="00CC4C46"/>
    <w:rsid w:val="00CC5185"/>
    <w:rsid w:val="00CC5B02"/>
    <w:rsid w:val="00CC5C67"/>
    <w:rsid w:val="00CC5D22"/>
    <w:rsid w:val="00CC5E08"/>
    <w:rsid w:val="00CC5F5F"/>
    <w:rsid w:val="00CC6F43"/>
    <w:rsid w:val="00CD09BE"/>
    <w:rsid w:val="00CD0AF3"/>
    <w:rsid w:val="00CD0E6A"/>
    <w:rsid w:val="00CD12D0"/>
    <w:rsid w:val="00CD17B3"/>
    <w:rsid w:val="00CD1BC3"/>
    <w:rsid w:val="00CD1F97"/>
    <w:rsid w:val="00CD371F"/>
    <w:rsid w:val="00CD3BC5"/>
    <w:rsid w:val="00CD3E2E"/>
    <w:rsid w:val="00CD4B80"/>
    <w:rsid w:val="00CD4FBC"/>
    <w:rsid w:val="00CD68C6"/>
    <w:rsid w:val="00CD69C6"/>
    <w:rsid w:val="00CD6B0F"/>
    <w:rsid w:val="00CD75EC"/>
    <w:rsid w:val="00CD7B19"/>
    <w:rsid w:val="00CD7C1B"/>
    <w:rsid w:val="00CE0821"/>
    <w:rsid w:val="00CE0C59"/>
    <w:rsid w:val="00CE1029"/>
    <w:rsid w:val="00CE1472"/>
    <w:rsid w:val="00CE1A17"/>
    <w:rsid w:val="00CE2660"/>
    <w:rsid w:val="00CE453D"/>
    <w:rsid w:val="00CE6426"/>
    <w:rsid w:val="00CE662B"/>
    <w:rsid w:val="00CE6BDF"/>
    <w:rsid w:val="00CE6C53"/>
    <w:rsid w:val="00CE7680"/>
    <w:rsid w:val="00CF041F"/>
    <w:rsid w:val="00CF0595"/>
    <w:rsid w:val="00CF127B"/>
    <w:rsid w:val="00CF1C40"/>
    <w:rsid w:val="00CF22A6"/>
    <w:rsid w:val="00CF3013"/>
    <w:rsid w:val="00CF363B"/>
    <w:rsid w:val="00CF3846"/>
    <w:rsid w:val="00CF3A3D"/>
    <w:rsid w:val="00CF4A7D"/>
    <w:rsid w:val="00CF4D65"/>
    <w:rsid w:val="00CF4EA7"/>
    <w:rsid w:val="00CF5217"/>
    <w:rsid w:val="00CF6769"/>
    <w:rsid w:val="00CF7C25"/>
    <w:rsid w:val="00D00E45"/>
    <w:rsid w:val="00D020E7"/>
    <w:rsid w:val="00D025C9"/>
    <w:rsid w:val="00D0274D"/>
    <w:rsid w:val="00D02980"/>
    <w:rsid w:val="00D0369A"/>
    <w:rsid w:val="00D03D45"/>
    <w:rsid w:val="00D03D4B"/>
    <w:rsid w:val="00D03E10"/>
    <w:rsid w:val="00D0435D"/>
    <w:rsid w:val="00D047B9"/>
    <w:rsid w:val="00D04EB2"/>
    <w:rsid w:val="00D0534E"/>
    <w:rsid w:val="00D0648C"/>
    <w:rsid w:val="00D065DE"/>
    <w:rsid w:val="00D06B9C"/>
    <w:rsid w:val="00D075E5"/>
    <w:rsid w:val="00D07EDA"/>
    <w:rsid w:val="00D11100"/>
    <w:rsid w:val="00D11D42"/>
    <w:rsid w:val="00D120F5"/>
    <w:rsid w:val="00D127C7"/>
    <w:rsid w:val="00D13221"/>
    <w:rsid w:val="00D13368"/>
    <w:rsid w:val="00D141D8"/>
    <w:rsid w:val="00D1459A"/>
    <w:rsid w:val="00D14BEE"/>
    <w:rsid w:val="00D14E80"/>
    <w:rsid w:val="00D1669A"/>
    <w:rsid w:val="00D1685A"/>
    <w:rsid w:val="00D16CC6"/>
    <w:rsid w:val="00D1716F"/>
    <w:rsid w:val="00D177B7"/>
    <w:rsid w:val="00D17E19"/>
    <w:rsid w:val="00D20353"/>
    <w:rsid w:val="00D22990"/>
    <w:rsid w:val="00D23589"/>
    <w:rsid w:val="00D239B3"/>
    <w:rsid w:val="00D2471D"/>
    <w:rsid w:val="00D2502A"/>
    <w:rsid w:val="00D27105"/>
    <w:rsid w:val="00D275B9"/>
    <w:rsid w:val="00D30306"/>
    <w:rsid w:val="00D31DCC"/>
    <w:rsid w:val="00D324D3"/>
    <w:rsid w:val="00D32C4C"/>
    <w:rsid w:val="00D32E10"/>
    <w:rsid w:val="00D33020"/>
    <w:rsid w:val="00D34F5D"/>
    <w:rsid w:val="00D35A28"/>
    <w:rsid w:val="00D35E30"/>
    <w:rsid w:val="00D37736"/>
    <w:rsid w:val="00D37DDC"/>
    <w:rsid w:val="00D4169A"/>
    <w:rsid w:val="00D41ADD"/>
    <w:rsid w:val="00D41C62"/>
    <w:rsid w:val="00D428AA"/>
    <w:rsid w:val="00D438C6"/>
    <w:rsid w:val="00D444A5"/>
    <w:rsid w:val="00D45CD9"/>
    <w:rsid w:val="00D46A80"/>
    <w:rsid w:val="00D53168"/>
    <w:rsid w:val="00D537C8"/>
    <w:rsid w:val="00D53895"/>
    <w:rsid w:val="00D5604C"/>
    <w:rsid w:val="00D570E4"/>
    <w:rsid w:val="00D602A4"/>
    <w:rsid w:val="00D60416"/>
    <w:rsid w:val="00D61CCE"/>
    <w:rsid w:val="00D61FE7"/>
    <w:rsid w:val="00D62419"/>
    <w:rsid w:val="00D624FB"/>
    <w:rsid w:val="00D62781"/>
    <w:rsid w:val="00D62E17"/>
    <w:rsid w:val="00D63954"/>
    <w:rsid w:val="00D64F1B"/>
    <w:rsid w:val="00D65396"/>
    <w:rsid w:val="00D65B79"/>
    <w:rsid w:val="00D66D4B"/>
    <w:rsid w:val="00D673B9"/>
    <w:rsid w:val="00D678B5"/>
    <w:rsid w:val="00D705DF"/>
    <w:rsid w:val="00D71D83"/>
    <w:rsid w:val="00D72C81"/>
    <w:rsid w:val="00D72D3B"/>
    <w:rsid w:val="00D73240"/>
    <w:rsid w:val="00D74A73"/>
    <w:rsid w:val="00D76CAA"/>
    <w:rsid w:val="00D80FEA"/>
    <w:rsid w:val="00D8113D"/>
    <w:rsid w:val="00D81A75"/>
    <w:rsid w:val="00D82A10"/>
    <w:rsid w:val="00D83022"/>
    <w:rsid w:val="00D833C7"/>
    <w:rsid w:val="00D84362"/>
    <w:rsid w:val="00D8477B"/>
    <w:rsid w:val="00D85779"/>
    <w:rsid w:val="00D8579A"/>
    <w:rsid w:val="00D85DC8"/>
    <w:rsid w:val="00D866BD"/>
    <w:rsid w:val="00D8695F"/>
    <w:rsid w:val="00D86E0E"/>
    <w:rsid w:val="00D8786B"/>
    <w:rsid w:val="00D90F37"/>
    <w:rsid w:val="00D91746"/>
    <w:rsid w:val="00D917F8"/>
    <w:rsid w:val="00D91DB3"/>
    <w:rsid w:val="00D92339"/>
    <w:rsid w:val="00D93560"/>
    <w:rsid w:val="00D93563"/>
    <w:rsid w:val="00D93E3B"/>
    <w:rsid w:val="00D94406"/>
    <w:rsid w:val="00D944AB"/>
    <w:rsid w:val="00D94857"/>
    <w:rsid w:val="00DA040B"/>
    <w:rsid w:val="00DA0F7A"/>
    <w:rsid w:val="00DA2657"/>
    <w:rsid w:val="00DA2EA8"/>
    <w:rsid w:val="00DA3417"/>
    <w:rsid w:val="00DA38A5"/>
    <w:rsid w:val="00DA3B54"/>
    <w:rsid w:val="00DA463E"/>
    <w:rsid w:val="00DA4697"/>
    <w:rsid w:val="00DA4D05"/>
    <w:rsid w:val="00DA5BD4"/>
    <w:rsid w:val="00DA5DDD"/>
    <w:rsid w:val="00DA6298"/>
    <w:rsid w:val="00DA7CBD"/>
    <w:rsid w:val="00DB06DC"/>
    <w:rsid w:val="00DB06E4"/>
    <w:rsid w:val="00DB0A99"/>
    <w:rsid w:val="00DB0FBC"/>
    <w:rsid w:val="00DB1061"/>
    <w:rsid w:val="00DB23DD"/>
    <w:rsid w:val="00DB34DA"/>
    <w:rsid w:val="00DB4E91"/>
    <w:rsid w:val="00DB53A4"/>
    <w:rsid w:val="00DB5456"/>
    <w:rsid w:val="00DB5A62"/>
    <w:rsid w:val="00DB6441"/>
    <w:rsid w:val="00DB7AC7"/>
    <w:rsid w:val="00DB7D56"/>
    <w:rsid w:val="00DC0647"/>
    <w:rsid w:val="00DC13FE"/>
    <w:rsid w:val="00DC31BD"/>
    <w:rsid w:val="00DC3FE8"/>
    <w:rsid w:val="00DC44D1"/>
    <w:rsid w:val="00DC550E"/>
    <w:rsid w:val="00DC6568"/>
    <w:rsid w:val="00DC6779"/>
    <w:rsid w:val="00DD0111"/>
    <w:rsid w:val="00DD028F"/>
    <w:rsid w:val="00DD0AEC"/>
    <w:rsid w:val="00DD0D64"/>
    <w:rsid w:val="00DD1443"/>
    <w:rsid w:val="00DD2823"/>
    <w:rsid w:val="00DD30F1"/>
    <w:rsid w:val="00DD3A4E"/>
    <w:rsid w:val="00DD3F06"/>
    <w:rsid w:val="00DD4101"/>
    <w:rsid w:val="00DD448F"/>
    <w:rsid w:val="00DD704F"/>
    <w:rsid w:val="00DD72DB"/>
    <w:rsid w:val="00DD7413"/>
    <w:rsid w:val="00DE10BE"/>
    <w:rsid w:val="00DE16E1"/>
    <w:rsid w:val="00DE1E0B"/>
    <w:rsid w:val="00DE2FC6"/>
    <w:rsid w:val="00DE3F87"/>
    <w:rsid w:val="00DE47E0"/>
    <w:rsid w:val="00DE61B9"/>
    <w:rsid w:val="00DE61F8"/>
    <w:rsid w:val="00DE6BF1"/>
    <w:rsid w:val="00DF12E6"/>
    <w:rsid w:val="00DF3169"/>
    <w:rsid w:val="00DF4734"/>
    <w:rsid w:val="00DF47E6"/>
    <w:rsid w:val="00DF526D"/>
    <w:rsid w:val="00DF5759"/>
    <w:rsid w:val="00DF6209"/>
    <w:rsid w:val="00DF6313"/>
    <w:rsid w:val="00DF639C"/>
    <w:rsid w:val="00DF6BD2"/>
    <w:rsid w:val="00E002ED"/>
    <w:rsid w:val="00E003D3"/>
    <w:rsid w:val="00E00660"/>
    <w:rsid w:val="00E01EF9"/>
    <w:rsid w:val="00E02A26"/>
    <w:rsid w:val="00E03A68"/>
    <w:rsid w:val="00E0408E"/>
    <w:rsid w:val="00E047F3"/>
    <w:rsid w:val="00E04AE8"/>
    <w:rsid w:val="00E051F5"/>
    <w:rsid w:val="00E05AB3"/>
    <w:rsid w:val="00E0743A"/>
    <w:rsid w:val="00E07AAF"/>
    <w:rsid w:val="00E07B32"/>
    <w:rsid w:val="00E11EC3"/>
    <w:rsid w:val="00E11F4A"/>
    <w:rsid w:val="00E1218E"/>
    <w:rsid w:val="00E13DE5"/>
    <w:rsid w:val="00E15738"/>
    <w:rsid w:val="00E17940"/>
    <w:rsid w:val="00E2057C"/>
    <w:rsid w:val="00E207CC"/>
    <w:rsid w:val="00E216E3"/>
    <w:rsid w:val="00E218AF"/>
    <w:rsid w:val="00E21F6F"/>
    <w:rsid w:val="00E222F1"/>
    <w:rsid w:val="00E2286F"/>
    <w:rsid w:val="00E230BD"/>
    <w:rsid w:val="00E234EC"/>
    <w:rsid w:val="00E237FF"/>
    <w:rsid w:val="00E249CE"/>
    <w:rsid w:val="00E24D59"/>
    <w:rsid w:val="00E25B82"/>
    <w:rsid w:val="00E25FA8"/>
    <w:rsid w:val="00E265D0"/>
    <w:rsid w:val="00E26930"/>
    <w:rsid w:val="00E2753B"/>
    <w:rsid w:val="00E27938"/>
    <w:rsid w:val="00E3004B"/>
    <w:rsid w:val="00E30325"/>
    <w:rsid w:val="00E32753"/>
    <w:rsid w:val="00E332F5"/>
    <w:rsid w:val="00E33943"/>
    <w:rsid w:val="00E3558D"/>
    <w:rsid w:val="00E359C6"/>
    <w:rsid w:val="00E365BD"/>
    <w:rsid w:val="00E3671C"/>
    <w:rsid w:val="00E37FB0"/>
    <w:rsid w:val="00E40401"/>
    <w:rsid w:val="00E40EF9"/>
    <w:rsid w:val="00E41593"/>
    <w:rsid w:val="00E41FCC"/>
    <w:rsid w:val="00E43AE9"/>
    <w:rsid w:val="00E447E3"/>
    <w:rsid w:val="00E44C66"/>
    <w:rsid w:val="00E44FE3"/>
    <w:rsid w:val="00E457FB"/>
    <w:rsid w:val="00E467B2"/>
    <w:rsid w:val="00E46D3F"/>
    <w:rsid w:val="00E470A1"/>
    <w:rsid w:val="00E47159"/>
    <w:rsid w:val="00E47835"/>
    <w:rsid w:val="00E50619"/>
    <w:rsid w:val="00E5151D"/>
    <w:rsid w:val="00E51C89"/>
    <w:rsid w:val="00E52547"/>
    <w:rsid w:val="00E52A4E"/>
    <w:rsid w:val="00E52B9B"/>
    <w:rsid w:val="00E53F68"/>
    <w:rsid w:val="00E540EE"/>
    <w:rsid w:val="00E5410C"/>
    <w:rsid w:val="00E558B5"/>
    <w:rsid w:val="00E55EBF"/>
    <w:rsid w:val="00E56318"/>
    <w:rsid w:val="00E56B71"/>
    <w:rsid w:val="00E577B3"/>
    <w:rsid w:val="00E60BBA"/>
    <w:rsid w:val="00E60C5C"/>
    <w:rsid w:val="00E60DBA"/>
    <w:rsid w:val="00E61B08"/>
    <w:rsid w:val="00E61D35"/>
    <w:rsid w:val="00E61DE8"/>
    <w:rsid w:val="00E626F8"/>
    <w:rsid w:val="00E628F1"/>
    <w:rsid w:val="00E62928"/>
    <w:rsid w:val="00E629E4"/>
    <w:rsid w:val="00E63DD0"/>
    <w:rsid w:val="00E65913"/>
    <w:rsid w:val="00E662B6"/>
    <w:rsid w:val="00E67460"/>
    <w:rsid w:val="00E67728"/>
    <w:rsid w:val="00E67A44"/>
    <w:rsid w:val="00E67E76"/>
    <w:rsid w:val="00E7106E"/>
    <w:rsid w:val="00E71775"/>
    <w:rsid w:val="00E71826"/>
    <w:rsid w:val="00E7245A"/>
    <w:rsid w:val="00E72B41"/>
    <w:rsid w:val="00E73278"/>
    <w:rsid w:val="00E736FB"/>
    <w:rsid w:val="00E737D9"/>
    <w:rsid w:val="00E73966"/>
    <w:rsid w:val="00E77704"/>
    <w:rsid w:val="00E803FF"/>
    <w:rsid w:val="00E808A1"/>
    <w:rsid w:val="00E81215"/>
    <w:rsid w:val="00E817B9"/>
    <w:rsid w:val="00E81BFF"/>
    <w:rsid w:val="00E81D1C"/>
    <w:rsid w:val="00E8263B"/>
    <w:rsid w:val="00E82B36"/>
    <w:rsid w:val="00E838A1"/>
    <w:rsid w:val="00E84AA1"/>
    <w:rsid w:val="00E8571F"/>
    <w:rsid w:val="00E86E0B"/>
    <w:rsid w:val="00E87A53"/>
    <w:rsid w:val="00E87BD4"/>
    <w:rsid w:val="00E87C54"/>
    <w:rsid w:val="00E90A29"/>
    <w:rsid w:val="00E91053"/>
    <w:rsid w:val="00E9169E"/>
    <w:rsid w:val="00E91B8C"/>
    <w:rsid w:val="00E91CAF"/>
    <w:rsid w:val="00E9225D"/>
    <w:rsid w:val="00E92E69"/>
    <w:rsid w:val="00E94279"/>
    <w:rsid w:val="00E94D11"/>
    <w:rsid w:val="00E95344"/>
    <w:rsid w:val="00E95D96"/>
    <w:rsid w:val="00E96144"/>
    <w:rsid w:val="00E97070"/>
    <w:rsid w:val="00E97D5D"/>
    <w:rsid w:val="00EA09B7"/>
    <w:rsid w:val="00EA1AC4"/>
    <w:rsid w:val="00EA2CAE"/>
    <w:rsid w:val="00EA3307"/>
    <w:rsid w:val="00EA3B67"/>
    <w:rsid w:val="00EA3B74"/>
    <w:rsid w:val="00EA3D36"/>
    <w:rsid w:val="00EA414E"/>
    <w:rsid w:val="00EA4263"/>
    <w:rsid w:val="00EA4494"/>
    <w:rsid w:val="00EA4620"/>
    <w:rsid w:val="00EA48FE"/>
    <w:rsid w:val="00EA4B2E"/>
    <w:rsid w:val="00EA5214"/>
    <w:rsid w:val="00EA61D8"/>
    <w:rsid w:val="00EA6299"/>
    <w:rsid w:val="00EA7499"/>
    <w:rsid w:val="00EB0E33"/>
    <w:rsid w:val="00EB13CD"/>
    <w:rsid w:val="00EB16FB"/>
    <w:rsid w:val="00EB23B9"/>
    <w:rsid w:val="00EB2538"/>
    <w:rsid w:val="00EB3B71"/>
    <w:rsid w:val="00EB4C74"/>
    <w:rsid w:val="00EB648C"/>
    <w:rsid w:val="00EB6B43"/>
    <w:rsid w:val="00EB7382"/>
    <w:rsid w:val="00EB7CB2"/>
    <w:rsid w:val="00EC077B"/>
    <w:rsid w:val="00EC266C"/>
    <w:rsid w:val="00EC2B3D"/>
    <w:rsid w:val="00EC33F8"/>
    <w:rsid w:val="00EC3AD8"/>
    <w:rsid w:val="00EC3B88"/>
    <w:rsid w:val="00EC3E75"/>
    <w:rsid w:val="00EC411C"/>
    <w:rsid w:val="00EC4672"/>
    <w:rsid w:val="00EC56BE"/>
    <w:rsid w:val="00EC65D5"/>
    <w:rsid w:val="00EC74AC"/>
    <w:rsid w:val="00EC79BD"/>
    <w:rsid w:val="00EC7F0B"/>
    <w:rsid w:val="00ED0254"/>
    <w:rsid w:val="00ED0881"/>
    <w:rsid w:val="00ED1484"/>
    <w:rsid w:val="00ED162A"/>
    <w:rsid w:val="00ED17F5"/>
    <w:rsid w:val="00ED1F40"/>
    <w:rsid w:val="00ED2DAC"/>
    <w:rsid w:val="00ED2EB4"/>
    <w:rsid w:val="00ED3BC2"/>
    <w:rsid w:val="00ED3F79"/>
    <w:rsid w:val="00ED41A4"/>
    <w:rsid w:val="00ED5BD2"/>
    <w:rsid w:val="00ED6711"/>
    <w:rsid w:val="00ED70E4"/>
    <w:rsid w:val="00ED7489"/>
    <w:rsid w:val="00ED7AB9"/>
    <w:rsid w:val="00EE0C08"/>
    <w:rsid w:val="00EE1DC9"/>
    <w:rsid w:val="00EE2A2B"/>
    <w:rsid w:val="00EE311F"/>
    <w:rsid w:val="00EE433B"/>
    <w:rsid w:val="00EE4C45"/>
    <w:rsid w:val="00EE522B"/>
    <w:rsid w:val="00EE5C11"/>
    <w:rsid w:val="00EE5DD4"/>
    <w:rsid w:val="00EE5E59"/>
    <w:rsid w:val="00EE65B5"/>
    <w:rsid w:val="00EE67A7"/>
    <w:rsid w:val="00EE72EC"/>
    <w:rsid w:val="00EE754C"/>
    <w:rsid w:val="00EF02F2"/>
    <w:rsid w:val="00EF0604"/>
    <w:rsid w:val="00EF0B1F"/>
    <w:rsid w:val="00EF174B"/>
    <w:rsid w:val="00EF17C9"/>
    <w:rsid w:val="00EF21B3"/>
    <w:rsid w:val="00EF2524"/>
    <w:rsid w:val="00EF28F6"/>
    <w:rsid w:val="00EF2B0D"/>
    <w:rsid w:val="00EF398C"/>
    <w:rsid w:val="00EF5955"/>
    <w:rsid w:val="00EF65E3"/>
    <w:rsid w:val="00EF66F9"/>
    <w:rsid w:val="00EF7485"/>
    <w:rsid w:val="00F004DA"/>
    <w:rsid w:val="00F017CD"/>
    <w:rsid w:val="00F01BCD"/>
    <w:rsid w:val="00F01CBA"/>
    <w:rsid w:val="00F01E30"/>
    <w:rsid w:val="00F02CFC"/>
    <w:rsid w:val="00F03776"/>
    <w:rsid w:val="00F04B9E"/>
    <w:rsid w:val="00F059C8"/>
    <w:rsid w:val="00F05A24"/>
    <w:rsid w:val="00F05F65"/>
    <w:rsid w:val="00F067DA"/>
    <w:rsid w:val="00F1044F"/>
    <w:rsid w:val="00F109E4"/>
    <w:rsid w:val="00F11349"/>
    <w:rsid w:val="00F1173F"/>
    <w:rsid w:val="00F11BE1"/>
    <w:rsid w:val="00F11F79"/>
    <w:rsid w:val="00F1202A"/>
    <w:rsid w:val="00F1401D"/>
    <w:rsid w:val="00F14998"/>
    <w:rsid w:val="00F14EAA"/>
    <w:rsid w:val="00F15081"/>
    <w:rsid w:val="00F1618A"/>
    <w:rsid w:val="00F1654F"/>
    <w:rsid w:val="00F16B80"/>
    <w:rsid w:val="00F16F12"/>
    <w:rsid w:val="00F17003"/>
    <w:rsid w:val="00F171CC"/>
    <w:rsid w:val="00F20E04"/>
    <w:rsid w:val="00F20F73"/>
    <w:rsid w:val="00F215BB"/>
    <w:rsid w:val="00F21D2A"/>
    <w:rsid w:val="00F2293B"/>
    <w:rsid w:val="00F23F09"/>
    <w:rsid w:val="00F247D5"/>
    <w:rsid w:val="00F267F3"/>
    <w:rsid w:val="00F26C7E"/>
    <w:rsid w:val="00F30288"/>
    <w:rsid w:val="00F30C76"/>
    <w:rsid w:val="00F30E71"/>
    <w:rsid w:val="00F31D62"/>
    <w:rsid w:val="00F32ECD"/>
    <w:rsid w:val="00F3321C"/>
    <w:rsid w:val="00F33617"/>
    <w:rsid w:val="00F36430"/>
    <w:rsid w:val="00F36438"/>
    <w:rsid w:val="00F369F0"/>
    <w:rsid w:val="00F376A6"/>
    <w:rsid w:val="00F37A32"/>
    <w:rsid w:val="00F4003D"/>
    <w:rsid w:val="00F407A5"/>
    <w:rsid w:val="00F40E9E"/>
    <w:rsid w:val="00F4173B"/>
    <w:rsid w:val="00F42060"/>
    <w:rsid w:val="00F42740"/>
    <w:rsid w:val="00F43F63"/>
    <w:rsid w:val="00F4500E"/>
    <w:rsid w:val="00F453D4"/>
    <w:rsid w:val="00F454E3"/>
    <w:rsid w:val="00F45F3D"/>
    <w:rsid w:val="00F462FD"/>
    <w:rsid w:val="00F47E3C"/>
    <w:rsid w:val="00F50863"/>
    <w:rsid w:val="00F50AC7"/>
    <w:rsid w:val="00F515CD"/>
    <w:rsid w:val="00F517AF"/>
    <w:rsid w:val="00F52FF0"/>
    <w:rsid w:val="00F532CE"/>
    <w:rsid w:val="00F54687"/>
    <w:rsid w:val="00F546FE"/>
    <w:rsid w:val="00F56354"/>
    <w:rsid w:val="00F56666"/>
    <w:rsid w:val="00F56A40"/>
    <w:rsid w:val="00F56F94"/>
    <w:rsid w:val="00F57D70"/>
    <w:rsid w:val="00F6027E"/>
    <w:rsid w:val="00F60E08"/>
    <w:rsid w:val="00F60F69"/>
    <w:rsid w:val="00F61039"/>
    <w:rsid w:val="00F6144F"/>
    <w:rsid w:val="00F6168D"/>
    <w:rsid w:val="00F619EE"/>
    <w:rsid w:val="00F63A8E"/>
    <w:rsid w:val="00F63B20"/>
    <w:rsid w:val="00F63F29"/>
    <w:rsid w:val="00F64022"/>
    <w:rsid w:val="00F64316"/>
    <w:rsid w:val="00F6495B"/>
    <w:rsid w:val="00F64CF2"/>
    <w:rsid w:val="00F66636"/>
    <w:rsid w:val="00F66919"/>
    <w:rsid w:val="00F67301"/>
    <w:rsid w:val="00F67FE9"/>
    <w:rsid w:val="00F7016F"/>
    <w:rsid w:val="00F70E9B"/>
    <w:rsid w:val="00F70EBD"/>
    <w:rsid w:val="00F71336"/>
    <w:rsid w:val="00F7157B"/>
    <w:rsid w:val="00F71A96"/>
    <w:rsid w:val="00F72157"/>
    <w:rsid w:val="00F72353"/>
    <w:rsid w:val="00F731BD"/>
    <w:rsid w:val="00F73265"/>
    <w:rsid w:val="00F7377D"/>
    <w:rsid w:val="00F74021"/>
    <w:rsid w:val="00F743BC"/>
    <w:rsid w:val="00F743E2"/>
    <w:rsid w:val="00F74554"/>
    <w:rsid w:val="00F74902"/>
    <w:rsid w:val="00F75E3C"/>
    <w:rsid w:val="00F761CD"/>
    <w:rsid w:val="00F7632F"/>
    <w:rsid w:val="00F76545"/>
    <w:rsid w:val="00F765A0"/>
    <w:rsid w:val="00F76CCE"/>
    <w:rsid w:val="00F76E67"/>
    <w:rsid w:val="00F77B62"/>
    <w:rsid w:val="00F77B69"/>
    <w:rsid w:val="00F77ED1"/>
    <w:rsid w:val="00F80970"/>
    <w:rsid w:val="00F81392"/>
    <w:rsid w:val="00F81477"/>
    <w:rsid w:val="00F816E1"/>
    <w:rsid w:val="00F818EA"/>
    <w:rsid w:val="00F83407"/>
    <w:rsid w:val="00F8471C"/>
    <w:rsid w:val="00F857CE"/>
    <w:rsid w:val="00F858DE"/>
    <w:rsid w:val="00F85E31"/>
    <w:rsid w:val="00F8625B"/>
    <w:rsid w:val="00F86951"/>
    <w:rsid w:val="00F876AD"/>
    <w:rsid w:val="00F87A04"/>
    <w:rsid w:val="00F90629"/>
    <w:rsid w:val="00F909D6"/>
    <w:rsid w:val="00F912E4"/>
    <w:rsid w:val="00F917EE"/>
    <w:rsid w:val="00F91F15"/>
    <w:rsid w:val="00F92737"/>
    <w:rsid w:val="00F93189"/>
    <w:rsid w:val="00F93565"/>
    <w:rsid w:val="00F94E2F"/>
    <w:rsid w:val="00F9546F"/>
    <w:rsid w:val="00F954D7"/>
    <w:rsid w:val="00FA0A52"/>
    <w:rsid w:val="00FA0E44"/>
    <w:rsid w:val="00FA16A4"/>
    <w:rsid w:val="00FA2BE7"/>
    <w:rsid w:val="00FA415D"/>
    <w:rsid w:val="00FA5E54"/>
    <w:rsid w:val="00FA69C4"/>
    <w:rsid w:val="00FA69E4"/>
    <w:rsid w:val="00FA7949"/>
    <w:rsid w:val="00FB008F"/>
    <w:rsid w:val="00FB120A"/>
    <w:rsid w:val="00FB13FE"/>
    <w:rsid w:val="00FB1542"/>
    <w:rsid w:val="00FB1A16"/>
    <w:rsid w:val="00FB221C"/>
    <w:rsid w:val="00FB2B98"/>
    <w:rsid w:val="00FB36C8"/>
    <w:rsid w:val="00FB3CD2"/>
    <w:rsid w:val="00FB43C4"/>
    <w:rsid w:val="00FB49C7"/>
    <w:rsid w:val="00FB65CC"/>
    <w:rsid w:val="00FB7B06"/>
    <w:rsid w:val="00FC0681"/>
    <w:rsid w:val="00FC0D5F"/>
    <w:rsid w:val="00FC2822"/>
    <w:rsid w:val="00FC3019"/>
    <w:rsid w:val="00FC35DD"/>
    <w:rsid w:val="00FC4673"/>
    <w:rsid w:val="00FC4E49"/>
    <w:rsid w:val="00FC5109"/>
    <w:rsid w:val="00FC6ADE"/>
    <w:rsid w:val="00FD0709"/>
    <w:rsid w:val="00FD07FF"/>
    <w:rsid w:val="00FD096D"/>
    <w:rsid w:val="00FD1909"/>
    <w:rsid w:val="00FD25A1"/>
    <w:rsid w:val="00FD272E"/>
    <w:rsid w:val="00FD35E0"/>
    <w:rsid w:val="00FD39CB"/>
    <w:rsid w:val="00FD6E4C"/>
    <w:rsid w:val="00FD7256"/>
    <w:rsid w:val="00FE069D"/>
    <w:rsid w:val="00FE0B4F"/>
    <w:rsid w:val="00FE2F52"/>
    <w:rsid w:val="00FE42C5"/>
    <w:rsid w:val="00FE468A"/>
    <w:rsid w:val="00FE5D5B"/>
    <w:rsid w:val="00FE685C"/>
    <w:rsid w:val="00FE7392"/>
    <w:rsid w:val="00FF00BD"/>
    <w:rsid w:val="00FF09D2"/>
    <w:rsid w:val="00FF3044"/>
    <w:rsid w:val="00FF43B0"/>
    <w:rsid w:val="00FF4E9B"/>
    <w:rsid w:val="00FF6762"/>
    <w:rsid w:val="00FF6A8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79553"/>
    <o:shapelayout v:ext="edit">
      <o:idmap v:ext="edit" data="1"/>
    </o:shapelayout>
  </w:shapeDefaults>
  <w:decimalSymbol w:val="."/>
  <w:listSeparator w:val=","/>
  <w15:docId w15:val="{33223543-043C-4ED3-A198-5F97FEAE94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54A91"/>
    <w:rPr>
      <w:sz w:val="24"/>
      <w:szCs w:val="24"/>
    </w:rPr>
  </w:style>
  <w:style w:type="paragraph" w:styleId="Heading1">
    <w:name w:val="heading 1"/>
    <w:basedOn w:val="Normal"/>
    <w:next w:val="Normal"/>
    <w:link w:val="Heading1Char"/>
    <w:qFormat/>
    <w:rsid w:val="006E562F"/>
    <w:pPr>
      <w:keepNext/>
      <w:jc w:val="center"/>
      <w:outlineLvl w:val="0"/>
    </w:pPr>
    <w:rPr>
      <w:rFonts w:ascii="Arial" w:hAnsi="Arial"/>
      <w:b/>
      <w:sz w:val="26"/>
      <w:szCs w:val="20"/>
    </w:rPr>
  </w:style>
  <w:style w:type="paragraph" w:styleId="Heading2">
    <w:name w:val="heading 2"/>
    <w:basedOn w:val="Normal"/>
    <w:next w:val="Normal"/>
    <w:link w:val="Heading2Char"/>
    <w:qFormat/>
    <w:rsid w:val="006E562F"/>
    <w:pPr>
      <w:keepNext/>
      <w:jc w:val="center"/>
      <w:outlineLvl w:val="1"/>
    </w:pPr>
    <w:rPr>
      <w:rFonts w:ascii="CG Omega" w:hAnsi="CG Omega"/>
      <w:b/>
      <w:szCs w:val="20"/>
    </w:rPr>
  </w:style>
  <w:style w:type="paragraph" w:styleId="Heading3">
    <w:name w:val="heading 3"/>
    <w:basedOn w:val="Normal"/>
    <w:next w:val="Normal"/>
    <w:qFormat/>
    <w:rsid w:val="006E562F"/>
    <w:pPr>
      <w:keepNext/>
      <w:jc w:val="both"/>
      <w:outlineLvl w:val="2"/>
    </w:pPr>
    <w:rPr>
      <w:rFonts w:ascii="CG Omega" w:hAnsi="CG Omega"/>
      <w:b/>
      <w:szCs w:val="20"/>
    </w:rPr>
  </w:style>
  <w:style w:type="paragraph" w:styleId="Heading4">
    <w:name w:val="heading 4"/>
    <w:basedOn w:val="Normal"/>
    <w:next w:val="Normal"/>
    <w:link w:val="Heading4Char"/>
    <w:qFormat/>
    <w:rsid w:val="00ED7489"/>
    <w:pPr>
      <w:keepNext/>
      <w:outlineLvl w:val="3"/>
    </w:pPr>
    <w:rPr>
      <w:rFonts w:ascii="CG Times" w:hAnsi="CG Times"/>
      <w:b/>
      <w:i/>
      <w:szCs w:val="20"/>
    </w:rPr>
  </w:style>
  <w:style w:type="paragraph" w:styleId="Heading5">
    <w:name w:val="heading 5"/>
    <w:basedOn w:val="Normal"/>
    <w:next w:val="Normal"/>
    <w:qFormat/>
    <w:rsid w:val="0066017F"/>
    <w:pPr>
      <w:keepNext/>
      <w:ind w:left="720"/>
      <w:jc w:val="both"/>
      <w:outlineLvl w:val="4"/>
    </w:pPr>
    <w:rPr>
      <w:rFonts w:ascii="CG Times" w:hAnsi="CG Times"/>
      <w:b/>
      <w:bCs/>
      <w:szCs w:val="28"/>
    </w:rPr>
  </w:style>
  <w:style w:type="paragraph" w:styleId="Heading6">
    <w:name w:val="heading 6"/>
    <w:basedOn w:val="Normal"/>
    <w:next w:val="Normal"/>
    <w:qFormat/>
    <w:rsid w:val="0066017F"/>
    <w:pPr>
      <w:keepNext/>
      <w:tabs>
        <w:tab w:val="left" w:pos="-1440"/>
        <w:tab w:val="left" w:pos="-720"/>
        <w:tab w:val="left" w:pos="0"/>
        <w:tab w:val="left" w:pos="720"/>
        <w:tab w:val="left" w:pos="101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1" w:lineRule="atLeast"/>
      <w:outlineLvl w:val="5"/>
    </w:pPr>
    <w:rPr>
      <w:rFonts w:ascii="Arial" w:hAnsi="Arial" w:cs="Arial"/>
      <w:b/>
      <w:bCs/>
      <w:sz w:val="28"/>
      <w:szCs w:val="28"/>
    </w:rPr>
  </w:style>
  <w:style w:type="paragraph" w:styleId="Heading7">
    <w:name w:val="heading 7"/>
    <w:basedOn w:val="Normal"/>
    <w:next w:val="Normal"/>
    <w:qFormat/>
    <w:rsid w:val="0066017F"/>
    <w:pPr>
      <w:keepNext/>
      <w:tabs>
        <w:tab w:val="left" w:pos="-1440"/>
        <w:tab w:val="left" w:pos="-720"/>
        <w:tab w:val="left" w:pos="0"/>
        <w:tab w:val="left" w:pos="340"/>
        <w:tab w:val="left" w:pos="720"/>
        <w:tab w:val="left" w:pos="1107"/>
        <w:tab w:val="left" w:pos="1440"/>
        <w:tab w:val="left" w:pos="1874"/>
        <w:tab w:val="left" w:pos="2160"/>
        <w:tab w:val="left" w:pos="2556"/>
        <w:tab w:val="left" w:pos="2880"/>
        <w:tab w:val="left" w:pos="3600"/>
        <w:tab w:val="left" w:pos="4320"/>
        <w:tab w:val="left" w:pos="5040"/>
        <w:tab w:val="left" w:pos="5760"/>
        <w:tab w:val="left" w:pos="6480"/>
        <w:tab w:val="left" w:pos="7200"/>
        <w:tab w:val="left" w:pos="7920"/>
        <w:tab w:val="left" w:pos="8640"/>
      </w:tabs>
      <w:spacing w:line="1" w:lineRule="atLeast"/>
      <w:jc w:val="both"/>
      <w:outlineLvl w:val="6"/>
    </w:pPr>
    <w:rPr>
      <w:rFonts w:ascii="Arial" w:hAnsi="Arial" w:cs="Arial"/>
      <w:b/>
      <w:bCs/>
      <w:sz w:val="28"/>
    </w:rPr>
  </w:style>
  <w:style w:type="paragraph" w:styleId="Heading8">
    <w:name w:val="heading 8"/>
    <w:basedOn w:val="Normal"/>
    <w:next w:val="Normal"/>
    <w:qFormat/>
    <w:rsid w:val="0066017F"/>
    <w:pPr>
      <w:keepNext/>
      <w:tabs>
        <w:tab w:val="left" w:pos="-1440"/>
        <w:tab w:val="left" w:pos="-720"/>
        <w:tab w:val="left" w:pos="0"/>
        <w:tab w:val="left" w:pos="316"/>
        <w:tab w:val="left" w:pos="633"/>
        <w:tab w:val="left" w:pos="950"/>
        <w:tab w:val="left" w:pos="1267"/>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1" w:lineRule="atLeast"/>
      <w:jc w:val="center"/>
      <w:outlineLvl w:val="7"/>
    </w:pPr>
    <w:rPr>
      <w:rFonts w:ascii="Arial" w:hAnsi="Arial" w:cs="Arial"/>
      <w:b/>
      <w:bCs/>
      <w:sz w:val="32"/>
      <w:szCs w:val="32"/>
    </w:rPr>
  </w:style>
  <w:style w:type="paragraph" w:styleId="Heading9">
    <w:name w:val="heading 9"/>
    <w:basedOn w:val="Normal"/>
    <w:next w:val="Normal"/>
    <w:qFormat/>
    <w:rsid w:val="0066017F"/>
    <w:pPr>
      <w:keepNext/>
      <w:outlineLvl w:val="8"/>
    </w:pPr>
    <w:rPr>
      <w:rFonts w:ascii="CG Times" w:hAnsi="CG Times"/>
      <w:b/>
      <w:bCs/>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Header 2,tagline,h"/>
    <w:basedOn w:val="Normal"/>
    <w:link w:val="HeaderChar"/>
    <w:uiPriority w:val="99"/>
    <w:rsid w:val="00C81A62"/>
    <w:pPr>
      <w:tabs>
        <w:tab w:val="center" w:pos="4320"/>
        <w:tab w:val="right" w:pos="8640"/>
      </w:tabs>
    </w:pPr>
  </w:style>
  <w:style w:type="paragraph" w:styleId="Footer">
    <w:name w:val="footer"/>
    <w:basedOn w:val="Normal"/>
    <w:link w:val="FooterChar"/>
    <w:uiPriority w:val="99"/>
    <w:rsid w:val="00C81A62"/>
    <w:pPr>
      <w:tabs>
        <w:tab w:val="center" w:pos="4320"/>
        <w:tab w:val="right" w:pos="8640"/>
      </w:tabs>
    </w:pPr>
  </w:style>
  <w:style w:type="paragraph" w:styleId="Subtitle">
    <w:name w:val="Subtitle"/>
    <w:basedOn w:val="Normal"/>
    <w:link w:val="SubtitleChar"/>
    <w:qFormat/>
    <w:rsid w:val="00C81A62"/>
    <w:rPr>
      <w:rFonts w:ascii="Verdana" w:hAnsi="Verdana"/>
      <w:b/>
      <w:bCs/>
      <w:sz w:val="20"/>
    </w:rPr>
  </w:style>
  <w:style w:type="character" w:styleId="PageNumber">
    <w:name w:val="page number"/>
    <w:basedOn w:val="DefaultParagraphFont"/>
    <w:rsid w:val="00C81A62"/>
  </w:style>
  <w:style w:type="paragraph" w:styleId="BodyText">
    <w:name w:val="Body Text"/>
    <w:aliases w:val=" Char,bt"/>
    <w:basedOn w:val="Normal"/>
    <w:link w:val="BodyTextChar"/>
    <w:rsid w:val="006E562F"/>
    <w:pPr>
      <w:tabs>
        <w:tab w:val="left" w:pos="-1123"/>
        <w:tab w:val="left" w:pos="-720"/>
        <w:tab w:val="left" w:pos="0"/>
        <w:tab w:val="left" w:pos="720"/>
        <w:tab w:val="left" w:pos="900"/>
        <w:tab w:val="left" w:pos="1080"/>
        <w:tab w:val="left" w:pos="12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Pr>
      <w:szCs w:val="20"/>
    </w:rPr>
  </w:style>
  <w:style w:type="character" w:customStyle="1" w:styleId="BodyTextChar">
    <w:name w:val="Body Text Char"/>
    <w:aliases w:val=" Char Char,bt Char"/>
    <w:link w:val="BodyText"/>
    <w:rsid w:val="00A94151"/>
    <w:rPr>
      <w:sz w:val="24"/>
      <w:lang w:val="en-US" w:eastAsia="en-US" w:bidi="ar-SA"/>
    </w:rPr>
  </w:style>
  <w:style w:type="character" w:styleId="FootnoteReference">
    <w:name w:val="footnote reference"/>
    <w:uiPriority w:val="99"/>
    <w:qFormat/>
    <w:rsid w:val="006E562F"/>
    <w:rPr>
      <w:vertAlign w:val="superscript"/>
    </w:rPr>
  </w:style>
  <w:style w:type="paragraph" w:styleId="FootnoteText">
    <w:name w:val="footnote text"/>
    <w:basedOn w:val="Normal"/>
    <w:link w:val="FootnoteTextChar"/>
    <w:uiPriority w:val="99"/>
    <w:qFormat/>
    <w:rsid w:val="006E562F"/>
    <w:rPr>
      <w:sz w:val="20"/>
      <w:szCs w:val="20"/>
    </w:rPr>
  </w:style>
  <w:style w:type="character" w:customStyle="1" w:styleId="FootnoteTextChar">
    <w:name w:val="Footnote Text Char"/>
    <w:link w:val="FootnoteText"/>
    <w:uiPriority w:val="99"/>
    <w:rsid w:val="005F01DB"/>
    <w:rPr>
      <w:lang w:val="en-US" w:eastAsia="en-US" w:bidi="ar-SA"/>
    </w:rPr>
  </w:style>
  <w:style w:type="paragraph" w:customStyle="1" w:styleId="tabletitle1">
    <w:name w:val="table title 1"/>
    <w:basedOn w:val="Normal"/>
    <w:rsid w:val="006E562F"/>
    <w:pPr>
      <w:tabs>
        <w:tab w:val="left" w:pos="720"/>
      </w:tabs>
      <w:jc w:val="center"/>
    </w:pPr>
    <w:rPr>
      <w:rFonts w:ascii="Arial" w:hAnsi="Arial" w:cs="Arial"/>
      <w:b/>
      <w:bCs/>
      <w:sz w:val="16"/>
      <w:szCs w:val="16"/>
    </w:rPr>
  </w:style>
  <w:style w:type="paragraph" w:customStyle="1" w:styleId="TableTitle">
    <w:name w:val="Table Title"/>
    <w:basedOn w:val="TableofFigures"/>
    <w:rsid w:val="00BF6622"/>
    <w:pPr>
      <w:tabs>
        <w:tab w:val="left" w:pos="720"/>
      </w:tabs>
      <w:ind w:left="0" w:firstLine="0"/>
      <w:jc w:val="center"/>
    </w:pPr>
    <w:rPr>
      <w:rFonts w:ascii="Arial" w:hAnsi="Arial" w:cs="Arial"/>
      <w:b/>
      <w:bCs/>
      <w:sz w:val="20"/>
      <w:szCs w:val="16"/>
    </w:rPr>
  </w:style>
  <w:style w:type="paragraph" w:styleId="TableofFigures">
    <w:name w:val="table of figures"/>
    <w:basedOn w:val="Normal"/>
    <w:next w:val="Normal"/>
    <w:semiHidden/>
    <w:rsid w:val="00BF6622"/>
    <w:pPr>
      <w:ind w:left="480" w:hanging="480"/>
    </w:pPr>
  </w:style>
  <w:style w:type="paragraph" w:styleId="NormalWeb">
    <w:name w:val="Normal (Web)"/>
    <w:basedOn w:val="Normal"/>
    <w:uiPriority w:val="99"/>
    <w:rsid w:val="00765099"/>
    <w:pPr>
      <w:spacing w:before="100" w:beforeAutospacing="1" w:after="100" w:afterAutospacing="1"/>
    </w:pPr>
  </w:style>
  <w:style w:type="paragraph" w:customStyle="1" w:styleId="p1">
    <w:name w:val="p1"/>
    <w:basedOn w:val="Normal"/>
    <w:rsid w:val="0066017F"/>
    <w:pPr>
      <w:widowControl w:val="0"/>
      <w:tabs>
        <w:tab w:val="left" w:pos="720"/>
      </w:tabs>
      <w:spacing w:line="240" w:lineRule="atLeast"/>
    </w:pPr>
    <w:rPr>
      <w:snapToGrid w:val="0"/>
      <w:szCs w:val="20"/>
    </w:rPr>
  </w:style>
  <w:style w:type="paragraph" w:customStyle="1" w:styleId="c7">
    <w:name w:val="c7"/>
    <w:basedOn w:val="Normal"/>
    <w:rsid w:val="0066017F"/>
    <w:pPr>
      <w:widowControl w:val="0"/>
      <w:spacing w:line="240" w:lineRule="atLeast"/>
      <w:jc w:val="center"/>
    </w:pPr>
    <w:rPr>
      <w:snapToGrid w:val="0"/>
      <w:szCs w:val="20"/>
    </w:rPr>
  </w:style>
  <w:style w:type="paragraph" w:customStyle="1" w:styleId="p13">
    <w:name w:val="p13"/>
    <w:basedOn w:val="Normal"/>
    <w:rsid w:val="0066017F"/>
    <w:pPr>
      <w:widowControl w:val="0"/>
      <w:tabs>
        <w:tab w:val="left" w:pos="740"/>
      </w:tabs>
      <w:spacing w:line="500" w:lineRule="atLeast"/>
      <w:ind w:left="720" w:hanging="720"/>
    </w:pPr>
    <w:rPr>
      <w:snapToGrid w:val="0"/>
      <w:szCs w:val="20"/>
    </w:rPr>
  </w:style>
  <w:style w:type="paragraph" w:customStyle="1" w:styleId="p14">
    <w:name w:val="p14"/>
    <w:basedOn w:val="Normal"/>
    <w:rsid w:val="0066017F"/>
    <w:pPr>
      <w:widowControl w:val="0"/>
      <w:tabs>
        <w:tab w:val="left" w:pos="740"/>
      </w:tabs>
      <w:spacing w:line="260" w:lineRule="atLeast"/>
      <w:ind w:left="700"/>
    </w:pPr>
    <w:rPr>
      <w:snapToGrid w:val="0"/>
      <w:szCs w:val="20"/>
    </w:rPr>
  </w:style>
  <w:style w:type="paragraph" w:customStyle="1" w:styleId="p15">
    <w:name w:val="p15"/>
    <w:basedOn w:val="Normal"/>
    <w:rsid w:val="0066017F"/>
    <w:pPr>
      <w:widowControl w:val="0"/>
      <w:tabs>
        <w:tab w:val="left" w:pos="1460"/>
      </w:tabs>
      <w:spacing w:line="260" w:lineRule="atLeast"/>
      <w:ind w:hanging="720"/>
    </w:pPr>
    <w:rPr>
      <w:snapToGrid w:val="0"/>
      <w:szCs w:val="20"/>
    </w:rPr>
  </w:style>
  <w:style w:type="paragraph" w:customStyle="1" w:styleId="p24">
    <w:name w:val="p24"/>
    <w:basedOn w:val="Normal"/>
    <w:rsid w:val="0066017F"/>
    <w:pPr>
      <w:widowControl w:val="0"/>
      <w:spacing w:line="260" w:lineRule="atLeast"/>
    </w:pPr>
    <w:rPr>
      <w:snapToGrid w:val="0"/>
      <w:szCs w:val="20"/>
    </w:rPr>
  </w:style>
  <w:style w:type="paragraph" w:customStyle="1" w:styleId="p31">
    <w:name w:val="p31"/>
    <w:basedOn w:val="Normal"/>
    <w:rsid w:val="0066017F"/>
    <w:pPr>
      <w:widowControl w:val="0"/>
      <w:tabs>
        <w:tab w:val="left" w:pos="6540"/>
      </w:tabs>
      <w:spacing w:line="240" w:lineRule="atLeast"/>
      <w:ind w:left="5100"/>
    </w:pPr>
    <w:rPr>
      <w:snapToGrid w:val="0"/>
      <w:szCs w:val="20"/>
    </w:rPr>
  </w:style>
  <w:style w:type="paragraph" w:customStyle="1" w:styleId="p34">
    <w:name w:val="p34"/>
    <w:basedOn w:val="Normal"/>
    <w:rsid w:val="0066017F"/>
    <w:pPr>
      <w:widowControl w:val="0"/>
      <w:tabs>
        <w:tab w:val="left" w:pos="720"/>
      </w:tabs>
      <w:spacing w:line="240" w:lineRule="atLeast"/>
    </w:pPr>
    <w:rPr>
      <w:snapToGrid w:val="0"/>
      <w:szCs w:val="20"/>
    </w:rPr>
  </w:style>
  <w:style w:type="paragraph" w:customStyle="1" w:styleId="t35">
    <w:name w:val="t35"/>
    <w:basedOn w:val="Normal"/>
    <w:rsid w:val="0066017F"/>
    <w:pPr>
      <w:widowControl w:val="0"/>
      <w:spacing w:line="220" w:lineRule="atLeast"/>
    </w:pPr>
    <w:rPr>
      <w:snapToGrid w:val="0"/>
      <w:szCs w:val="20"/>
    </w:rPr>
  </w:style>
  <w:style w:type="paragraph" w:customStyle="1" w:styleId="p36">
    <w:name w:val="p36"/>
    <w:basedOn w:val="Normal"/>
    <w:rsid w:val="0066017F"/>
    <w:pPr>
      <w:widowControl w:val="0"/>
      <w:tabs>
        <w:tab w:val="left" w:pos="720"/>
      </w:tabs>
      <w:spacing w:line="220" w:lineRule="atLeast"/>
    </w:pPr>
    <w:rPr>
      <w:snapToGrid w:val="0"/>
      <w:szCs w:val="20"/>
    </w:rPr>
  </w:style>
  <w:style w:type="paragraph" w:customStyle="1" w:styleId="p40">
    <w:name w:val="p40"/>
    <w:basedOn w:val="Normal"/>
    <w:rsid w:val="0066017F"/>
    <w:pPr>
      <w:widowControl w:val="0"/>
      <w:tabs>
        <w:tab w:val="left" w:pos="6900"/>
      </w:tabs>
      <w:spacing w:line="240" w:lineRule="atLeast"/>
      <w:ind w:left="5460"/>
    </w:pPr>
    <w:rPr>
      <w:snapToGrid w:val="0"/>
      <w:szCs w:val="20"/>
    </w:rPr>
  </w:style>
  <w:style w:type="paragraph" w:customStyle="1" w:styleId="p41">
    <w:name w:val="p41"/>
    <w:basedOn w:val="Normal"/>
    <w:rsid w:val="0066017F"/>
    <w:pPr>
      <w:widowControl w:val="0"/>
      <w:tabs>
        <w:tab w:val="left" w:pos="5720"/>
      </w:tabs>
      <w:spacing w:line="240" w:lineRule="atLeast"/>
      <w:ind w:left="4280"/>
    </w:pPr>
    <w:rPr>
      <w:snapToGrid w:val="0"/>
      <w:szCs w:val="20"/>
    </w:rPr>
  </w:style>
  <w:style w:type="paragraph" w:customStyle="1" w:styleId="c42">
    <w:name w:val="c42"/>
    <w:basedOn w:val="Normal"/>
    <w:rsid w:val="0066017F"/>
    <w:pPr>
      <w:widowControl w:val="0"/>
      <w:spacing w:line="240" w:lineRule="atLeast"/>
      <w:jc w:val="center"/>
    </w:pPr>
    <w:rPr>
      <w:snapToGrid w:val="0"/>
      <w:szCs w:val="20"/>
    </w:rPr>
  </w:style>
  <w:style w:type="paragraph" w:customStyle="1" w:styleId="p44">
    <w:name w:val="p44"/>
    <w:basedOn w:val="Normal"/>
    <w:rsid w:val="0066017F"/>
    <w:pPr>
      <w:widowControl w:val="0"/>
      <w:tabs>
        <w:tab w:val="left" w:pos="760"/>
      </w:tabs>
      <w:spacing w:line="240" w:lineRule="atLeast"/>
      <w:ind w:left="680"/>
    </w:pPr>
    <w:rPr>
      <w:snapToGrid w:val="0"/>
      <w:szCs w:val="20"/>
    </w:rPr>
  </w:style>
  <w:style w:type="paragraph" w:customStyle="1" w:styleId="p45">
    <w:name w:val="p45"/>
    <w:basedOn w:val="Normal"/>
    <w:rsid w:val="0066017F"/>
    <w:pPr>
      <w:widowControl w:val="0"/>
      <w:tabs>
        <w:tab w:val="left" w:pos="740"/>
      </w:tabs>
      <w:spacing w:line="500" w:lineRule="atLeast"/>
      <w:ind w:left="700"/>
    </w:pPr>
    <w:rPr>
      <w:snapToGrid w:val="0"/>
      <w:szCs w:val="20"/>
    </w:rPr>
  </w:style>
  <w:style w:type="paragraph" w:customStyle="1" w:styleId="t46">
    <w:name w:val="t46"/>
    <w:basedOn w:val="Normal"/>
    <w:rsid w:val="0066017F"/>
    <w:pPr>
      <w:widowControl w:val="0"/>
      <w:spacing w:line="240" w:lineRule="atLeast"/>
    </w:pPr>
    <w:rPr>
      <w:snapToGrid w:val="0"/>
      <w:szCs w:val="20"/>
    </w:rPr>
  </w:style>
  <w:style w:type="paragraph" w:customStyle="1" w:styleId="p47">
    <w:name w:val="p47"/>
    <w:basedOn w:val="Normal"/>
    <w:rsid w:val="0066017F"/>
    <w:pPr>
      <w:widowControl w:val="0"/>
      <w:tabs>
        <w:tab w:val="left" w:pos="240"/>
      </w:tabs>
      <w:spacing w:line="240" w:lineRule="atLeast"/>
      <w:ind w:left="1200"/>
    </w:pPr>
    <w:rPr>
      <w:snapToGrid w:val="0"/>
      <w:szCs w:val="20"/>
    </w:rPr>
  </w:style>
  <w:style w:type="paragraph" w:customStyle="1" w:styleId="c48">
    <w:name w:val="c48"/>
    <w:basedOn w:val="Normal"/>
    <w:rsid w:val="0066017F"/>
    <w:pPr>
      <w:widowControl w:val="0"/>
      <w:spacing w:line="240" w:lineRule="atLeast"/>
      <w:jc w:val="center"/>
    </w:pPr>
    <w:rPr>
      <w:snapToGrid w:val="0"/>
      <w:szCs w:val="20"/>
    </w:rPr>
  </w:style>
  <w:style w:type="paragraph" w:customStyle="1" w:styleId="t49">
    <w:name w:val="t49"/>
    <w:basedOn w:val="Normal"/>
    <w:rsid w:val="0066017F"/>
    <w:pPr>
      <w:widowControl w:val="0"/>
      <w:spacing w:line="240" w:lineRule="atLeast"/>
    </w:pPr>
    <w:rPr>
      <w:snapToGrid w:val="0"/>
      <w:szCs w:val="20"/>
    </w:rPr>
  </w:style>
  <w:style w:type="paragraph" w:customStyle="1" w:styleId="p50">
    <w:name w:val="p50"/>
    <w:basedOn w:val="Normal"/>
    <w:rsid w:val="0066017F"/>
    <w:pPr>
      <w:widowControl w:val="0"/>
      <w:tabs>
        <w:tab w:val="left" w:pos="5140"/>
      </w:tabs>
      <w:spacing w:line="560" w:lineRule="atLeast"/>
      <w:ind w:left="1440" w:firstLine="5184"/>
    </w:pPr>
    <w:rPr>
      <w:snapToGrid w:val="0"/>
      <w:szCs w:val="20"/>
    </w:rPr>
  </w:style>
  <w:style w:type="paragraph" w:styleId="BodyText2">
    <w:name w:val="Body Text 2"/>
    <w:basedOn w:val="Normal"/>
    <w:rsid w:val="0066017F"/>
    <w:pPr>
      <w:spacing w:line="1" w:lineRule="atLeast"/>
    </w:pPr>
    <w:rPr>
      <w:rFonts w:ascii="Arial" w:hAnsi="Arial" w:cs="Arial"/>
      <w:b/>
      <w:bCs/>
      <w:sz w:val="28"/>
      <w:szCs w:val="28"/>
    </w:rPr>
  </w:style>
  <w:style w:type="paragraph" w:styleId="BodyTextIndent2">
    <w:name w:val="Body Text Indent 2"/>
    <w:basedOn w:val="Normal"/>
    <w:rsid w:val="0066017F"/>
    <w:pPr>
      <w:ind w:left="360"/>
      <w:jc w:val="both"/>
    </w:pPr>
    <w:rPr>
      <w:rFonts w:ascii="CG Times" w:hAnsi="CG Times"/>
      <w:szCs w:val="32"/>
    </w:rPr>
  </w:style>
  <w:style w:type="paragraph" w:styleId="BodyTextIndent">
    <w:name w:val="Body Text Indent"/>
    <w:basedOn w:val="Normal"/>
    <w:link w:val="BodyTextIndentChar"/>
    <w:rsid w:val="0066017F"/>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s>
      <w:ind w:left="720"/>
      <w:jc w:val="both"/>
    </w:pPr>
    <w:rPr>
      <w:rFonts w:ascii="CG Times" w:hAnsi="CG Times"/>
      <w:szCs w:val="32"/>
    </w:rPr>
  </w:style>
  <w:style w:type="paragraph" w:styleId="BodyTextIndent3">
    <w:name w:val="Body Text Indent 3"/>
    <w:basedOn w:val="Normal"/>
    <w:rsid w:val="0066017F"/>
    <w:pPr>
      <w:ind w:left="1080"/>
      <w:jc w:val="both"/>
    </w:pPr>
    <w:rPr>
      <w:rFonts w:ascii="CG Times" w:hAnsi="CG Times"/>
      <w:szCs w:val="32"/>
    </w:rPr>
  </w:style>
  <w:style w:type="paragraph" w:styleId="BodyText3">
    <w:name w:val="Body Text 3"/>
    <w:basedOn w:val="Normal"/>
    <w:rsid w:val="0066017F"/>
    <w:pPr>
      <w:jc w:val="both"/>
    </w:pPr>
    <w:rPr>
      <w:rFonts w:ascii="CG Times" w:hAnsi="CG Times"/>
    </w:rPr>
  </w:style>
  <w:style w:type="character" w:styleId="Hyperlink">
    <w:name w:val="Hyperlink"/>
    <w:uiPriority w:val="99"/>
    <w:rsid w:val="0066017F"/>
    <w:rPr>
      <w:color w:val="0000FF"/>
      <w:u w:val="single"/>
    </w:rPr>
  </w:style>
  <w:style w:type="character" w:styleId="FollowedHyperlink">
    <w:name w:val="FollowedHyperlink"/>
    <w:rsid w:val="0066017F"/>
    <w:rPr>
      <w:color w:val="800080"/>
      <w:u w:val="single"/>
    </w:rPr>
  </w:style>
  <w:style w:type="paragraph" w:customStyle="1" w:styleId="xl24">
    <w:name w:val="xl24"/>
    <w:basedOn w:val="Normal"/>
    <w:rsid w:val="0066017F"/>
    <w:pPr>
      <w:pBdr>
        <w:bottom w:val="single" w:sz="4" w:space="0" w:color="auto"/>
      </w:pBdr>
      <w:spacing w:before="100" w:beforeAutospacing="1" w:after="100" w:afterAutospacing="1"/>
      <w:jc w:val="center"/>
    </w:pPr>
    <w:rPr>
      <w:rFonts w:ascii="Arial" w:hAnsi="Arial" w:cs="Arial"/>
    </w:rPr>
  </w:style>
  <w:style w:type="paragraph" w:customStyle="1" w:styleId="xl25">
    <w:name w:val="xl25"/>
    <w:basedOn w:val="Normal"/>
    <w:rsid w:val="0066017F"/>
    <w:pPr>
      <w:spacing w:before="100" w:beforeAutospacing="1" w:after="100" w:afterAutospacing="1"/>
      <w:jc w:val="center"/>
    </w:pPr>
    <w:rPr>
      <w:rFonts w:ascii="Arial" w:hAnsi="Arial" w:cs="Arial"/>
      <w:sz w:val="16"/>
      <w:szCs w:val="16"/>
    </w:rPr>
  </w:style>
  <w:style w:type="paragraph" w:customStyle="1" w:styleId="xl26">
    <w:name w:val="xl26"/>
    <w:basedOn w:val="Normal"/>
    <w:rsid w:val="0066017F"/>
    <w:pPr>
      <w:spacing w:before="100" w:beforeAutospacing="1" w:after="100" w:afterAutospacing="1"/>
      <w:jc w:val="right"/>
    </w:pPr>
    <w:rPr>
      <w:rFonts w:ascii="Arial" w:hAnsi="Arial" w:cs="Arial"/>
      <w:sz w:val="16"/>
      <w:szCs w:val="16"/>
    </w:rPr>
  </w:style>
  <w:style w:type="paragraph" w:customStyle="1" w:styleId="xl22">
    <w:name w:val="xl22"/>
    <w:basedOn w:val="Normal"/>
    <w:rsid w:val="0066017F"/>
    <w:pPr>
      <w:spacing w:before="100" w:beforeAutospacing="1" w:after="100" w:afterAutospacing="1"/>
    </w:pPr>
    <w:rPr>
      <w:rFonts w:ascii="Arial" w:hAnsi="Arial" w:cs="Arial"/>
      <w:sz w:val="16"/>
      <w:szCs w:val="16"/>
    </w:rPr>
  </w:style>
  <w:style w:type="paragraph" w:customStyle="1" w:styleId="xl23">
    <w:name w:val="xl23"/>
    <w:basedOn w:val="Normal"/>
    <w:rsid w:val="0066017F"/>
    <w:pPr>
      <w:spacing w:before="100" w:beforeAutospacing="1" w:after="100" w:afterAutospacing="1"/>
      <w:jc w:val="right"/>
    </w:pPr>
    <w:rPr>
      <w:rFonts w:ascii="Arial" w:hAnsi="Arial" w:cs="Arial"/>
    </w:rPr>
  </w:style>
  <w:style w:type="paragraph" w:customStyle="1" w:styleId="Table">
    <w:name w:val="Table #"/>
    <w:rsid w:val="0066017F"/>
    <w:pPr>
      <w:jc w:val="center"/>
    </w:pPr>
    <w:rPr>
      <w:rFonts w:ascii="Arial" w:hAnsi="Arial" w:cs="Arial"/>
      <w:b/>
      <w:bCs/>
      <w:sz w:val="24"/>
      <w:szCs w:val="16"/>
    </w:rPr>
  </w:style>
  <w:style w:type="paragraph" w:styleId="PlainText">
    <w:name w:val="Plain Text"/>
    <w:basedOn w:val="Normal"/>
    <w:link w:val="PlainTextChar"/>
    <w:rsid w:val="0066017F"/>
    <w:rPr>
      <w:rFonts w:ascii="Courier New" w:hAnsi="Courier New" w:cs="Courier New"/>
      <w:sz w:val="20"/>
      <w:szCs w:val="20"/>
    </w:rPr>
  </w:style>
  <w:style w:type="paragraph" w:customStyle="1" w:styleId="xl34">
    <w:name w:val="xl34"/>
    <w:basedOn w:val="Normal"/>
    <w:rsid w:val="0066017F"/>
    <w:pPr>
      <w:pBdr>
        <w:bottom w:val="single" w:sz="4" w:space="0" w:color="000000"/>
        <w:right w:val="single" w:sz="4" w:space="0" w:color="000000"/>
      </w:pBdr>
      <w:spacing w:before="100" w:beforeAutospacing="1" w:after="100" w:afterAutospacing="1"/>
      <w:jc w:val="center"/>
    </w:pPr>
    <w:rPr>
      <w:rFonts w:ascii="Arial Unicode MS" w:hAnsi="Arial Unicode MS" w:cs="Arial"/>
      <w:b/>
      <w:bCs/>
      <w:sz w:val="16"/>
      <w:szCs w:val="16"/>
    </w:rPr>
  </w:style>
  <w:style w:type="paragraph" w:styleId="Title">
    <w:name w:val="Title"/>
    <w:basedOn w:val="Normal"/>
    <w:link w:val="TitleChar"/>
    <w:uiPriority w:val="10"/>
    <w:qFormat/>
    <w:rsid w:val="0066017F"/>
    <w:pPr>
      <w:widowControl w:val="0"/>
      <w:tabs>
        <w:tab w:val="left" w:pos="990"/>
      </w:tabs>
      <w:jc w:val="center"/>
    </w:pPr>
    <w:rPr>
      <w:rFonts w:ascii="Arial" w:hAnsi="Arial"/>
      <w:b/>
      <w:snapToGrid w:val="0"/>
    </w:rPr>
  </w:style>
  <w:style w:type="paragraph" w:customStyle="1" w:styleId="font5">
    <w:name w:val="font5"/>
    <w:basedOn w:val="Normal"/>
    <w:rsid w:val="0066017F"/>
    <w:pPr>
      <w:spacing w:before="100" w:beforeAutospacing="1" w:after="100" w:afterAutospacing="1"/>
    </w:pPr>
    <w:rPr>
      <w:rFonts w:ascii="Arial" w:hAnsi="Arial" w:cs="Arial"/>
      <w:i/>
      <w:iCs/>
      <w:sz w:val="16"/>
      <w:szCs w:val="16"/>
    </w:rPr>
  </w:style>
  <w:style w:type="paragraph" w:customStyle="1" w:styleId="font6">
    <w:name w:val="font6"/>
    <w:basedOn w:val="Normal"/>
    <w:rsid w:val="0066017F"/>
    <w:pPr>
      <w:spacing w:before="100" w:beforeAutospacing="1" w:after="100" w:afterAutospacing="1"/>
    </w:pPr>
    <w:rPr>
      <w:rFonts w:ascii="Arial" w:hAnsi="Arial" w:cs="Arial"/>
      <w:sz w:val="16"/>
      <w:szCs w:val="16"/>
    </w:rPr>
  </w:style>
  <w:style w:type="paragraph" w:customStyle="1" w:styleId="xl27">
    <w:name w:val="xl27"/>
    <w:basedOn w:val="Normal"/>
    <w:rsid w:val="0066017F"/>
    <w:pPr>
      <w:spacing w:before="100" w:beforeAutospacing="1" w:after="100" w:afterAutospacing="1"/>
      <w:jc w:val="center"/>
    </w:pPr>
    <w:rPr>
      <w:rFonts w:ascii="Arial" w:hAnsi="Arial" w:cs="Arial"/>
      <w:b/>
      <w:bCs/>
    </w:rPr>
  </w:style>
  <w:style w:type="paragraph" w:customStyle="1" w:styleId="xl28">
    <w:name w:val="xl28"/>
    <w:basedOn w:val="Normal"/>
    <w:rsid w:val="0066017F"/>
    <w:pPr>
      <w:spacing w:before="100" w:beforeAutospacing="1" w:after="100" w:afterAutospacing="1"/>
    </w:pPr>
    <w:rPr>
      <w:rFonts w:ascii="Arial" w:hAnsi="Arial" w:cs="Arial"/>
    </w:rPr>
  </w:style>
  <w:style w:type="paragraph" w:customStyle="1" w:styleId="xl29">
    <w:name w:val="xl29"/>
    <w:basedOn w:val="Normal"/>
    <w:rsid w:val="0066017F"/>
    <w:pPr>
      <w:spacing w:before="100" w:beforeAutospacing="1" w:after="100" w:afterAutospacing="1"/>
      <w:jc w:val="right"/>
    </w:pPr>
    <w:rPr>
      <w:rFonts w:ascii="Arial" w:hAnsi="Arial" w:cs="Arial"/>
    </w:rPr>
  </w:style>
  <w:style w:type="paragraph" w:customStyle="1" w:styleId="xl31">
    <w:name w:val="xl31"/>
    <w:basedOn w:val="Normal"/>
    <w:rsid w:val="0066017F"/>
    <w:pPr>
      <w:pBdr>
        <w:bottom w:val="single" w:sz="4" w:space="0" w:color="auto"/>
      </w:pBdr>
      <w:spacing w:before="100" w:beforeAutospacing="1" w:after="100" w:afterAutospacing="1"/>
    </w:pPr>
    <w:rPr>
      <w:rFonts w:ascii="Arial" w:hAnsi="Arial" w:cs="Arial"/>
    </w:rPr>
  </w:style>
  <w:style w:type="paragraph" w:customStyle="1" w:styleId="xl32">
    <w:name w:val="xl32"/>
    <w:basedOn w:val="Normal"/>
    <w:rsid w:val="0066017F"/>
    <w:pPr>
      <w:pBdr>
        <w:bottom w:val="single" w:sz="4" w:space="0" w:color="auto"/>
      </w:pBdr>
      <w:spacing w:before="100" w:beforeAutospacing="1" w:after="100" w:afterAutospacing="1"/>
      <w:jc w:val="right"/>
    </w:pPr>
    <w:rPr>
      <w:rFonts w:ascii="Arial" w:hAnsi="Arial" w:cs="Arial"/>
    </w:rPr>
  </w:style>
  <w:style w:type="paragraph" w:customStyle="1" w:styleId="xl33">
    <w:name w:val="xl33"/>
    <w:basedOn w:val="Normal"/>
    <w:rsid w:val="0066017F"/>
    <w:pPr>
      <w:pBdr>
        <w:bottom w:val="single" w:sz="4" w:space="0" w:color="auto"/>
      </w:pBdr>
      <w:spacing w:before="100" w:beforeAutospacing="1" w:after="100" w:afterAutospacing="1"/>
    </w:pPr>
    <w:rPr>
      <w:rFonts w:ascii="Arial Unicode MS" w:hAnsi="Arial Unicode MS"/>
    </w:rPr>
  </w:style>
  <w:style w:type="paragraph" w:customStyle="1" w:styleId="xl35">
    <w:name w:val="xl35"/>
    <w:basedOn w:val="Normal"/>
    <w:rsid w:val="0066017F"/>
    <w:pPr>
      <w:pBdr>
        <w:bottom w:val="single" w:sz="4" w:space="0" w:color="000000"/>
      </w:pBdr>
      <w:spacing w:before="100" w:beforeAutospacing="1" w:after="100" w:afterAutospacing="1"/>
      <w:jc w:val="center"/>
    </w:pPr>
    <w:rPr>
      <w:rFonts w:ascii="Arial Unicode MS" w:hAnsi="Arial Unicode MS"/>
      <w:b/>
      <w:bCs/>
      <w:sz w:val="20"/>
      <w:szCs w:val="20"/>
    </w:rPr>
  </w:style>
  <w:style w:type="paragraph" w:customStyle="1" w:styleId="xl30">
    <w:name w:val="xl30"/>
    <w:basedOn w:val="Normal"/>
    <w:rsid w:val="0066017F"/>
    <w:pPr>
      <w:spacing w:before="100" w:beforeAutospacing="1" w:after="100" w:afterAutospacing="1"/>
      <w:jc w:val="right"/>
    </w:pPr>
    <w:rPr>
      <w:rFonts w:ascii="Arial" w:hAnsi="Arial" w:cs="Arial"/>
    </w:rPr>
  </w:style>
  <w:style w:type="paragraph" w:customStyle="1" w:styleId="xl20">
    <w:name w:val="xl20"/>
    <w:basedOn w:val="Normal"/>
    <w:rsid w:val="0066017F"/>
    <w:pPr>
      <w:spacing w:before="100" w:beforeAutospacing="1" w:after="100" w:afterAutospacing="1"/>
      <w:jc w:val="right"/>
    </w:pPr>
    <w:rPr>
      <w:rFonts w:ascii="Arial Unicode MS" w:hAnsi="Arial Unicode MS"/>
    </w:rPr>
  </w:style>
  <w:style w:type="paragraph" w:customStyle="1" w:styleId="xl19">
    <w:name w:val="xl19"/>
    <w:basedOn w:val="Normal"/>
    <w:rsid w:val="0066017F"/>
    <w:pPr>
      <w:spacing w:before="100" w:beforeAutospacing="1" w:after="100" w:afterAutospacing="1"/>
      <w:jc w:val="right"/>
    </w:pPr>
    <w:rPr>
      <w:rFonts w:ascii="Arial Unicode MS" w:hAnsi="Arial Unicode MS"/>
    </w:rPr>
  </w:style>
  <w:style w:type="paragraph" w:customStyle="1" w:styleId="xl17">
    <w:name w:val="xl17"/>
    <w:basedOn w:val="Normal"/>
    <w:rsid w:val="0066017F"/>
    <w:pPr>
      <w:spacing w:before="100" w:beforeAutospacing="1" w:after="100" w:afterAutospacing="1"/>
      <w:jc w:val="right"/>
    </w:pPr>
    <w:rPr>
      <w:rFonts w:ascii="Arial Unicode MS" w:hAnsi="Arial Unicode MS"/>
    </w:rPr>
  </w:style>
  <w:style w:type="paragraph" w:customStyle="1" w:styleId="xl18">
    <w:name w:val="xl18"/>
    <w:basedOn w:val="Normal"/>
    <w:rsid w:val="0066017F"/>
    <w:pPr>
      <w:spacing w:before="100" w:beforeAutospacing="1" w:after="100" w:afterAutospacing="1"/>
      <w:jc w:val="right"/>
    </w:pPr>
    <w:rPr>
      <w:rFonts w:ascii="Arial Unicode MS" w:hAnsi="Arial Unicode MS"/>
    </w:rPr>
  </w:style>
  <w:style w:type="paragraph" w:customStyle="1" w:styleId="xl36">
    <w:name w:val="xl36"/>
    <w:basedOn w:val="Normal"/>
    <w:rsid w:val="0066017F"/>
    <w:pPr>
      <w:spacing w:before="100" w:beforeAutospacing="1" w:after="100" w:afterAutospacing="1"/>
    </w:pPr>
    <w:rPr>
      <w:rFonts w:ascii="Arial" w:hAnsi="Arial" w:cs="Arial"/>
      <w:sz w:val="16"/>
      <w:szCs w:val="16"/>
    </w:rPr>
  </w:style>
  <w:style w:type="paragraph" w:customStyle="1" w:styleId="Tableoffigcentered">
    <w:name w:val="Table of fig centered"/>
    <w:basedOn w:val="TableofFigures"/>
    <w:rsid w:val="0066017F"/>
    <w:pPr>
      <w:ind w:left="0" w:firstLine="0"/>
      <w:jc w:val="center"/>
    </w:pPr>
    <w:rPr>
      <w:rFonts w:ascii="Arial" w:hAnsi="Arial" w:cs="Arial"/>
      <w:bCs/>
      <w:sz w:val="12"/>
      <w:szCs w:val="12"/>
    </w:rPr>
  </w:style>
  <w:style w:type="paragraph" w:customStyle="1" w:styleId="tableoffigleft">
    <w:name w:val="table of fig left"/>
    <w:basedOn w:val="Normal"/>
    <w:rsid w:val="0066017F"/>
    <w:rPr>
      <w:rFonts w:ascii="CG Times" w:hAnsi="CG Times" w:cs="Arial"/>
      <w:bCs/>
      <w:sz w:val="12"/>
      <w:szCs w:val="12"/>
    </w:rPr>
  </w:style>
  <w:style w:type="paragraph" w:customStyle="1" w:styleId="Tabletitle2">
    <w:name w:val="Table title 2"/>
    <w:basedOn w:val="TableTitle"/>
    <w:rsid w:val="0066017F"/>
    <w:pPr>
      <w:jc w:val="right"/>
    </w:pPr>
    <w:rPr>
      <w:bCs w:val="0"/>
      <w:sz w:val="16"/>
    </w:rPr>
  </w:style>
  <w:style w:type="paragraph" w:styleId="CommentText">
    <w:name w:val="annotation text"/>
    <w:basedOn w:val="Normal"/>
    <w:link w:val="CommentTextChar"/>
    <w:semiHidden/>
    <w:rsid w:val="0066017F"/>
    <w:rPr>
      <w:sz w:val="20"/>
      <w:szCs w:val="20"/>
    </w:rPr>
  </w:style>
  <w:style w:type="character" w:customStyle="1" w:styleId="CommentTextChar">
    <w:name w:val="Comment Text Char"/>
    <w:link w:val="CommentText"/>
    <w:rsid w:val="005F01DB"/>
    <w:rPr>
      <w:lang w:val="en-US" w:eastAsia="en-US" w:bidi="ar-SA"/>
    </w:rPr>
  </w:style>
  <w:style w:type="paragraph" w:styleId="Caption">
    <w:name w:val="caption"/>
    <w:basedOn w:val="Normal"/>
    <w:next w:val="Normal"/>
    <w:uiPriority w:val="35"/>
    <w:qFormat/>
    <w:rsid w:val="00A94151"/>
    <w:pPr>
      <w:spacing w:before="120" w:after="120"/>
    </w:pPr>
    <w:rPr>
      <w:b/>
      <w:bCs/>
      <w:sz w:val="20"/>
      <w:szCs w:val="20"/>
    </w:rPr>
  </w:style>
  <w:style w:type="paragraph" w:styleId="CommentSubject">
    <w:name w:val="annotation subject"/>
    <w:basedOn w:val="CommentText"/>
    <w:next w:val="CommentText"/>
    <w:link w:val="CommentSubjectChar"/>
    <w:semiHidden/>
    <w:rsid w:val="00A94151"/>
    <w:rPr>
      <w:rFonts w:ascii="CG Times" w:hAnsi="CG Times"/>
      <w:b/>
      <w:bCs/>
    </w:rPr>
  </w:style>
  <w:style w:type="character" w:customStyle="1" w:styleId="CommentSubjectChar">
    <w:name w:val="Comment Subject Char"/>
    <w:link w:val="CommentSubject"/>
    <w:rsid w:val="005F01DB"/>
    <w:rPr>
      <w:rFonts w:ascii="CG Times" w:hAnsi="CG Times"/>
      <w:b/>
      <w:bCs/>
      <w:lang w:val="en-US" w:eastAsia="en-US" w:bidi="ar-SA"/>
    </w:rPr>
  </w:style>
  <w:style w:type="paragraph" w:styleId="BalloonText">
    <w:name w:val="Balloon Text"/>
    <w:basedOn w:val="Normal"/>
    <w:link w:val="BalloonTextChar"/>
    <w:uiPriority w:val="99"/>
    <w:semiHidden/>
    <w:rsid w:val="00A94151"/>
    <w:rPr>
      <w:rFonts w:ascii="Tahoma" w:hAnsi="Tahoma" w:cs="Tahoma"/>
      <w:sz w:val="16"/>
      <w:szCs w:val="16"/>
    </w:rPr>
  </w:style>
  <w:style w:type="character" w:customStyle="1" w:styleId="BalloonTextChar">
    <w:name w:val="Balloon Text Char"/>
    <w:link w:val="BalloonText"/>
    <w:uiPriority w:val="99"/>
    <w:semiHidden/>
    <w:rsid w:val="005F01DB"/>
    <w:rPr>
      <w:rFonts w:ascii="Tahoma" w:hAnsi="Tahoma" w:cs="Tahoma"/>
      <w:sz w:val="16"/>
      <w:szCs w:val="16"/>
      <w:lang w:val="en-US" w:eastAsia="en-US" w:bidi="ar-SA"/>
    </w:rPr>
  </w:style>
  <w:style w:type="paragraph" w:customStyle="1" w:styleId="Style0">
    <w:name w:val="Style0"/>
    <w:rsid w:val="00A94151"/>
    <w:rPr>
      <w:rFonts w:ascii="Arial" w:hAnsi="Arial"/>
      <w:snapToGrid w:val="0"/>
      <w:sz w:val="24"/>
    </w:rPr>
  </w:style>
  <w:style w:type="paragraph" w:customStyle="1" w:styleId="a">
    <w:name w:val="_"/>
    <w:basedOn w:val="Normal"/>
    <w:rsid w:val="00A94151"/>
    <w:pPr>
      <w:widowControl w:val="0"/>
      <w:autoSpaceDE w:val="0"/>
      <w:autoSpaceDN w:val="0"/>
      <w:adjustRightInd w:val="0"/>
      <w:ind w:left="962" w:hanging="481"/>
    </w:pPr>
    <w:rPr>
      <w:sz w:val="20"/>
      <w:szCs w:val="20"/>
    </w:rPr>
  </w:style>
  <w:style w:type="paragraph" w:customStyle="1" w:styleId="BodyText1">
    <w:name w:val="Body Text1"/>
    <w:basedOn w:val="Normal"/>
    <w:rsid w:val="00A94151"/>
    <w:pPr>
      <w:jc w:val="both"/>
    </w:pPr>
    <w:rPr>
      <w:rFonts w:ascii="Optimum" w:hAnsi="Optimum"/>
      <w:sz w:val="22"/>
      <w:szCs w:val="20"/>
    </w:rPr>
  </w:style>
  <w:style w:type="paragraph" w:customStyle="1" w:styleId="subheading">
    <w:name w:val="subheading"/>
    <w:basedOn w:val="Normal"/>
    <w:link w:val="subheadingChar"/>
    <w:rsid w:val="005F01DB"/>
    <w:rPr>
      <w:rFonts w:ascii="Arial" w:hAnsi="Arial" w:cs="Arial"/>
      <w:b/>
      <w:sz w:val="22"/>
      <w:szCs w:val="22"/>
    </w:rPr>
  </w:style>
  <w:style w:type="character" w:customStyle="1" w:styleId="subheadingChar">
    <w:name w:val="subheading Char"/>
    <w:link w:val="subheading"/>
    <w:rsid w:val="005F01DB"/>
    <w:rPr>
      <w:rFonts w:ascii="Arial" w:hAnsi="Arial" w:cs="Arial"/>
      <w:b/>
      <w:sz w:val="22"/>
      <w:szCs w:val="22"/>
      <w:lang w:val="en-US" w:eastAsia="en-US" w:bidi="ar-SA"/>
    </w:rPr>
  </w:style>
  <w:style w:type="paragraph" w:customStyle="1" w:styleId="Heading">
    <w:name w:val="Heading"/>
    <w:basedOn w:val="Normal"/>
    <w:rsid w:val="005F01DB"/>
    <w:rPr>
      <w:rFonts w:ascii="Arial" w:hAnsi="Arial" w:cs="Arial"/>
      <w:b/>
      <w:szCs w:val="22"/>
    </w:rPr>
  </w:style>
  <w:style w:type="paragraph" w:customStyle="1" w:styleId="bodybody">
    <w:name w:val="bodybody"/>
    <w:basedOn w:val="Normal"/>
    <w:rsid w:val="005F01DB"/>
    <w:pPr>
      <w:autoSpaceDE w:val="0"/>
      <w:autoSpaceDN w:val="0"/>
      <w:adjustRightInd w:val="0"/>
      <w:jc w:val="both"/>
    </w:pPr>
    <w:rPr>
      <w:rFonts w:ascii="Arial" w:hAnsi="Arial" w:cs="Arial"/>
      <w:sz w:val="20"/>
      <w:szCs w:val="20"/>
    </w:rPr>
  </w:style>
  <w:style w:type="character" w:styleId="CommentReference">
    <w:name w:val="annotation reference"/>
    <w:rsid w:val="005F01DB"/>
    <w:rPr>
      <w:sz w:val="16"/>
      <w:szCs w:val="16"/>
    </w:rPr>
  </w:style>
  <w:style w:type="paragraph" w:customStyle="1" w:styleId="exhibit">
    <w:name w:val="exhibit"/>
    <w:basedOn w:val="Normal"/>
    <w:rsid w:val="005F01DB"/>
    <w:pPr>
      <w:ind w:firstLine="720"/>
    </w:pPr>
    <w:rPr>
      <w:rFonts w:ascii="Arial" w:hAnsi="Arial"/>
      <w:b/>
      <w:sz w:val="20"/>
      <w:szCs w:val="20"/>
    </w:rPr>
  </w:style>
  <w:style w:type="paragraph" w:customStyle="1" w:styleId="source">
    <w:name w:val="source"/>
    <w:basedOn w:val="Normal"/>
    <w:rsid w:val="005F01DB"/>
    <w:pPr>
      <w:ind w:firstLine="720"/>
    </w:pPr>
    <w:rPr>
      <w:rFonts w:ascii="Arial" w:hAnsi="Arial" w:cs="Arial"/>
      <w:sz w:val="16"/>
      <w:szCs w:val="16"/>
    </w:rPr>
  </w:style>
  <w:style w:type="paragraph" w:customStyle="1" w:styleId="StyleexhibitFirstline0">
    <w:name w:val="Style exhibit + First line:  0&quot;"/>
    <w:basedOn w:val="exhibit"/>
    <w:rsid w:val="005F01DB"/>
    <w:pPr>
      <w:ind w:firstLine="0"/>
    </w:pPr>
    <w:rPr>
      <w:b w:val="0"/>
      <w:bCs/>
    </w:rPr>
  </w:style>
  <w:style w:type="paragraph" w:customStyle="1" w:styleId="BODYBODY0">
    <w:name w:val="BODYBODY"/>
    <w:basedOn w:val="Normal"/>
    <w:rsid w:val="005F01DB"/>
    <w:rPr>
      <w:rFonts w:ascii="Arial" w:hAnsi="Arial" w:cs="Arial"/>
      <w:sz w:val="20"/>
      <w:szCs w:val="20"/>
    </w:rPr>
  </w:style>
  <w:style w:type="paragraph" w:customStyle="1" w:styleId="BODYBDOY">
    <w:name w:val="BODYBDOY"/>
    <w:basedOn w:val="Normal"/>
    <w:rsid w:val="005F01DB"/>
    <w:pPr>
      <w:jc w:val="both"/>
    </w:pPr>
    <w:rPr>
      <w:rFonts w:ascii="Arial" w:hAnsi="Arial" w:cs="Arial"/>
      <w:sz w:val="20"/>
      <w:szCs w:val="20"/>
    </w:rPr>
  </w:style>
  <w:style w:type="paragraph" w:customStyle="1" w:styleId="Level1">
    <w:name w:val="Level 1"/>
    <w:basedOn w:val="Normal"/>
    <w:rsid w:val="005F01DB"/>
    <w:pPr>
      <w:widowControl w:val="0"/>
      <w:autoSpaceDE w:val="0"/>
      <w:autoSpaceDN w:val="0"/>
      <w:adjustRightInd w:val="0"/>
      <w:ind w:left="720" w:hanging="720"/>
    </w:pPr>
    <w:rPr>
      <w:sz w:val="20"/>
    </w:rPr>
  </w:style>
  <w:style w:type="character" w:customStyle="1" w:styleId="Hypertext">
    <w:name w:val="Hypertext"/>
    <w:rsid w:val="005F01DB"/>
    <w:rPr>
      <w:color w:val="0000FF"/>
      <w:u w:val="single"/>
    </w:rPr>
  </w:style>
  <w:style w:type="paragraph" w:customStyle="1" w:styleId="Quicka">
    <w:name w:val="Quick a."/>
    <w:rsid w:val="005F01DB"/>
    <w:pPr>
      <w:autoSpaceDE w:val="0"/>
      <w:autoSpaceDN w:val="0"/>
      <w:adjustRightInd w:val="0"/>
      <w:ind w:left="-1440"/>
    </w:pPr>
    <w:rPr>
      <w:szCs w:val="24"/>
    </w:rPr>
  </w:style>
  <w:style w:type="paragraph" w:styleId="ListParagraph">
    <w:name w:val="List Paragraph"/>
    <w:basedOn w:val="Normal"/>
    <w:uiPriority w:val="34"/>
    <w:qFormat/>
    <w:rsid w:val="005F01DB"/>
    <w:pPr>
      <w:widowControl w:val="0"/>
      <w:autoSpaceDE w:val="0"/>
      <w:autoSpaceDN w:val="0"/>
      <w:adjustRightInd w:val="0"/>
      <w:ind w:left="720"/>
    </w:pPr>
    <w:rPr>
      <w:sz w:val="20"/>
    </w:rPr>
  </w:style>
  <w:style w:type="paragraph" w:styleId="DocumentMap">
    <w:name w:val="Document Map"/>
    <w:basedOn w:val="Normal"/>
    <w:rsid w:val="005F01DB"/>
    <w:rPr>
      <w:rFonts w:ascii="Tahoma" w:hAnsi="Tahoma" w:cs="Tahoma"/>
      <w:sz w:val="16"/>
      <w:szCs w:val="16"/>
    </w:rPr>
  </w:style>
  <w:style w:type="character" w:customStyle="1" w:styleId="content">
    <w:name w:val="content"/>
    <w:basedOn w:val="DefaultParagraphFont"/>
    <w:rsid w:val="005F01DB"/>
  </w:style>
  <w:style w:type="paragraph" w:customStyle="1" w:styleId="NormalArial">
    <w:name w:val="Normal + Arial"/>
    <w:aliases w:val="10 pt"/>
    <w:basedOn w:val="Normal"/>
    <w:rsid w:val="005F01DB"/>
    <w:pPr>
      <w:tabs>
        <w:tab w:val="num" w:pos="720"/>
      </w:tabs>
      <w:ind w:left="720" w:hanging="360"/>
      <w:jc w:val="both"/>
    </w:pPr>
    <w:rPr>
      <w:rFonts w:ascii="Arial" w:hAnsi="Arial"/>
      <w:sz w:val="20"/>
      <w:szCs w:val="20"/>
    </w:rPr>
  </w:style>
  <w:style w:type="paragraph" w:styleId="ListBullet">
    <w:name w:val="List Bullet"/>
    <w:basedOn w:val="Normal"/>
    <w:autoRedefine/>
    <w:rsid w:val="006A075F"/>
    <w:pPr>
      <w:numPr>
        <w:numId w:val="5"/>
      </w:numPr>
      <w:jc w:val="both"/>
    </w:pPr>
    <w:rPr>
      <w:rFonts w:ascii="CG Omega" w:hAnsi="CG Omega"/>
      <w:snapToGrid w:val="0"/>
      <w:color w:val="000000"/>
      <w:szCs w:val="20"/>
    </w:rPr>
  </w:style>
  <w:style w:type="paragraph" w:customStyle="1" w:styleId="DefinitionTerm">
    <w:name w:val="Definition Term"/>
    <w:basedOn w:val="Normal"/>
    <w:next w:val="Normal"/>
    <w:rsid w:val="00DA3B54"/>
    <w:rPr>
      <w:snapToGrid w:val="0"/>
      <w:szCs w:val="20"/>
    </w:rPr>
  </w:style>
  <w:style w:type="paragraph" w:customStyle="1" w:styleId="Major111">
    <w:name w:val="Major(1.1.1)"/>
    <w:rsid w:val="000D02F1"/>
    <w:rPr>
      <w:rFonts w:ascii="Futura Md BT" w:hAnsi="Futura Md BT"/>
      <w:b/>
      <w:i/>
      <w:snapToGrid w:val="0"/>
      <w:sz w:val="24"/>
    </w:rPr>
  </w:style>
  <w:style w:type="paragraph" w:styleId="EndnoteText">
    <w:name w:val="endnote text"/>
    <w:basedOn w:val="Normal"/>
    <w:semiHidden/>
    <w:rsid w:val="00F91F15"/>
    <w:pPr>
      <w:widowControl w:val="0"/>
      <w:overflowPunct w:val="0"/>
      <w:autoSpaceDE w:val="0"/>
      <w:autoSpaceDN w:val="0"/>
      <w:adjustRightInd w:val="0"/>
      <w:textAlignment w:val="baseline"/>
    </w:pPr>
    <w:rPr>
      <w:rFonts w:ascii="Courier New" w:hAnsi="Courier New"/>
      <w:szCs w:val="20"/>
    </w:rPr>
  </w:style>
  <w:style w:type="paragraph" w:customStyle="1" w:styleId="TableText">
    <w:name w:val="Table Text"/>
    <w:basedOn w:val="Normal"/>
    <w:rsid w:val="004F350A"/>
    <w:pPr>
      <w:widowControl w:val="0"/>
    </w:pPr>
    <w:rPr>
      <w:rFonts w:ascii="Century Gothic" w:hAnsi="Century Gothic"/>
      <w:snapToGrid w:val="0"/>
      <w:sz w:val="18"/>
      <w:szCs w:val="20"/>
    </w:rPr>
  </w:style>
  <w:style w:type="character" w:styleId="Strong">
    <w:name w:val="Strong"/>
    <w:qFormat/>
    <w:rsid w:val="003B5A57"/>
    <w:rPr>
      <w:b/>
    </w:rPr>
  </w:style>
  <w:style w:type="paragraph" w:customStyle="1" w:styleId="IndentedQuote">
    <w:name w:val="Indented Quote"/>
    <w:basedOn w:val="Normal"/>
    <w:rsid w:val="00CB71BD"/>
    <w:pPr>
      <w:ind w:left="864" w:right="864"/>
    </w:pPr>
    <w:rPr>
      <w:szCs w:val="20"/>
    </w:rPr>
  </w:style>
  <w:style w:type="paragraph" w:styleId="BlockText">
    <w:name w:val="Block Text"/>
    <w:basedOn w:val="Normal"/>
    <w:rsid w:val="00671F83"/>
    <w:pPr>
      <w:ind w:left="720" w:right="720"/>
      <w:jc w:val="both"/>
    </w:pPr>
    <w:rPr>
      <w:szCs w:val="20"/>
    </w:rPr>
  </w:style>
  <w:style w:type="paragraph" w:customStyle="1" w:styleId="CM7">
    <w:name w:val="CM7"/>
    <w:basedOn w:val="Normal"/>
    <w:next w:val="Normal"/>
    <w:rsid w:val="005E20BB"/>
    <w:pPr>
      <w:widowControl w:val="0"/>
      <w:autoSpaceDE w:val="0"/>
      <w:autoSpaceDN w:val="0"/>
      <w:adjustRightInd w:val="0"/>
      <w:spacing w:line="380" w:lineRule="atLeast"/>
    </w:pPr>
    <w:rPr>
      <w:rFonts w:ascii="CastleT" w:hAnsi="CastleT"/>
    </w:rPr>
  </w:style>
  <w:style w:type="paragraph" w:styleId="HTMLPreformatted">
    <w:name w:val="HTML Preformatted"/>
    <w:basedOn w:val="Normal"/>
    <w:rsid w:val="005471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paragraph" w:customStyle="1" w:styleId="summary">
    <w:name w:val="summary"/>
    <w:basedOn w:val="Normal"/>
    <w:rsid w:val="004B37E3"/>
    <w:pPr>
      <w:spacing w:before="75" w:after="150"/>
    </w:pPr>
    <w:rPr>
      <w:color w:val="330000"/>
      <w:sz w:val="32"/>
      <w:szCs w:val="32"/>
    </w:rPr>
  </w:style>
  <w:style w:type="paragraph" w:customStyle="1" w:styleId="Default">
    <w:name w:val="Default"/>
    <w:rsid w:val="00333693"/>
    <w:pPr>
      <w:autoSpaceDE w:val="0"/>
      <w:autoSpaceDN w:val="0"/>
      <w:adjustRightInd w:val="0"/>
    </w:pPr>
    <w:rPr>
      <w:rFonts w:ascii="BernhardMod BT" w:hAnsi="BernhardMod BT" w:cs="BernhardMod BT"/>
      <w:color w:val="000000"/>
      <w:sz w:val="24"/>
      <w:szCs w:val="24"/>
    </w:rPr>
  </w:style>
  <w:style w:type="character" w:customStyle="1" w:styleId="CharCharChar">
    <w:name w:val="Char Char Char"/>
    <w:rsid w:val="0048116C"/>
    <w:rPr>
      <w:rFonts w:ascii="CG Times" w:hAnsi="CG Times"/>
      <w:sz w:val="24"/>
      <w:szCs w:val="24"/>
      <w:lang w:val="en-US" w:eastAsia="en-US" w:bidi="ar-SA"/>
    </w:rPr>
  </w:style>
  <w:style w:type="paragraph" w:customStyle="1" w:styleId="2AutoList18">
    <w:name w:val="2AutoList18"/>
    <w:rsid w:val="005838AC"/>
    <w:pPr>
      <w:tabs>
        <w:tab w:val="left" w:pos="720"/>
        <w:tab w:val="left" w:pos="1440"/>
      </w:tabs>
      <w:autoSpaceDE w:val="0"/>
      <w:autoSpaceDN w:val="0"/>
      <w:adjustRightInd w:val="0"/>
      <w:ind w:left="1440" w:hanging="720"/>
    </w:pPr>
    <w:rPr>
      <w:szCs w:val="24"/>
    </w:rPr>
  </w:style>
  <w:style w:type="paragraph" w:customStyle="1" w:styleId="xl21">
    <w:name w:val="xl21"/>
    <w:basedOn w:val="Normal"/>
    <w:rsid w:val="005838AC"/>
    <w:pPr>
      <w:spacing w:before="100" w:beforeAutospacing="1" w:after="100" w:afterAutospacing="1"/>
    </w:pPr>
    <w:rPr>
      <w:rFonts w:ascii="Arial" w:hAnsi="Arial" w:cs="Arial"/>
      <w:b/>
      <w:bCs/>
    </w:rPr>
  </w:style>
  <w:style w:type="paragraph" w:customStyle="1" w:styleId="xl37">
    <w:name w:val="xl37"/>
    <w:basedOn w:val="Normal"/>
    <w:rsid w:val="005838AC"/>
    <w:pPr>
      <w:spacing w:before="100" w:beforeAutospacing="1" w:after="100" w:afterAutospacing="1"/>
      <w:jc w:val="center"/>
      <w:textAlignment w:val="top"/>
    </w:pPr>
    <w:rPr>
      <w:rFonts w:ascii="Arial" w:hAnsi="Arial" w:cs="Arial"/>
      <w:b/>
      <w:bCs/>
      <w:sz w:val="16"/>
      <w:szCs w:val="16"/>
    </w:rPr>
  </w:style>
  <w:style w:type="paragraph" w:customStyle="1" w:styleId="xl38">
    <w:name w:val="xl38"/>
    <w:basedOn w:val="Normal"/>
    <w:rsid w:val="005838AC"/>
    <w:pPr>
      <w:pBdr>
        <w:bottom w:val="single" w:sz="4" w:space="0" w:color="auto"/>
      </w:pBdr>
      <w:spacing w:before="100" w:beforeAutospacing="1" w:after="100" w:afterAutospacing="1"/>
      <w:jc w:val="center"/>
      <w:textAlignment w:val="top"/>
    </w:pPr>
    <w:rPr>
      <w:rFonts w:ascii="Arial" w:hAnsi="Arial" w:cs="Arial"/>
      <w:b/>
      <w:bCs/>
      <w:sz w:val="16"/>
      <w:szCs w:val="16"/>
    </w:rPr>
  </w:style>
  <w:style w:type="paragraph" w:customStyle="1" w:styleId="xl39">
    <w:name w:val="xl39"/>
    <w:basedOn w:val="Normal"/>
    <w:rsid w:val="005838AC"/>
    <w:pPr>
      <w:pBdr>
        <w:bottom w:val="single" w:sz="4" w:space="0" w:color="auto"/>
      </w:pBdr>
      <w:spacing w:before="100" w:beforeAutospacing="1" w:after="100" w:afterAutospacing="1"/>
      <w:jc w:val="center"/>
      <w:textAlignment w:val="top"/>
    </w:pPr>
    <w:rPr>
      <w:rFonts w:ascii="Arial" w:hAnsi="Arial" w:cs="Arial"/>
      <w:b/>
      <w:bCs/>
      <w:sz w:val="16"/>
      <w:szCs w:val="16"/>
    </w:rPr>
  </w:style>
  <w:style w:type="paragraph" w:customStyle="1" w:styleId="xl40">
    <w:name w:val="xl40"/>
    <w:basedOn w:val="Normal"/>
    <w:rsid w:val="005838AC"/>
    <w:pPr>
      <w:spacing w:before="100" w:beforeAutospacing="1" w:after="100" w:afterAutospacing="1"/>
      <w:jc w:val="center"/>
    </w:pPr>
  </w:style>
  <w:style w:type="paragraph" w:customStyle="1" w:styleId="xl41">
    <w:name w:val="xl41"/>
    <w:basedOn w:val="Normal"/>
    <w:rsid w:val="005838AC"/>
    <w:pPr>
      <w:pBdr>
        <w:left w:val="single" w:sz="4" w:space="0" w:color="auto"/>
        <w:bottom w:val="single" w:sz="8" w:space="0" w:color="auto"/>
        <w:right w:val="single" w:sz="4" w:space="0" w:color="auto"/>
      </w:pBdr>
      <w:spacing w:before="100" w:beforeAutospacing="1" w:after="100" w:afterAutospacing="1"/>
      <w:jc w:val="center"/>
    </w:pPr>
    <w:rPr>
      <w:rFonts w:ascii="Arial" w:eastAsia="Arial Unicode MS" w:hAnsi="Arial" w:cs="Arial"/>
      <w:sz w:val="16"/>
      <w:szCs w:val="16"/>
    </w:rPr>
  </w:style>
  <w:style w:type="paragraph" w:customStyle="1" w:styleId="xl42">
    <w:name w:val="xl42"/>
    <w:basedOn w:val="Normal"/>
    <w:rsid w:val="005838AC"/>
    <w:pPr>
      <w:pBdr>
        <w:bottom w:val="single" w:sz="4" w:space="0" w:color="auto"/>
      </w:pBdr>
      <w:spacing w:before="100" w:beforeAutospacing="1" w:after="100" w:afterAutospacing="1"/>
    </w:pPr>
    <w:rPr>
      <w:rFonts w:ascii="Arial" w:eastAsia="Arial Unicode MS" w:hAnsi="Arial" w:cs="Arial"/>
      <w:b/>
      <w:bCs/>
      <w:sz w:val="32"/>
      <w:szCs w:val="32"/>
    </w:rPr>
  </w:style>
  <w:style w:type="paragraph" w:customStyle="1" w:styleId="xl43">
    <w:name w:val="xl43"/>
    <w:basedOn w:val="Normal"/>
    <w:rsid w:val="005838AC"/>
    <w:pPr>
      <w:pBdr>
        <w:top w:val="single" w:sz="8" w:space="0" w:color="auto"/>
        <w:left w:val="single" w:sz="4" w:space="0" w:color="auto"/>
      </w:pBdr>
      <w:shd w:val="clear" w:color="auto" w:fill="99CCFF"/>
      <w:spacing w:before="100" w:beforeAutospacing="1" w:after="100" w:afterAutospacing="1"/>
    </w:pPr>
    <w:rPr>
      <w:rFonts w:ascii="Arial" w:eastAsia="Arial Unicode MS" w:hAnsi="Arial" w:cs="Arial"/>
      <w:sz w:val="16"/>
      <w:szCs w:val="16"/>
    </w:rPr>
  </w:style>
  <w:style w:type="paragraph" w:customStyle="1" w:styleId="xl44">
    <w:name w:val="xl44"/>
    <w:basedOn w:val="Normal"/>
    <w:rsid w:val="005838AC"/>
    <w:pPr>
      <w:pBdr>
        <w:top w:val="single" w:sz="8" w:space="0" w:color="auto"/>
      </w:pBdr>
      <w:shd w:val="clear" w:color="auto" w:fill="99CCFF"/>
      <w:spacing w:before="100" w:beforeAutospacing="1" w:after="100" w:afterAutospacing="1"/>
    </w:pPr>
    <w:rPr>
      <w:rFonts w:ascii="Arial" w:eastAsia="Arial Unicode MS" w:hAnsi="Arial" w:cs="Arial"/>
      <w:sz w:val="16"/>
      <w:szCs w:val="16"/>
    </w:rPr>
  </w:style>
  <w:style w:type="paragraph" w:customStyle="1" w:styleId="xl45">
    <w:name w:val="xl45"/>
    <w:basedOn w:val="Normal"/>
    <w:rsid w:val="005838AC"/>
    <w:pPr>
      <w:pBdr>
        <w:left w:val="single" w:sz="4" w:space="0" w:color="auto"/>
      </w:pBdr>
      <w:shd w:val="clear" w:color="auto" w:fill="99CCFF"/>
      <w:spacing w:before="100" w:beforeAutospacing="1" w:after="100" w:afterAutospacing="1"/>
    </w:pPr>
    <w:rPr>
      <w:rFonts w:ascii="Arial" w:eastAsia="Arial Unicode MS" w:hAnsi="Arial" w:cs="Arial"/>
      <w:sz w:val="16"/>
      <w:szCs w:val="16"/>
    </w:rPr>
  </w:style>
  <w:style w:type="paragraph" w:customStyle="1" w:styleId="xl46">
    <w:name w:val="xl46"/>
    <w:basedOn w:val="Normal"/>
    <w:rsid w:val="005838AC"/>
    <w:pPr>
      <w:shd w:val="clear" w:color="auto" w:fill="99CCFF"/>
      <w:spacing w:before="100" w:beforeAutospacing="1" w:after="100" w:afterAutospacing="1"/>
    </w:pPr>
    <w:rPr>
      <w:rFonts w:ascii="Arial" w:eastAsia="Arial Unicode MS" w:hAnsi="Arial" w:cs="Arial"/>
      <w:sz w:val="16"/>
      <w:szCs w:val="16"/>
    </w:rPr>
  </w:style>
  <w:style w:type="paragraph" w:customStyle="1" w:styleId="xl47">
    <w:name w:val="xl47"/>
    <w:basedOn w:val="Normal"/>
    <w:rsid w:val="005838AC"/>
    <w:pPr>
      <w:pBdr>
        <w:left w:val="single" w:sz="4" w:space="0" w:color="auto"/>
        <w:bottom w:val="single" w:sz="4" w:space="0" w:color="auto"/>
      </w:pBdr>
      <w:shd w:val="clear" w:color="auto" w:fill="99CCFF"/>
      <w:spacing w:before="100" w:beforeAutospacing="1" w:after="100" w:afterAutospacing="1"/>
    </w:pPr>
    <w:rPr>
      <w:rFonts w:ascii="Arial" w:eastAsia="Arial Unicode MS" w:hAnsi="Arial" w:cs="Arial"/>
      <w:sz w:val="16"/>
      <w:szCs w:val="16"/>
    </w:rPr>
  </w:style>
  <w:style w:type="paragraph" w:customStyle="1" w:styleId="xl48">
    <w:name w:val="xl48"/>
    <w:basedOn w:val="Normal"/>
    <w:rsid w:val="005838AC"/>
    <w:pPr>
      <w:pBdr>
        <w:bottom w:val="single" w:sz="4" w:space="0" w:color="auto"/>
      </w:pBdr>
      <w:shd w:val="clear" w:color="auto" w:fill="99CCFF"/>
      <w:spacing w:before="100" w:beforeAutospacing="1" w:after="100" w:afterAutospacing="1"/>
    </w:pPr>
    <w:rPr>
      <w:rFonts w:ascii="Arial" w:eastAsia="Arial Unicode MS" w:hAnsi="Arial" w:cs="Arial"/>
      <w:sz w:val="16"/>
      <w:szCs w:val="16"/>
    </w:rPr>
  </w:style>
  <w:style w:type="paragraph" w:customStyle="1" w:styleId="xl49">
    <w:name w:val="xl49"/>
    <w:basedOn w:val="Normal"/>
    <w:rsid w:val="005838AC"/>
    <w:pPr>
      <w:pBdr>
        <w:left w:val="single" w:sz="4" w:space="0" w:color="auto"/>
        <w:bottom w:val="single" w:sz="8" w:space="0" w:color="auto"/>
      </w:pBdr>
      <w:shd w:val="clear" w:color="auto" w:fill="99CCFF"/>
      <w:spacing w:before="100" w:beforeAutospacing="1" w:after="100" w:afterAutospacing="1"/>
    </w:pPr>
    <w:rPr>
      <w:rFonts w:ascii="Arial" w:eastAsia="Arial Unicode MS" w:hAnsi="Arial" w:cs="Arial"/>
      <w:sz w:val="16"/>
      <w:szCs w:val="16"/>
    </w:rPr>
  </w:style>
  <w:style w:type="paragraph" w:customStyle="1" w:styleId="xl50">
    <w:name w:val="xl50"/>
    <w:basedOn w:val="Normal"/>
    <w:rsid w:val="005838AC"/>
    <w:pPr>
      <w:pBdr>
        <w:bottom w:val="single" w:sz="8" w:space="0" w:color="auto"/>
      </w:pBdr>
      <w:shd w:val="clear" w:color="auto" w:fill="99CCFF"/>
      <w:spacing w:before="100" w:beforeAutospacing="1" w:after="100" w:afterAutospacing="1"/>
    </w:pPr>
    <w:rPr>
      <w:rFonts w:ascii="Arial" w:eastAsia="Arial Unicode MS" w:hAnsi="Arial" w:cs="Arial"/>
      <w:sz w:val="16"/>
      <w:szCs w:val="16"/>
    </w:rPr>
  </w:style>
  <w:style w:type="paragraph" w:customStyle="1" w:styleId="xl51">
    <w:name w:val="xl51"/>
    <w:basedOn w:val="Normal"/>
    <w:rsid w:val="005838AC"/>
    <w:pPr>
      <w:pBdr>
        <w:right w:val="single" w:sz="4" w:space="0" w:color="auto"/>
      </w:pBdr>
      <w:shd w:val="clear" w:color="auto" w:fill="99CCFF"/>
      <w:spacing w:before="100" w:beforeAutospacing="1" w:after="100" w:afterAutospacing="1"/>
    </w:pPr>
    <w:rPr>
      <w:rFonts w:ascii="Arial" w:eastAsia="Arial Unicode MS" w:hAnsi="Arial" w:cs="Arial"/>
      <w:sz w:val="16"/>
      <w:szCs w:val="16"/>
    </w:rPr>
  </w:style>
  <w:style w:type="paragraph" w:customStyle="1" w:styleId="xl52">
    <w:name w:val="xl52"/>
    <w:basedOn w:val="Normal"/>
    <w:rsid w:val="005838AC"/>
    <w:pPr>
      <w:pBdr>
        <w:bottom w:val="single" w:sz="4" w:space="0" w:color="auto"/>
        <w:right w:val="single" w:sz="4" w:space="0" w:color="auto"/>
      </w:pBdr>
      <w:shd w:val="clear" w:color="auto" w:fill="99CCFF"/>
      <w:spacing w:before="100" w:beforeAutospacing="1" w:after="100" w:afterAutospacing="1"/>
    </w:pPr>
    <w:rPr>
      <w:rFonts w:ascii="Arial" w:eastAsia="Arial Unicode MS" w:hAnsi="Arial" w:cs="Arial"/>
      <w:sz w:val="16"/>
      <w:szCs w:val="16"/>
    </w:rPr>
  </w:style>
  <w:style w:type="paragraph" w:customStyle="1" w:styleId="xl53">
    <w:name w:val="xl53"/>
    <w:basedOn w:val="Normal"/>
    <w:rsid w:val="005838AC"/>
    <w:pPr>
      <w:pBdr>
        <w:bottom w:val="single" w:sz="8" w:space="0" w:color="auto"/>
        <w:right w:val="single" w:sz="4" w:space="0" w:color="auto"/>
      </w:pBdr>
      <w:shd w:val="clear" w:color="auto" w:fill="99CCFF"/>
      <w:spacing w:before="100" w:beforeAutospacing="1" w:after="100" w:afterAutospacing="1"/>
    </w:pPr>
    <w:rPr>
      <w:rFonts w:ascii="Arial" w:eastAsia="Arial Unicode MS" w:hAnsi="Arial" w:cs="Arial"/>
      <w:sz w:val="16"/>
      <w:szCs w:val="16"/>
    </w:rPr>
  </w:style>
  <w:style w:type="paragraph" w:customStyle="1" w:styleId="xl54">
    <w:name w:val="xl54"/>
    <w:basedOn w:val="Normal"/>
    <w:rsid w:val="005838AC"/>
    <w:pPr>
      <w:pBdr>
        <w:left w:val="single" w:sz="4" w:space="0" w:color="auto"/>
      </w:pBdr>
      <w:shd w:val="clear" w:color="auto" w:fill="99CCFF"/>
      <w:spacing w:before="100" w:beforeAutospacing="1" w:after="100" w:afterAutospacing="1"/>
      <w:jc w:val="center"/>
    </w:pPr>
    <w:rPr>
      <w:rFonts w:ascii="Arial" w:eastAsia="Arial Unicode MS" w:hAnsi="Arial" w:cs="Arial"/>
      <w:sz w:val="16"/>
      <w:szCs w:val="16"/>
    </w:rPr>
  </w:style>
  <w:style w:type="paragraph" w:customStyle="1" w:styleId="xl55">
    <w:name w:val="xl55"/>
    <w:basedOn w:val="Normal"/>
    <w:rsid w:val="005838AC"/>
    <w:pPr>
      <w:shd w:val="clear" w:color="auto" w:fill="99CCFF"/>
      <w:spacing w:before="100" w:beforeAutospacing="1" w:after="100" w:afterAutospacing="1"/>
      <w:jc w:val="center"/>
    </w:pPr>
    <w:rPr>
      <w:rFonts w:ascii="Arial" w:eastAsia="Arial Unicode MS" w:hAnsi="Arial" w:cs="Arial"/>
      <w:sz w:val="16"/>
      <w:szCs w:val="16"/>
    </w:rPr>
  </w:style>
  <w:style w:type="paragraph" w:customStyle="1" w:styleId="xl56">
    <w:name w:val="xl56"/>
    <w:basedOn w:val="Normal"/>
    <w:rsid w:val="005838AC"/>
    <w:pPr>
      <w:pBdr>
        <w:bottom w:val="single" w:sz="4" w:space="0" w:color="auto"/>
      </w:pBdr>
      <w:spacing w:before="100" w:beforeAutospacing="1" w:after="100" w:afterAutospacing="1"/>
    </w:pPr>
    <w:rPr>
      <w:rFonts w:ascii="Arial" w:eastAsia="Arial Unicode MS" w:hAnsi="Arial" w:cs="Arial"/>
      <w:i/>
      <w:iCs/>
      <w:sz w:val="16"/>
      <w:szCs w:val="16"/>
    </w:rPr>
  </w:style>
  <w:style w:type="paragraph" w:customStyle="1" w:styleId="xl57">
    <w:name w:val="xl57"/>
    <w:basedOn w:val="Normal"/>
    <w:rsid w:val="005838AC"/>
    <w:pPr>
      <w:spacing w:before="100" w:beforeAutospacing="1" w:after="100" w:afterAutospacing="1"/>
      <w:jc w:val="center"/>
      <w:textAlignment w:val="center"/>
    </w:pPr>
    <w:rPr>
      <w:rFonts w:ascii="Arial" w:eastAsia="Arial Unicode MS" w:hAnsi="Arial" w:cs="Arial"/>
      <w:sz w:val="16"/>
      <w:szCs w:val="16"/>
    </w:rPr>
  </w:style>
  <w:style w:type="paragraph" w:customStyle="1" w:styleId="xl58">
    <w:name w:val="xl58"/>
    <w:basedOn w:val="Normal"/>
    <w:rsid w:val="005838AC"/>
    <w:pPr>
      <w:spacing w:before="100" w:beforeAutospacing="1" w:after="100" w:afterAutospacing="1"/>
      <w:jc w:val="center"/>
      <w:textAlignment w:val="center"/>
    </w:pPr>
    <w:rPr>
      <w:rFonts w:ascii="Arial" w:eastAsia="Arial Unicode MS" w:hAnsi="Arial" w:cs="Arial"/>
      <w:sz w:val="16"/>
      <w:szCs w:val="16"/>
    </w:rPr>
  </w:style>
  <w:style w:type="paragraph" w:customStyle="1" w:styleId="xl59">
    <w:name w:val="xl59"/>
    <w:basedOn w:val="Normal"/>
    <w:rsid w:val="005838AC"/>
    <w:pPr>
      <w:pBdr>
        <w:right w:val="single" w:sz="4" w:space="0" w:color="auto"/>
      </w:pBdr>
      <w:spacing w:before="100" w:beforeAutospacing="1" w:after="100" w:afterAutospacing="1"/>
      <w:jc w:val="center"/>
    </w:pPr>
    <w:rPr>
      <w:rFonts w:ascii="Arial" w:eastAsia="Arial Unicode MS" w:hAnsi="Arial" w:cs="Arial"/>
      <w:sz w:val="16"/>
      <w:szCs w:val="16"/>
    </w:rPr>
  </w:style>
  <w:style w:type="paragraph" w:customStyle="1" w:styleId="xl60">
    <w:name w:val="xl60"/>
    <w:basedOn w:val="Normal"/>
    <w:rsid w:val="005838AC"/>
    <w:pPr>
      <w:pBdr>
        <w:left w:val="single" w:sz="4" w:space="0" w:color="auto"/>
        <w:bottom w:val="single" w:sz="4" w:space="0" w:color="auto"/>
      </w:pBdr>
      <w:spacing w:before="100" w:beforeAutospacing="1" w:after="100" w:afterAutospacing="1"/>
      <w:jc w:val="center"/>
    </w:pPr>
    <w:rPr>
      <w:rFonts w:ascii="Arial" w:eastAsia="Arial Unicode MS" w:hAnsi="Arial" w:cs="Arial"/>
      <w:sz w:val="16"/>
      <w:szCs w:val="16"/>
    </w:rPr>
  </w:style>
  <w:style w:type="paragraph" w:customStyle="1" w:styleId="xl61">
    <w:name w:val="xl61"/>
    <w:basedOn w:val="Normal"/>
    <w:rsid w:val="005838AC"/>
    <w:pPr>
      <w:pBdr>
        <w:bottom w:val="single" w:sz="4" w:space="0" w:color="auto"/>
      </w:pBdr>
      <w:spacing w:before="100" w:beforeAutospacing="1" w:after="100" w:afterAutospacing="1"/>
      <w:jc w:val="center"/>
    </w:pPr>
    <w:rPr>
      <w:rFonts w:ascii="Arial" w:eastAsia="Arial Unicode MS" w:hAnsi="Arial" w:cs="Arial"/>
      <w:sz w:val="16"/>
      <w:szCs w:val="16"/>
    </w:rPr>
  </w:style>
  <w:style w:type="paragraph" w:customStyle="1" w:styleId="xl62">
    <w:name w:val="xl62"/>
    <w:basedOn w:val="Normal"/>
    <w:rsid w:val="005838AC"/>
    <w:pPr>
      <w:pBdr>
        <w:bottom w:val="single" w:sz="4" w:space="0" w:color="auto"/>
        <w:right w:val="single" w:sz="4" w:space="0" w:color="auto"/>
      </w:pBdr>
      <w:spacing w:before="100" w:beforeAutospacing="1" w:after="100" w:afterAutospacing="1"/>
      <w:jc w:val="center"/>
    </w:pPr>
    <w:rPr>
      <w:rFonts w:ascii="Arial" w:eastAsia="Arial Unicode MS" w:hAnsi="Arial" w:cs="Arial"/>
      <w:sz w:val="16"/>
      <w:szCs w:val="16"/>
    </w:rPr>
  </w:style>
  <w:style w:type="paragraph" w:customStyle="1" w:styleId="xl63">
    <w:name w:val="xl63"/>
    <w:basedOn w:val="Normal"/>
    <w:rsid w:val="005838AC"/>
    <w:pPr>
      <w:pBdr>
        <w:right w:val="single" w:sz="4" w:space="0" w:color="auto"/>
      </w:pBdr>
      <w:spacing w:before="100" w:beforeAutospacing="1" w:after="100" w:afterAutospacing="1"/>
      <w:jc w:val="center"/>
      <w:textAlignment w:val="center"/>
    </w:pPr>
    <w:rPr>
      <w:rFonts w:ascii="Arial" w:eastAsia="Arial Unicode MS" w:hAnsi="Arial" w:cs="Arial"/>
      <w:sz w:val="16"/>
      <w:szCs w:val="16"/>
    </w:rPr>
  </w:style>
  <w:style w:type="paragraph" w:customStyle="1" w:styleId="xl64">
    <w:name w:val="xl64"/>
    <w:basedOn w:val="Normal"/>
    <w:rsid w:val="005838AC"/>
    <w:pPr>
      <w:pBdr>
        <w:bottom w:val="single" w:sz="8" w:space="0" w:color="auto"/>
      </w:pBdr>
      <w:spacing w:before="100" w:beforeAutospacing="1" w:after="100" w:afterAutospacing="1"/>
      <w:jc w:val="center"/>
      <w:textAlignment w:val="center"/>
    </w:pPr>
    <w:rPr>
      <w:rFonts w:ascii="Arial" w:eastAsia="Arial Unicode MS" w:hAnsi="Arial" w:cs="Arial"/>
      <w:sz w:val="16"/>
      <w:szCs w:val="16"/>
    </w:rPr>
  </w:style>
  <w:style w:type="paragraph" w:customStyle="1" w:styleId="xl65">
    <w:name w:val="xl65"/>
    <w:basedOn w:val="Normal"/>
    <w:rsid w:val="005838AC"/>
    <w:pPr>
      <w:pBdr>
        <w:bottom w:val="single" w:sz="8" w:space="0" w:color="auto"/>
        <w:right w:val="single" w:sz="4" w:space="0" w:color="auto"/>
      </w:pBdr>
      <w:spacing w:before="100" w:beforeAutospacing="1" w:after="100" w:afterAutospacing="1"/>
      <w:jc w:val="center"/>
      <w:textAlignment w:val="center"/>
    </w:pPr>
    <w:rPr>
      <w:rFonts w:ascii="Arial" w:eastAsia="Arial Unicode MS" w:hAnsi="Arial" w:cs="Arial"/>
      <w:sz w:val="16"/>
      <w:szCs w:val="16"/>
    </w:rPr>
  </w:style>
  <w:style w:type="paragraph" w:customStyle="1" w:styleId="xl66">
    <w:name w:val="xl66"/>
    <w:basedOn w:val="Normal"/>
    <w:rsid w:val="005838AC"/>
    <w:pPr>
      <w:pBdr>
        <w:top w:val="single" w:sz="4" w:space="0" w:color="auto"/>
      </w:pBdr>
      <w:spacing w:before="100" w:beforeAutospacing="1" w:after="100" w:afterAutospacing="1"/>
      <w:jc w:val="center"/>
      <w:textAlignment w:val="center"/>
    </w:pPr>
    <w:rPr>
      <w:rFonts w:ascii="Arial" w:eastAsia="Arial Unicode MS" w:hAnsi="Arial" w:cs="Arial"/>
      <w:sz w:val="16"/>
      <w:szCs w:val="16"/>
    </w:rPr>
  </w:style>
  <w:style w:type="paragraph" w:customStyle="1" w:styleId="xl67">
    <w:name w:val="xl67"/>
    <w:basedOn w:val="Normal"/>
    <w:rsid w:val="005838AC"/>
    <w:pPr>
      <w:pBdr>
        <w:bottom w:val="single" w:sz="8" w:space="0" w:color="auto"/>
      </w:pBdr>
      <w:spacing w:before="100" w:beforeAutospacing="1" w:after="100" w:afterAutospacing="1"/>
      <w:jc w:val="center"/>
      <w:textAlignment w:val="center"/>
    </w:pPr>
    <w:rPr>
      <w:rFonts w:ascii="Arial" w:eastAsia="Arial Unicode MS" w:hAnsi="Arial" w:cs="Arial"/>
      <w:sz w:val="16"/>
      <w:szCs w:val="16"/>
    </w:rPr>
  </w:style>
  <w:style w:type="paragraph" w:customStyle="1" w:styleId="xl68">
    <w:name w:val="xl68"/>
    <w:basedOn w:val="Normal"/>
    <w:rsid w:val="005838AC"/>
    <w:pPr>
      <w:pBdr>
        <w:bottom w:val="single" w:sz="4" w:space="0" w:color="auto"/>
      </w:pBdr>
      <w:spacing w:before="100" w:beforeAutospacing="1" w:after="100" w:afterAutospacing="1"/>
      <w:jc w:val="center"/>
      <w:textAlignment w:val="center"/>
    </w:pPr>
    <w:rPr>
      <w:rFonts w:ascii="Arial" w:eastAsia="Arial Unicode MS" w:hAnsi="Arial" w:cs="Arial"/>
      <w:sz w:val="16"/>
      <w:szCs w:val="16"/>
    </w:rPr>
  </w:style>
  <w:style w:type="paragraph" w:customStyle="1" w:styleId="xl69">
    <w:name w:val="xl69"/>
    <w:basedOn w:val="Normal"/>
    <w:rsid w:val="005838AC"/>
    <w:pPr>
      <w:pBdr>
        <w:top w:val="single" w:sz="8" w:space="0" w:color="auto"/>
      </w:pBdr>
      <w:spacing w:before="100" w:beforeAutospacing="1" w:after="100" w:afterAutospacing="1"/>
      <w:jc w:val="center"/>
      <w:textAlignment w:val="center"/>
    </w:pPr>
    <w:rPr>
      <w:rFonts w:ascii="Arial" w:eastAsia="Arial Unicode MS" w:hAnsi="Arial" w:cs="Arial"/>
      <w:sz w:val="16"/>
      <w:szCs w:val="16"/>
    </w:rPr>
  </w:style>
  <w:style w:type="paragraph" w:customStyle="1" w:styleId="xl70">
    <w:name w:val="xl70"/>
    <w:basedOn w:val="Normal"/>
    <w:rsid w:val="005838AC"/>
    <w:pPr>
      <w:pBdr>
        <w:top w:val="single" w:sz="4" w:space="0" w:color="auto"/>
        <w:left w:val="single" w:sz="4" w:space="0" w:color="auto"/>
        <w:bottom w:val="single" w:sz="8" w:space="0" w:color="auto"/>
      </w:pBdr>
      <w:shd w:val="clear" w:color="auto" w:fill="99CCFF"/>
      <w:spacing w:before="100" w:beforeAutospacing="1" w:after="100" w:afterAutospacing="1"/>
    </w:pPr>
    <w:rPr>
      <w:rFonts w:ascii="Arial" w:eastAsia="Arial Unicode MS" w:hAnsi="Arial" w:cs="Arial"/>
      <w:sz w:val="16"/>
      <w:szCs w:val="16"/>
    </w:rPr>
  </w:style>
  <w:style w:type="paragraph" w:customStyle="1" w:styleId="xl71">
    <w:name w:val="xl71"/>
    <w:basedOn w:val="Normal"/>
    <w:rsid w:val="005838AC"/>
    <w:pPr>
      <w:pBdr>
        <w:top w:val="single" w:sz="4" w:space="0" w:color="auto"/>
        <w:bottom w:val="single" w:sz="8" w:space="0" w:color="auto"/>
      </w:pBdr>
      <w:shd w:val="clear" w:color="auto" w:fill="99CCFF"/>
      <w:spacing w:before="100" w:beforeAutospacing="1" w:after="100" w:afterAutospacing="1"/>
    </w:pPr>
    <w:rPr>
      <w:rFonts w:ascii="Arial" w:eastAsia="Arial Unicode MS" w:hAnsi="Arial" w:cs="Arial"/>
      <w:sz w:val="16"/>
      <w:szCs w:val="16"/>
    </w:rPr>
  </w:style>
  <w:style w:type="paragraph" w:customStyle="1" w:styleId="xl72">
    <w:name w:val="xl72"/>
    <w:basedOn w:val="Normal"/>
    <w:rsid w:val="005838AC"/>
    <w:pPr>
      <w:pBdr>
        <w:top w:val="single" w:sz="4" w:space="0" w:color="auto"/>
        <w:left w:val="single" w:sz="4" w:space="0" w:color="auto"/>
        <w:bottom w:val="single" w:sz="8" w:space="0" w:color="auto"/>
      </w:pBdr>
      <w:spacing w:before="100" w:beforeAutospacing="1" w:after="100" w:afterAutospacing="1"/>
    </w:pPr>
    <w:rPr>
      <w:rFonts w:ascii="Arial" w:eastAsia="Arial Unicode MS" w:hAnsi="Arial" w:cs="Arial"/>
      <w:sz w:val="16"/>
      <w:szCs w:val="16"/>
    </w:rPr>
  </w:style>
  <w:style w:type="paragraph" w:customStyle="1" w:styleId="xl73">
    <w:name w:val="xl73"/>
    <w:basedOn w:val="Normal"/>
    <w:rsid w:val="005838AC"/>
    <w:pPr>
      <w:pBdr>
        <w:top w:val="single" w:sz="4" w:space="0" w:color="auto"/>
        <w:bottom w:val="single" w:sz="8" w:space="0" w:color="auto"/>
        <w:right w:val="single" w:sz="4" w:space="0" w:color="auto"/>
      </w:pBdr>
      <w:shd w:val="clear" w:color="auto" w:fill="99CCFF"/>
      <w:spacing w:before="100" w:beforeAutospacing="1" w:after="100" w:afterAutospacing="1"/>
    </w:pPr>
    <w:rPr>
      <w:rFonts w:ascii="Arial" w:eastAsia="Arial Unicode MS" w:hAnsi="Arial" w:cs="Arial"/>
      <w:sz w:val="16"/>
      <w:szCs w:val="16"/>
    </w:rPr>
  </w:style>
  <w:style w:type="paragraph" w:customStyle="1" w:styleId="xl74">
    <w:name w:val="xl74"/>
    <w:basedOn w:val="Normal"/>
    <w:rsid w:val="005838AC"/>
    <w:pPr>
      <w:pBdr>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sz w:val="16"/>
      <w:szCs w:val="16"/>
    </w:rPr>
  </w:style>
  <w:style w:type="paragraph" w:customStyle="1" w:styleId="xl75">
    <w:name w:val="xl75"/>
    <w:basedOn w:val="Normal"/>
    <w:rsid w:val="005838AC"/>
    <w:pPr>
      <w:spacing w:before="100" w:beforeAutospacing="1" w:after="100" w:afterAutospacing="1"/>
      <w:jc w:val="center"/>
      <w:textAlignment w:val="center"/>
    </w:pPr>
    <w:rPr>
      <w:rFonts w:ascii="Arial" w:eastAsia="Arial Unicode MS" w:hAnsi="Arial" w:cs="Arial"/>
      <w:sz w:val="16"/>
      <w:szCs w:val="16"/>
    </w:rPr>
  </w:style>
  <w:style w:type="paragraph" w:customStyle="1" w:styleId="xl76">
    <w:name w:val="xl76"/>
    <w:basedOn w:val="Normal"/>
    <w:rsid w:val="005838AC"/>
    <w:pPr>
      <w:pBdr>
        <w:right w:val="single" w:sz="4" w:space="0" w:color="auto"/>
      </w:pBdr>
      <w:spacing w:before="100" w:beforeAutospacing="1" w:after="100" w:afterAutospacing="1"/>
      <w:jc w:val="center"/>
      <w:textAlignment w:val="center"/>
    </w:pPr>
    <w:rPr>
      <w:rFonts w:ascii="Arial" w:eastAsia="Arial Unicode MS" w:hAnsi="Arial" w:cs="Arial"/>
      <w:sz w:val="16"/>
      <w:szCs w:val="16"/>
    </w:rPr>
  </w:style>
  <w:style w:type="paragraph" w:customStyle="1" w:styleId="xl77">
    <w:name w:val="xl77"/>
    <w:basedOn w:val="Normal"/>
    <w:rsid w:val="005838AC"/>
    <w:pPr>
      <w:pBdr>
        <w:bottom w:val="single" w:sz="8" w:space="0" w:color="auto"/>
      </w:pBdr>
      <w:spacing w:before="100" w:beforeAutospacing="1" w:after="100" w:afterAutospacing="1"/>
      <w:jc w:val="center"/>
      <w:textAlignment w:val="center"/>
    </w:pPr>
    <w:rPr>
      <w:rFonts w:ascii="Arial" w:eastAsia="Arial Unicode MS" w:hAnsi="Arial" w:cs="Arial"/>
      <w:sz w:val="16"/>
      <w:szCs w:val="16"/>
    </w:rPr>
  </w:style>
  <w:style w:type="paragraph" w:customStyle="1" w:styleId="xl78">
    <w:name w:val="xl78"/>
    <w:basedOn w:val="Normal"/>
    <w:rsid w:val="005838AC"/>
    <w:pPr>
      <w:pBdr>
        <w:bottom w:val="single" w:sz="8" w:space="0" w:color="auto"/>
        <w:right w:val="single" w:sz="4" w:space="0" w:color="auto"/>
      </w:pBdr>
      <w:spacing w:before="100" w:beforeAutospacing="1" w:after="100" w:afterAutospacing="1"/>
      <w:jc w:val="center"/>
      <w:textAlignment w:val="center"/>
    </w:pPr>
    <w:rPr>
      <w:rFonts w:ascii="Arial" w:eastAsia="Arial Unicode MS" w:hAnsi="Arial" w:cs="Arial"/>
      <w:sz w:val="16"/>
      <w:szCs w:val="16"/>
    </w:rPr>
  </w:style>
  <w:style w:type="paragraph" w:customStyle="1" w:styleId="xl79">
    <w:name w:val="xl79"/>
    <w:basedOn w:val="Normal"/>
    <w:rsid w:val="005838AC"/>
    <w:pPr>
      <w:pBdr>
        <w:left w:val="single" w:sz="4" w:space="0" w:color="auto"/>
        <w:bottom w:val="single" w:sz="4" w:space="0" w:color="auto"/>
      </w:pBdr>
      <w:spacing w:before="100" w:beforeAutospacing="1" w:after="100" w:afterAutospacing="1"/>
      <w:jc w:val="center"/>
    </w:pPr>
    <w:rPr>
      <w:rFonts w:ascii="Arial" w:eastAsia="Arial Unicode MS" w:hAnsi="Arial" w:cs="Arial"/>
      <w:sz w:val="16"/>
      <w:szCs w:val="16"/>
    </w:rPr>
  </w:style>
  <w:style w:type="paragraph" w:customStyle="1" w:styleId="xl80">
    <w:name w:val="xl80"/>
    <w:basedOn w:val="Normal"/>
    <w:rsid w:val="005838AC"/>
    <w:pPr>
      <w:pBdr>
        <w:bottom w:val="single" w:sz="4" w:space="0" w:color="auto"/>
      </w:pBdr>
      <w:spacing w:before="100" w:beforeAutospacing="1" w:after="100" w:afterAutospacing="1"/>
      <w:jc w:val="center"/>
    </w:pPr>
    <w:rPr>
      <w:rFonts w:ascii="Arial" w:eastAsia="Arial Unicode MS" w:hAnsi="Arial" w:cs="Arial"/>
      <w:sz w:val="16"/>
      <w:szCs w:val="16"/>
    </w:rPr>
  </w:style>
  <w:style w:type="paragraph" w:customStyle="1" w:styleId="xl81">
    <w:name w:val="xl81"/>
    <w:basedOn w:val="Normal"/>
    <w:rsid w:val="005838AC"/>
    <w:pPr>
      <w:pBdr>
        <w:bottom w:val="single" w:sz="4" w:space="0" w:color="auto"/>
        <w:right w:val="single" w:sz="4" w:space="0" w:color="auto"/>
      </w:pBdr>
      <w:spacing w:before="100" w:beforeAutospacing="1" w:after="100" w:afterAutospacing="1"/>
      <w:jc w:val="center"/>
    </w:pPr>
    <w:rPr>
      <w:rFonts w:ascii="Arial" w:eastAsia="Arial Unicode MS" w:hAnsi="Arial" w:cs="Arial"/>
      <w:sz w:val="16"/>
      <w:szCs w:val="16"/>
    </w:rPr>
  </w:style>
  <w:style w:type="paragraph" w:customStyle="1" w:styleId="xl82">
    <w:name w:val="xl82"/>
    <w:basedOn w:val="Normal"/>
    <w:rsid w:val="005838AC"/>
    <w:pPr>
      <w:pBdr>
        <w:right w:val="single" w:sz="4" w:space="0" w:color="auto"/>
      </w:pBdr>
      <w:spacing w:before="100" w:beforeAutospacing="1" w:after="100" w:afterAutospacing="1"/>
      <w:jc w:val="center"/>
    </w:pPr>
    <w:rPr>
      <w:rFonts w:ascii="Arial" w:eastAsia="Arial Unicode MS" w:hAnsi="Arial" w:cs="Arial"/>
      <w:sz w:val="16"/>
      <w:szCs w:val="16"/>
    </w:rPr>
  </w:style>
  <w:style w:type="paragraph" w:customStyle="1" w:styleId="xl83">
    <w:name w:val="xl83"/>
    <w:basedOn w:val="Normal"/>
    <w:rsid w:val="005838AC"/>
    <w:pPr>
      <w:pBdr>
        <w:top w:val="single" w:sz="8" w:space="0" w:color="auto"/>
      </w:pBdr>
      <w:spacing w:before="100" w:beforeAutospacing="1" w:after="100" w:afterAutospacing="1"/>
      <w:jc w:val="center"/>
      <w:textAlignment w:val="center"/>
    </w:pPr>
    <w:rPr>
      <w:rFonts w:ascii="Arial" w:eastAsia="Arial Unicode MS" w:hAnsi="Arial" w:cs="Arial"/>
      <w:sz w:val="16"/>
      <w:szCs w:val="16"/>
    </w:rPr>
  </w:style>
  <w:style w:type="paragraph" w:customStyle="1" w:styleId="xl84">
    <w:name w:val="xl84"/>
    <w:basedOn w:val="Normal"/>
    <w:rsid w:val="005838AC"/>
    <w:pPr>
      <w:pBdr>
        <w:bottom w:val="single" w:sz="4" w:space="0" w:color="auto"/>
      </w:pBdr>
      <w:spacing w:before="100" w:beforeAutospacing="1" w:after="100" w:afterAutospacing="1"/>
      <w:jc w:val="center"/>
      <w:textAlignment w:val="center"/>
    </w:pPr>
    <w:rPr>
      <w:rFonts w:ascii="Arial" w:eastAsia="Arial Unicode MS" w:hAnsi="Arial" w:cs="Arial"/>
      <w:sz w:val="16"/>
      <w:szCs w:val="16"/>
    </w:rPr>
  </w:style>
  <w:style w:type="paragraph" w:customStyle="1" w:styleId="xl85">
    <w:name w:val="xl85"/>
    <w:basedOn w:val="Normal"/>
    <w:rsid w:val="005838AC"/>
    <w:pPr>
      <w:pBdr>
        <w:top w:val="single" w:sz="4" w:space="0" w:color="auto"/>
      </w:pBdr>
      <w:spacing w:before="100" w:beforeAutospacing="1" w:after="100" w:afterAutospacing="1"/>
      <w:jc w:val="center"/>
      <w:textAlignment w:val="center"/>
    </w:pPr>
    <w:rPr>
      <w:rFonts w:ascii="Arial" w:eastAsia="Arial Unicode MS" w:hAnsi="Arial" w:cs="Arial"/>
      <w:sz w:val="16"/>
      <w:szCs w:val="16"/>
    </w:rPr>
  </w:style>
  <w:style w:type="paragraph" w:customStyle="1" w:styleId="xl86">
    <w:name w:val="xl86"/>
    <w:basedOn w:val="Normal"/>
    <w:rsid w:val="005838AC"/>
    <w:pPr>
      <w:spacing w:before="100" w:beforeAutospacing="1" w:after="100" w:afterAutospacing="1"/>
      <w:jc w:val="center"/>
      <w:textAlignment w:val="center"/>
    </w:pPr>
    <w:rPr>
      <w:rFonts w:ascii="Arial" w:eastAsia="Arial Unicode MS" w:hAnsi="Arial" w:cs="Arial"/>
      <w:sz w:val="16"/>
      <w:szCs w:val="16"/>
    </w:rPr>
  </w:style>
  <w:style w:type="paragraph" w:customStyle="1" w:styleId="xl87">
    <w:name w:val="xl87"/>
    <w:basedOn w:val="Normal"/>
    <w:rsid w:val="005838AC"/>
    <w:pPr>
      <w:pBdr>
        <w:bottom w:val="single" w:sz="4" w:space="0" w:color="auto"/>
      </w:pBdr>
      <w:spacing w:before="100" w:beforeAutospacing="1" w:after="100" w:afterAutospacing="1"/>
      <w:jc w:val="center"/>
      <w:textAlignment w:val="center"/>
    </w:pPr>
    <w:rPr>
      <w:rFonts w:ascii="Arial" w:eastAsia="Arial Unicode MS" w:hAnsi="Arial" w:cs="Arial"/>
      <w:sz w:val="16"/>
      <w:szCs w:val="16"/>
    </w:rPr>
  </w:style>
  <w:style w:type="paragraph" w:customStyle="1" w:styleId="xl88">
    <w:name w:val="xl88"/>
    <w:basedOn w:val="Normal"/>
    <w:rsid w:val="005838AC"/>
    <w:pPr>
      <w:pBdr>
        <w:top w:val="single" w:sz="4" w:space="0" w:color="auto"/>
        <w:bottom w:val="single" w:sz="4" w:space="0" w:color="auto"/>
      </w:pBdr>
      <w:spacing w:before="100" w:beforeAutospacing="1" w:after="100" w:afterAutospacing="1"/>
    </w:pPr>
    <w:rPr>
      <w:rFonts w:ascii="Arial" w:eastAsia="Arial Unicode MS" w:hAnsi="Arial" w:cs="Arial"/>
      <w:sz w:val="16"/>
      <w:szCs w:val="16"/>
    </w:rPr>
  </w:style>
  <w:style w:type="paragraph" w:customStyle="1" w:styleId="xl89">
    <w:name w:val="xl89"/>
    <w:basedOn w:val="Normal"/>
    <w:rsid w:val="005838AC"/>
    <w:pPr>
      <w:pBdr>
        <w:bottom w:val="single" w:sz="4" w:space="0" w:color="auto"/>
      </w:pBdr>
      <w:spacing w:before="100" w:beforeAutospacing="1" w:after="100" w:afterAutospacing="1"/>
    </w:pPr>
    <w:rPr>
      <w:rFonts w:ascii="Arial" w:eastAsia="Arial Unicode MS" w:hAnsi="Arial" w:cs="Arial"/>
      <w:sz w:val="16"/>
      <w:szCs w:val="16"/>
    </w:rPr>
  </w:style>
  <w:style w:type="paragraph" w:customStyle="1" w:styleId="xl90">
    <w:name w:val="xl90"/>
    <w:basedOn w:val="Normal"/>
    <w:rsid w:val="005838AC"/>
    <w:pPr>
      <w:pBdr>
        <w:top w:val="single" w:sz="4" w:space="0" w:color="auto"/>
      </w:pBdr>
      <w:spacing w:before="100" w:beforeAutospacing="1" w:after="100" w:afterAutospacing="1"/>
      <w:jc w:val="center"/>
      <w:textAlignment w:val="center"/>
    </w:pPr>
    <w:rPr>
      <w:rFonts w:ascii="Arial" w:eastAsia="Arial Unicode MS" w:hAnsi="Arial" w:cs="Arial"/>
      <w:sz w:val="16"/>
      <w:szCs w:val="16"/>
    </w:rPr>
  </w:style>
  <w:style w:type="paragraph" w:styleId="E-mailSignature">
    <w:name w:val="E-mail Signature"/>
    <w:basedOn w:val="Normal"/>
    <w:rsid w:val="005838AC"/>
  </w:style>
  <w:style w:type="paragraph" w:customStyle="1" w:styleId="CM39">
    <w:name w:val="CM39"/>
    <w:basedOn w:val="Default"/>
    <w:next w:val="Default"/>
    <w:rsid w:val="00B23AAE"/>
    <w:pPr>
      <w:widowControl w:val="0"/>
    </w:pPr>
    <w:rPr>
      <w:rFonts w:ascii="DLOHH H+ Warnock Pro" w:hAnsi="DLOHH H+ Warnock Pro" w:cs="Times New Roman"/>
      <w:color w:val="auto"/>
    </w:rPr>
  </w:style>
  <w:style w:type="character" w:styleId="Emphasis">
    <w:name w:val="Emphasis"/>
    <w:uiPriority w:val="20"/>
    <w:qFormat/>
    <w:rsid w:val="000968B8"/>
    <w:rPr>
      <w:i/>
      <w:iCs/>
    </w:rPr>
  </w:style>
  <w:style w:type="paragraph" w:customStyle="1" w:styleId="Caption1">
    <w:name w:val="Caption1"/>
    <w:basedOn w:val="Normal"/>
    <w:rsid w:val="00DA7CBD"/>
    <w:pPr>
      <w:spacing w:before="100" w:beforeAutospacing="1" w:after="100" w:afterAutospacing="1"/>
      <w:ind w:left="600"/>
      <w:jc w:val="center"/>
    </w:pPr>
    <w:rPr>
      <w:b/>
      <w:bCs/>
      <w:color w:val="800000"/>
    </w:rPr>
  </w:style>
  <w:style w:type="table" w:styleId="TableGrid">
    <w:name w:val="Table Grid"/>
    <w:basedOn w:val="TableNormal"/>
    <w:rsid w:val="00DA7CB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sinoBODY">
    <w:name w:val="Casino BODY"/>
    <w:rsid w:val="00522044"/>
    <w:pPr>
      <w:spacing w:line="300" w:lineRule="exact"/>
    </w:pPr>
    <w:rPr>
      <w:rFonts w:ascii="Arial" w:hAnsi="Arial"/>
      <w:sz w:val="21"/>
    </w:rPr>
  </w:style>
  <w:style w:type="paragraph" w:customStyle="1" w:styleId="CM2">
    <w:name w:val="CM2"/>
    <w:basedOn w:val="Default"/>
    <w:next w:val="Default"/>
    <w:rsid w:val="00807715"/>
    <w:pPr>
      <w:widowControl w:val="0"/>
      <w:spacing w:line="348" w:lineRule="atLeast"/>
    </w:pPr>
    <w:rPr>
      <w:rFonts w:ascii="CastleT" w:hAnsi="CastleT" w:cs="Times New Roman"/>
      <w:color w:val="auto"/>
    </w:rPr>
  </w:style>
  <w:style w:type="paragraph" w:customStyle="1" w:styleId="CM3">
    <w:name w:val="CM3"/>
    <w:basedOn w:val="Default"/>
    <w:next w:val="Default"/>
    <w:rsid w:val="00807715"/>
    <w:pPr>
      <w:widowControl w:val="0"/>
      <w:spacing w:line="220" w:lineRule="atLeast"/>
    </w:pPr>
    <w:rPr>
      <w:rFonts w:ascii="DKKDB B+ Warnock Pro" w:hAnsi="DKKDB B+ Warnock Pro" w:cs="Times New Roman"/>
      <w:color w:val="auto"/>
    </w:rPr>
  </w:style>
  <w:style w:type="paragraph" w:customStyle="1" w:styleId="CM32">
    <w:name w:val="CM32"/>
    <w:basedOn w:val="Default"/>
    <w:next w:val="Default"/>
    <w:rsid w:val="00807715"/>
    <w:pPr>
      <w:widowControl w:val="0"/>
    </w:pPr>
    <w:rPr>
      <w:rFonts w:ascii="DHNJM O+ Warnock Pro" w:hAnsi="DHNJM O+ Warnock Pro" w:cs="Times New Roman"/>
      <w:color w:val="auto"/>
    </w:rPr>
  </w:style>
  <w:style w:type="paragraph" w:customStyle="1" w:styleId="CM34">
    <w:name w:val="CM34"/>
    <w:basedOn w:val="Default"/>
    <w:next w:val="Default"/>
    <w:rsid w:val="00807715"/>
    <w:pPr>
      <w:widowControl w:val="0"/>
    </w:pPr>
    <w:rPr>
      <w:rFonts w:ascii="DHNJM O+ Warnock Pro" w:hAnsi="DHNJM O+ Warnock Pro" w:cs="Times New Roman"/>
      <w:color w:val="auto"/>
    </w:rPr>
  </w:style>
  <w:style w:type="paragraph" w:customStyle="1" w:styleId="CM26">
    <w:name w:val="CM26"/>
    <w:basedOn w:val="Default"/>
    <w:next w:val="Default"/>
    <w:rsid w:val="00807715"/>
    <w:pPr>
      <w:widowControl w:val="0"/>
      <w:spacing w:line="380" w:lineRule="atLeast"/>
    </w:pPr>
    <w:rPr>
      <w:rFonts w:ascii="DHNJM O+ Warnock Pro" w:hAnsi="DHNJM O+ Warnock Pro" w:cs="Times New Roman"/>
      <w:color w:val="auto"/>
    </w:rPr>
  </w:style>
  <w:style w:type="paragraph" w:customStyle="1" w:styleId="CM36">
    <w:name w:val="CM36"/>
    <w:basedOn w:val="Default"/>
    <w:next w:val="Default"/>
    <w:rsid w:val="00807715"/>
    <w:pPr>
      <w:widowControl w:val="0"/>
    </w:pPr>
    <w:rPr>
      <w:rFonts w:ascii="DLOHH H+ Warnock Pro" w:hAnsi="DLOHH H+ Warnock Pro" w:cs="Times New Roman"/>
      <w:color w:val="auto"/>
    </w:rPr>
  </w:style>
  <w:style w:type="paragraph" w:customStyle="1" w:styleId="CM33">
    <w:name w:val="CM33"/>
    <w:basedOn w:val="Default"/>
    <w:next w:val="Default"/>
    <w:rsid w:val="00807715"/>
    <w:pPr>
      <w:widowControl w:val="0"/>
    </w:pPr>
    <w:rPr>
      <w:rFonts w:ascii="DHNJM O+ Warnock Pro" w:hAnsi="DHNJM O+ Warnock Pro" w:cs="Times New Roman"/>
      <w:color w:val="auto"/>
    </w:rPr>
  </w:style>
  <w:style w:type="paragraph" w:customStyle="1" w:styleId="c1">
    <w:name w:val="c1"/>
    <w:basedOn w:val="Normal"/>
    <w:rsid w:val="0031661D"/>
    <w:pPr>
      <w:widowControl w:val="0"/>
      <w:autoSpaceDE w:val="0"/>
      <w:autoSpaceDN w:val="0"/>
      <w:spacing w:line="240" w:lineRule="atLeast"/>
      <w:jc w:val="center"/>
    </w:pPr>
  </w:style>
  <w:style w:type="paragraph" w:customStyle="1" w:styleId="p2">
    <w:name w:val="p2"/>
    <w:basedOn w:val="Normal"/>
    <w:rsid w:val="0031661D"/>
    <w:pPr>
      <w:widowControl w:val="0"/>
      <w:tabs>
        <w:tab w:val="left" w:pos="204"/>
      </w:tabs>
      <w:autoSpaceDE w:val="0"/>
      <w:autoSpaceDN w:val="0"/>
      <w:spacing w:line="238" w:lineRule="atLeast"/>
    </w:pPr>
  </w:style>
  <w:style w:type="paragraph" w:customStyle="1" w:styleId="c3">
    <w:name w:val="c3"/>
    <w:basedOn w:val="Normal"/>
    <w:rsid w:val="0031661D"/>
    <w:pPr>
      <w:widowControl w:val="0"/>
      <w:autoSpaceDE w:val="0"/>
      <w:autoSpaceDN w:val="0"/>
      <w:spacing w:line="240" w:lineRule="atLeast"/>
      <w:jc w:val="center"/>
    </w:pPr>
  </w:style>
  <w:style w:type="paragraph" w:customStyle="1" w:styleId="p4">
    <w:name w:val="p4"/>
    <w:basedOn w:val="Normal"/>
    <w:rsid w:val="0031661D"/>
    <w:pPr>
      <w:widowControl w:val="0"/>
      <w:tabs>
        <w:tab w:val="left" w:pos="204"/>
      </w:tabs>
      <w:autoSpaceDE w:val="0"/>
      <w:autoSpaceDN w:val="0"/>
      <w:spacing w:line="238" w:lineRule="atLeast"/>
    </w:pPr>
  </w:style>
  <w:style w:type="paragraph" w:customStyle="1" w:styleId="p5">
    <w:name w:val="p5"/>
    <w:basedOn w:val="Normal"/>
    <w:rsid w:val="0031661D"/>
    <w:pPr>
      <w:widowControl w:val="0"/>
      <w:tabs>
        <w:tab w:val="left" w:pos="731"/>
      </w:tabs>
      <w:autoSpaceDE w:val="0"/>
      <w:autoSpaceDN w:val="0"/>
      <w:spacing w:line="238" w:lineRule="atLeast"/>
      <w:ind w:left="709"/>
    </w:pPr>
  </w:style>
  <w:style w:type="paragraph" w:customStyle="1" w:styleId="p6">
    <w:name w:val="p6"/>
    <w:basedOn w:val="Normal"/>
    <w:rsid w:val="0031661D"/>
    <w:pPr>
      <w:widowControl w:val="0"/>
      <w:tabs>
        <w:tab w:val="left" w:pos="476"/>
        <w:tab w:val="left" w:pos="1048"/>
      </w:tabs>
      <w:autoSpaceDE w:val="0"/>
      <w:autoSpaceDN w:val="0"/>
      <w:spacing w:line="240" w:lineRule="atLeast"/>
      <w:ind w:left="1048" w:hanging="572"/>
    </w:pPr>
  </w:style>
  <w:style w:type="paragraph" w:styleId="TOC1">
    <w:name w:val="toc 1"/>
    <w:basedOn w:val="Normal"/>
    <w:next w:val="Normal"/>
    <w:autoRedefine/>
    <w:uiPriority w:val="39"/>
    <w:rsid w:val="002A5217"/>
    <w:pPr>
      <w:tabs>
        <w:tab w:val="left" w:pos="540"/>
        <w:tab w:val="right" w:pos="9350"/>
      </w:tabs>
      <w:spacing w:before="120"/>
    </w:pPr>
    <w:rPr>
      <w:rFonts w:ascii="CG Omega" w:hAnsi="CG Omega"/>
      <w:b/>
      <w:smallCaps/>
      <w:sz w:val="28"/>
    </w:rPr>
  </w:style>
  <w:style w:type="paragraph" w:styleId="TOC2">
    <w:name w:val="toc 2"/>
    <w:basedOn w:val="Normal"/>
    <w:next w:val="Normal"/>
    <w:autoRedefine/>
    <w:uiPriority w:val="39"/>
    <w:rsid w:val="002A5217"/>
    <w:pPr>
      <w:tabs>
        <w:tab w:val="left" w:pos="1080"/>
        <w:tab w:val="right" w:pos="9350"/>
      </w:tabs>
      <w:ind w:left="540"/>
    </w:pPr>
    <w:rPr>
      <w:rFonts w:ascii="CG Omega" w:hAnsi="CG Omega"/>
    </w:rPr>
  </w:style>
  <w:style w:type="paragraph" w:styleId="TOC4">
    <w:name w:val="toc 4"/>
    <w:basedOn w:val="Normal"/>
    <w:next w:val="Normal"/>
    <w:autoRedefine/>
    <w:semiHidden/>
    <w:rsid w:val="00623759"/>
    <w:pPr>
      <w:ind w:left="720"/>
    </w:pPr>
  </w:style>
  <w:style w:type="paragraph" w:styleId="TOC3">
    <w:name w:val="toc 3"/>
    <w:basedOn w:val="Normal"/>
    <w:next w:val="Normal"/>
    <w:autoRedefine/>
    <w:semiHidden/>
    <w:rsid w:val="00623759"/>
    <w:pPr>
      <w:ind w:left="480"/>
    </w:pPr>
  </w:style>
  <w:style w:type="paragraph" w:styleId="TOC5">
    <w:name w:val="toc 5"/>
    <w:basedOn w:val="Normal"/>
    <w:next w:val="Normal"/>
    <w:autoRedefine/>
    <w:semiHidden/>
    <w:rsid w:val="00623759"/>
    <w:pPr>
      <w:ind w:left="960"/>
    </w:pPr>
  </w:style>
  <w:style w:type="paragraph" w:customStyle="1" w:styleId="Subhead1">
    <w:name w:val="Subhead1"/>
    <w:basedOn w:val="c3"/>
    <w:autoRedefine/>
    <w:rsid w:val="005249F1"/>
    <w:pPr>
      <w:spacing w:line="240" w:lineRule="auto"/>
      <w:jc w:val="both"/>
    </w:pPr>
    <w:rPr>
      <w:rFonts w:ascii="CG Omega" w:hAnsi="CG Omega" w:cs="Arial"/>
    </w:rPr>
  </w:style>
  <w:style w:type="paragraph" w:customStyle="1" w:styleId="FirstHead">
    <w:name w:val="First Head"/>
    <w:basedOn w:val="Normal"/>
    <w:autoRedefine/>
    <w:rsid w:val="00BB666B"/>
    <w:pPr>
      <w:pBdr>
        <w:bottom w:val="double" w:sz="4" w:space="1" w:color="808000"/>
      </w:pBdr>
    </w:pPr>
    <w:rPr>
      <w:rFonts w:ascii="CG Omega" w:hAnsi="CG Omega"/>
      <w:b/>
      <w:bCs/>
      <w:smallCaps/>
      <w:color w:val="333300"/>
    </w:rPr>
  </w:style>
  <w:style w:type="paragraph" w:customStyle="1" w:styleId="HUDTable">
    <w:name w:val="HUD Table"/>
    <w:basedOn w:val="Heading1"/>
    <w:rsid w:val="00760DAB"/>
  </w:style>
  <w:style w:type="paragraph" w:customStyle="1" w:styleId="BodyText21">
    <w:name w:val="Body Text 21"/>
    <w:basedOn w:val="Normal"/>
    <w:rsid w:val="006B7654"/>
  </w:style>
  <w:style w:type="paragraph" w:customStyle="1" w:styleId="Notes">
    <w:name w:val="Notes"/>
    <w:basedOn w:val="Normal"/>
    <w:rsid w:val="00853877"/>
    <w:pPr>
      <w:keepLines/>
    </w:pPr>
    <w:rPr>
      <w:rFonts w:ascii="Verdana" w:hAnsi="Verdana"/>
      <w:sz w:val="16"/>
    </w:rPr>
  </w:style>
  <w:style w:type="paragraph" w:customStyle="1" w:styleId="WESNormaltext">
    <w:name w:val="WES Normal text"/>
    <w:basedOn w:val="Normal"/>
    <w:link w:val="WESNormaltextChar"/>
    <w:qFormat/>
    <w:rsid w:val="00FD096D"/>
    <w:pPr>
      <w:autoSpaceDE w:val="0"/>
      <w:autoSpaceDN w:val="0"/>
      <w:adjustRightInd w:val="0"/>
      <w:jc w:val="both"/>
    </w:pPr>
    <w:rPr>
      <w:rFonts w:ascii="CG Omega" w:hAnsi="CG Omega"/>
      <w:sz w:val="23"/>
      <w:szCs w:val="22"/>
    </w:rPr>
  </w:style>
  <w:style w:type="character" w:customStyle="1" w:styleId="WESNormaltextChar">
    <w:name w:val="WES Normal text Char"/>
    <w:basedOn w:val="DefaultParagraphFont"/>
    <w:link w:val="WESNormaltext"/>
    <w:rsid w:val="00FD096D"/>
    <w:rPr>
      <w:rFonts w:ascii="CG Omega" w:hAnsi="CG Omega"/>
      <w:sz w:val="23"/>
      <w:szCs w:val="22"/>
    </w:rPr>
  </w:style>
  <w:style w:type="character" w:customStyle="1" w:styleId="BodyTextIndentChar">
    <w:name w:val="Body Text Indent Char"/>
    <w:basedOn w:val="DefaultParagraphFont"/>
    <w:link w:val="BodyTextIndent"/>
    <w:rsid w:val="009E506E"/>
    <w:rPr>
      <w:rFonts w:ascii="CG Times" w:hAnsi="CG Times"/>
      <w:sz w:val="24"/>
      <w:szCs w:val="32"/>
    </w:rPr>
  </w:style>
  <w:style w:type="paragraph" w:styleId="NoSpacing">
    <w:name w:val="No Spacing"/>
    <w:link w:val="NoSpacingChar"/>
    <w:uiPriority w:val="1"/>
    <w:qFormat/>
    <w:rsid w:val="00797DBD"/>
    <w:rPr>
      <w:rFonts w:asciiTheme="minorHAnsi" w:eastAsiaTheme="minorHAnsi" w:hAnsiTheme="minorHAnsi" w:cstheme="minorBidi"/>
      <w:sz w:val="22"/>
      <w:szCs w:val="22"/>
    </w:rPr>
  </w:style>
  <w:style w:type="character" w:customStyle="1" w:styleId="Heading2Char">
    <w:name w:val="Heading 2 Char"/>
    <w:basedOn w:val="DefaultParagraphFont"/>
    <w:link w:val="Heading2"/>
    <w:rsid w:val="009547F1"/>
    <w:rPr>
      <w:rFonts w:ascii="CG Omega" w:hAnsi="CG Omega"/>
      <w:b/>
      <w:sz w:val="24"/>
    </w:rPr>
  </w:style>
  <w:style w:type="character" w:customStyle="1" w:styleId="HeaderChar">
    <w:name w:val="Header Char"/>
    <w:aliases w:val="Header 2 Char,tagline Char,h Char"/>
    <w:basedOn w:val="DefaultParagraphFont"/>
    <w:link w:val="Header"/>
    <w:uiPriority w:val="99"/>
    <w:rsid w:val="009547F1"/>
    <w:rPr>
      <w:sz w:val="24"/>
      <w:szCs w:val="24"/>
    </w:rPr>
  </w:style>
  <w:style w:type="character" w:customStyle="1" w:styleId="FooterChar">
    <w:name w:val="Footer Char"/>
    <w:basedOn w:val="DefaultParagraphFont"/>
    <w:link w:val="Footer"/>
    <w:uiPriority w:val="99"/>
    <w:rsid w:val="009547F1"/>
    <w:rPr>
      <w:sz w:val="24"/>
      <w:szCs w:val="24"/>
    </w:rPr>
  </w:style>
  <w:style w:type="paragraph" w:customStyle="1" w:styleId="ObjectSubtitle">
    <w:name w:val="Object Subtitle"/>
    <w:next w:val="ObjectAreaData"/>
    <w:autoRedefine/>
    <w:uiPriority w:val="11"/>
    <w:qFormat/>
    <w:rsid w:val="00943E45"/>
    <w:pPr>
      <w:keepNext/>
      <w:keepLines/>
      <w:suppressAutoHyphens/>
      <w:jc w:val="center"/>
    </w:pPr>
    <w:rPr>
      <w:rFonts w:ascii="Arial" w:eastAsia="Calibri" w:hAnsi="Arial" w:cstheme="minorBidi"/>
      <w:b/>
      <w:szCs w:val="23"/>
    </w:rPr>
  </w:style>
  <w:style w:type="paragraph" w:customStyle="1" w:styleId="ObjectAreaData">
    <w:name w:val="Object Area/Data"/>
    <w:uiPriority w:val="12"/>
    <w:qFormat/>
    <w:rsid w:val="00943E45"/>
    <w:pPr>
      <w:suppressAutoHyphens/>
      <w:jc w:val="center"/>
    </w:pPr>
    <w:rPr>
      <w:rFonts w:ascii="Arial" w:eastAsia="Calibri" w:hAnsi="Arial" w:cstheme="minorBidi"/>
      <w:sz w:val="16"/>
      <w:szCs w:val="23"/>
    </w:rPr>
  </w:style>
  <w:style w:type="character" w:customStyle="1" w:styleId="NoSpacingChar">
    <w:name w:val="No Spacing Char"/>
    <w:basedOn w:val="DefaultParagraphFont"/>
    <w:link w:val="NoSpacing"/>
    <w:uiPriority w:val="1"/>
    <w:rsid w:val="00912313"/>
    <w:rPr>
      <w:rFonts w:asciiTheme="minorHAnsi" w:eastAsiaTheme="minorHAnsi" w:hAnsiTheme="minorHAnsi" w:cstheme="minorBidi"/>
      <w:sz w:val="22"/>
      <w:szCs w:val="22"/>
    </w:rPr>
  </w:style>
  <w:style w:type="character" w:customStyle="1" w:styleId="apple-converted-space">
    <w:name w:val="apple-converted-space"/>
    <w:basedOn w:val="DefaultParagraphFont"/>
    <w:rsid w:val="00A364F7"/>
  </w:style>
  <w:style w:type="character" w:customStyle="1" w:styleId="Heading1Char">
    <w:name w:val="Heading 1 Char"/>
    <w:basedOn w:val="DefaultParagraphFont"/>
    <w:link w:val="Heading1"/>
    <w:rsid w:val="008436AB"/>
    <w:rPr>
      <w:rFonts w:ascii="Arial" w:hAnsi="Arial"/>
      <w:b/>
      <w:sz w:val="26"/>
    </w:rPr>
  </w:style>
  <w:style w:type="paragraph" w:customStyle="1" w:styleId="WESHeading3">
    <w:name w:val="WES Heading 3"/>
    <w:basedOn w:val="Heading3"/>
    <w:next w:val="Normal"/>
    <w:link w:val="WESHeading3Char"/>
    <w:qFormat/>
    <w:rsid w:val="00311267"/>
    <w:pPr>
      <w:autoSpaceDE w:val="0"/>
      <w:autoSpaceDN w:val="0"/>
      <w:adjustRightInd w:val="0"/>
    </w:pPr>
    <w:rPr>
      <w:smallCaps/>
    </w:rPr>
  </w:style>
  <w:style w:type="character" w:customStyle="1" w:styleId="WESHeading3Char">
    <w:name w:val="WES Heading 3 Char"/>
    <w:basedOn w:val="DefaultParagraphFont"/>
    <w:link w:val="WESHeading3"/>
    <w:rsid w:val="00311267"/>
    <w:rPr>
      <w:rFonts w:ascii="CG Omega" w:hAnsi="CG Omega"/>
      <w:b/>
      <w:smallCaps/>
      <w:sz w:val="24"/>
    </w:rPr>
  </w:style>
  <w:style w:type="paragraph" w:customStyle="1" w:styleId="WESHeading4">
    <w:name w:val="WES Heading 4"/>
    <w:basedOn w:val="Heading4"/>
    <w:next w:val="WESNormaltext"/>
    <w:link w:val="WESHeading4Char"/>
    <w:qFormat/>
    <w:rsid w:val="00311267"/>
    <w:pPr>
      <w:autoSpaceDE w:val="0"/>
      <w:autoSpaceDN w:val="0"/>
      <w:adjustRightInd w:val="0"/>
      <w:jc w:val="both"/>
    </w:pPr>
    <w:rPr>
      <w:rFonts w:ascii="CG Omega" w:hAnsi="CG Omega"/>
      <w:i w:val="0"/>
      <w:sz w:val="23"/>
    </w:rPr>
  </w:style>
  <w:style w:type="character" w:customStyle="1" w:styleId="WESHeading4Char">
    <w:name w:val="WES Heading 4 Char"/>
    <w:basedOn w:val="DefaultParagraphFont"/>
    <w:link w:val="WESHeading4"/>
    <w:rsid w:val="00311267"/>
    <w:rPr>
      <w:rFonts w:ascii="CG Omega" w:hAnsi="CG Omega"/>
      <w:b/>
      <w:sz w:val="23"/>
    </w:rPr>
  </w:style>
  <w:style w:type="character" w:customStyle="1" w:styleId="PlainTextChar">
    <w:name w:val="Plain Text Char"/>
    <w:basedOn w:val="DefaultParagraphFont"/>
    <w:link w:val="PlainText"/>
    <w:rsid w:val="00853960"/>
    <w:rPr>
      <w:rFonts w:ascii="Courier New" w:hAnsi="Courier New" w:cs="Courier New"/>
    </w:rPr>
  </w:style>
  <w:style w:type="character" w:customStyle="1" w:styleId="SubtitleChar">
    <w:name w:val="Subtitle Char"/>
    <w:basedOn w:val="DefaultParagraphFont"/>
    <w:link w:val="Subtitle"/>
    <w:rsid w:val="00D673B9"/>
    <w:rPr>
      <w:rFonts w:ascii="Verdana" w:hAnsi="Verdana"/>
      <w:b/>
      <w:bCs/>
      <w:szCs w:val="24"/>
    </w:rPr>
  </w:style>
  <w:style w:type="character" w:customStyle="1" w:styleId="TitleChar">
    <w:name w:val="Title Char"/>
    <w:basedOn w:val="DefaultParagraphFont"/>
    <w:link w:val="Title"/>
    <w:uiPriority w:val="10"/>
    <w:rsid w:val="00543AA8"/>
    <w:rPr>
      <w:rFonts w:ascii="Arial" w:hAnsi="Arial"/>
      <w:b/>
      <w:snapToGrid w:val="0"/>
      <w:sz w:val="24"/>
      <w:szCs w:val="24"/>
    </w:rPr>
  </w:style>
  <w:style w:type="character" w:customStyle="1" w:styleId="Heading4Char">
    <w:name w:val="Heading 4 Char"/>
    <w:basedOn w:val="DefaultParagraphFont"/>
    <w:link w:val="Heading4"/>
    <w:rsid w:val="00000555"/>
    <w:rPr>
      <w:rFonts w:ascii="CG Times" w:hAnsi="CG Times"/>
      <w:b/>
      <w:i/>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13728">
      <w:bodyDiv w:val="1"/>
      <w:marLeft w:val="0"/>
      <w:marRight w:val="0"/>
      <w:marTop w:val="0"/>
      <w:marBottom w:val="0"/>
      <w:divBdr>
        <w:top w:val="none" w:sz="0" w:space="0" w:color="auto"/>
        <w:left w:val="none" w:sz="0" w:space="0" w:color="auto"/>
        <w:bottom w:val="none" w:sz="0" w:space="0" w:color="auto"/>
        <w:right w:val="none" w:sz="0" w:space="0" w:color="auto"/>
      </w:divBdr>
    </w:div>
    <w:div w:id="46608116">
      <w:bodyDiv w:val="1"/>
      <w:marLeft w:val="0"/>
      <w:marRight w:val="0"/>
      <w:marTop w:val="0"/>
      <w:marBottom w:val="0"/>
      <w:divBdr>
        <w:top w:val="none" w:sz="0" w:space="0" w:color="auto"/>
        <w:left w:val="none" w:sz="0" w:space="0" w:color="auto"/>
        <w:bottom w:val="none" w:sz="0" w:space="0" w:color="auto"/>
        <w:right w:val="none" w:sz="0" w:space="0" w:color="auto"/>
      </w:divBdr>
    </w:div>
    <w:div w:id="49499756">
      <w:bodyDiv w:val="1"/>
      <w:marLeft w:val="0"/>
      <w:marRight w:val="0"/>
      <w:marTop w:val="0"/>
      <w:marBottom w:val="0"/>
      <w:divBdr>
        <w:top w:val="none" w:sz="0" w:space="0" w:color="auto"/>
        <w:left w:val="none" w:sz="0" w:space="0" w:color="auto"/>
        <w:bottom w:val="none" w:sz="0" w:space="0" w:color="auto"/>
        <w:right w:val="none" w:sz="0" w:space="0" w:color="auto"/>
      </w:divBdr>
    </w:div>
    <w:div w:id="150490801">
      <w:bodyDiv w:val="1"/>
      <w:marLeft w:val="0"/>
      <w:marRight w:val="0"/>
      <w:marTop w:val="0"/>
      <w:marBottom w:val="0"/>
      <w:divBdr>
        <w:top w:val="none" w:sz="0" w:space="0" w:color="auto"/>
        <w:left w:val="none" w:sz="0" w:space="0" w:color="auto"/>
        <w:bottom w:val="none" w:sz="0" w:space="0" w:color="auto"/>
        <w:right w:val="none" w:sz="0" w:space="0" w:color="auto"/>
      </w:divBdr>
    </w:div>
    <w:div w:id="160702414">
      <w:bodyDiv w:val="1"/>
      <w:marLeft w:val="0"/>
      <w:marRight w:val="0"/>
      <w:marTop w:val="0"/>
      <w:marBottom w:val="0"/>
      <w:divBdr>
        <w:top w:val="none" w:sz="0" w:space="0" w:color="auto"/>
        <w:left w:val="none" w:sz="0" w:space="0" w:color="auto"/>
        <w:bottom w:val="none" w:sz="0" w:space="0" w:color="auto"/>
        <w:right w:val="none" w:sz="0" w:space="0" w:color="auto"/>
      </w:divBdr>
    </w:div>
    <w:div w:id="194199759">
      <w:bodyDiv w:val="1"/>
      <w:marLeft w:val="0"/>
      <w:marRight w:val="0"/>
      <w:marTop w:val="0"/>
      <w:marBottom w:val="0"/>
      <w:divBdr>
        <w:top w:val="none" w:sz="0" w:space="0" w:color="auto"/>
        <w:left w:val="none" w:sz="0" w:space="0" w:color="auto"/>
        <w:bottom w:val="none" w:sz="0" w:space="0" w:color="auto"/>
        <w:right w:val="none" w:sz="0" w:space="0" w:color="auto"/>
      </w:divBdr>
    </w:div>
    <w:div w:id="204341310">
      <w:bodyDiv w:val="1"/>
      <w:marLeft w:val="0"/>
      <w:marRight w:val="0"/>
      <w:marTop w:val="0"/>
      <w:marBottom w:val="0"/>
      <w:divBdr>
        <w:top w:val="none" w:sz="0" w:space="0" w:color="auto"/>
        <w:left w:val="none" w:sz="0" w:space="0" w:color="auto"/>
        <w:bottom w:val="none" w:sz="0" w:space="0" w:color="auto"/>
        <w:right w:val="none" w:sz="0" w:space="0" w:color="auto"/>
      </w:divBdr>
    </w:div>
    <w:div w:id="218329073">
      <w:bodyDiv w:val="1"/>
      <w:marLeft w:val="0"/>
      <w:marRight w:val="0"/>
      <w:marTop w:val="0"/>
      <w:marBottom w:val="0"/>
      <w:divBdr>
        <w:top w:val="none" w:sz="0" w:space="0" w:color="auto"/>
        <w:left w:val="none" w:sz="0" w:space="0" w:color="auto"/>
        <w:bottom w:val="none" w:sz="0" w:space="0" w:color="auto"/>
        <w:right w:val="none" w:sz="0" w:space="0" w:color="auto"/>
      </w:divBdr>
    </w:div>
    <w:div w:id="228613124">
      <w:bodyDiv w:val="1"/>
      <w:marLeft w:val="0"/>
      <w:marRight w:val="0"/>
      <w:marTop w:val="0"/>
      <w:marBottom w:val="0"/>
      <w:divBdr>
        <w:top w:val="none" w:sz="0" w:space="0" w:color="auto"/>
        <w:left w:val="none" w:sz="0" w:space="0" w:color="auto"/>
        <w:bottom w:val="none" w:sz="0" w:space="0" w:color="auto"/>
        <w:right w:val="none" w:sz="0" w:space="0" w:color="auto"/>
      </w:divBdr>
    </w:div>
    <w:div w:id="262693070">
      <w:bodyDiv w:val="1"/>
      <w:marLeft w:val="0"/>
      <w:marRight w:val="0"/>
      <w:marTop w:val="0"/>
      <w:marBottom w:val="0"/>
      <w:divBdr>
        <w:top w:val="none" w:sz="0" w:space="0" w:color="auto"/>
        <w:left w:val="none" w:sz="0" w:space="0" w:color="auto"/>
        <w:bottom w:val="none" w:sz="0" w:space="0" w:color="auto"/>
        <w:right w:val="none" w:sz="0" w:space="0" w:color="auto"/>
      </w:divBdr>
      <w:divsChild>
        <w:div w:id="2143959938">
          <w:marLeft w:val="0"/>
          <w:marRight w:val="0"/>
          <w:marTop w:val="0"/>
          <w:marBottom w:val="0"/>
          <w:divBdr>
            <w:top w:val="single" w:sz="2" w:space="0" w:color="D1B1AA"/>
            <w:left w:val="single" w:sz="6" w:space="0" w:color="D1B1AA"/>
            <w:bottom w:val="single" w:sz="6" w:space="0" w:color="D1B1AA"/>
            <w:right w:val="single" w:sz="6" w:space="0" w:color="D1B1AA"/>
          </w:divBdr>
          <w:divsChild>
            <w:div w:id="414933673">
              <w:marLeft w:val="0"/>
              <w:marRight w:val="0"/>
              <w:marTop w:val="0"/>
              <w:marBottom w:val="0"/>
              <w:divBdr>
                <w:top w:val="none" w:sz="0" w:space="0" w:color="auto"/>
                <w:left w:val="none" w:sz="0" w:space="0" w:color="auto"/>
                <w:bottom w:val="none" w:sz="0" w:space="0" w:color="auto"/>
                <w:right w:val="none" w:sz="0" w:space="0" w:color="auto"/>
              </w:divBdr>
              <w:divsChild>
                <w:div w:id="1309625804">
                  <w:marLeft w:val="3075"/>
                  <w:marRight w:val="3285"/>
                  <w:marTop w:val="0"/>
                  <w:marBottom w:val="0"/>
                  <w:divBdr>
                    <w:top w:val="none" w:sz="0" w:space="0" w:color="auto"/>
                    <w:left w:val="none" w:sz="0" w:space="0" w:color="auto"/>
                    <w:bottom w:val="none" w:sz="0" w:space="0" w:color="auto"/>
                    <w:right w:val="none" w:sz="0" w:space="0" w:color="auto"/>
                  </w:divBdr>
                </w:div>
              </w:divsChild>
            </w:div>
          </w:divsChild>
        </w:div>
      </w:divsChild>
    </w:div>
    <w:div w:id="279726799">
      <w:bodyDiv w:val="1"/>
      <w:marLeft w:val="0"/>
      <w:marRight w:val="0"/>
      <w:marTop w:val="0"/>
      <w:marBottom w:val="0"/>
      <w:divBdr>
        <w:top w:val="none" w:sz="0" w:space="0" w:color="auto"/>
        <w:left w:val="none" w:sz="0" w:space="0" w:color="auto"/>
        <w:bottom w:val="none" w:sz="0" w:space="0" w:color="auto"/>
        <w:right w:val="none" w:sz="0" w:space="0" w:color="auto"/>
      </w:divBdr>
      <w:divsChild>
        <w:div w:id="7605553">
          <w:marLeft w:val="0"/>
          <w:marRight w:val="0"/>
          <w:marTop w:val="0"/>
          <w:marBottom w:val="0"/>
          <w:divBdr>
            <w:top w:val="none" w:sz="0" w:space="0" w:color="auto"/>
            <w:left w:val="none" w:sz="0" w:space="0" w:color="auto"/>
            <w:bottom w:val="none" w:sz="0" w:space="0" w:color="auto"/>
            <w:right w:val="none" w:sz="0" w:space="0" w:color="auto"/>
          </w:divBdr>
          <w:divsChild>
            <w:div w:id="265844601">
              <w:marLeft w:val="75"/>
              <w:marRight w:val="75"/>
              <w:marTop w:val="0"/>
              <w:marBottom w:val="75"/>
              <w:divBdr>
                <w:top w:val="single" w:sz="6" w:space="4" w:color="35446F"/>
                <w:left w:val="single" w:sz="6" w:space="4" w:color="35446F"/>
                <w:bottom w:val="single" w:sz="6" w:space="4" w:color="35446F"/>
                <w:right w:val="single" w:sz="6" w:space="4" w:color="35446F"/>
              </w:divBdr>
              <w:divsChild>
                <w:div w:id="798886513">
                  <w:marLeft w:val="75"/>
                  <w:marRight w:val="75"/>
                  <w:marTop w:val="0"/>
                  <w:marBottom w:val="75"/>
                  <w:divBdr>
                    <w:top w:val="single" w:sz="6" w:space="4" w:color="35446F"/>
                    <w:left w:val="single" w:sz="6" w:space="4" w:color="35446F"/>
                    <w:bottom w:val="single" w:sz="6" w:space="4" w:color="35446F"/>
                    <w:right w:val="single" w:sz="6" w:space="4" w:color="35446F"/>
                  </w:divBdr>
                  <w:divsChild>
                    <w:div w:id="1975408073">
                      <w:marLeft w:val="0"/>
                      <w:marRight w:val="0"/>
                      <w:marTop w:val="0"/>
                      <w:marBottom w:val="0"/>
                      <w:divBdr>
                        <w:top w:val="none" w:sz="0" w:space="0" w:color="auto"/>
                        <w:left w:val="none" w:sz="0" w:space="0" w:color="auto"/>
                        <w:bottom w:val="none" w:sz="0" w:space="0" w:color="auto"/>
                        <w:right w:val="none" w:sz="0" w:space="0" w:color="auto"/>
                      </w:divBdr>
                      <w:divsChild>
                        <w:div w:id="1416972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9484147">
      <w:bodyDiv w:val="1"/>
      <w:marLeft w:val="0"/>
      <w:marRight w:val="0"/>
      <w:marTop w:val="0"/>
      <w:marBottom w:val="0"/>
      <w:divBdr>
        <w:top w:val="none" w:sz="0" w:space="0" w:color="auto"/>
        <w:left w:val="none" w:sz="0" w:space="0" w:color="auto"/>
        <w:bottom w:val="none" w:sz="0" w:space="0" w:color="auto"/>
        <w:right w:val="none" w:sz="0" w:space="0" w:color="auto"/>
      </w:divBdr>
    </w:div>
    <w:div w:id="296958809">
      <w:bodyDiv w:val="1"/>
      <w:marLeft w:val="0"/>
      <w:marRight w:val="0"/>
      <w:marTop w:val="0"/>
      <w:marBottom w:val="0"/>
      <w:divBdr>
        <w:top w:val="none" w:sz="0" w:space="0" w:color="auto"/>
        <w:left w:val="none" w:sz="0" w:space="0" w:color="auto"/>
        <w:bottom w:val="none" w:sz="0" w:space="0" w:color="auto"/>
        <w:right w:val="none" w:sz="0" w:space="0" w:color="auto"/>
      </w:divBdr>
    </w:div>
    <w:div w:id="343747772">
      <w:bodyDiv w:val="1"/>
      <w:marLeft w:val="0"/>
      <w:marRight w:val="0"/>
      <w:marTop w:val="0"/>
      <w:marBottom w:val="0"/>
      <w:divBdr>
        <w:top w:val="none" w:sz="0" w:space="0" w:color="auto"/>
        <w:left w:val="none" w:sz="0" w:space="0" w:color="auto"/>
        <w:bottom w:val="none" w:sz="0" w:space="0" w:color="auto"/>
        <w:right w:val="none" w:sz="0" w:space="0" w:color="auto"/>
      </w:divBdr>
    </w:div>
    <w:div w:id="349767331">
      <w:bodyDiv w:val="1"/>
      <w:marLeft w:val="0"/>
      <w:marRight w:val="0"/>
      <w:marTop w:val="0"/>
      <w:marBottom w:val="0"/>
      <w:divBdr>
        <w:top w:val="none" w:sz="0" w:space="0" w:color="auto"/>
        <w:left w:val="none" w:sz="0" w:space="0" w:color="auto"/>
        <w:bottom w:val="none" w:sz="0" w:space="0" w:color="auto"/>
        <w:right w:val="none" w:sz="0" w:space="0" w:color="auto"/>
      </w:divBdr>
    </w:div>
    <w:div w:id="353851607">
      <w:bodyDiv w:val="1"/>
      <w:marLeft w:val="0"/>
      <w:marRight w:val="0"/>
      <w:marTop w:val="0"/>
      <w:marBottom w:val="0"/>
      <w:divBdr>
        <w:top w:val="none" w:sz="0" w:space="0" w:color="auto"/>
        <w:left w:val="none" w:sz="0" w:space="0" w:color="auto"/>
        <w:bottom w:val="none" w:sz="0" w:space="0" w:color="auto"/>
        <w:right w:val="none" w:sz="0" w:space="0" w:color="auto"/>
      </w:divBdr>
    </w:div>
    <w:div w:id="400712887">
      <w:bodyDiv w:val="1"/>
      <w:marLeft w:val="0"/>
      <w:marRight w:val="0"/>
      <w:marTop w:val="0"/>
      <w:marBottom w:val="0"/>
      <w:divBdr>
        <w:top w:val="none" w:sz="0" w:space="0" w:color="auto"/>
        <w:left w:val="none" w:sz="0" w:space="0" w:color="auto"/>
        <w:bottom w:val="none" w:sz="0" w:space="0" w:color="auto"/>
        <w:right w:val="none" w:sz="0" w:space="0" w:color="auto"/>
      </w:divBdr>
    </w:div>
    <w:div w:id="412893776">
      <w:bodyDiv w:val="1"/>
      <w:marLeft w:val="0"/>
      <w:marRight w:val="0"/>
      <w:marTop w:val="0"/>
      <w:marBottom w:val="0"/>
      <w:divBdr>
        <w:top w:val="none" w:sz="0" w:space="0" w:color="auto"/>
        <w:left w:val="none" w:sz="0" w:space="0" w:color="auto"/>
        <w:bottom w:val="none" w:sz="0" w:space="0" w:color="auto"/>
        <w:right w:val="none" w:sz="0" w:space="0" w:color="auto"/>
      </w:divBdr>
    </w:div>
    <w:div w:id="449668692">
      <w:bodyDiv w:val="1"/>
      <w:marLeft w:val="0"/>
      <w:marRight w:val="0"/>
      <w:marTop w:val="0"/>
      <w:marBottom w:val="0"/>
      <w:divBdr>
        <w:top w:val="none" w:sz="0" w:space="0" w:color="auto"/>
        <w:left w:val="none" w:sz="0" w:space="0" w:color="auto"/>
        <w:bottom w:val="none" w:sz="0" w:space="0" w:color="auto"/>
        <w:right w:val="none" w:sz="0" w:space="0" w:color="auto"/>
      </w:divBdr>
    </w:div>
    <w:div w:id="449713711">
      <w:bodyDiv w:val="1"/>
      <w:marLeft w:val="0"/>
      <w:marRight w:val="0"/>
      <w:marTop w:val="0"/>
      <w:marBottom w:val="0"/>
      <w:divBdr>
        <w:top w:val="none" w:sz="0" w:space="0" w:color="auto"/>
        <w:left w:val="none" w:sz="0" w:space="0" w:color="auto"/>
        <w:bottom w:val="none" w:sz="0" w:space="0" w:color="auto"/>
        <w:right w:val="none" w:sz="0" w:space="0" w:color="auto"/>
      </w:divBdr>
    </w:div>
    <w:div w:id="468480494">
      <w:bodyDiv w:val="1"/>
      <w:marLeft w:val="0"/>
      <w:marRight w:val="0"/>
      <w:marTop w:val="0"/>
      <w:marBottom w:val="0"/>
      <w:divBdr>
        <w:top w:val="none" w:sz="0" w:space="0" w:color="auto"/>
        <w:left w:val="none" w:sz="0" w:space="0" w:color="auto"/>
        <w:bottom w:val="none" w:sz="0" w:space="0" w:color="auto"/>
        <w:right w:val="none" w:sz="0" w:space="0" w:color="auto"/>
      </w:divBdr>
    </w:div>
    <w:div w:id="518737573">
      <w:bodyDiv w:val="1"/>
      <w:marLeft w:val="0"/>
      <w:marRight w:val="0"/>
      <w:marTop w:val="0"/>
      <w:marBottom w:val="0"/>
      <w:divBdr>
        <w:top w:val="none" w:sz="0" w:space="0" w:color="auto"/>
        <w:left w:val="none" w:sz="0" w:space="0" w:color="auto"/>
        <w:bottom w:val="none" w:sz="0" w:space="0" w:color="auto"/>
        <w:right w:val="none" w:sz="0" w:space="0" w:color="auto"/>
      </w:divBdr>
    </w:div>
    <w:div w:id="523325800">
      <w:bodyDiv w:val="1"/>
      <w:marLeft w:val="0"/>
      <w:marRight w:val="0"/>
      <w:marTop w:val="0"/>
      <w:marBottom w:val="0"/>
      <w:divBdr>
        <w:top w:val="none" w:sz="0" w:space="0" w:color="auto"/>
        <w:left w:val="none" w:sz="0" w:space="0" w:color="auto"/>
        <w:bottom w:val="none" w:sz="0" w:space="0" w:color="auto"/>
        <w:right w:val="none" w:sz="0" w:space="0" w:color="auto"/>
      </w:divBdr>
    </w:div>
    <w:div w:id="542906806">
      <w:bodyDiv w:val="1"/>
      <w:marLeft w:val="0"/>
      <w:marRight w:val="0"/>
      <w:marTop w:val="0"/>
      <w:marBottom w:val="0"/>
      <w:divBdr>
        <w:top w:val="none" w:sz="0" w:space="0" w:color="auto"/>
        <w:left w:val="none" w:sz="0" w:space="0" w:color="auto"/>
        <w:bottom w:val="none" w:sz="0" w:space="0" w:color="auto"/>
        <w:right w:val="none" w:sz="0" w:space="0" w:color="auto"/>
      </w:divBdr>
    </w:div>
    <w:div w:id="545726636">
      <w:bodyDiv w:val="1"/>
      <w:marLeft w:val="0"/>
      <w:marRight w:val="0"/>
      <w:marTop w:val="0"/>
      <w:marBottom w:val="0"/>
      <w:divBdr>
        <w:top w:val="none" w:sz="0" w:space="0" w:color="auto"/>
        <w:left w:val="none" w:sz="0" w:space="0" w:color="auto"/>
        <w:bottom w:val="none" w:sz="0" w:space="0" w:color="auto"/>
        <w:right w:val="none" w:sz="0" w:space="0" w:color="auto"/>
      </w:divBdr>
    </w:div>
    <w:div w:id="566377864">
      <w:bodyDiv w:val="1"/>
      <w:marLeft w:val="0"/>
      <w:marRight w:val="0"/>
      <w:marTop w:val="0"/>
      <w:marBottom w:val="0"/>
      <w:divBdr>
        <w:top w:val="none" w:sz="0" w:space="0" w:color="auto"/>
        <w:left w:val="none" w:sz="0" w:space="0" w:color="auto"/>
        <w:bottom w:val="none" w:sz="0" w:space="0" w:color="auto"/>
        <w:right w:val="none" w:sz="0" w:space="0" w:color="auto"/>
      </w:divBdr>
    </w:div>
    <w:div w:id="594941373">
      <w:bodyDiv w:val="1"/>
      <w:marLeft w:val="0"/>
      <w:marRight w:val="0"/>
      <w:marTop w:val="0"/>
      <w:marBottom w:val="0"/>
      <w:divBdr>
        <w:top w:val="none" w:sz="0" w:space="0" w:color="auto"/>
        <w:left w:val="none" w:sz="0" w:space="0" w:color="auto"/>
        <w:bottom w:val="none" w:sz="0" w:space="0" w:color="auto"/>
        <w:right w:val="none" w:sz="0" w:space="0" w:color="auto"/>
      </w:divBdr>
    </w:div>
    <w:div w:id="602106635">
      <w:bodyDiv w:val="1"/>
      <w:marLeft w:val="0"/>
      <w:marRight w:val="0"/>
      <w:marTop w:val="0"/>
      <w:marBottom w:val="0"/>
      <w:divBdr>
        <w:top w:val="none" w:sz="0" w:space="0" w:color="auto"/>
        <w:left w:val="none" w:sz="0" w:space="0" w:color="auto"/>
        <w:bottom w:val="none" w:sz="0" w:space="0" w:color="auto"/>
        <w:right w:val="none" w:sz="0" w:space="0" w:color="auto"/>
      </w:divBdr>
    </w:div>
    <w:div w:id="656736443">
      <w:bodyDiv w:val="1"/>
      <w:marLeft w:val="0"/>
      <w:marRight w:val="0"/>
      <w:marTop w:val="0"/>
      <w:marBottom w:val="0"/>
      <w:divBdr>
        <w:top w:val="none" w:sz="0" w:space="0" w:color="auto"/>
        <w:left w:val="none" w:sz="0" w:space="0" w:color="auto"/>
        <w:bottom w:val="none" w:sz="0" w:space="0" w:color="auto"/>
        <w:right w:val="none" w:sz="0" w:space="0" w:color="auto"/>
      </w:divBdr>
    </w:div>
    <w:div w:id="733745863">
      <w:bodyDiv w:val="1"/>
      <w:marLeft w:val="0"/>
      <w:marRight w:val="0"/>
      <w:marTop w:val="0"/>
      <w:marBottom w:val="0"/>
      <w:divBdr>
        <w:top w:val="none" w:sz="0" w:space="0" w:color="auto"/>
        <w:left w:val="none" w:sz="0" w:space="0" w:color="auto"/>
        <w:bottom w:val="none" w:sz="0" w:space="0" w:color="auto"/>
        <w:right w:val="none" w:sz="0" w:space="0" w:color="auto"/>
      </w:divBdr>
    </w:div>
    <w:div w:id="739401872">
      <w:bodyDiv w:val="1"/>
      <w:marLeft w:val="0"/>
      <w:marRight w:val="0"/>
      <w:marTop w:val="0"/>
      <w:marBottom w:val="0"/>
      <w:divBdr>
        <w:top w:val="none" w:sz="0" w:space="0" w:color="auto"/>
        <w:left w:val="none" w:sz="0" w:space="0" w:color="auto"/>
        <w:bottom w:val="none" w:sz="0" w:space="0" w:color="auto"/>
        <w:right w:val="none" w:sz="0" w:space="0" w:color="auto"/>
      </w:divBdr>
    </w:div>
    <w:div w:id="753743458">
      <w:bodyDiv w:val="1"/>
      <w:marLeft w:val="0"/>
      <w:marRight w:val="0"/>
      <w:marTop w:val="0"/>
      <w:marBottom w:val="0"/>
      <w:divBdr>
        <w:top w:val="none" w:sz="0" w:space="0" w:color="auto"/>
        <w:left w:val="none" w:sz="0" w:space="0" w:color="auto"/>
        <w:bottom w:val="none" w:sz="0" w:space="0" w:color="auto"/>
        <w:right w:val="none" w:sz="0" w:space="0" w:color="auto"/>
      </w:divBdr>
    </w:div>
    <w:div w:id="756293496">
      <w:bodyDiv w:val="1"/>
      <w:marLeft w:val="0"/>
      <w:marRight w:val="0"/>
      <w:marTop w:val="0"/>
      <w:marBottom w:val="0"/>
      <w:divBdr>
        <w:top w:val="none" w:sz="0" w:space="0" w:color="auto"/>
        <w:left w:val="none" w:sz="0" w:space="0" w:color="auto"/>
        <w:bottom w:val="none" w:sz="0" w:space="0" w:color="auto"/>
        <w:right w:val="none" w:sz="0" w:space="0" w:color="auto"/>
      </w:divBdr>
    </w:div>
    <w:div w:id="763304513">
      <w:bodyDiv w:val="1"/>
      <w:marLeft w:val="0"/>
      <w:marRight w:val="0"/>
      <w:marTop w:val="0"/>
      <w:marBottom w:val="0"/>
      <w:divBdr>
        <w:top w:val="none" w:sz="0" w:space="0" w:color="auto"/>
        <w:left w:val="none" w:sz="0" w:space="0" w:color="auto"/>
        <w:bottom w:val="none" w:sz="0" w:space="0" w:color="auto"/>
        <w:right w:val="none" w:sz="0" w:space="0" w:color="auto"/>
      </w:divBdr>
    </w:div>
    <w:div w:id="787820456">
      <w:bodyDiv w:val="1"/>
      <w:marLeft w:val="0"/>
      <w:marRight w:val="0"/>
      <w:marTop w:val="0"/>
      <w:marBottom w:val="0"/>
      <w:divBdr>
        <w:top w:val="none" w:sz="0" w:space="0" w:color="auto"/>
        <w:left w:val="none" w:sz="0" w:space="0" w:color="auto"/>
        <w:bottom w:val="none" w:sz="0" w:space="0" w:color="auto"/>
        <w:right w:val="none" w:sz="0" w:space="0" w:color="auto"/>
      </w:divBdr>
    </w:div>
    <w:div w:id="821578404">
      <w:bodyDiv w:val="1"/>
      <w:marLeft w:val="0"/>
      <w:marRight w:val="0"/>
      <w:marTop w:val="0"/>
      <w:marBottom w:val="0"/>
      <w:divBdr>
        <w:top w:val="none" w:sz="0" w:space="0" w:color="auto"/>
        <w:left w:val="none" w:sz="0" w:space="0" w:color="auto"/>
        <w:bottom w:val="none" w:sz="0" w:space="0" w:color="auto"/>
        <w:right w:val="none" w:sz="0" w:space="0" w:color="auto"/>
      </w:divBdr>
    </w:div>
    <w:div w:id="822817204">
      <w:bodyDiv w:val="1"/>
      <w:marLeft w:val="0"/>
      <w:marRight w:val="0"/>
      <w:marTop w:val="0"/>
      <w:marBottom w:val="0"/>
      <w:divBdr>
        <w:top w:val="none" w:sz="0" w:space="0" w:color="auto"/>
        <w:left w:val="none" w:sz="0" w:space="0" w:color="auto"/>
        <w:bottom w:val="none" w:sz="0" w:space="0" w:color="auto"/>
        <w:right w:val="none" w:sz="0" w:space="0" w:color="auto"/>
      </w:divBdr>
    </w:div>
    <w:div w:id="831525488">
      <w:bodyDiv w:val="1"/>
      <w:marLeft w:val="0"/>
      <w:marRight w:val="0"/>
      <w:marTop w:val="0"/>
      <w:marBottom w:val="0"/>
      <w:divBdr>
        <w:top w:val="none" w:sz="0" w:space="0" w:color="auto"/>
        <w:left w:val="none" w:sz="0" w:space="0" w:color="auto"/>
        <w:bottom w:val="none" w:sz="0" w:space="0" w:color="auto"/>
        <w:right w:val="none" w:sz="0" w:space="0" w:color="auto"/>
      </w:divBdr>
    </w:div>
    <w:div w:id="867841339">
      <w:bodyDiv w:val="1"/>
      <w:marLeft w:val="0"/>
      <w:marRight w:val="0"/>
      <w:marTop w:val="0"/>
      <w:marBottom w:val="0"/>
      <w:divBdr>
        <w:top w:val="none" w:sz="0" w:space="0" w:color="auto"/>
        <w:left w:val="none" w:sz="0" w:space="0" w:color="auto"/>
        <w:bottom w:val="none" w:sz="0" w:space="0" w:color="auto"/>
        <w:right w:val="none" w:sz="0" w:space="0" w:color="auto"/>
      </w:divBdr>
    </w:div>
    <w:div w:id="875778023">
      <w:bodyDiv w:val="1"/>
      <w:marLeft w:val="0"/>
      <w:marRight w:val="0"/>
      <w:marTop w:val="0"/>
      <w:marBottom w:val="0"/>
      <w:divBdr>
        <w:top w:val="none" w:sz="0" w:space="0" w:color="auto"/>
        <w:left w:val="none" w:sz="0" w:space="0" w:color="auto"/>
        <w:bottom w:val="none" w:sz="0" w:space="0" w:color="auto"/>
        <w:right w:val="none" w:sz="0" w:space="0" w:color="auto"/>
      </w:divBdr>
    </w:div>
    <w:div w:id="913780368">
      <w:bodyDiv w:val="1"/>
      <w:marLeft w:val="0"/>
      <w:marRight w:val="0"/>
      <w:marTop w:val="0"/>
      <w:marBottom w:val="0"/>
      <w:divBdr>
        <w:top w:val="none" w:sz="0" w:space="0" w:color="auto"/>
        <w:left w:val="none" w:sz="0" w:space="0" w:color="auto"/>
        <w:bottom w:val="none" w:sz="0" w:space="0" w:color="auto"/>
        <w:right w:val="none" w:sz="0" w:space="0" w:color="auto"/>
      </w:divBdr>
    </w:div>
    <w:div w:id="974873008">
      <w:bodyDiv w:val="1"/>
      <w:marLeft w:val="0"/>
      <w:marRight w:val="0"/>
      <w:marTop w:val="0"/>
      <w:marBottom w:val="0"/>
      <w:divBdr>
        <w:top w:val="none" w:sz="0" w:space="0" w:color="auto"/>
        <w:left w:val="none" w:sz="0" w:space="0" w:color="auto"/>
        <w:bottom w:val="none" w:sz="0" w:space="0" w:color="auto"/>
        <w:right w:val="none" w:sz="0" w:space="0" w:color="auto"/>
      </w:divBdr>
    </w:div>
    <w:div w:id="975255112">
      <w:bodyDiv w:val="1"/>
      <w:marLeft w:val="0"/>
      <w:marRight w:val="0"/>
      <w:marTop w:val="0"/>
      <w:marBottom w:val="0"/>
      <w:divBdr>
        <w:top w:val="none" w:sz="0" w:space="0" w:color="auto"/>
        <w:left w:val="none" w:sz="0" w:space="0" w:color="auto"/>
        <w:bottom w:val="none" w:sz="0" w:space="0" w:color="auto"/>
        <w:right w:val="none" w:sz="0" w:space="0" w:color="auto"/>
      </w:divBdr>
    </w:div>
    <w:div w:id="978998973">
      <w:bodyDiv w:val="1"/>
      <w:marLeft w:val="0"/>
      <w:marRight w:val="0"/>
      <w:marTop w:val="0"/>
      <w:marBottom w:val="0"/>
      <w:divBdr>
        <w:top w:val="none" w:sz="0" w:space="0" w:color="auto"/>
        <w:left w:val="none" w:sz="0" w:space="0" w:color="auto"/>
        <w:bottom w:val="none" w:sz="0" w:space="0" w:color="auto"/>
        <w:right w:val="none" w:sz="0" w:space="0" w:color="auto"/>
      </w:divBdr>
    </w:div>
    <w:div w:id="995844986">
      <w:bodyDiv w:val="1"/>
      <w:marLeft w:val="0"/>
      <w:marRight w:val="0"/>
      <w:marTop w:val="0"/>
      <w:marBottom w:val="0"/>
      <w:divBdr>
        <w:top w:val="none" w:sz="0" w:space="0" w:color="auto"/>
        <w:left w:val="none" w:sz="0" w:space="0" w:color="auto"/>
        <w:bottom w:val="none" w:sz="0" w:space="0" w:color="auto"/>
        <w:right w:val="none" w:sz="0" w:space="0" w:color="auto"/>
      </w:divBdr>
    </w:div>
    <w:div w:id="1004894715">
      <w:bodyDiv w:val="1"/>
      <w:marLeft w:val="0"/>
      <w:marRight w:val="0"/>
      <w:marTop w:val="0"/>
      <w:marBottom w:val="0"/>
      <w:divBdr>
        <w:top w:val="none" w:sz="0" w:space="0" w:color="auto"/>
        <w:left w:val="none" w:sz="0" w:space="0" w:color="auto"/>
        <w:bottom w:val="none" w:sz="0" w:space="0" w:color="auto"/>
        <w:right w:val="none" w:sz="0" w:space="0" w:color="auto"/>
      </w:divBdr>
    </w:div>
    <w:div w:id="1018772566">
      <w:bodyDiv w:val="1"/>
      <w:marLeft w:val="0"/>
      <w:marRight w:val="0"/>
      <w:marTop w:val="0"/>
      <w:marBottom w:val="0"/>
      <w:divBdr>
        <w:top w:val="none" w:sz="0" w:space="0" w:color="auto"/>
        <w:left w:val="none" w:sz="0" w:space="0" w:color="auto"/>
        <w:bottom w:val="none" w:sz="0" w:space="0" w:color="auto"/>
        <w:right w:val="none" w:sz="0" w:space="0" w:color="auto"/>
      </w:divBdr>
    </w:div>
    <w:div w:id="1022904169">
      <w:bodyDiv w:val="1"/>
      <w:marLeft w:val="0"/>
      <w:marRight w:val="0"/>
      <w:marTop w:val="0"/>
      <w:marBottom w:val="0"/>
      <w:divBdr>
        <w:top w:val="none" w:sz="0" w:space="0" w:color="auto"/>
        <w:left w:val="none" w:sz="0" w:space="0" w:color="auto"/>
        <w:bottom w:val="none" w:sz="0" w:space="0" w:color="auto"/>
        <w:right w:val="none" w:sz="0" w:space="0" w:color="auto"/>
      </w:divBdr>
      <w:divsChild>
        <w:div w:id="137919285">
          <w:marLeft w:val="0"/>
          <w:marRight w:val="0"/>
          <w:marTop w:val="0"/>
          <w:marBottom w:val="0"/>
          <w:divBdr>
            <w:top w:val="none" w:sz="0" w:space="0" w:color="auto"/>
            <w:left w:val="none" w:sz="0" w:space="0" w:color="auto"/>
            <w:bottom w:val="none" w:sz="0" w:space="0" w:color="auto"/>
            <w:right w:val="none" w:sz="0" w:space="0" w:color="auto"/>
          </w:divBdr>
          <w:divsChild>
            <w:div w:id="568346529">
              <w:marLeft w:val="75"/>
              <w:marRight w:val="75"/>
              <w:marTop w:val="0"/>
              <w:marBottom w:val="75"/>
              <w:divBdr>
                <w:top w:val="single" w:sz="6" w:space="4" w:color="35446F"/>
                <w:left w:val="single" w:sz="6" w:space="4" w:color="35446F"/>
                <w:bottom w:val="single" w:sz="6" w:space="4" w:color="35446F"/>
                <w:right w:val="single" w:sz="6" w:space="4" w:color="35446F"/>
              </w:divBdr>
              <w:divsChild>
                <w:div w:id="1417748480">
                  <w:marLeft w:val="75"/>
                  <w:marRight w:val="75"/>
                  <w:marTop w:val="0"/>
                  <w:marBottom w:val="75"/>
                  <w:divBdr>
                    <w:top w:val="single" w:sz="6" w:space="4" w:color="35446F"/>
                    <w:left w:val="single" w:sz="6" w:space="4" w:color="35446F"/>
                    <w:bottom w:val="single" w:sz="6" w:space="4" w:color="35446F"/>
                    <w:right w:val="single" w:sz="6" w:space="4" w:color="35446F"/>
                  </w:divBdr>
                  <w:divsChild>
                    <w:div w:id="418987171">
                      <w:marLeft w:val="0"/>
                      <w:marRight w:val="0"/>
                      <w:marTop w:val="0"/>
                      <w:marBottom w:val="0"/>
                      <w:divBdr>
                        <w:top w:val="none" w:sz="0" w:space="0" w:color="auto"/>
                        <w:left w:val="none" w:sz="0" w:space="0" w:color="auto"/>
                        <w:bottom w:val="none" w:sz="0" w:space="0" w:color="auto"/>
                        <w:right w:val="none" w:sz="0" w:space="0" w:color="auto"/>
                      </w:divBdr>
                      <w:divsChild>
                        <w:div w:id="128129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6757950">
      <w:bodyDiv w:val="1"/>
      <w:marLeft w:val="0"/>
      <w:marRight w:val="0"/>
      <w:marTop w:val="0"/>
      <w:marBottom w:val="0"/>
      <w:divBdr>
        <w:top w:val="none" w:sz="0" w:space="0" w:color="auto"/>
        <w:left w:val="none" w:sz="0" w:space="0" w:color="auto"/>
        <w:bottom w:val="none" w:sz="0" w:space="0" w:color="auto"/>
        <w:right w:val="none" w:sz="0" w:space="0" w:color="auto"/>
      </w:divBdr>
    </w:div>
    <w:div w:id="1049375632">
      <w:bodyDiv w:val="1"/>
      <w:marLeft w:val="0"/>
      <w:marRight w:val="0"/>
      <w:marTop w:val="0"/>
      <w:marBottom w:val="0"/>
      <w:divBdr>
        <w:top w:val="none" w:sz="0" w:space="0" w:color="auto"/>
        <w:left w:val="none" w:sz="0" w:space="0" w:color="auto"/>
        <w:bottom w:val="none" w:sz="0" w:space="0" w:color="auto"/>
        <w:right w:val="none" w:sz="0" w:space="0" w:color="auto"/>
      </w:divBdr>
    </w:div>
    <w:div w:id="1086539139">
      <w:bodyDiv w:val="1"/>
      <w:marLeft w:val="0"/>
      <w:marRight w:val="0"/>
      <w:marTop w:val="0"/>
      <w:marBottom w:val="0"/>
      <w:divBdr>
        <w:top w:val="none" w:sz="0" w:space="0" w:color="auto"/>
        <w:left w:val="none" w:sz="0" w:space="0" w:color="auto"/>
        <w:bottom w:val="none" w:sz="0" w:space="0" w:color="auto"/>
        <w:right w:val="none" w:sz="0" w:space="0" w:color="auto"/>
      </w:divBdr>
    </w:div>
    <w:div w:id="1088310608">
      <w:bodyDiv w:val="1"/>
      <w:marLeft w:val="0"/>
      <w:marRight w:val="0"/>
      <w:marTop w:val="0"/>
      <w:marBottom w:val="0"/>
      <w:divBdr>
        <w:top w:val="none" w:sz="0" w:space="0" w:color="auto"/>
        <w:left w:val="none" w:sz="0" w:space="0" w:color="auto"/>
        <w:bottom w:val="none" w:sz="0" w:space="0" w:color="auto"/>
        <w:right w:val="none" w:sz="0" w:space="0" w:color="auto"/>
      </w:divBdr>
    </w:div>
    <w:div w:id="1095319534">
      <w:bodyDiv w:val="1"/>
      <w:marLeft w:val="0"/>
      <w:marRight w:val="0"/>
      <w:marTop w:val="0"/>
      <w:marBottom w:val="0"/>
      <w:divBdr>
        <w:top w:val="none" w:sz="0" w:space="0" w:color="auto"/>
        <w:left w:val="none" w:sz="0" w:space="0" w:color="auto"/>
        <w:bottom w:val="none" w:sz="0" w:space="0" w:color="auto"/>
        <w:right w:val="none" w:sz="0" w:space="0" w:color="auto"/>
      </w:divBdr>
    </w:div>
    <w:div w:id="1097554448">
      <w:bodyDiv w:val="1"/>
      <w:marLeft w:val="0"/>
      <w:marRight w:val="0"/>
      <w:marTop w:val="0"/>
      <w:marBottom w:val="0"/>
      <w:divBdr>
        <w:top w:val="none" w:sz="0" w:space="0" w:color="auto"/>
        <w:left w:val="none" w:sz="0" w:space="0" w:color="auto"/>
        <w:bottom w:val="none" w:sz="0" w:space="0" w:color="auto"/>
        <w:right w:val="none" w:sz="0" w:space="0" w:color="auto"/>
      </w:divBdr>
    </w:div>
    <w:div w:id="1099133544">
      <w:bodyDiv w:val="1"/>
      <w:marLeft w:val="0"/>
      <w:marRight w:val="0"/>
      <w:marTop w:val="0"/>
      <w:marBottom w:val="0"/>
      <w:divBdr>
        <w:top w:val="none" w:sz="0" w:space="0" w:color="auto"/>
        <w:left w:val="none" w:sz="0" w:space="0" w:color="auto"/>
        <w:bottom w:val="none" w:sz="0" w:space="0" w:color="auto"/>
        <w:right w:val="none" w:sz="0" w:space="0" w:color="auto"/>
      </w:divBdr>
    </w:div>
    <w:div w:id="1099790901">
      <w:bodyDiv w:val="1"/>
      <w:marLeft w:val="0"/>
      <w:marRight w:val="0"/>
      <w:marTop w:val="0"/>
      <w:marBottom w:val="0"/>
      <w:divBdr>
        <w:top w:val="none" w:sz="0" w:space="0" w:color="auto"/>
        <w:left w:val="none" w:sz="0" w:space="0" w:color="auto"/>
        <w:bottom w:val="none" w:sz="0" w:space="0" w:color="auto"/>
        <w:right w:val="none" w:sz="0" w:space="0" w:color="auto"/>
      </w:divBdr>
    </w:div>
    <w:div w:id="1141652652">
      <w:bodyDiv w:val="1"/>
      <w:marLeft w:val="0"/>
      <w:marRight w:val="0"/>
      <w:marTop w:val="0"/>
      <w:marBottom w:val="0"/>
      <w:divBdr>
        <w:top w:val="none" w:sz="0" w:space="0" w:color="auto"/>
        <w:left w:val="none" w:sz="0" w:space="0" w:color="auto"/>
        <w:bottom w:val="none" w:sz="0" w:space="0" w:color="auto"/>
        <w:right w:val="none" w:sz="0" w:space="0" w:color="auto"/>
      </w:divBdr>
    </w:div>
    <w:div w:id="1147749029">
      <w:bodyDiv w:val="1"/>
      <w:marLeft w:val="0"/>
      <w:marRight w:val="0"/>
      <w:marTop w:val="0"/>
      <w:marBottom w:val="0"/>
      <w:divBdr>
        <w:top w:val="none" w:sz="0" w:space="0" w:color="auto"/>
        <w:left w:val="none" w:sz="0" w:space="0" w:color="auto"/>
        <w:bottom w:val="none" w:sz="0" w:space="0" w:color="auto"/>
        <w:right w:val="none" w:sz="0" w:space="0" w:color="auto"/>
      </w:divBdr>
    </w:div>
    <w:div w:id="1148784744">
      <w:bodyDiv w:val="1"/>
      <w:marLeft w:val="0"/>
      <w:marRight w:val="0"/>
      <w:marTop w:val="0"/>
      <w:marBottom w:val="0"/>
      <w:divBdr>
        <w:top w:val="none" w:sz="0" w:space="0" w:color="auto"/>
        <w:left w:val="none" w:sz="0" w:space="0" w:color="auto"/>
        <w:bottom w:val="none" w:sz="0" w:space="0" w:color="auto"/>
        <w:right w:val="none" w:sz="0" w:space="0" w:color="auto"/>
      </w:divBdr>
    </w:div>
    <w:div w:id="1172376010">
      <w:bodyDiv w:val="1"/>
      <w:marLeft w:val="0"/>
      <w:marRight w:val="0"/>
      <w:marTop w:val="0"/>
      <w:marBottom w:val="0"/>
      <w:divBdr>
        <w:top w:val="none" w:sz="0" w:space="0" w:color="auto"/>
        <w:left w:val="none" w:sz="0" w:space="0" w:color="auto"/>
        <w:bottom w:val="none" w:sz="0" w:space="0" w:color="auto"/>
        <w:right w:val="none" w:sz="0" w:space="0" w:color="auto"/>
      </w:divBdr>
      <w:divsChild>
        <w:div w:id="34656687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815725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181968625">
      <w:bodyDiv w:val="1"/>
      <w:marLeft w:val="0"/>
      <w:marRight w:val="0"/>
      <w:marTop w:val="0"/>
      <w:marBottom w:val="0"/>
      <w:divBdr>
        <w:top w:val="none" w:sz="0" w:space="0" w:color="auto"/>
        <w:left w:val="none" w:sz="0" w:space="0" w:color="auto"/>
        <w:bottom w:val="none" w:sz="0" w:space="0" w:color="auto"/>
        <w:right w:val="none" w:sz="0" w:space="0" w:color="auto"/>
      </w:divBdr>
    </w:div>
    <w:div w:id="1200162035">
      <w:bodyDiv w:val="1"/>
      <w:marLeft w:val="0"/>
      <w:marRight w:val="0"/>
      <w:marTop w:val="0"/>
      <w:marBottom w:val="0"/>
      <w:divBdr>
        <w:top w:val="none" w:sz="0" w:space="0" w:color="auto"/>
        <w:left w:val="none" w:sz="0" w:space="0" w:color="auto"/>
        <w:bottom w:val="none" w:sz="0" w:space="0" w:color="auto"/>
        <w:right w:val="none" w:sz="0" w:space="0" w:color="auto"/>
      </w:divBdr>
    </w:div>
    <w:div w:id="1231234277">
      <w:bodyDiv w:val="1"/>
      <w:marLeft w:val="0"/>
      <w:marRight w:val="0"/>
      <w:marTop w:val="0"/>
      <w:marBottom w:val="0"/>
      <w:divBdr>
        <w:top w:val="none" w:sz="0" w:space="0" w:color="auto"/>
        <w:left w:val="none" w:sz="0" w:space="0" w:color="auto"/>
        <w:bottom w:val="none" w:sz="0" w:space="0" w:color="auto"/>
        <w:right w:val="none" w:sz="0" w:space="0" w:color="auto"/>
      </w:divBdr>
    </w:div>
    <w:div w:id="1273902173">
      <w:bodyDiv w:val="1"/>
      <w:marLeft w:val="0"/>
      <w:marRight w:val="0"/>
      <w:marTop w:val="0"/>
      <w:marBottom w:val="0"/>
      <w:divBdr>
        <w:top w:val="none" w:sz="0" w:space="0" w:color="auto"/>
        <w:left w:val="none" w:sz="0" w:space="0" w:color="auto"/>
        <w:bottom w:val="none" w:sz="0" w:space="0" w:color="auto"/>
        <w:right w:val="none" w:sz="0" w:space="0" w:color="auto"/>
      </w:divBdr>
    </w:div>
    <w:div w:id="1278372926">
      <w:bodyDiv w:val="1"/>
      <w:marLeft w:val="0"/>
      <w:marRight w:val="0"/>
      <w:marTop w:val="0"/>
      <w:marBottom w:val="0"/>
      <w:divBdr>
        <w:top w:val="none" w:sz="0" w:space="0" w:color="auto"/>
        <w:left w:val="none" w:sz="0" w:space="0" w:color="auto"/>
        <w:bottom w:val="none" w:sz="0" w:space="0" w:color="auto"/>
        <w:right w:val="none" w:sz="0" w:space="0" w:color="auto"/>
      </w:divBdr>
    </w:div>
    <w:div w:id="1315380661">
      <w:bodyDiv w:val="1"/>
      <w:marLeft w:val="0"/>
      <w:marRight w:val="0"/>
      <w:marTop w:val="0"/>
      <w:marBottom w:val="0"/>
      <w:divBdr>
        <w:top w:val="none" w:sz="0" w:space="0" w:color="auto"/>
        <w:left w:val="none" w:sz="0" w:space="0" w:color="auto"/>
        <w:bottom w:val="none" w:sz="0" w:space="0" w:color="auto"/>
        <w:right w:val="none" w:sz="0" w:space="0" w:color="auto"/>
      </w:divBdr>
    </w:div>
    <w:div w:id="1322272653">
      <w:bodyDiv w:val="1"/>
      <w:marLeft w:val="0"/>
      <w:marRight w:val="0"/>
      <w:marTop w:val="0"/>
      <w:marBottom w:val="0"/>
      <w:divBdr>
        <w:top w:val="none" w:sz="0" w:space="0" w:color="auto"/>
        <w:left w:val="none" w:sz="0" w:space="0" w:color="auto"/>
        <w:bottom w:val="none" w:sz="0" w:space="0" w:color="auto"/>
        <w:right w:val="none" w:sz="0" w:space="0" w:color="auto"/>
      </w:divBdr>
    </w:div>
    <w:div w:id="1334914660">
      <w:bodyDiv w:val="1"/>
      <w:marLeft w:val="0"/>
      <w:marRight w:val="0"/>
      <w:marTop w:val="0"/>
      <w:marBottom w:val="0"/>
      <w:divBdr>
        <w:top w:val="none" w:sz="0" w:space="0" w:color="auto"/>
        <w:left w:val="none" w:sz="0" w:space="0" w:color="auto"/>
        <w:bottom w:val="none" w:sz="0" w:space="0" w:color="auto"/>
        <w:right w:val="none" w:sz="0" w:space="0" w:color="auto"/>
      </w:divBdr>
    </w:div>
    <w:div w:id="1367028880">
      <w:bodyDiv w:val="1"/>
      <w:marLeft w:val="0"/>
      <w:marRight w:val="0"/>
      <w:marTop w:val="0"/>
      <w:marBottom w:val="0"/>
      <w:divBdr>
        <w:top w:val="none" w:sz="0" w:space="0" w:color="auto"/>
        <w:left w:val="none" w:sz="0" w:space="0" w:color="auto"/>
        <w:bottom w:val="none" w:sz="0" w:space="0" w:color="auto"/>
        <w:right w:val="none" w:sz="0" w:space="0" w:color="auto"/>
      </w:divBdr>
    </w:div>
    <w:div w:id="1374572500">
      <w:bodyDiv w:val="1"/>
      <w:marLeft w:val="0"/>
      <w:marRight w:val="0"/>
      <w:marTop w:val="0"/>
      <w:marBottom w:val="0"/>
      <w:divBdr>
        <w:top w:val="none" w:sz="0" w:space="0" w:color="auto"/>
        <w:left w:val="none" w:sz="0" w:space="0" w:color="auto"/>
        <w:bottom w:val="none" w:sz="0" w:space="0" w:color="auto"/>
        <w:right w:val="none" w:sz="0" w:space="0" w:color="auto"/>
      </w:divBdr>
    </w:div>
    <w:div w:id="1395549237">
      <w:bodyDiv w:val="1"/>
      <w:marLeft w:val="0"/>
      <w:marRight w:val="0"/>
      <w:marTop w:val="0"/>
      <w:marBottom w:val="0"/>
      <w:divBdr>
        <w:top w:val="none" w:sz="0" w:space="0" w:color="auto"/>
        <w:left w:val="none" w:sz="0" w:space="0" w:color="auto"/>
        <w:bottom w:val="none" w:sz="0" w:space="0" w:color="auto"/>
        <w:right w:val="none" w:sz="0" w:space="0" w:color="auto"/>
      </w:divBdr>
    </w:div>
    <w:div w:id="1405103103">
      <w:bodyDiv w:val="1"/>
      <w:marLeft w:val="0"/>
      <w:marRight w:val="0"/>
      <w:marTop w:val="0"/>
      <w:marBottom w:val="0"/>
      <w:divBdr>
        <w:top w:val="none" w:sz="0" w:space="0" w:color="auto"/>
        <w:left w:val="none" w:sz="0" w:space="0" w:color="auto"/>
        <w:bottom w:val="none" w:sz="0" w:space="0" w:color="auto"/>
        <w:right w:val="none" w:sz="0" w:space="0" w:color="auto"/>
      </w:divBdr>
    </w:div>
    <w:div w:id="1413507092">
      <w:bodyDiv w:val="1"/>
      <w:marLeft w:val="0"/>
      <w:marRight w:val="0"/>
      <w:marTop w:val="0"/>
      <w:marBottom w:val="0"/>
      <w:divBdr>
        <w:top w:val="none" w:sz="0" w:space="0" w:color="auto"/>
        <w:left w:val="none" w:sz="0" w:space="0" w:color="auto"/>
        <w:bottom w:val="none" w:sz="0" w:space="0" w:color="auto"/>
        <w:right w:val="none" w:sz="0" w:space="0" w:color="auto"/>
      </w:divBdr>
    </w:div>
    <w:div w:id="1435245533">
      <w:bodyDiv w:val="1"/>
      <w:marLeft w:val="0"/>
      <w:marRight w:val="0"/>
      <w:marTop w:val="0"/>
      <w:marBottom w:val="0"/>
      <w:divBdr>
        <w:top w:val="none" w:sz="0" w:space="0" w:color="auto"/>
        <w:left w:val="none" w:sz="0" w:space="0" w:color="auto"/>
        <w:bottom w:val="none" w:sz="0" w:space="0" w:color="auto"/>
        <w:right w:val="none" w:sz="0" w:space="0" w:color="auto"/>
      </w:divBdr>
    </w:div>
    <w:div w:id="1444812634">
      <w:bodyDiv w:val="1"/>
      <w:marLeft w:val="0"/>
      <w:marRight w:val="0"/>
      <w:marTop w:val="0"/>
      <w:marBottom w:val="0"/>
      <w:divBdr>
        <w:top w:val="none" w:sz="0" w:space="0" w:color="auto"/>
        <w:left w:val="none" w:sz="0" w:space="0" w:color="auto"/>
        <w:bottom w:val="none" w:sz="0" w:space="0" w:color="auto"/>
        <w:right w:val="none" w:sz="0" w:space="0" w:color="auto"/>
      </w:divBdr>
    </w:div>
    <w:div w:id="1461148756">
      <w:bodyDiv w:val="1"/>
      <w:marLeft w:val="0"/>
      <w:marRight w:val="0"/>
      <w:marTop w:val="0"/>
      <w:marBottom w:val="0"/>
      <w:divBdr>
        <w:top w:val="none" w:sz="0" w:space="0" w:color="auto"/>
        <w:left w:val="none" w:sz="0" w:space="0" w:color="auto"/>
        <w:bottom w:val="none" w:sz="0" w:space="0" w:color="auto"/>
        <w:right w:val="none" w:sz="0" w:space="0" w:color="auto"/>
      </w:divBdr>
      <w:divsChild>
        <w:div w:id="841548662">
          <w:marLeft w:val="0"/>
          <w:marRight w:val="0"/>
          <w:marTop w:val="0"/>
          <w:marBottom w:val="0"/>
          <w:divBdr>
            <w:top w:val="none" w:sz="0" w:space="0" w:color="auto"/>
            <w:left w:val="none" w:sz="0" w:space="0" w:color="auto"/>
            <w:bottom w:val="none" w:sz="0" w:space="0" w:color="auto"/>
            <w:right w:val="none" w:sz="0" w:space="0" w:color="auto"/>
          </w:divBdr>
          <w:divsChild>
            <w:div w:id="782576477">
              <w:marLeft w:val="0"/>
              <w:marRight w:val="0"/>
              <w:marTop w:val="0"/>
              <w:marBottom w:val="0"/>
              <w:divBdr>
                <w:top w:val="none" w:sz="0" w:space="0" w:color="auto"/>
                <w:left w:val="none" w:sz="0" w:space="0" w:color="auto"/>
                <w:bottom w:val="none" w:sz="0" w:space="0" w:color="auto"/>
                <w:right w:val="none" w:sz="0" w:space="0" w:color="auto"/>
              </w:divBdr>
              <w:divsChild>
                <w:div w:id="1241521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5105617">
      <w:bodyDiv w:val="1"/>
      <w:marLeft w:val="0"/>
      <w:marRight w:val="0"/>
      <w:marTop w:val="0"/>
      <w:marBottom w:val="0"/>
      <w:divBdr>
        <w:top w:val="none" w:sz="0" w:space="0" w:color="auto"/>
        <w:left w:val="none" w:sz="0" w:space="0" w:color="auto"/>
        <w:bottom w:val="none" w:sz="0" w:space="0" w:color="auto"/>
        <w:right w:val="none" w:sz="0" w:space="0" w:color="auto"/>
      </w:divBdr>
    </w:div>
    <w:div w:id="1487891955">
      <w:bodyDiv w:val="1"/>
      <w:marLeft w:val="0"/>
      <w:marRight w:val="0"/>
      <w:marTop w:val="0"/>
      <w:marBottom w:val="0"/>
      <w:divBdr>
        <w:top w:val="none" w:sz="0" w:space="0" w:color="auto"/>
        <w:left w:val="none" w:sz="0" w:space="0" w:color="auto"/>
        <w:bottom w:val="none" w:sz="0" w:space="0" w:color="auto"/>
        <w:right w:val="none" w:sz="0" w:space="0" w:color="auto"/>
      </w:divBdr>
    </w:div>
    <w:div w:id="1523663594">
      <w:bodyDiv w:val="1"/>
      <w:marLeft w:val="0"/>
      <w:marRight w:val="0"/>
      <w:marTop w:val="0"/>
      <w:marBottom w:val="0"/>
      <w:divBdr>
        <w:top w:val="none" w:sz="0" w:space="0" w:color="auto"/>
        <w:left w:val="none" w:sz="0" w:space="0" w:color="auto"/>
        <w:bottom w:val="none" w:sz="0" w:space="0" w:color="auto"/>
        <w:right w:val="none" w:sz="0" w:space="0" w:color="auto"/>
      </w:divBdr>
    </w:div>
    <w:div w:id="1535968874">
      <w:bodyDiv w:val="1"/>
      <w:marLeft w:val="0"/>
      <w:marRight w:val="0"/>
      <w:marTop w:val="0"/>
      <w:marBottom w:val="0"/>
      <w:divBdr>
        <w:top w:val="none" w:sz="0" w:space="0" w:color="auto"/>
        <w:left w:val="none" w:sz="0" w:space="0" w:color="auto"/>
        <w:bottom w:val="none" w:sz="0" w:space="0" w:color="auto"/>
        <w:right w:val="none" w:sz="0" w:space="0" w:color="auto"/>
      </w:divBdr>
    </w:div>
    <w:div w:id="1541896227">
      <w:bodyDiv w:val="1"/>
      <w:marLeft w:val="0"/>
      <w:marRight w:val="0"/>
      <w:marTop w:val="0"/>
      <w:marBottom w:val="0"/>
      <w:divBdr>
        <w:top w:val="none" w:sz="0" w:space="0" w:color="auto"/>
        <w:left w:val="none" w:sz="0" w:space="0" w:color="auto"/>
        <w:bottom w:val="none" w:sz="0" w:space="0" w:color="auto"/>
        <w:right w:val="none" w:sz="0" w:space="0" w:color="auto"/>
      </w:divBdr>
    </w:div>
    <w:div w:id="1544706388">
      <w:bodyDiv w:val="1"/>
      <w:marLeft w:val="0"/>
      <w:marRight w:val="0"/>
      <w:marTop w:val="0"/>
      <w:marBottom w:val="0"/>
      <w:divBdr>
        <w:top w:val="none" w:sz="0" w:space="0" w:color="auto"/>
        <w:left w:val="none" w:sz="0" w:space="0" w:color="auto"/>
        <w:bottom w:val="none" w:sz="0" w:space="0" w:color="auto"/>
        <w:right w:val="none" w:sz="0" w:space="0" w:color="auto"/>
      </w:divBdr>
    </w:div>
    <w:div w:id="1580358763">
      <w:bodyDiv w:val="1"/>
      <w:marLeft w:val="0"/>
      <w:marRight w:val="0"/>
      <w:marTop w:val="0"/>
      <w:marBottom w:val="0"/>
      <w:divBdr>
        <w:top w:val="none" w:sz="0" w:space="0" w:color="auto"/>
        <w:left w:val="none" w:sz="0" w:space="0" w:color="auto"/>
        <w:bottom w:val="none" w:sz="0" w:space="0" w:color="auto"/>
        <w:right w:val="none" w:sz="0" w:space="0" w:color="auto"/>
      </w:divBdr>
    </w:div>
    <w:div w:id="1592933246">
      <w:bodyDiv w:val="1"/>
      <w:marLeft w:val="0"/>
      <w:marRight w:val="0"/>
      <w:marTop w:val="0"/>
      <w:marBottom w:val="0"/>
      <w:divBdr>
        <w:top w:val="none" w:sz="0" w:space="0" w:color="auto"/>
        <w:left w:val="none" w:sz="0" w:space="0" w:color="auto"/>
        <w:bottom w:val="none" w:sz="0" w:space="0" w:color="auto"/>
        <w:right w:val="none" w:sz="0" w:space="0" w:color="auto"/>
      </w:divBdr>
    </w:div>
    <w:div w:id="1624774163">
      <w:bodyDiv w:val="1"/>
      <w:marLeft w:val="0"/>
      <w:marRight w:val="0"/>
      <w:marTop w:val="0"/>
      <w:marBottom w:val="0"/>
      <w:divBdr>
        <w:top w:val="none" w:sz="0" w:space="0" w:color="auto"/>
        <w:left w:val="none" w:sz="0" w:space="0" w:color="auto"/>
        <w:bottom w:val="none" w:sz="0" w:space="0" w:color="auto"/>
        <w:right w:val="none" w:sz="0" w:space="0" w:color="auto"/>
      </w:divBdr>
      <w:divsChild>
        <w:div w:id="1329095683">
          <w:marLeft w:val="0"/>
          <w:marRight w:val="0"/>
          <w:marTop w:val="0"/>
          <w:marBottom w:val="0"/>
          <w:divBdr>
            <w:top w:val="none" w:sz="0" w:space="0" w:color="auto"/>
            <w:left w:val="none" w:sz="0" w:space="0" w:color="auto"/>
            <w:bottom w:val="none" w:sz="0" w:space="0" w:color="auto"/>
            <w:right w:val="none" w:sz="0" w:space="0" w:color="auto"/>
          </w:divBdr>
          <w:divsChild>
            <w:div w:id="677275387">
              <w:marLeft w:val="0"/>
              <w:marRight w:val="0"/>
              <w:marTop w:val="0"/>
              <w:marBottom w:val="0"/>
              <w:divBdr>
                <w:top w:val="none" w:sz="0" w:space="0" w:color="auto"/>
                <w:left w:val="none" w:sz="0" w:space="0" w:color="auto"/>
                <w:bottom w:val="none" w:sz="0" w:space="0" w:color="auto"/>
                <w:right w:val="none" w:sz="0" w:space="0" w:color="auto"/>
              </w:divBdr>
              <w:divsChild>
                <w:div w:id="447552542">
                  <w:marLeft w:val="0"/>
                  <w:marRight w:val="0"/>
                  <w:marTop w:val="0"/>
                  <w:marBottom w:val="0"/>
                  <w:divBdr>
                    <w:top w:val="none" w:sz="0" w:space="0" w:color="auto"/>
                    <w:left w:val="none" w:sz="0" w:space="0" w:color="auto"/>
                    <w:bottom w:val="none" w:sz="0" w:space="0" w:color="auto"/>
                    <w:right w:val="none" w:sz="0" w:space="0" w:color="auto"/>
                  </w:divBdr>
                  <w:divsChild>
                    <w:div w:id="1247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8704446">
      <w:bodyDiv w:val="1"/>
      <w:marLeft w:val="0"/>
      <w:marRight w:val="0"/>
      <w:marTop w:val="0"/>
      <w:marBottom w:val="0"/>
      <w:divBdr>
        <w:top w:val="none" w:sz="0" w:space="0" w:color="auto"/>
        <w:left w:val="none" w:sz="0" w:space="0" w:color="auto"/>
        <w:bottom w:val="none" w:sz="0" w:space="0" w:color="auto"/>
        <w:right w:val="none" w:sz="0" w:space="0" w:color="auto"/>
      </w:divBdr>
    </w:div>
    <w:div w:id="1629236321">
      <w:bodyDiv w:val="1"/>
      <w:marLeft w:val="0"/>
      <w:marRight w:val="0"/>
      <w:marTop w:val="0"/>
      <w:marBottom w:val="0"/>
      <w:divBdr>
        <w:top w:val="none" w:sz="0" w:space="0" w:color="auto"/>
        <w:left w:val="none" w:sz="0" w:space="0" w:color="auto"/>
        <w:bottom w:val="none" w:sz="0" w:space="0" w:color="auto"/>
        <w:right w:val="none" w:sz="0" w:space="0" w:color="auto"/>
      </w:divBdr>
    </w:div>
    <w:div w:id="1632662828">
      <w:bodyDiv w:val="1"/>
      <w:marLeft w:val="0"/>
      <w:marRight w:val="0"/>
      <w:marTop w:val="0"/>
      <w:marBottom w:val="0"/>
      <w:divBdr>
        <w:top w:val="none" w:sz="0" w:space="0" w:color="auto"/>
        <w:left w:val="none" w:sz="0" w:space="0" w:color="auto"/>
        <w:bottom w:val="none" w:sz="0" w:space="0" w:color="auto"/>
        <w:right w:val="none" w:sz="0" w:space="0" w:color="auto"/>
      </w:divBdr>
    </w:div>
    <w:div w:id="1640257330">
      <w:bodyDiv w:val="1"/>
      <w:marLeft w:val="0"/>
      <w:marRight w:val="0"/>
      <w:marTop w:val="0"/>
      <w:marBottom w:val="0"/>
      <w:divBdr>
        <w:top w:val="none" w:sz="0" w:space="0" w:color="auto"/>
        <w:left w:val="none" w:sz="0" w:space="0" w:color="auto"/>
        <w:bottom w:val="none" w:sz="0" w:space="0" w:color="auto"/>
        <w:right w:val="none" w:sz="0" w:space="0" w:color="auto"/>
      </w:divBdr>
    </w:div>
    <w:div w:id="1644508689">
      <w:bodyDiv w:val="1"/>
      <w:marLeft w:val="0"/>
      <w:marRight w:val="0"/>
      <w:marTop w:val="0"/>
      <w:marBottom w:val="0"/>
      <w:divBdr>
        <w:top w:val="none" w:sz="0" w:space="0" w:color="auto"/>
        <w:left w:val="none" w:sz="0" w:space="0" w:color="auto"/>
        <w:bottom w:val="none" w:sz="0" w:space="0" w:color="auto"/>
        <w:right w:val="none" w:sz="0" w:space="0" w:color="auto"/>
      </w:divBdr>
    </w:div>
    <w:div w:id="1680352002">
      <w:bodyDiv w:val="1"/>
      <w:marLeft w:val="0"/>
      <w:marRight w:val="0"/>
      <w:marTop w:val="0"/>
      <w:marBottom w:val="0"/>
      <w:divBdr>
        <w:top w:val="none" w:sz="0" w:space="0" w:color="auto"/>
        <w:left w:val="none" w:sz="0" w:space="0" w:color="auto"/>
        <w:bottom w:val="none" w:sz="0" w:space="0" w:color="auto"/>
        <w:right w:val="none" w:sz="0" w:space="0" w:color="auto"/>
      </w:divBdr>
    </w:div>
    <w:div w:id="1699820327">
      <w:bodyDiv w:val="1"/>
      <w:marLeft w:val="0"/>
      <w:marRight w:val="0"/>
      <w:marTop w:val="0"/>
      <w:marBottom w:val="0"/>
      <w:divBdr>
        <w:top w:val="none" w:sz="0" w:space="0" w:color="auto"/>
        <w:left w:val="none" w:sz="0" w:space="0" w:color="auto"/>
        <w:bottom w:val="none" w:sz="0" w:space="0" w:color="auto"/>
        <w:right w:val="none" w:sz="0" w:space="0" w:color="auto"/>
      </w:divBdr>
    </w:div>
    <w:div w:id="1699890013">
      <w:bodyDiv w:val="1"/>
      <w:marLeft w:val="0"/>
      <w:marRight w:val="0"/>
      <w:marTop w:val="0"/>
      <w:marBottom w:val="0"/>
      <w:divBdr>
        <w:top w:val="none" w:sz="0" w:space="0" w:color="auto"/>
        <w:left w:val="none" w:sz="0" w:space="0" w:color="auto"/>
        <w:bottom w:val="none" w:sz="0" w:space="0" w:color="auto"/>
        <w:right w:val="none" w:sz="0" w:space="0" w:color="auto"/>
      </w:divBdr>
    </w:div>
    <w:div w:id="1714234835">
      <w:bodyDiv w:val="1"/>
      <w:marLeft w:val="0"/>
      <w:marRight w:val="0"/>
      <w:marTop w:val="0"/>
      <w:marBottom w:val="0"/>
      <w:divBdr>
        <w:top w:val="none" w:sz="0" w:space="0" w:color="auto"/>
        <w:left w:val="none" w:sz="0" w:space="0" w:color="auto"/>
        <w:bottom w:val="none" w:sz="0" w:space="0" w:color="auto"/>
        <w:right w:val="none" w:sz="0" w:space="0" w:color="auto"/>
      </w:divBdr>
    </w:div>
    <w:div w:id="1718508583">
      <w:bodyDiv w:val="1"/>
      <w:marLeft w:val="0"/>
      <w:marRight w:val="0"/>
      <w:marTop w:val="0"/>
      <w:marBottom w:val="0"/>
      <w:divBdr>
        <w:top w:val="none" w:sz="0" w:space="0" w:color="auto"/>
        <w:left w:val="none" w:sz="0" w:space="0" w:color="auto"/>
        <w:bottom w:val="none" w:sz="0" w:space="0" w:color="auto"/>
        <w:right w:val="none" w:sz="0" w:space="0" w:color="auto"/>
      </w:divBdr>
    </w:div>
    <w:div w:id="1723138569">
      <w:bodyDiv w:val="1"/>
      <w:marLeft w:val="0"/>
      <w:marRight w:val="0"/>
      <w:marTop w:val="0"/>
      <w:marBottom w:val="0"/>
      <w:divBdr>
        <w:top w:val="none" w:sz="0" w:space="0" w:color="auto"/>
        <w:left w:val="none" w:sz="0" w:space="0" w:color="auto"/>
        <w:bottom w:val="none" w:sz="0" w:space="0" w:color="auto"/>
        <w:right w:val="none" w:sz="0" w:space="0" w:color="auto"/>
      </w:divBdr>
    </w:div>
    <w:div w:id="1754279121">
      <w:bodyDiv w:val="1"/>
      <w:marLeft w:val="0"/>
      <w:marRight w:val="0"/>
      <w:marTop w:val="0"/>
      <w:marBottom w:val="0"/>
      <w:divBdr>
        <w:top w:val="none" w:sz="0" w:space="0" w:color="auto"/>
        <w:left w:val="none" w:sz="0" w:space="0" w:color="auto"/>
        <w:bottom w:val="none" w:sz="0" w:space="0" w:color="auto"/>
        <w:right w:val="none" w:sz="0" w:space="0" w:color="auto"/>
      </w:divBdr>
    </w:div>
    <w:div w:id="1757360236">
      <w:bodyDiv w:val="1"/>
      <w:marLeft w:val="0"/>
      <w:marRight w:val="0"/>
      <w:marTop w:val="0"/>
      <w:marBottom w:val="0"/>
      <w:divBdr>
        <w:top w:val="none" w:sz="0" w:space="0" w:color="auto"/>
        <w:left w:val="none" w:sz="0" w:space="0" w:color="auto"/>
        <w:bottom w:val="none" w:sz="0" w:space="0" w:color="auto"/>
        <w:right w:val="none" w:sz="0" w:space="0" w:color="auto"/>
      </w:divBdr>
    </w:div>
    <w:div w:id="1800104803">
      <w:bodyDiv w:val="1"/>
      <w:marLeft w:val="0"/>
      <w:marRight w:val="0"/>
      <w:marTop w:val="0"/>
      <w:marBottom w:val="0"/>
      <w:divBdr>
        <w:top w:val="none" w:sz="0" w:space="0" w:color="auto"/>
        <w:left w:val="none" w:sz="0" w:space="0" w:color="auto"/>
        <w:bottom w:val="none" w:sz="0" w:space="0" w:color="auto"/>
        <w:right w:val="none" w:sz="0" w:space="0" w:color="auto"/>
      </w:divBdr>
    </w:div>
    <w:div w:id="1825269918">
      <w:bodyDiv w:val="1"/>
      <w:marLeft w:val="0"/>
      <w:marRight w:val="0"/>
      <w:marTop w:val="0"/>
      <w:marBottom w:val="0"/>
      <w:divBdr>
        <w:top w:val="none" w:sz="0" w:space="0" w:color="auto"/>
        <w:left w:val="none" w:sz="0" w:space="0" w:color="auto"/>
        <w:bottom w:val="none" w:sz="0" w:space="0" w:color="auto"/>
        <w:right w:val="none" w:sz="0" w:space="0" w:color="auto"/>
      </w:divBdr>
    </w:div>
    <w:div w:id="1831292667">
      <w:bodyDiv w:val="1"/>
      <w:marLeft w:val="0"/>
      <w:marRight w:val="0"/>
      <w:marTop w:val="0"/>
      <w:marBottom w:val="0"/>
      <w:divBdr>
        <w:top w:val="none" w:sz="0" w:space="0" w:color="auto"/>
        <w:left w:val="none" w:sz="0" w:space="0" w:color="auto"/>
        <w:bottom w:val="none" w:sz="0" w:space="0" w:color="auto"/>
        <w:right w:val="none" w:sz="0" w:space="0" w:color="auto"/>
      </w:divBdr>
    </w:div>
    <w:div w:id="1845049367">
      <w:bodyDiv w:val="1"/>
      <w:marLeft w:val="0"/>
      <w:marRight w:val="0"/>
      <w:marTop w:val="0"/>
      <w:marBottom w:val="0"/>
      <w:divBdr>
        <w:top w:val="none" w:sz="0" w:space="0" w:color="auto"/>
        <w:left w:val="none" w:sz="0" w:space="0" w:color="auto"/>
        <w:bottom w:val="none" w:sz="0" w:space="0" w:color="auto"/>
        <w:right w:val="none" w:sz="0" w:space="0" w:color="auto"/>
      </w:divBdr>
    </w:div>
    <w:div w:id="1921019331">
      <w:bodyDiv w:val="1"/>
      <w:marLeft w:val="0"/>
      <w:marRight w:val="0"/>
      <w:marTop w:val="0"/>
      <w:marBottom w:val="0"/>
      <w:divBdr>
        <w:top w:val="none" w:sz="0" w:space="0" w:color="auto"/>
        <w:left w:val="none" w:sz="0" w:space="0" w:color="auto"/>
        <w:bottom w:val="none" w:sz="0" w:space="0" w:color="auto"/>
        <w:right w:val="none" w:sz="0" w:space="0" w:color="auto"/>
      </w:divBdr>
    </w:div>
    <w:div w:id="1921404597">
      <w:bodyDiv w:val="1"/>
      <w:marLeft w:val="0"/>
      <w:marRight w:val="0"/>
      <w:marTop w:val="0"/>
      <w:marBottom w:val="0"/>
      <w:divBdr>
        <w:top w:val="none" w:sz="0" w:space="0" w:color="auto"/>
        <w:left w:val="none" w:sz="0" w:space="0" w:color="auto"/>
        <w:bottom w:val="none" w:sz="0" w:space="0" w:color="auto"/>
        <w:right w:val="none" w:sz="0" w:space="0" w:color="auto"/>
      </w:divBdr>
    </w:div>
    <w:div w:id="1970941035">
      <w:bodyDiv w:val="1"/>
      <w:marLeft w:val="0"/>
      <w:marRight w:val="0"/>
      <w:marTop w:val="0"/>
      <w:marBottom w:val="0"/>
      <w:divBdr>
        <w:top w:val="none" w:sz="0" w:space="0" w:color="auto"/>
        <w:left w:val="none" w:sz="0" w:space="0" w:color="auto"/>
        <w:bottom w:val="none" w:sz="0" w:space="0" w:color="auto"/>
        <w:right w:val="none" w:sz="0" w:space="0" w:color="auto"/>
      </w:divBdr>
    </w:div>
    <w:div w:id="1973097641">
      <w:bodyDiv w:val="1"/>
      <w:marLeft w:val="0"/>
      <w:marRight w:val="0"/>
      <w:marTop w:val="0"/>
      <w:marBottom w:val="0"/>
      <w:divBdr>
        <w:top w:val="none" w:sz="0" w:space="0" w:color="auto"/>
        <w:left w:val="none" w:sz="0" w:space="0" w:color="auto"/>
        <w:bottom w:val="none" w:sz="0" w:space="0" w:color="auto"/>
        <w:right w:val="none" w:sz="0" w:space="0" w:color="auto"/>
      </w:divBdr>
    </w:div>
    <w:div w:id="1994941943">
      <w:bodyDiv w:val="1"/>
      <w:marLeft w:val="0"/>
      <w:marRight w:val="0"/>
      <w:marTop w:val="0"/>
      <w:marBottom w:val="0"/>
      <w:divBdr>
        <w:top w:val="none" w:sz="0" w:space="0" w:color="auto"/>
        <w:left w:val="none" w:sz="0" w:space="0" w:color="auto"/>
        <w:bottom w:val="none" w:sz="0" w:space="0" w:color="auto"/>
        <w:right w:val="none" w:sz="0" w:space="0" w:color="auto"/>
      </w:divBdr>
    </w:div>
    <w:div w:id="2004818015">
      <w:bodyDiv w:val="1"/>
      <w:marLeft w:val="0"/>
      <w:marRight w:val="0"/>
      <w:marTop w:val="0"/>
      <w:marBottom w:val="0"/>
      <w:divBdr>
        <w:top w:val="none" w:sz="0" w:space="0" w:color="auto"/>
        <w:left w:val="none" w:sz="0" w:space="0" w:color="auto"/>
        <w:bottom w:val="none" w:sz="0" w:space="0" w:color="auto"/>
        <w:right w:val="none" w:sz="0" w:space="0" w:color="auto"/>
      </w:divBdr>
    </w:div>
    <w:div w:id="2007441412">
      <w:bodyDiv w:val="1"/>
      <w:marLeft w:val="0"/>
      <w:marRight w:val="0"/>
      <w:marTop w:val="0"/>
      <w:marBottom w:val="0"/>
      <w:divBdr>
        <w:top w:val="none" w:sz="0" w:space="0" w:color="auto"/>
        <w:left w:val="none" w:sz="0" w:space="0" w:color="auto"/>
        <w:bottom w:val="none" w:sz="0" w:space="0" w:color="auto"/>
        <w:right w:val="none" w:sz="0" w:space="0" w:color="auto"/>
      </w:divBdr>
    </w:div>
    <w:div w:id="2029867305">
      <w:bodyDiv w:val="1"/>
      <w:marLeft w:val="0"/>
      <w:marRight w:val="0"/>
      <w:marTop w:val="0"/>
      <w:marBottom w:val="0"/>
      <w:divBdr>
        <w:top w:val="none" w:sz="0" w:space="0" w:color="auto"/>
        <w:left w:val="none" w:sz="0" w:space="0" w:color="auto"/>
        <w:bottom w:val="none" w:sz="0" w:space="0" w:color="auto"/>
        <w:right w:val="none" w:sz="0" w:space="0" w:color="auto"/>
      </w:divBdr>
    </w:div>
    <w:div w:id="2043944005">
      <w:bodyDiv w:val="1"/>
      <w:marLeft w:val="0"/>
      <w:marRight w:val="0"/>
      <w:marTop w:val="0"/>
      <w:marBottom w:val="0"/>
      <w:divBdr>
        <w:top w:val="none" w:sz="0" w:space="0" w:color="auto"/>
        <w:left w:val="none" w:sz="0" w:space="0" w:color="auto"/>
        <w:bottom w:val="none" w:sz="0" w:space="0" w:color="auto"/>
        <w:right w:val="none" w:sz="0" w:space="0" w:color="auto"/>
      </w:divBdr>
    </w:div>
    <w:div w:id="2084250580">
      <w:bodyDiv w:val="1"/>
      <w:marLeft w:val="0"/>
      <w:marRight w:val="0"/>
      <w:marTop w:val="0"/>
      <w:marBottom w:val="0"/>
      <w:divBdr>
        <w:top w:val="none" w:sz="0" w:space="0" w:color="auto"/>
        <w:left w:val="none" w:sz="0" w:space="0" w:color="auto"/>
        <w:bottom w:val="none" w:sz="0" w:space="0" w:color="auto"/>
        <w:right w:val="none" w:sz="0" w:space="0" w:color="auto"/>
      </w:divBdr>
    </w:div>
    <w:div w:id="21200311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eader" Target="header5.xml"/><Relationship Id="rId26" Type="http://schemas.openxmlformats.org/officeDocument/2006/relationships/image" Target="media/image6.jpeg"/><Relationship Id="rId39" Type="http://schemas.openxmlformats.org/officeDocument/2006/relationships/image" Target="media/image14.jpeg"/><Relationship Id="rId21" Type="http://schemas.openxmlformats.org/officeDocument/2006/relationships/footer" Target="footer4.xml"/><Relationship Id="rId34" Type="http://schemas.openxmlformats.org/officeDocument/2006/relationships/chart" Target="charts/chart3.xml"/><Relationship Id="rId42" Type="http://schemas.openxmlformats.org/officeDocument/2006/relationships/chart" Target="charts/chart9.xml"/><Relationship Id="rId47" Type="http://schemas.openxmlformats.org/officeDocument/2006/relationships/image" Target="media/image16.jpeg"/><Relationship Id="rId50" Type="http://schemas.openxmlformats.org/officeDocument/2006/relationships/header" Target="header9.xml"/><Relationship Id="rId55" Type="http://schemas.openxmlformats.org/officeDocument/2006/relationships/header" Target="header13.xml"/><Relationship Id="rId63" Type="http://schemas.openxmlformats.org/officeDocument/2006/relationships/header" Target="header19.xml"/><Relationship Id="rId68" Type="http://schemas.openxmlformats.org/officeDocument/2006/relationships/header" Target="header23.xml"/><Relationship Id="rId76" Type="http://schemas.openxmlformats.org/officeDocument/2006/relationships/header" Target="header27.xml"/><Relationship Id="rId7" Type="http://schemas.openxmlformats.org/officeDocument/2006/relationships/endnotes" Target="endnotes.xml"/><Relationship Id="rId71" Type="http://schemas.openxmlformats.org/officeDocument/2006/relationships/hyperlink" Target="http://portal.hud.gov/hudportal/HUD?src=/program_offices/comm_planning/communitydevelopment/programs" TargetMode="External"/><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9.jpeg"/><Relationship Id="rId11" Type="http://schemas.openxmlformats.org/officeDocument/2006/relationships/footer" Target="footer1.xml"/><Relationship Id="rId24" Type="http://schemas.openxmlformats.org/officeDocument/2006/relationships/image" Target="media/image4.jpeg"/><Relationship Id="rId32" Type="http://schemas.openxmlformats.org/officeDocument/2006/relationships/image" Target="media/image12.jpeg"/><Relationship Id="rId37" Type="http://schemas.openxmlformats.org/officeDocument/2006/relationships/chart" Target="charts/chart6.xml"/><Relationship Id="rId40" Type="http://schemas.openxmlformats.org/officeDocument/2006/relationships/chart" Target="charts/chart7.xml"/><Relationship Id="rId45" Type="http://schemas.openxmlformats.org/officeDocument/2006/relationships/chart" Target="charts/chart12.xml"/><Relationship Id="rId53" Type="http://schemas.openxmlformats.org/officeDocument/2006/relationships/header" Target="header11.xml"/><Relationship Id="rId58" Type="http://schemas.openxmlformats.org/officeDocument/2006/relationships/header" Target="header15.xml"/><Relationship Id="rId66" Type="http://schemas.openxmlformats.org/officeDocument/2006/relationships/header" Target="header21.xml"/><Relationship Id="rId74" Type="http://schemas.openxmlformats.org/officeDocument/2006/relationships/hyperlink" Target="http://portal.hud.gov/hudportal/HUD?src=/program_offices/comm_planning/aidshousing/programs/formula" TargetMode="External"/><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eader" Target="header18.xml"/><Relationship Id="rId10" Type="http://schemas.openxmlformats.org/officeDocument/2006/relationships/header" Target="header1.xml"/><Relationship Id="rId19" Type="http://schemas.openxmlformats.org/officeDocument/2006/relationships/header" Target="header6.xml"/><Relationship Id="rId31" Type="http://schemas.openxmlformats.org/officeDocument/2006/relationships/image" Target="media/image11.jpeg"/><Relationship Id="rId44" Type="http://schemas.openxmlformats.org/officeDocument/2006/relationships/chart" Target="charts/chart11.xml"/><Relationship Id="rId52" Type="http://schemas.openxmlformats.org/officeDocument/2006/relationships/image" Target="media/image18.png"/><Relationship Id="rId60" Type="http://schemas.openxmlformats.org/officeDocument/2006/relationships/header" Target="header17.xml"/><Relationship Id="rId65" Type="http://schemas.openxmlformats.org/officeDocument/2006/relationships/hyperlink" Target="http://www.housingnm.org" TargetMode="External"/><Relationship Id="rId73" Type="http://schemas.openxmlformats.org/officeDocument/2006/relationships/hyperlink" Target="http://portal.hud.gov/hudportal/HUD?src=/program_offices/comm_planning/homeless/programs/esg/" TargetMode="External"/><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3.xml"/><Relationship Id="rId22" Type="http://schemas.openxmlformats.org/officeDocument/2006/relationships/header" Target="header8.xml"/><Relationship Id="rId27" Type="http://schemas.openxmlformats.org/officeDocument/2006/relationships/image" Target="media/image7.jpeg"/><Relationship Id="rId30" Type="http://schemas.openxmlformats.org/officeDocument/2006/relationships/image" Target="media/image10.jpeg"/><Relationship Id="rId35" Type="http://schemas.openxmlformats.org/officeDocument/2006/relationships/chart" Target="charts/chart4.xml"/><Relationship Id="rId43" Type="http://schemas.openxmlformats.org/officeDocument/2006/relationships/chart" Target="charts/chart10.xml"/><Relationship Id="rId48" Type="http://schemas.openxmlformats.org/officeDocument/2006/relationships/chart" Target="charts/chart13.xml"/><Relationship Id="rId56" Type="http://schemas.openxmlformats.org/officeDocument/2006/relationships/footer" Target="footer5.xml"/><Relationship Id="rId64" Type="http://schemas.openxmlformats.org/officeDocument/2006/relationships/header" Target="header20.xml"/><Relationship Id="rId69" Type="http://schemas.openxmlformats.org/officeDocument/2006/relationships/header" Target="header24.xml"/><Relationship Id="rId77" Type="http://schemas.openxmlformats.org/officeDocument/2006/relationships/header" Target="header28.xml"/><Relationship Id="rId8" Type="http://schemas.openxmlformats.org/officeDocument/2006/relationships/image" Target="media/image1.jpeg"/><Relationship Id="rId51" Type="http://schemas.openxmlformats.org/officeDocument/2006/relationships/header" Target="header10.xml"/><Relationship Id="rId72" Type="http://schemas.openxmlformats.org/officeDocument/2006/relationships/hyperlink" Target="http://www.hud.gov/offices/cpd/affordablehousing/programs/home/" TargetMode="Externa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3.jpeg"/><Relationship Id="rId25" Type="http://schemas.openxmlformats.org/officeDocument/2006/relationships/image" Target="media/image5.jpeg"/><Relationship Id="rId33" Type="http://schemas.openxmlformats.org/officeDocument/2006/relationships/chart" Target="charts/chart2.xml"/><Relationship Id="rId38" Type="http://schemas.openxmlformats.org/officeDocument/2006/relationships/image" Target="media/image13.jpeg"/><Relationship Id="rId46" Type="http://schemas.openxmlformats.org/officeDocument/2006/relationships/image" Target="media/image15.jpeg"/><Relationship Id="rId59" Type="http://schemas.openxmlformats.org/officeDocument/2006/relationships/header" Target="header16.xml"/><Relationship Id="rId67" Type="http://schemas.openxmlformats.org/officeDocument/2006/relationships/header" Target="header22.xml"/><Relationship Id="rId20" Type="http://schemas.openxmlformats.org/officeDocument/2006/relationships/header" Target="header7.xml"/><Relationship Id="rId41" Type="http://schemas.openxmlformats.org/officeDocument/2006/relationships/chart" Target="charts/chart8.xml"/><Relationship Id="rId54" Type="http://schemas.openxmlformats.org/officeDocument/2006/relationships/header" Target="header12.xml"/><Relationship Id="rId62" Type="http://schemas.openxmlformats.org/officeDocument/2006/relationships/hyperlink" Target="http://www.housingnm.org" TargetMode="External"/><Relationship Id="rId70" Type="http://schemas.openxmlformats.org/officeDocument/2006/relationships/header" Target="header25.xml"/><Relationship Id="rId75" Type="http://schemas.openxmlformats.org/officeDocument/2006/relationships/header" Target="header2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chart" Target="charts/chart1.xml"/><Relationship Id="rId28" Type="http://schemas.openxmlformats.org/officeDocument/2006/relationships/image" Target="media/image8.jpeg"/><Relationship Id="rId36" Type="http://schemas.openxmlformats.org/officeDocument/2006/relationships/chart" Target="charts/chart5.xml"/><Relationship Id="rId49" Type="http://schemas.openxmlformats.org/officeDocument/2006/relationships/image" Target="media/image17.jpeg"/><Relationship Id="rId57" Type="http://schemas.openxmlformats.org/officeDocument/2006/relationships/header" Target="header14.xml"/></Relationships>
</file>

<file path=word/charts/_rels/chart1.xml.rels><?xml version="1.0" encoding="UTF-8" standalone="yes"?>
<Relationships xmlns="http://schemas.openxmlformats.org/package/2006/relationships"><Relationship Id="rId2" Type="http://schemas.openxmlformats.org/officeDocument/2006/relationships/oleObject" Target="file:///\\Server1\wes\MTDOC15\Census\Census_Est.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Server1\wes\NMMFA03\Additional%20ConsPlan%20Tables\Additional_ConsPlan_Tables.xlsx" TargetMode="External"/><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13.xml.rels><?xml version="1.0" encoding="UTF-8" standalone="yes"?>
<Relationships xmlns="http://schemas.openxmlformats.org/package/2006/relationships"><Relationship Id="rId2" Type="http://schemas.openxmlformats.org/officeDocument/2006/relationships/oleObject" Target="file:///\\Server1\wes\NMMFA03\Additional%20ConsPlan%20Tables\Additional_ConsPlan_Tables.xlsx" TargetMode="External"/><Relationship Id="rId1" Type="http://schemas.openxmlformats.org/officeDocument/2006/relationships/themeOverride" Target="../theme/themeOverride12.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Server1\wes\NMMFA03\Diagrams\NMMFA03_Diagram_NM.xlsx"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file:///\\Server1\wes\NMMFA03\Additional%20ConsPlan%20Tables\Additional_ConsPlan_Tables.xlsx"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file:///\\Server1\wes\NMMFA03\Additional%20ConsPlan%20Tables\Additional_ConsPlan_Tables.xlsx" TargetMode="External"/><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file:///\\Server1\wes\NMMFA03\Additional%20ConsPlan%20Tables\Additional_ConsPlan_Tables.xlsx" TargetMode="External"/><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338163458734325"/>
          <c:y val="3.8461538461538464E-2"/>
          <c:w val="0.8611554024496938"/>
          <c:h val="0.8749501985328757"/>
        </c:manualLayout>
      </c:layout>
      <c:barChart>
        <c:barDir val="col"/>
        <c:grouping val="clustered"/>
        <c:varyColors val="0"/>
        <c:ser>
          <c:idx val="0"/>
          <c:order val="0"/>
          <c:tx>
            <c:strRef>
              <c:f>NM!$C$8</c:f>
              <c:strCache>
                <c:ptCount val="1"/>
                <c:pt idx="0">
                  <c:v>Population Estimate</c:v>
                </c:pt>
              </c:strCache>
            </c:strRef>
          </c:tx>
          <c:invertIfNegative val="0"/>
          <c:dPt>
            <c:idx val="0"/>
            <c:invertIfNegative val="0"/>
            <c:bubble3D val="0"/>
            <c:spPr>
              <a:solidFill>
                <a:schemeClr val="accent2"/>
              </a:solidFill>
            </c:spPr>
          </c:dPt>
          <c:dPt>
            <c:idx val="10"/>
            <c:invertIfNegative val="0"/>
            <c:bubble3D val="0"/>
            <c:spPr>
              <a:solidFill>
                <a:schemeClr val="accent2"/>
              </a:solidFill>
            </c:spPr>
          </c:dPt>
          <c:dLbls>
            <c:dLbl>
              <c:idx val="0"/>
              <c:layout>
                <c:manualLayout>
                  <c:x val="2.0833333333333332E-2"/>
                  <c:y val="-3.8461538461538464E-2"/>
                </c:manualLayout>
              </c:layout>
              <c:spPr/>
              <c:txPr>
                <a:bodyPr/>
                <a:lstStyle/>
                <a:p>
                  <a:pPr>
                    <a:defRPr sz="800" b="1">
                      <a:latin typeface="Arial" panose="020B0604020202020204" pitchFamily="34" charset="0"/>
                      <a:cs typeface="Arial" panose="020B060402020202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extLst>
            </c:dLbl>
            <c:dLbl>
              <c:idx val="10"/>
              <c:layout>
                <c:manualLayout>
                  <c:x val="-6.9444444444444441E-3"/>
                  <c:y val="4.2731677771047846E-3"/>
                </c:manualLayout>
              </c:layout>
              <c:spPr/>
              <c:txPr>
                <a:bodyPr/>
                <a:lstStyle/>
                <a:p>
                  <a:pPr>
                    <a:defRPr sz="800" b="1">
                      <a:latin typeface="Arial" panose="020B0604020202020204" pitchFamily="34" charset="0"/>
                      <a:cs typeface="Arial" panose="020B060402020202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extLst>
            </c:dLbl>
            <c:dLbl>
              <c:idx val="13"/>
              <c:layout>
                <c:manualLayout>
                  <c:x val="-1.3888888888888888E-2"/>
                  <c:y val="-8.5470085470085479E-3"/>
                </c:manualLayout>
              </c:layout>
              <c:spPr/>
              <c:txPr>
                <a:bodyPr/>
                <a:lstStyle/>
                <a:p>
                  <a:pPr>
                    <a:defRPr sz="800" b="1">
                      <a:latin typeface="Arial" panose="020B0604020202020204" pitchFamily="34" charset="0"/>
                      <a:cs typeface="Arial" panose="020B060402020202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NM!$B$9:$B$22</c:f>
              <c:numCache>
                <c:formatCode>General</c:formatCode>
                <c:ptCount val="14"/>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numCache>
            </c:numRef>
          </c:cat>
          <c:val>
            <c:numRef>
              <c:f>NM!$C$9:$C$22</c:f>
              <c:numCache>
                <c:formatCode>#,##0</c:formatCode>
                <c:ptCount val="14"/>
                <c:pt idx="0">
                  <c:v>1819046</c:v>
                </c:pt>
                <c:pt idx="1">
                  <c:v>1831690</c:v>
                </c:pt>
                <c:pt idx="2">
                  <c:v>1855309</c:v>
                </c:pt>
                <c:pt idx="3">
                  <c:v>1877574</c:v>
                </c:pt>
                <c:pt idx="4">
                  <c:v>1903808</c:v>
                </c:pt>
                <c:pt idx="5">
                  <c:v>1932274</c:v>
                </c:pt>
                <c:pt idx="6">
                  <c:v>1962137</c:v>
                </c:pt>
                <c:pt idx="7">
                  <c:v>1990070</c:v>
                </c:pt>
                <c:pt idx="8">
                  <c:v>2010662</c:v>
                </c:pt>
                <c:pt idx="9">
                  <c:v>2036802</c:v>
                </c:pt>
                <c:pt idx="10">
                  <c:v>2059179</c:v>
                </c:pt>
                <c:pt idx="11">
                  <c:v>2077919</c:v>
                </c:pt>
                <c:pt idx="12">
                  <c:v>2083540</c:v>
                </c:pt>
                <c:pt idx="13">
                  <c:v>2085287</c:v>
                </c:pt>
              </c:numCache>
            </c:numRef>
          </c:val>
        </c:ser>
        <c:dLbls>
          <c:showLegendKey val="0"/>
          <c:showVal val="0"/>
          <c:showCatName val="0"/>
          <c:showSerName val="0"/>
          <c:showPercent val="0"/>
          <c:showBubbleSize val="0"/>
        </c:dLbls>
        <c:gapWidth val="75"/>
        <c:axId val="167656912"/>
        <c:axId val="220124992"/>
      </c:barChart>
      <c:catAx>
        <c:axId val="167656912"/>
        <c:scaling>
          <c:orientation val="minMax"/>
        </c:scaling>
        <c:delete val="0"/>
        <c:axPos val="b"/>
        <c:numFmt formatCode="General" sourceLinked="1"/>
        <c:majorTickMark val="out"/>
        <c:minorTickMark val="none"/>
        <c:tickLblPos val="nextTo"/>
        <c:txPr>
          <a:bodyPr/>
          <a:lstStyle/>
          <a:p>
            <a:pPr>
              <a:defRPr sz="800" b="1">
                <a:latin typeface="Arial" panose="020B0604020202020204" pitchFamily="34" charset="0"/>
                <a:cs typeface="Arial" panose="020B0604020202020204" pitchFamily="34" charset="0"/>
              </a:defRPr>
            </a:pPr>
            <a:endParaRPr lang="en-US"/>
          </a:p>
        </c:txPr>
        <c:crossAx val="220124992"/>
        <c:crosses val="autoZero"/>
        <c:auto val="1"/>
        <c:lblAlgn val="ctr"/>
        <c:lblOffset val="100"/>
        <c:noMultiLvlLbl val="0"/>
      </c:catAx>
      <c:valAx>
        <c:axId val="220124992"/>
        <c:scaling>
          <c:orientation val="minMax"/>
        </c:scaling>
        <c:delete val="0"/>
        <c:axPos val="l"/>
        <c:majorGridlines/>
        <c:numFmt formatCode="#,##0" sourceLinked="1"/>
        <c:majorTickMark val="out"/>
        <c:minorTickMark val="none"/>
        <c:tickLblPos val="nextTo"/>
        <c:txPr>
          <a:bodyPr/>
          <a:lstStyle/>
          <a:p>
            <a:pPr>
              <a:defRPr sz="800" b="1">
                <a:latin typeface="Arial" panose="020B0604020202020204" pitchFamily="34" charset="0"/>
                <a:cs typeface="Arial" panose="020B0604020202020204" pitchFamily="34" charset="0"/>
              </a:defRPr>
            </a:pPr>
            <a:endParaRPr lang="en-US"/>
          </a:p>
        </c:txPr>
        <c:crossAx val="167656912"/>
        <c:crosses val="autoZero"/>
        <c:crossBetween val="between"/>
      </c:valAx>
      <c:spPr>
        <a:solidFill>
          <a:schemeClr val="bg2"/>
        </a:solidFill>
        <a:ln>
          <a:noFill/>
        </a:ln>
      </c:spPr>
    </c:plotArea>
    <c:plotVisOnly val="1"/>
    <c:dispBlanksAs val="gap"/>
    <c:showDLblsOverMax val="0"/>
  </c:chart>
  <c:spPr>
    <a:ln>
      <a:noFill/>
    </a:ln>
  </c:sp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6078302712160973E-2"/>
          <c:y val="5.5555555555555552E-2"/>
          <c:w val="0.87845873432487609"/>
          <c:h val="0.79767279090113741"/>
        </c:manualLayout>
      </c:layout>
      <c:lineChart>
        <c:grouping val="standard"/>
        <c:varyColors val="0"/>
        <c:ser>
          <c:idx val="0"/>
          <c:order val="0"/>
          <c:tx>
            <c:strRef>
              <c:f>CensusRate!$H$2</c:f>
              <c:strCache>
                <c:ptCount val="1"/>
                <c:pt idx="0">
                  <c:v>New Mexico</c:v>
                </c:pt>
              </c:strCache>
            </c:strRef>
          </c:tx>
          <c:marker>
            <c:symbol val="circle"/>
            <c:size val="5"/>
          </c:marker>
          <c:cat>
            <c:strRef>
              <c:f>CensusRate!$A$3:$A$30</c:f>
              <c:strCache>
                <c:ptCount val="28"/>
                <c:pt idx="0">
                  <c:v>86</c:v>
                </c:pt>
                <c:pt idx="1">
                  <c:v>87</c:v>
                </c:pt>
                <c:pt idx="2">
                  <c:v>88</c:v>
                </c:pt>
                <c:pt idx="3">
                  <c:v>89</c:v>
                </c:pt>
                <c:pt idx="4">
                  <c:v>90</c:v>
                </c:pt>
                <c:pt idx="5">
                  <c:v>91</c:v>
                </c:pt>
                <c:pt idx="6">
                  <c:v>92</c:v>
                </c:pt>
                <c:pt idx="7">
                  <c:v>93</c:v>
                </c:pt>
                <c:pt idx="8">
                  <c:v>94</c:v>
                </c:pt>
                <c:pt idx="9">
                  <c:v>95</c:v>
                </c:pt>
                <c:pt idx="10">
                  <c:v>96</c:v>
                </c:pt>
                <c:pt idx="11">
                  <c:v>97</c:v>
                </c:pt>
                <c:pt idx="12">
                  <c:v>98</c:v>
                </c:pt>
                <c:pt idx="13">
                  <c:v>99</c:v>
                </c:pt>
                <c:pt idx="14">
                  <c:v>00</c:v>
                </c:pt>
                <c:pt idx="15">
                  <c:v>01</c:v>
                </c:pt>
                <c:pt idx="16">
                  <c:v>02</c:v>
                </c:pt>
                <c:pt idx="17">
                  <c:v>03</c:v>
                </c:pt>
                <c:pt idx="18">
                  <c:v>04</c:v>
                </c:pt>
                <c:pt idx="19">
                  <c:v>05</c:v>
                </c:pt>
                <c:pt idx="20">
                  <c:v>06</c:v>
                </c:pt>
                <c:pt idx="21">
                  <c:v>07</c:v>
                </c:pt>
                <c:pt idx="22">
                  <c:v>08</c:v>
                </c:pt>
                <c:pt idx="23">
                  <c:v>09</c:v>
                </c:pt>
                <c:pt idx="24">
                  <c:v>10</c:v>
                </c:pt>
                <c:pt idx="25">
                  <c:v>11</c:v>
                </c:pt>
                <c:pt idx="26">
                  <c:v>12</c:v>
                </c:pt>
                <c:pt idx="27">
                  <c:v>13</c:v>
                </c:pt>
              </c:strCache>
            </c:strRef>
          </c:cat>
          <c:val>
            <c:numRef>
              <c:f>CensusRate!$H$3:$H$30</c:f>
              <c:numCache>
                <c:formatCode>General</c:formatCode>
                <c:ptCount val="28"/>
                <c:pt idx="0">
                  <c:v>9.3000000000000007</c:v>
                </c:pt>
                <c:pt idx="1">
                  <c:v>10.7</c:v>
                </c:pt>
                <c:pt idx="2">
                  <c:v>8.8000000000000007</c:v>
                </c:pt>
                <c:pt idx="3">
                  <c:v>12.7</c:v>
                </c:pt>
                <c:pt idx="4">
                  <c:v>13.7</c:v>
                </c:pt>
                <c:pt idx="5">
                  <c:v>13.2</c:v>
                </c:pt>
                <c:pt idx="6">
                  <c:v>7.8</c:v>
                </c:pt>
                <c:pt idx="7">
                  <c:v>3.7</c:v>
                </c:pt>
                <c:pt idx="8">
                  <c:v>5.0999999999999996</c:v>
                </c:pt>
                <c:pt idx="9">
                  <c:v>4.8</c:v>
                </c:pt>
                <c:pt idx="10">
                  <c:v>7.1</c:v>
                </c:pt>
                <c:pt idx="11">
                  <c:v>9.5</c:v>
                </c:pt>
                <c:pt idx="12">
                  <c:v>10.199999999999999</c:v>
                </c:pt>
                <c:pt idx="13">
                  <c:v>12.5</c:v>
                </c:pt>
                <c:pt idx="14">
                  <c:v>13.2</c:v>
                </c:pt>
                <c:pt idx="15">
                  <c:v>12.7</c:v>
                </c:pt>
                <c:pt idx="16">
                  <c:v>10.7</c:v>
                </c:pt>
                <c:pt idx="17">
                  <c:v>11.4</c:v>
                </c:pt>
                <c:pt idx="18">
                  <c:v>8.1</c:v>
                </c:pt>
                <c:pt idx="19">
                  <c:v>7.7</c:v>
                </c:pt>
                <c:pt idx="20">
                  <c:v>8.1</c:v>
                </c:pt>
                <c:pt idx="21">
                  <c:v>9.3000000000000007</c:v>
                </c:pt>
                <c:pt idx="22">
                  <c:v>7.6</c:v>
                </c:pt>
                <c:pt idx="23">
                  <c:v>9.5</c:v>
                </c:pt>
                <c:pt idx="24">
                  <c:v>6.3</c:v>
                </c:pt>
                <c:pt idx="25">
                  <c:v>7.4</c:v>
                </c:pt>
                <c:pt idx="26">
                  <c:v>7</c:v>
                </c:pt>
                <c:pt idx="27">
                  <c:v>9.6</c:v>
                </c:pt>
              </c:numCache>
            </c:numRef>
          </c:val>
          <c:smooth val="0"/>
        </c:ser>
        <c:ser>
          <c:idx val="1"/>
          <c:order val="1"/>
          <c:tx>
            <c:strRef>
              <c:f>CensusRate!$J$2</c:f>
              <c:strCache>
                <c:ptCount val="1"/>
                <c:pt idx="0">
                  <c:v>U.S.</c:v>
                </c:pt>
              </c:strCache>
            </c:strRef>
          </c:tx>
          <c:marker>
            <c:symbol val="square"/>
            <c:size val="5"/>
          </c:marker>
          <c:cat>
            <c:strRef>
              <c:f>CensusRate!$A$3:$A$30</c:f>
              <c:strCache>
                <c:ptCount val="28"/>
                <c:pt idx="0">
                  <c:v>86</c:v>
                </c:pt>
                <c:pt idx="1">
                  <c:v>87</c:v>
                </c:pt>
                <c:pt idx="2">
                  <c:v>88</c:v>
                </c:pt>
                <c:pt idx="3">
                  <c:v>89</c:v>
                </c:pt>
                <c:pt idx="4">
                  <c:v>90</c:v>
                </c:pt>
                <c:pt idx="5">
                  <c:v>91</c:v>
                </c:pt>
                <c:pt idx="6">
                  <c:v>92</c:v>
                </c:pt>
                <c:pt idx="7">
                  <c:v>93</c:v>
                </c:pt>
                <c:pt idx="8">
                  <c:v>94</c:v>
                </c:pt>
                <c:pt idx="9">
                  <c:v>95</c:v>
                </c:pt>
                <c:pt idx="10">
                  <c:v>96</c:v>
                </c:pt>
                <c:pt idx="11">
                  <c:v>97</c:v>
                </c:pt>
                <c:pt idx="12">
                  <c:v>98</c:v>
                </c:pt>
                <c:pt idx="13">
                  <c:v>99</c:v>
                </c:pt>
                <c:pt idx="14">
                  <c:v>00</c:v>
                </c:pt>
                <c:pt idx="15">
                  <c:v>01</c:v>
                </c:pt>
                <c:pt idx="16">
                  <c:v>02</c:v>
                </c:pt>
                <c:pt idx="17">
                  <c:v>03</c:v>
                </c:pt>
                <c:pt idx="18">
                  <c:v>04</c:v>
                </c:pt>
                <c:pt idx="19">
                  <c:v>05</c:v>
                </c:pt>
                <c:pt idx="20">
                  <c:v>06</c:v>
                </c:pt>
                <c:pt idx="21">
                  <c:v>07</c:v>
                </c:pt>
                <c:pt idx="22">
                  <c:v>08</c:v>
                </c:pt>
                <c:pt idx="23">
                  <c:v>09</c:v>
                </c:pt>
                <c:pt idx="24">
                  <c:v>10</c:v>
                </c:pt>
                <c:pt idx="25">
                  <c:v>11</c:v>
                </c:pt>
                <c:pt idx="26">
                  <c:v>12</c:v>
                </c:pt>
                <c:pt idx="27">
                  <c:v>13</c:v>
                </c:pt>
              </c:strCache>
            </c:strRef>
          </c:cat>
          <c:val>
            <c:numRef>
              <c:f>CensusRate!$J$3:$J$30</c:f>
              <c:numCache>
                <c:formatCode>General</c:formatCode>
                <c:ptCount val="28"/>
                <c:pt idx="0">
                  <c:v>7.3</c:v>
                </c:pt>
                <c:pt idx="1">
                  <c:v>7.7</c:v>
                </c:pt>
                <c:pt idx="2">
                  <c:v>7.7</c:v>
                </c:pt>
                <c:pt idx="3">
                  <c:v>7.4</c:v>
                </c:pt>
                <c:pt idx="4">
                  <c:v>7.2</c:v>
                </c:pt>
                <c:pt idx="5">
                  <c:v>7.4</c:v>
                </c:pt>
                <c:pt idx="6">
                  <c:v>7.4</c:v>
                </c:pt>
                <c:pt idx="7">
                  <c:v>7.3</c:v>
                </c:pt>
                <c:pt idx="8">
                  <c:v>7.4</c:v>
                </c:pt>
                <c:pt idx="9">
                  <c:v>7.6</c:v>
                </c:pt>
                <c:pt idx="10">
                  <c:v>7.8</c:v>
                </c:pt>
                <c:pt idx="11">
                  <c:v>7.7</c:v>
                </c:pt>
                <c:pt idx="12">
                  <c:v>7.9</c:v>
                </c:pt>
                <c:pt idx="13">
                  <c:v>8.1</c:v>
                </c:pt>
                <c:pt idx="14">
                  <c:v>8</c:v>
                </c:pt>
                <c:pt idx="15">
                  <c:v>8.4</c:v>
                </c:pt>
                <c:pt idx="16">
                  <c:v>8.9</c:v>
                </c:pt>
                <c:pt idx="17">
                  <c:v>9.8000000000000007</c:v>
                </c:pt>
                <c:pt idx="18">
                  <c:v>10.199999999999999</c:v>
                </c:pt>
                <c:pt idx="19">
                  <c:v>9.8000000000000007</c:v>
                </c:pt>
                <c:pt idx="20">
                  <c:v>9.6999999999999993</c:v>
                </c:pt>
                <c:pt idx="21">
                  <c:v>9.6999999999999993</c:v>
                </c:pt>
                <c:pt idx="22">
                  <c:v>10</c:v>
                </c:pt>
                <c:pt idx="23">
                  <c:v>10.6</c:v>
                </c:pt>
                <c:pt idx="24">
                  <c:v>10.199999999999999</c:v>
                </c:pt>
                <c:pt idx="25">
                  <c:v>9.5</c:v>
                </c:pt>
                <c:pt idx="26">
                  <c:v>8.6999999999999993</c:v>
                </c:pt>
                <c:pt idx="27">
                  <c:v>8.3000000000000007</c:v>
                </c:pt>
              </c:numCache>
            </c:numRef>
          </c:val>
          <c:smooth val="0"/>
        </c:ser>
        <c:dLbls>
          <c:showLegendKey val="0"/>
          <c:showVal val="0"/>
          <c:showCatName val="0"/>
          <c:showSerName val="0"/>
          <c:showPercent val="0"/>
          <c:showBubbleSize val="0"/>
        </c:dLbls>
        <c:marker val="1"/>
        <c:smooth val="0"/>
        <c:axId val="219641408"/>
        <c:axId val="219641800"/>
      </c:lineChart>
      <c:catAx>
        <c:axId val="219641408"/>
        <c:scaling>
          <c:orientation val="minMax"/>
        </c:scaling>
        <c:delete val="0"/>
        <c:axPos val="b"/>
        <c:numFmt formatCode="General" sourceLinked="1"/>
        <c:majorTickMark val="none"/>
        <c:minorTickMark val="none"/>
        <c:tickLblPos val="nextTo"/>
        <c:txPr>
          <a:bodyPr/>
          <a:lstStyle/>
          <a:p>
            <a:pPr>
              <a:defRPr sz="800" b="1">
                <a:latin typeface="Arial" panose="020B0604020202020204" pitchFamily="34" charset="0"/>
                <a:cs typeface="Arial" panose="020B0604020202020204" pitchFamily="34" charset="0"/>
              </a:defRPr>
            </a:pPr>
            <a:endParaRPr lang="en-US"/>
          </a:p>
        </c:txPr>
        <c:crossAx val="219641800"/>
        <c:crosses val="autoZero"/>
        <c:auto val="1"/>
        <c:lblAlgn val="ctr"/>
        <c:lblOffset val="100"/>
        <c:noMultiLvlLbl val="0"/>
      </c:catAx>
      <c:valAx>
        <c:axId val="219641800"/>
        <c:scaling>
          <c:orientation val="minMax"/>
          <c:min val="2.5"/>
        </c:scaling>
        <c:delete val="0"/>
        <c:axPos val="l"/>
        <c:majorGridlines/>
        <c:title>
          <c:tx>
            <c:rich>
              <a:bodyPr rot="-5400000" vert="horz"/>
              <a:lstStyle/>
              <a:p>
                <a:pPr>
                  <a:defRPr/>
                </a:pPr>
                <a:r>
                  <a:rPr lang="en-US"/>
                  <a:t>Rental Vacancy Rate</a:t>
                </a:r>
              </a:p>
            </c:rich>
          </c:tx>
          <c:overlay val="0"/>
        </c:title>
        <c:numFmt formatCode="General" sourceLinked="1"/>
        <c:majorTickMark val="none"/>
        <c:minorTickMark val="none"/>
        <c:tickLblPos val="nextTo"/>
        <c:spPr>
          <a:ln w="9525">
            <a:noFill/>
          </a:ln>
        </c:spPr>
        <c:txPr>
          <a:bodyPr/>
          <a:lstStyle/>
          <a:p>
            <a:pPr>
              <a:defRPr sz="800" b="1">
                <a:latin typeface="Arial" panose="020B0604020202020204" pitchFamily="34" charset="0"/>
                <a:cs typeface="Arial" panose="020B0604020202020204" pitchFamily="34" charset="0"/>
              </a:defRPr>
            </a:pPr>
            <a:endParaRPr lang="en-US"/>
          </a:p>
        </c:txPr>
        <c:crossAx val="219641408"/>
        <c:crosses val="autoZero"/>
        <c:crossBetween val="between"/>
      </c:valAx>
      <c:spPr>
        <a:solidFill>
          <a:schemeClr val="bg2"/>
        </a:solidFill>
      </c:spPr>
    </c:plotArea>
    <c:legend>
      <c:legendPos val="b"/>
      <c:layout>
        <c:manualLayout>
          <c:xMode val="edge"/>
          <c:yMode val="edge"/>
          <c:x val="6.9056576261300684E-2"/>
          <c:y val="0.91417558382125308"/>
          <c:w val="0.87770268299795862"/>
          <c:h val="7.7277407631738335E-2"/>
        </c:manualLayout>
      </c:layout>
      <c:overlay val="0"/>
      <c:txPr>
        <a:bodyPr/>
        <a:lstStyle/>
        <a:p>
          <a:pPr>
            <a:defRPr b="1"/>
          </a:pPr>
          <a:endParaRPr lang="en-US"/>
        </a:p>
      </c:txPr>
    </c:legend>
    <c:plotVisOnly val="1"/>
    <c:dispBlanksAs val="gap"/>
    <c:showDLblsOverMax val="0"/>
  </c:chart>
  <c:spPr>
    <a:noFill/>
    <a:ln>
      <a:noFill/>
    </a:ln>
  </c:sp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163513414989793"/>
          <c:y val="7.864021804966688E-2"/>
          <c:w val="0.84634824292796729"/>
          <c:h val="0.73775691500100948"/>
        </c:manualLayout>
      </c:layout>
      <c:barChart>
        <c:barDir val="col"/>
        <c:grouping val="stacked"/>
        <c:varyColors val="0"/>
        <c:ser>
          <c:idx val="0"/>
          <c:order val="0"/>
          <c:tx>
            <c:strRef>
              <c:f>Diagrams!$AE$2</c:f>
              <c:strCache>
                <c:ptCount val="1"/>
                <c:pt idx="0">
                  <c:v>Single Family Units</c:v>
                </c:pt>
              </c:strCache>
            </c:strRef>
          </c:tx>
          <c:invertIfNegative val="0"/>
          <c:cat>
            <c:numRef>
              <c:f>Diagrams!$A$14:$A$46</c:f>
              <c:numCache>
                <c:formatCode>0</c:formatCode>
                <c:ptCount val="33"/>
                <c:pt idx="0">
                  <c:v>1980</c:v>
                </c:pt>
                <c:pt idx="1">
                  <c:v>1981</c:v>
                </c:pt>
                <c:pt idx="2">
                  <c:v>1982</c:v>
                </c:pt>
                <c:pt idx="3">
                  <c:v>1983</c:v>
                </c:pt>
                <c:pt idx="4">
                  <c:v>1984</c:v>
                </c:pt>
                <c:pt idx="5">
                  <c:v>1985</c:v>
                </c:pt>
                <c:pt idx="6">
                  <c:v>1986</c:v>
                </c:pt>
                <c:pt idx="7">
                  <c:v>1987</c:v>
                </c:pt>
                <c:pt idx="8">
                  <c:v>1988</c:v>
                </c:pt>
                <c:pt idx="9">
                  <c:v>1989</c:v>
                </c:pt>
                <c:pt idx="10">
                  <c:v>1990</c:v>
                </c:pt>
                <c:pt idx="11">
                  <c:v>1991</c:v>
                </c:pt>
                <c:pt idx="12">
                  <c:v>1992</c:v>
                </c:pt>
                <c:pt idx="13">
                  <c:v>1993</c:v>
                </c:pt>
                <c:pt idx="14">
                  <c:v>1994</c:v>
                </c:pt>
                <c:pt idx="15">
                  <c:v>1995</c:v>
                </c:pt>
                <c:pt idx="16">
                  <c:v>1996</c:v>
                </c:pt>
                <c:pt idx="17">
                  <c:v>1997</c:v>
                </c:pt>
                <c:pt idx="18">
                  <c:v>1998</c:v>
                </c:pt>
                <c:pt idx="19">
                  <c:v>1999</c:v>
                </c:pt>
                <c:pt idx="20">
                  <c:v>2000</c:v>
                </c:pt>
                <c:pt idx="21">
                  <c:v>2001</c:v>
                </c:pt>
                <c:pt idx="22">
                  <c:v>2002</c:v>
                </c:pt>
                <c:pt idx="23">
                  <c:v>2003</c:v>
                </c:pt>
                <c:pt idx="24">
                  <c:v>2004</c:v>
                </c:pt>
                <c:pt idx="25">
                  <c:v>2005</c:v>
                </c:pt>
                <c:pt idx="26">
                  <c:v>2006</c:v>
                </c:pt>
                <c:pt idx="27">
                  <c:v>2007</c:v>
                </c:pt>
                <c:pt idx="28">
                  <c:v>2008</c:v>
                </c:pt>
                <c:pt idx="29">
                  <c:v>2009</c:v>
                </c:pt>
                <c:pt idx="30">
                  <c:v>2010</c:v>
                </c:pt>
                <c:pt idx="31">
                  <c:v>2011</c:v>
                </c:pt>
                <c:pt idx="32">
                  <c:v>2012</c:v>
                </c:pt>
              </c:numCache>
            </c:numRef>
          </c:cat>
          <c:val>
            <c:numRef>
              <c:f>Diagrams!$AE$3:$AE$35</c:f>
              <c:numCache>
                <c:formatCode>#,##0</c:formatCode>
                <c:ptCount val="33"/>
                <c:pt idx="0">
                  <c:v>6090</c:v>
                </c:pt>
                <c:pt idx="1">
                  <c:v>5630</c:v>
                </c:pt>
                <c:pt idx="2">
                  <c:v>5540</c:v>
                </c:pt>
                <c:pt idx="3">
                  <c:v>8081</c:v>
                </c:pt>
                <c:pt idx="4">
                  <c:v>7955</c:v>
                </c:pt>
                <c:pt idx="5">
                  <c:v>7150</c:v>
                </c:pt>
                <c:pt idx="6">
                  <c:v>8122</c:v>
                </c:pt>
                <c:pt idx="7">
                  <c:v>7338</c:v>
                </c:pt>
                <c:pt idx="8">
                  <c:v>5337</c:v>
                </c:pt>
                <c:pt idx="9">
                  <c:v>5349</c:v>
                </c:pt>
                <c:pt idx="10">
                  <c:v>5018</c:v>
                </c:pt>
                <c:pt idx="11">
                  <c:v>5413</c:v>
                </c:pt>
                <c:pt idx="12">
                  <c:v>6898</c:v>
                </c:pt>
                <c:pt idx="13">
                  <c:v>8145</c:v>
                </c:pt>
                <c:pt idx="14">
                  <c:v>9246</c:v>
                </c:pt>
                <c:pt idx="15">
                  <c:v>8619</c:v>
                </c:pt>
                <c:pt idx="16">
                  <c:v>8842</c:v>
                </c:pt>
                <c:pt idx="17">
                  <c:v>8182</c:v>
                </c:pt>
                <c:pt idx="18">
                  <c:v>9217</c:v>
                </c:pt>
                <c:pt idx="19">
                  <c:v>8595</c:v>
                </c:pt>
                <c:pt idx="20">
                  <c:v>8190</c:v>
                </c:pt>
                <c:pt idx="21">
                  <c:v>8950</c:v>
                </c:pt>
                <c:pt idx="22">
                  <c:v>10361</c:v>
                </c:pt>
                <c:pt idx="23">
                  <c:v>11865</c:v>
                </c:pt>
                <c:pt idx="24">
                  <c:v>11674</c:v>
                </c:pt>
                <c:pt idx="25">
                  <c:v>13417</c:v>
                </c:pt>
                <c:pt idx="26">
                  <c:v>12294</c:v>
                </c:pt>
                <c:pt idx="27">
                  <c:v>8234</c:v>
                </c:pt>
                <c:pt idx="28">
                  <c:v>5224</c:v>
                </c:pt>
                <c:pt idx="29">
                  <c:v>4140</c:v>
                </c:pt>
                <c:pt idx="30">
                  <c:v>4006</c:v>
                </c:pt>
                <c:pt idx="31">
                  <c:v>3399</c:v>
                </c:pt>
                <c:pt idx="32">
                  <c:v>3220</c:v>
                </c:pt>
              </c:numCache>
            </c:numRef>
          </c:val>
        </c:ser>
        <c:ser>
          <c:idx val="1"/>
          <c:order val="1"/>
          <c:tx>
            <c:strRef>
              <c:f>Diagrams!$AH$2</c:f>
              <c:strCache>
                <c:ptCount val="1"/>
                <c:pt idx="0">
                  <c:v>Multi-Family Units</c:v>
                </c:pt>
              </c:strCache>
            </c:strRef>
          </c:tx>
          <c:invertIfNegative val="0"/>
          <c:val>
            <c:numRef>
              <c:f>Diagrams!$AH$3:$AH$35</c:f>
              <c:numCache>
                <c:formatCode>#,##0</c:formatCode>
                <c:ptCount val="33"/>
                <c:pt idx="0">
                  <c:v>1431</c:v>
                </c:pt>
                <c:pt idx="1">
                  <c:v>1292</c:v>
                </c:pt>
                <c:pt idx="2">
                  <c:v>2513</c:v>
                </c:pt>
                <c:pt idx="3">
                  <c:v>2041</c:v>
                </c:pt>
                <c:pt idx="4">
                  <c:v>7716</c:v>
                </c:pt>
                <c:pt idx="5">
                  <c:v>4243</c:v>
                </c:pt>
                <c:pt idx="6">
                  <c:v>3116</c:v>
                </c:pt>
                <c:pt idx="7">
                  <c:v>1730</c:v>
                </c:pt>
                <c:pt idx="8">
                  <c:v>990</c:v>
                </c:pt>
                <c:pt idx="9">
                  <c:v>1044</c:v>
                </c:pt>
                <c:pt idx="10">
                  <c:v>733</c:v>
                </c:pt>
                <c:pt idx="11">
                  <c:v>558</c:v>
                </c:pt>
                <c:pt idx="12">
                  <c:v>255</c:v>
                </c:pt>
                <c:pt idx="13">
                  <c:v>459</c:v>
                </c:pt>
                <c:pt idx="14">
                  <c:v>2009</c:v>
                </c:pt>
                <c:pt idx="15">
                  <c:v>2296</c:v>
                </c:pt>
                <c:pt idx="16">
                  <c:v>1229</c:v>
                </c:pt>
                <c:pt idx="17">
                  <c:v>1960</c:v>
                </c:pt>
                <c:pt idx="18">
                  <c:v>910</c:v>
                </c:pt>
                <c:pt idx="19">
                  <c:v>899</c:v>
                </c:pt>
                <c:pt idx="20">
                  <c:v>605</c:v>
                </c:pt>
                <c:pt idx="21">
                  <c:v>943</c:v>
                </c:pt>
                <c:pt idx="22">
                  <c:v>1503</c:v>
                </c:pt>
                <c:pt idx="23">
                  <c:v>1349</c:v>
                </c:pt>
                <c:pt idx="24">
                  <c:v>678</c:v>
                </c:pt>
                <c:pt idx="25">
                  <c:v>570</c:v>
                </c:pt>
                <c:pt idx="26">
                  <c:v>1059</c:v>
                </c:pt>
                <c:pt idx="27">
                  <c:v>646</c:v>
                </c:pt>
                <c:pt idx="28">
                  <c:v>673</c:v>
                </c:pt>
                <c:pt idx="29">
                  <c:v>442</c:v>
                </c:pt>
                <c:pt idx="30">
                  <c:v>479</c:v>
                </c:pt>
                <c:pt idx="31">
                  <c:v>348</c:v>
                </c:pt>
                <c:pt idx="32">
                  <c:v>1159</c:v>
                </c:pt>
              </c:numCache>
            </c:numRef>
          </c:val>
        </c:ser>
        <c:dLbls>
          <c:showLegendKey val="0"/>
          <c:showVal val="0"/>
          <c:showCatName val="0"/>
          <c:showSerName val="0"/>
          <c:showPercent val="0"/>
          <c:showBubbleSize val="0"/>
        </c:dLbls>
        <c:gapWidth val="75"/>
        <c:overlap val="100"/>
        <c:axId val="220330944"/>
        <c:axId val="220331336"/>
      </c:barChart>
      <c:catAx>
        <c:axId val="220330944"/>
        <c:scaling>
          <c:orientation val="minMax"/>
        </c:scaling>
        <c:delete val="0"/>
        <c:axPos val="b"/>
        <c:numFmt formatCode="0" sourceLinked="1"/>
        <c:majorTickMark val="out"/>
        <c:minorTickMark val="none"/>
        <c:tickLblPos val="nextTo"/>
        <c:spPr>
          <a:ln w="3175">
            <a:solidFill>
              <a:srgbClr val="000000"/>
            </a:solidFill>
            <a:prstDash val="solid"/>
          </a:ln>
        </c:spPr>
        <c:txPr>
          <a:bodyPr rot="0" vert="horz"/>
          <a:lstStyle/>
          <a:p>
            <a:pPr>
              <a:defRPr sz="800" b="1" i="0" u="none" strike="noStrike" baseline="0">
                <a:solidFill>
                  <a:srgbClr val="000000"/>
                </a:solidFill>
                <a:latin typeface="Arial"/>
                <a:ea typeface="Arial"/>
                <a:cs typeface="Arial"/>
              </a:defRPr>
            </a:pPr>
            <a:endParaRPr lang="en-US"/>
          </a:p>
        </c:txPr>
        <c:crossAx val="220331336"/>
        <c:crosses val="autoZero"/>
        <c:auto val="1"/>
        <c:lblAlgn val="ctr"/>
        <c:lblOffset val="100"/>
        <c:noMultiLvlLbl val="0"/>
      </c:catAx>
      <c:valAx>
        <c:axId val="220331336"/>
        <c:scaling>
          <c:orientation val="minMax"/>
        </c:scaling>
        <c:delete val="0"/>
        <c:axPos val="l"/>
        <c:majorGridlines>
          <c:spPr>
            <a:ln w="3175">
              <a:solidFill>
                <a:srgbClr val="000000"/>
              </a:solidFill>
              <a:prstDash val="solid"/>
            </a:ln>
          </c:spPr>
        </c:majorGridlines>
        <c:title>
          <c:tx>
            <c:rich>
              <a:bodyPr/>
              <a:lstStyle/>
              <a:p>
                <a:pPr>
                  <a:defRPr sz="800" b="1" i="0" u="none" strike="noStrike" baseline="0">
                    <a:solidFill>
                      <a:srgbClr val="000000"/>
                    </a:solidFill>
                    <a:latin typeface="Arial"/>
                    <a:ea typeface="Arial"/>
                    <a:cs typeface="Arial"/>
                  </a:defRPr>
                </a:pPr>
                <a:r>
                  <a:rPr lang="en-US"/>
                  <a:t>Number of Units</a:t>
                </a:r>
              </a:p>
            </c:rich>
          </c:tx>
          <c:layout>
            <c:manualLayout>
              <c:xMode val="edge"/>
              <c:yMode val="edge"/>
              <c:x val="1.2272163896179644E-2"/>
              <c:y val="0.32074836799246248"/>
            </c:manualLayout>
          </c:layout>
          <c:overlay val="0"/>
          <c:spPr>
            <a:noFill/>
            <a:ln w="25400">
              <a:noFill/>
            </a:ln>
          </c:spPr>
        </c:title>
        <c:numFmt formatCode="#,##0" sourceLinked="1"/>
        <c:majorTickMark val="out"/>
        <c:minorTickMark val="none"/>
        <c:tickLblPos val="nextTo"/>
        <c:spPr>
          <a:ln w="3175">
            <a:solidFill>
              <a:srgbClr val="000000"/>
            </a:solidFill>
            <a:prstDash val="solid"/>
          </a:ln>
        </c:spPr>
        <c:txPr>
          <a:bodyPr rot="0" vert="horz"/>
          <a:lstStyle/>
          <a:p>
            <a:pPr>
              <a:defRPr sz="800" b="1" i="0" u="none" strike="noStrike" baseline="0">
                <a:solidFill>
                  <a:srgbClr val="000000"/>
                </a:solidFill>
                <a:latin typeface="Arial"/>
                <a:ea typeface="Arial"/>
                <a:cs typeface="Arial"/>
              </a:defRPr>
            </a:pPr>
            <a:endParaRPr lang="en-US"/>
          </a:p>
        </c:txPr>
        <c:crossAx val="220330944"/>
        <c:crosses val="autoZero"/>
        <c:crossBetween val="between"/>
      </c:valAx>
      <c:spPr>
        <a:solidFill>
          <a:srgbClr val="FFFFE1"/>
        </a:solidFill>
        <a:ln w="12700">
          <a:solidFill>
            <a:srgbClr val="808080"/>
          </a:solidFill>
          <a:prstDash val="solid"/>
        </a:ln>
      </c:spPr>
    </c:plotArea>
    <c:legend>
      <c:legendPos val="b"/>
      <c:layout>
        <c:manualLayout>
          <c:xMode val="edge"/>
          <c:yMode val="edge"/>
          <c:x val="0.10352653834937299"/>
          <c:y val="0.90278046974897364"/>
          <c:w val="0.85425087489063867"/>
          <c:h val="6.3442694663167098E-2"/>
        </c:manualLayout>
      </c:layout>
      <c:overlay val="0"/>
      <c:txPr>
        <a:bodyPr/>
        <a:lstStyle/>
        <a:p>
          <a:pPr>
            <a:defRPr b="1"/>
          </a:pPr>
          <a:endParaRPr lang="en-US"/>
        </a:p>
      </c:txPr>
    </c:legend>
    <c:plotVisOnly val="1"/>
    <c:dispBlanksAs val="gap"/>
    <c:showDLblsOverMax val="0"/>
  </c:chart>
  <c:spPr>
    <a:noFill/>
    <a:ln w="25400">
      <a:noFill/>
      <a:prstDash val="solid"/>
    </a:ln>
  </c:spPr>
  <c:txPr>
    <a:bodyPr/>
    <a:lstStyle/>
    <a:p>
      <a:pPr>
        <a:defRPr sz="800" b="0" i="0" u="none" strike="noStrike" baseline="0">
          <a:solidFill>
            <a:srgbClr val="000000"/>
          </a:solidFill>
          <a:latin typeface="Arial"/>
          <a:ea typeface="Arial"/>
          <a:cs typeface="Arial"/>
        </a:defRPr>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926326917468649"/>
          <c:y val="6.520930076048187E-2"/>
          <c:w val="0.75375565033537473"/>
          <c:h val="0.78359546402853486"/>
        </c:manualLayout>
      </c:layout>
      <c:barChart>
        <c:barDir val="col"/>
        <c:grouping val="clustered"/>
        <c:varyColors val="0"/>
        <c:ser>
          <c:idx val="0"/>
          <c:order val="0"/>
          <c:tx>
            <c:strRef>
              <c:f>'\\Server1\wes\NMMFA03\Diagrams\[NMMFA03_Diagram_NE.xlsx]Diagrams'!$AE$2</c:f>
              <c:strCache>
                <c:ptCount val="1"/>
                <c:pt idx="0">
                  <c:v>Single Family Units</c:v>
                </c:pt>
              </c:strCache>
            </c:strRef>
          </c:tx>
          <c:spPr>
            <a:solidFill>
              <a:srgbClr val="1A9629"/>
            </a:solidFill>
          </c:spPr>
          <c:invertIfNegative val="0"/>
          <c:cat>
            <c:numRef>
              <c:f>'\\Server1\wes\NMMFA03\Diagrams\[NMMFA03_Diagram_NM.xlsx]Diagrams'!$A$14:$A$46</c:f>
              <c:numCache>
                <c:formatCode>General</c:formatCode>
                <c:ptCount val="33"/>
                <c:pt idx="0">
                  <c:v>1980</c:v>
                </c:pt>
                <c:pt idx="1">
                  <c:v>1981</c:v>
                </c:pt>
                <c:pt idx="2">
                  <c:v>1982</c:v>
                </c:pt>
                <c:pt idx="3">
                  <c:v>1983</c:v>
                </c:pt>
                <c:pt idx="4">
                  <c:v>1984</c:v>
                </c:pt>
                <c:pt idx="5">
                  <c:v>1985</c:v>
                </c:pt>
                <c:pt idx="6">
                  <c:v>1986</c:v>
                </c:pt>
                <c:pt idx="7">
                  <c:v>1987</c:v>
                </c:pt>
                <c:pt idx="8">
                  <c:v>1988</c:v>
                </c:pt>
                <c:pt idx="9">
                  <c:v>1989</c:v>
                </c:pt>
                <c:pt idx="10">
                  <c:v>1990</c:v>
                </c:pt>
                <c:pt idx="11">
                  <c:v>1991</c:v>
                </c:pt>
                <c:pt idx="12">
                  <c:v>1992</c:v>
                </c:pt>
                <c:pt idx="13">
                  <c:v>1993</c:v>
                </c:pt>
                <c:pt idx="14">
                  <c:v>1994</c:v>
                </c:pt>
                <c:pt idx="15">
                  <c:v>1995</c:v>
                </c:pt>
                <c:pt idx="16">
                  <c:v>1996</c:v>
                </c:pt>
                <c:pt idx="17">
                  <c:v>1997</c:v>
                </c:pt>
                <c:pt idx="18">
                  <c:v>1998</c:v>
                </c:pt>
                <c:pt idx="19">
                  <c:v>1999</c:v>
                </c:pt>
                <c:pt idx="20">
                  <c:v>2000</c:v>
                </c:pt>
                <c:pt idx="21">
                  <c:v>2001</c:v>
                </c:pt>
                <c:pt idx="22">
                  <c:v>2002</c:v>
                </c:pt>
                <c:pt idx="23">
                  <c:v>2003</c:v>
                </c:pt>
                <c:pt idx="24">
                  <c:v>2004</c:v>
                </c:pt>
                <c:pt idx="25">
                  <c:v>2005</c:v>
                </c:pt>
                <c:pt idx="26">
                  <c:v>2006</c:v>
                </c:pt>
                <c:pt idx="27">
                  <c:v>2007</c:v>
                </c:pt>
                <c:pt idx="28">
                  <c:v>2008</c:v>
                </c:pt>
                <c:pt idx="29">
                  <c:v>2009</c:v>
                </c:pt>
                <c:pt idx="30">
                  <c:v>2010</c:v>
                </c:pt>
                <c:pt idx="31">
                  <c:v>2011</c:v>
                </c:pt>
                <c:pt idx="32">
                  <c:v>2012</c:v>
                </c:pt>
              </c:numCache>
            </c:numRef>
          </c:cat>
          <c:val>
            <c:numRef>
              <c:f>'\\Server1\wes\NMMFA03\Diagrams\[NMMFA03_Diagram_NE.xlsx]Diagrams'!$AE$3:$AE$35</c:f>
              <c:numCache>
                <c:formatCode>General</c:formatCode>
                <c:ptCount val="33"/>
                <c:pt idx="0">
                  <c:v>3761</c:v>
                </c:pt>
                <c:pt idx="1">
                  <c:v>3891</c:v>
                </c:pt>
                <c:pt idx="2">
                  <c:v>3888</c:v>
                </c:pt>
                <c:pt idx="3">
                  <c:v>4528</c:v>
                </c:pt>
                <c:pt idx="4">
                  <c:v>4358</c:v>
                </c:pt>
                <c:pt idx="5">
                  <c:v>4219</c:v>
                </c:pt>
                <c:pt idx="6">
                  <c:v>4658</c:v>
                </c:pt>
                <c:pt idx="7">
                  <c:v>4106</c:v>
                </c:pt>
                <c:pt idx="8">
                  <c:v>2794</c:v>
                </c:pt>
                <c:pt idx="9">
                  <c:v>2687</c:v>
                </c:pt>
                <c:pt idx="10">
                  <c:v>2842</c:v>
                </c:pt>
                <c:pt idx="11">
                  <c:v>3156</c:v>
                </c:pt>
                <c:pt idx="12">
                  <c:v>3585</c:v>
                </c:pt>
                <c:pt idx="13">
                  <c:v>4097</c:v>
                </c:pt>
                <c:pt idx="14">
                  <c:v>4695</c:v>
                </c:pt>
                <c:pt idx="15">
                  <c:v>4298</c:v>
                </c:pt>
                <c:pt idx="16">
                  <c:v>4388</c:v>
                </c:pt>
                <c:pt idx="17">
                  <c:v>4051</c:v>
                </c:pt>
                <c:pt idx="18">
                  <c:v>4191</c:v>
                </c:pt>
                <c:pt idx="19">
                  <c:v>3687</c:v>
                </c:pt>
                <c:pt idx="20">
                  <c:v>3459</c:v>
                </c:pt>
                <c:pt idx="21">
                  <c:v>3511</c:v>
                </c:pt>
                <c:pt idx="22">
                  <c:v>3993</c:v>
                </c:pt>
                <c:pt idx="23">
                  <c:v>4234</c:v>
                </c:pt>
                <c:pt idx="24">
                  <c:v>3749</c:v>
                </c:pt>
                <c:pt idx="25">
                  <c:v>4995</c:v>
                </c:pt>
                <c:pt idx="26">
                  <c:v>4760</c:v>
                </c:pt>
                <c:pt idx="27">
                  <c:v>3516</c:v>
                </c:pt>
                <c:pt idx="28">
                  <c:v>2541</c:v>
                </c:pt>
                <c:pt idx="29">
                  <c:v>1960</c:v>
                </c:pt>
                <c:pt idx="30">
                  <c:v>1861</c:v>
                </c:pt>
                <c:pt idx="31">
                  <c:v>1576</c:v>
                </c:pt>
                <c:pt idx="32">
                  <c:v>1504</c:v>
                </c:pt>
              </c:numCache>
            </c:numRef>
          </c:val>
        </c:ser>
        <c:dLbls>
          <c:showLegendKey val="0"/>
          <c:showVal val="0"/>
          <c:showCatName val="0"/>
          <c:showSerName val="0"/>
          <c:showPercent val="0"/>
          <c:showBubbleSize val="0"/>
        </c:dLbls>
        <c:gapWidth val="75"/>
        <c:axId val="220332120"/>
        <c:axId val="220332512"/>
      </c:barChart>
      <c:lineChart>
        <c:grouping val="standard"/>
        <c:varyColors val="0"/>
        <c:ser>
          <c:idx val="1"/>
          <c:order val="1"/>
          <c:tx>
            <c:strRef>
              <c:f>'\\Server1\wes\NMMFA03\Diagrams\[NMMFA03_Diagram_NE.xlsx]Diagrams'!$AF$2</c:f>
              <c:strCache>
                <c:ptCount val="1"/>
                <c:pt idx="0">
                  <c:v>Single Family Value</c:v>
                </c:pt>
              </c:strCache>
            </c:strRef>
          </c:tx>
          <c:marker>
            <c:symbol val="none"/>
          </c:marker>
          <c:val>
            <c:numRef>
              <c:f>'\\Server1\wes\NMMFA03\Diagrams\[NMMFA03_Diagram_NE.xlsx]Diagrams'!$AF$3:$AF$35</c:f>
              <c:numCache>
                <c:formatCode>General</c:formatCode>
                <c:ptCount val="33"/>
                <c:pt idx="0">
                  <c:v>104.02356094243135</c:v>
                </c:pt>
                <c:pt idx="1">
                  <c:v>99.005308972150416</c:v>
                </c:pt>
                <c:pt idx="2">
                  <c:v>98.650161326311107</c:v>
                </c:pt>
                <c:pt idx="3">
                  <c:v>103.02264217509278</c:v>
                </c:pt>
                <c:pt idx="4">
                  <c:v>115.05735414722108</c:v>
                </c:pt>
                <c:pt idx="5">
                  <c:v>121.24757088694307</c:v>
                </c:pt>
                <c:pt idx="6">
                  <c:v>116.56348081376535</c:v>
                </c:pt>
                <c:pt idx="7">
                  <c:v>113.74404083484539</c:v>
                </c:pt>
                <c:pt idx="8">
                  <c:v>124.73101577179742</c:v>
                </c:pt>
                <c:pt idx="9">
                  <c:v>127.732374165821</c:v>
                </c:pt>
                <c:pt idx="10">
                  <c:v>135.59501346564144</c:v>
                </c:pt>
                <c:pt idx="11">
                  <c:v>123.47243452518634</c:v>
                </c:pt>
                <c:pt idx="12">
                  <c:v>132.03869891720018</c:v>
                </c:pt>
                <c:pt idx="13">
                  <c:v>142.6917481124872</c:v>
                </c:pt>
                <c:pt idx="14">
                  <c:v>142.84124441062426</c:v>
                </c:pt>
                <c:pt idx="15">
                  <c:v>140.58270921351587</c:v>
                </c:pt>
                <c:pt idx="16">
                  <c:v>202.04990877992421</c:v>
                </c:pt>
                <c:pt idx="17">
                  <c:v>146.87463612677541</c:v>
                </c:pt>
                <c:pt idx="18">
                  <c:v>160.8529000160097</c:v>
                </c:pt>
                <c:pt idx="19">
                  <c:v>196.2574686290757</c:v>
                </c:pt>
                <c:pt idx="20">
                  <c:v>213.26823485370326</c:v>
                </c:pt>
                <c:pt idx="21">
                  <c:v>209.57094725404892</c:v>
                </c:pt>
                <c:pt idx="22">
                  <c:v>216.92496796505688</c:v>
                </c:pt>
                <c:pt idx="23">
                  <c:v>219.60929130559768</c:v>
                </c:pt>
                <c:pt idx="24">
                  <c:v>226.46288451244439</c:v>
                </c:pt>
                <c:pt idx="25">
                  <c:v>228.74517952768764</c:v>
                </c:pt>
                <c:pt idx="26">
                  <c:v>233.70104940433424</c:v>
                </c:pt>
                <c:pt idx="27">
                  <c:v>236.20741826615895</c:v>
                </c:pt>
                <c:pt idx="28">
                  <c:v>227.17002080970357</c:v>
                </c:pt>
                <c:pt idx="29">
                  <c:v>196.19284131665074</c:v>
                </c:pt>
                <c:pt idx="30">
                  <c:v>199.33693334761773</c:v>
                </c:pt>
                <c:pt idx="31">
                  <c:v>191.37378325084916</c:v>
                </c:pt>
                <c:pt idx="32">
                  <c:v>219.9778969414894</c:v>
                </c:pt>
              </c:numCache>
            </c:numRef>
          </c:val>
          <c:smooth val="1"/>
        </c:ser>
        <c:dLbls>
          <c:showLegendKey val="0"/>
          <c:showVal val="0"/>
          <c:showCatName val="0"/>
          <c:showSerName val="0"/>
          <c:showPercent val="0"/>
          <c:showBubbleSize val="0"/>
        </c:dLbls>
        <c:marker val="1"/>
        <c:smooth val="0"/>
        <c:axId val="220333296"/>
        <c:axId val="220332904"/>
      </c:lineChart>
      <c:catAx>
        <c:axId val="220332120"/>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800" b="1" i="0" u="none" strike="noStrike" baseline="0">
                <a:solidFill>
                  <a:srgbClr val="000000"/>
                </a:solidFill>
                <a:latin typeface="Arial"/>
                <a:ea typeface="Arial"/>
                <a:cs typeface="Arial"/>
              </a:defRPr>
            </a:pPr>
            <a:endParaRPr lang="en-US"/>
          </a:p>
        </c:txPr>
        <c:crossAx val="220332512"/>
        <c:crosses val="autoZero"/>
        <c:auto val="1"/>
        <c:lblAlgn val="ctr"/>
        <c:lblOffset val="100"/>
        <c:tickLblSkip val="2"/>
        <c:tickMarkSkip val="1"/>
        <c:noMultiLvlLbl val="0"/>
      </c:catAx>
      <c:valAx>
        <c:axId val="220332512"/>
        <c:scaling>
          <c:orientation val="minMax"/>
        </c:scaling>
        <c:delete val="0"/>
        <c:axPos val="l"/>
        <c:majorGridlines>
          <c:spPr>
            <a:ln w="3175">
              <a:solidFill>
                <a:srgbClr val="000000"/>
              </a:solidFill>
              <a:prstDash val="solid"/>
            </a:ln>
          </c:spPr>
        </c:majorGridlines>
        <c:title>
          <c:tx>
            <c:rich>
              <a:bodyPr/>
              <a:lstStyle/>
              <a:p>
                <a:pPr>
                  <a:defRPr sz="800" b="1" i="0" u="none" strike="noStrike" baseline="0">
                    <a:solidFill>
                      <a:srgbClr val="000000"/>
                    </a:solidFill>
                    <a:latin typeface="Arial"/>
                    <a:ea typeface="Arial"/>
                    <a:cs typeface="Arial"/>
                  </a:defRPr>
                </a:pPr>
                <a:r>
                  <a:rPr lang="en-US"/>
                  <a:t>Single Family Units</a:t>
                </a:r>
              </a:p>
            </c:rich>
          </c:tx>
          <c:layout>
            <c:manualLayout>
              <c:xMode val="edge"/>
              <c:yMode val="edge"/>
              <c:x val="1.2272163896179644E-2"/>
              <c:y val="0.29581948089822102"/>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800" b="1" i="0" u="none" strike="noStrike" baseline="0">
                <a:solidFill>
                  <a:srgbClr val="000000"/>
                </a:solidFill>
                <a:latin typeface="Arial"/>
                <a:ea typeface="Arial"/>
                <a:cs typeface="Arial"/>
              </a:defRPr>
            </a:pPr>
            <a:endParaRPr lang="en-US"/>
          </a:p>
        </c:txPr>
        <c:crossAx val="220332120"/>
        <c:crosses val="autoZero"/>
        <c:crossBetween val="between"/>
      </c:valAx>
      <c:valAx>
        <c:axId val="220332904"/>
        <c:scaling>
          <c:orientation val="minMax"/>
        </c:scaling>
        <c:delete val="0"/>
        <c:axPos val="r"/>
        <c:title>
          <c:tx>
            <c:rich>
              <a:bodyPr rot="-5400000" vert="horz"/>
              <a:lstStyle/>
              <a:p>
                <a:pPr>
                  <a:defRPr sz="800" b="1"/>
                </a:pPr>
                <a:r>
                  <a:rPr lang="en-US" sz="800" b="1"/>
                  <a:t>Real Single Family Value</a:t>
                </a:r>
                <a:r>
                  <a:rPr lang="en-US" sz="800" b="1" baseline="0"/>
                  <a:t> (1,000's of Real 2012 Dolalrs)</a:t>
                </a:r>
                <a:endParaRPr lang="en-US" sz="800" b="1"/>
              </a:p>
            </c:rich>
          </c:tx>
          <c:layout>
            <c:manualLayout>
              <c:xMode val="edge"/>
              <c:yMode val="edge"/>
              <c:x val="0.9279512977544474"/>
              <c:y val="7.1398142539874823E-2"/>
            </c:manualLayout>
          </c:layout>
          <c:overlay val="0"/>
        </c:title>
        <c:numFmt formatCode="#,##0" sourceLinked="0"/>
        <c:majorTickMark val="out"/>
        <c:minorTickMark val="none"/>
        <c:tickLblPos val="nextTo"/>
        <c:txPr>
          <a:bodyPr/>
          <a:lstStyle/>
          <a:p>
            <a:pPr>
              <a:defRPr b="1"/>
            </a:pPr>
            <a:endParaRPr lang="en-US"/>
          </a:p>
        </c:txPr>
        <c:crossAx val="220333296"/>
        <c:crosses val="max"/>
        <c:crossBetween val="between"/>
      </c:valAx>
      <c:catAx>
        <c:axId val="220333296"/>
        <c:scaling>
          <c:orientation val="minMax"/>
        </c:scaling>
        <c:delete val="1"/>
        <c:axPos val="b"/>
        <c:majorTickMark val="out"/>
        <c:minorTickMark val="none"/>
        <c:tickLblPos val="nextTo"/>
        <c:crossAx val="220332904"/>
        <c:crosses val="autoZero"/>
        <c:auto val="1"/>
        <c:lblAlgn val="ctr"/>
        <c:lblOffset val="100"/>
        <c:noMultiLvlLbl val="0"/>
      </c:catAx>
      <c:spPr>
        <a:solidFill>
          <a:srgbClr val="FFFFE1"/>
        </a:solidFill>
        <a:ln w="12700">
          <a:solidFill>
            <a:srgbClr val="808080"/>
          </a:solidFill>
          <a:prstDash val="solid"/>
        </a:ln>
      </c:spPr>
    </c:plotArea>
    <c:plotVisOnly val="1"/>
    <c:dispBlanksAs val="gap"/>
    <c:showDLblsOverMax val="0"/>
  </c:chart>
  <c:spPr>
    <a:noFill/>
    <a:ln w="25400">
      <a:noFill/>
      <a:prstDash val="solid"/>
    </a:ln>
  </c:spPr>
  <c:txPr>
    <a:bodyPr/>
    <a:lstStyle/>
    <a:p>
      <a:pPr>
        <a:defRPr sz="800" b="0" i="0" u="none" strike="noStrike" baseline="0">
          <a:solidFill>
            <a:srgbClr val="000000"/>
          </a:solidFill>
          <a:latin typeface="Arial"/>
          <a:ea typeface="Arial"/>
          <a:cs typeface="Arial"/>
        </a:defRPr>
      </a:pPr>
      <a:endParaRPr lang="en-U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8913859725867595E-2"/>
          <c:y val="4.7008547008547008E-2"/>
          <c:w val="0.86723188247302418"/>
          <c:h val="0.77731946968167442"/>
        </c:manualLayout>
      </c:layout>
      <c:lineChart>
        <c:grouping val="standard"/>
        <c:varyColors val="0"/>
        <c:ser>
          <c:idx val="0"/>
          <c:order val="0"/>
          <c:tx>
            <c:strRef>
              <c:f>FHFA_HomePrice!$D$1</c:f>
              <c:strCache>
                <c:ptCount val="1"/>
                <c:pt idx="0">
                  <c:v>New Mexico</c:v>
                </c:pt>
              </c:strCache>
            </c:strRef>
          </c:tx>
          <c:marker>
            <c:symbol val="circle"/>
            <c:size val="5"/>
          </c:marker>
          <c:cat>
            <c:numRef>
              <c:f>FHFA_HomePrice!$B$2:$B$41</c:f>
              <c:numCache>
                <c:formatCode>General</c:formatCode>
                <c:ptCount val="40"/>
                <c:pt idx="0">
                  <c:v>1975</c:v>
                </c:pt>
                <c:pt idx="1">
                  <c:v>1976</c:v>
                </c:pt>
                <c:pt idx="2">
                  <c:v>1977</c:v>
                </c:pt>
                <c:pt idx="3">
                  <c:v>1978</c:v>
                </c:pt>
                <c:pt idx="4">
                  <c:v>1979</c:v>
                </c:pt>
                <c:pt idx="5">
                  <c:v>1980</c:v>
                </c:pt>
                <c:pt idx="6">
                  <c:v>1981</c:v>
                </c:pt>
                <c:pt idx="7">
                  <c:v>1982</c:v>
                </c:pt>
                <c:pt idx="8">
                  <c:v>1983</c:v>
                </c:pt>
                <c:pt idx="9">
                  <c:v>1984</c:v>
                </c:pt>
                <c:pt idx="10">
                  <c:v>1985</c:v>
                </c:pt>
                <c:pt idx="11">
                  <c:v>1986</c:v>
                </c:pt>
                <c:pt idx="12">
                  <c:v>1987</c:v>
                </c:pt>
                <c:pt idx="13">
                  <c:v>1988</c:v>
                </c:pt>
                <c:pt idx="14">
                  <c:v>1989</c:v>
                </c:pt>
                <c:pt idx="15">
                  <c:v>1990</c:v>
                </c:pt>
                <c:pt idx="16">
                  <c:v>1991</c:v>
                </c:pt>
                <c:pt idx="17">
                  <c:v>1992</c:v>
                </c:pt>
                <c:pt idx="18">
                  <c:v>1993</c:v>
                </c:pt>
                <c:pt idx="19">
                  <c:v>1994</c:v>
                </c:pt>
                <c:pt idx="20">
                  <c:v>1995</c:v>
                </c:pt>
                <c:pt idx="21">
                  <c:v>1996</c:v>
                </c:pt>
                <c:pt idx="22">
                  <c:v>1997</c:v>
                </c:pt>
                <c:pt idx="23">
                  <c:v>1998</c:v>
                </c:pt>
                <c:pt idx="24">
                  <c:v>1999</c:v>
                </c:pt>
                <c:pt idx="25">
                  <c:v>2000</c:v>
                </c:pt>
                <c:pt idx="26">
                  <c:v>2001</c:v>
                </c:pt>
                <c:pt idx="27">
                  <c:v>2002</c:v>
                </c:pt>
                <c:pt idx="28">
                  <c:v>2003</c:v>
                </c:pt>
                <c:pt idx="29">
                  <c:v>2004</c:v>
                </c:pt>
                <c:pt idx="30">
                  <c:v>2005</c:v>
                </c:pt>
                <c:pt idx="31">
                  <c:v>2006</c:v>
                </c:pt>
                <c:pt idx="32">
                  <c:v>2007</c:v>
                </c:pt>
                <c:pt idx="33">
                  <c:v>2008</c:v>
                </c:pt>
                <c:pt idx="34">
                  <c:v>2009</c:v>
                </c:pt>
                <c:pt idx="35">
                  <c:v>2010</c:v>
                </c:pt>
                <c:pt idx="36">
                  <c:v>2011</c:v>
                </c:pt>
                <c:pt idx="37">
                  <c:v>2012</c:v>
                </c:pt>
                <c:pt idx="38">
                  <c:v>2013</c:v>
                </c:pt>
                <c:pt idx="39">
                  <c:v>2014</c:v>
                </c:pt>
              </c:numCache>
            </c:numRef>
          </c:cat>
          <c:val>
            <c:numRef>
              <c:f>FHFA_HomePrice!$D$2:$D$41</c:f>
              <c:numCache>
                <c:formatCode>General</c:formatCode>
                <c:ptCount val="40"/>
                <c:pt idx="0">
                  <c:v>56.19</c:v>
                </c:pt>
                <c:pt idx="1">
                  <c:v>60.11</c:v>
                </c:pt>
                <c:pt idx="2">
                  <c:v>69.88</c:v>
                </c:pt>
                <c:pt idx="3">
                  <c:v>76.930000000000007</c:v>
                </c:pt>
                <c:pt idx="4">
                  <c:v>89.44</c:v>
                </c:pt>
                <c:pt idx="5">
                  <c:v>100</c:v>
                </c:pt>
                <c:pt idx="6">
                  <c:v>103.31</c:v>
                </c:pt>
                <c:pt idx="7">
                  <c:v>121.53</c:v>
                </c:pt>
                <c:pt idx="8">
                  <c:v>131.82</c:v>
                </c:pt>
                <c:pt idx="9">
                  <c:v>125.14</c:v>
                </c:pt>
                <c:pt idx="10">
                  <c:v>126.74</c:v>
                </c:pt>
                <c:pt idx="11">
                  <c:v>131</c:v>
                </c:pt>
                <c:pt idx="12">
                  <c:v>135.41</c:v>
                </c:pt>
                <c:pt idx="13">
                  <c:v>131.66</c:v>
                </c:pt>
                <c:pt idx="14">
                  <c:v>131.31</c:v>
                </c:pt>
                <c:pt idx="15">
                  <c:v>133.49</c:v>
                </c:pt>
                <c:pt idx="16">
                  <c:v>136.75</c:v>
                </c:pt>
                <c:pt idx="17">
                  <c:v>144.74</c:v>
                </c:pt>
                <c:pt idx="18">
                  <c:v>150.51</c:v>
                </c:pt>
                <c:pt idx="19">
                  <c:v>165.19</c:v>
                </c:pt>
                <c:pt idx="20">
                  <c:v>177.48</c:v>
                </c:pt>
                <c:pt idx="21">
                  <c:v>187.97</c:v>
                </c:pt>
                <c:pt idx="22">
                  <c:v>189.66</c:v>
                </c:pt>
                <c:pt idx="23">
                  <c:v>194.88</c:v>
                </c:pt>
                <c:pt idx="24">
                  <c:v>198.77</c:v>
                </c:pt>
                <c:pt idx="25">
                  <c:v>199.21</c:v>
                </c:pt>
                <c:pt idx="26">
                  <c:v>207.28</c:v>
                </c:pt>
                <c:pt idx="27">
                  <c:v>212.64</c:v>
                </c:pt>
                <c:pt idx="28">
                  <c:v>223.58</c:v>
                </c:pt>
                <c:pt idx="29">
                  <c:v>236.46</c:v>
                </c:pt>
                <c:pt idx="30">
                  <c:v>258.01</c:v>
                </c:pt>
                <c:pt idx="31">
                  <c:v>296.74</c:v>
                </c:pt>
                <c:pt idx="32">
                  <c:v>327.77</c:v>
                </c:pt>
                <c:pt idx="33">
                  <c:v>333.37</c:v>
                </c:pt>
                <c:pt idx="34">
                  <c:v>323.43</c:v>
                </c:pt>
                <c:pt idx="35">
                  <c:v>304.69</c:v>
                </c:pt>
                <c:pt idx="36">
                  <c:v>290.75</c:v>
                </c:pt>
                <c:pt idx="37">
                  <c:v>283.20999999999998</c:v>
                </c:pt>
                <c:pt idx="38">
                  <c:v>285.51</c:v>
                </c:pt>
                <c:pt idx="39">
                  <c:v>287.47000000000003</c:v>
                </c:pt>
              </c:numCache>
            </c:numRef>
          </c:val>
          <c:smooth val="0"/>
        </c:ser>
        <c:ser>
          <c:idx val="1"/>
          <c:order val="1"/>
          <c:tx>
            <c:strRef>
              <c:f>FHFA_HomePrice!$N$1</c:f>
              <c:strCache>
                <c:ptCount val="1"/>
                <c:pt idx="0">
                  <c:v>U.S.</c:v>
                </c:pt>
              </c:strCache>
            </c:strRef>
          </c:tx>
          <c:marker>
            <c:symbol val="square"/>
            <c:size val="5"/>
          </c:marker>
          <c:val>
            <c:numRef>
              <c:f>FHFA_HomePrice!$N$2:$N$41</c:f>
              <c:numCache>
                <c:formatCode>General</c:formatCode>
                <c:ptCount val="40"/>
                <c:pt idx="0">
                  <c:v>59.69</c:v>
                </c:pt>
                <c:pt idx="1">
                  <c:v>62.84</c:v>
                </c:pt>
                <c:pt idx="2">
                  <c:v>69.42</c:v>
                </c:pt>
                <c:pt idx="3">
                  <c:v>79.53</c:v>
                </c:pt>
                <c:pt idx="4">
                  <c:v>91.37</c:v>
                </c:pt>
                <c:pt idx="5">
                  <c:v>100</c:v>
                </c:pt>
                <c:pt idx="6">
                  <c:v>105.44</c:v>
                </c:pt>
                <c:pt idx="7">
                  <c:v>110.83</c:v>
                </c:pt>
                <c:pt idx="8">
                  <c:v>114.19</c:v>
                </c:pt>
                <c:pt idx="9">
                  <c:v>118.72</c:v>
                </c:pt>
                <c:pt idx="10">
                  <c:v>124.12</c:v>
                </c:pt>
                <c:pt idx="11">
                  <c:v>131.88999999999999</c:v>
                </c:pt>
                <c:pt idx="12">
                  <c:v>141.5</c:v>
                </c:pt>
                <c:pt idx="13">
                  <c:v>148.54</c:v>
                </c:pt>
                <c:pt idx="14">
                  <c:v>156.30000000000001</c:v>
                </c:pt>
                <c:pt idx="15">
                  <c:v>164.06</c:v>
                </c:pt>
                <c:pt idx="16">
                  <c:v>166.47</c:v>
                </c:pt>
                <c:pt idx="17">
                  <c:v>171.55</c:v>
                </c:pt>
                <c:pt idx="18">
                  <c:v>174.41</c:v>
                </c:pt>
                <c:pt idx="19">
                  <c:v>180.1</c:v>
                </c:pt>
                <c:pt idx="20">
                  <c:v>182.76</c:v>
                </c:pt>
                <c:pt idx="21">
                  <c:v>192.23</c:v>
                </c:pt>
                <c:pt idx="22">
                  <c:v>196.55</c:v>
                </c:pt>
                <c:pt idx="23">
                  <c:v>206.57</c:v>
                </c:pt>
                <c:pt idx="24">
                  <c:v>216.1</c:v>
                </c:pt>
                <c:pt idx="25">
                  <c:v>228.67</c:v>
                </c:pt>
                <c:pt idx="26">
                  <c:v>246.19</c:v>
                </c:pt>
                <c:pt idx="27">
                  <c:v>261.06</c:v>
                </c:pt>
                <c:pt idx="28">
                  <c:v>277.95999999999998</c:v>
                </c:pt>
                <c:pt idx="29">
                  <c:v>298.27</c:v>
                </c:pt>
                <c:pt idx="30">
                  <c:v>331.36</c:v>
                </c:pt>
                <c:pt idx="31">
                  <c:v>365.96</c:v>
                </c:pt>
                <c:pt idx="32">
                  <c:v>378.09</c:v>
                </c:pt>
                <c:pt idx="33">
                  <c:v>370.3</c:v>
                </c:pt>
                <c:pt idx="34">
                  <c:v>349.77</c:v>
                </c:pt>
                <c:pt idx="35">
                  <c:v>325.26</c:v>
                </c:pt>
                <c:pt idx="36">
                  <c:v>314.45</c:v>
                </c:pt>
                <c:pt idx="37">
                  <c:v>310.14999999999998</c:v>
                </c:pt>
                <c:pt idx="38">
                  <c:v>317.35000000000002</c:v>
                </c:pt>
                <c:pt idx="39">
                  <c:v>332.97</c:v>
                </c:pt>
              </c:numCache>
            </c:numRef>
          </c:val>
          <c:smooth val="0"/>
        </c:ser>
        <c:dLbls>
          <c:showLegendKey val="0"/>
          <c:showVal val="0"/>
          <c:showCatName val="0"/>
          <c:showSerName val="0"/>
          <c:showPercent val="0"/>
          <c:showBubbleSize val="0"/>
        </c:dLbls>
        <c:marker val="1"/>
        <c:smooth val="0"/>
        <c:axId val="220382240"/>
        <c:axId val="220382632"/>
      </c:lineChart>
      <c:catAx>
        <c:axId val="220382240"/>
        <c:scaling>
          <c:orientation val="minMax"/>
        </c:scaling>
        <c:delete val="0"/>
        <c:axPos val="b"/>
        <c:numFmt formatCode="General" sourceLinked="1"/>
        <c:majorTickMark val="out"/>
        <c:minorTickMark val="none"/>
        <c:tickLblPos val="nextTo"/>
        <c:txPr>
          <a:bodyPr rot="0" vert="horz"/>
          <a:lstStyle/>
          <a:p>
            <a:pPr>
              <a:defRPr/>
            </a:pPr>
            <a:endParaRPr lang="en-US"/>
          </a:p>
        </c:txPr>
        <c:crossAx val="220382632"/>
        <c:crosses val="autoZero"/>
        <c:auto val="1"/>
        <c:lblAlgn val="ctr"/>
        <c:lblOffset val="100"/>
        <c:tickMarkSkip val="2"/>
        <c:noMultiLvlLbl val="0"/>
      </c:catAx>
      <c:valAx>
        <c:axId val="220382632"/>
        <c:scaling>
          <c:orientation val="minMax"/>
        </c:scaling>
        <c:delete val="0"/>
        <c:axPos val="l"/>
        <c:majorGridlines/>
        <c:title>
          <c:tx>
            <c:rich>
              <a:bodyPr rot="-5400000" vert="horz"/>
              <a:lstStyle/>
              <a:p>
                <a:pPr>
                  <a:defRPr/>
                </a:pPr>
                <a:r>
                  <a:rPr lang="en-US"/>
                  <a:t>Price Index</a:t>
                </a:r>
              </a:p>
            </c:rich>
          </c:tx>
          <c:layout>
            <c:manualLayout>
              <c:xMode val="edge"/>
              <c:yMode val="edge"/>
              <c:x val="1.1122594050743655E-2"/>
              <c:y val="0.39144794400699912"/>
            </c:manualLayout>
          </c:layout>
          <c:overlay val="0"/>
        </c:title>
        <c:numFmt formatCode="General" sourceLinked="1"/>
        <c:majorTickMark val="out"/>
        <c:minorTickMark val="none"/>
        <c:tickLblPos val="nextTo"/>
        <c:crossAx val="220382240"/>
        <c:crosses val="autoZero"/>
        <c:crossBetween val="between"/>
      </c:valAx>
      <c:spPr>
        <a:solidFill>
          <a:schemeClr val="bg2"/>
        </a:solidFill>
      </c:spPr>
    </c:plotArea>
    <c:legend>
      <c:legendPos val="b"/>
      <c:layout>
        <c:manualLayout>
          <c:xMode val="edge"/>
          <c:yMode val="edge"/>
          <c:x val="5.8365230387868186E-2"/>
          <c:y val="0.89280806245373179"/>
          <c:w val="0.9064175051035287"/>
          <c:h val="7.7277407631738335E-2"/>
        </c:manualLayout>
      </c:layout>
      <c:overlay val="0"/>
    </c:legend>
    <c:plotVisOnly val="1"/>
    <c:dispBlanksAs val="gap"/>
    <c:showDLblsOverMax val="0"/>
  </c:chart>
  <c:spPr>
    <a:noFill/>
    <a:ln>
      <a:noFill/>
    </a:ln>
  </c:spPr>
  <c:txPr>
    <a:bodyPr/>
    <a:lstStyle/>
    <a:p>
      <a:pPr>
        <a:defRPr sz="800" b="1">
          <a:latin typeface="Arial" panose="020B0604020202020204" pitchFamily="34" charset="0"/>
          <a:cs typeface="Arial" panose="020B0604020202020204" pitchFamily="34" charset="0"/>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681935478831972"/>
          <c:y val="7.3567137441153188E-2"/>
          <c:w val="0.86213440538637265"/>
          <c:h val="0.78198558513519145"/>
        </c:manualLayout>
      </c:layout>
      <c:lineChart>
        <c:grouping val="standard"/>
        <c:varyColors val="0"/>
        <c:ser>
          <c:idx val="0"/>
          <c:order val="0"/>
          <c:tx>
            <c:strRef>
              <c:f>Diagrams!$P$2</c:f>
              <c:strCache>
                <c:ptCount val="1"/>
                <c:pt idx="0">
                  <c:v>Employment</c:v>
                </c:pt>
              </c:strCache>
            </c:strRef>
          </c:tx>
          <c:spPr>
            <a:ln>
              <a:solidFill>
                <a:srgbClr val="009900"/>
              </a:solidFill>
            </a:ln>
          </c:spPr>
          <c:marker>
            <c:symbol val="circle"/>
            <c:size val="5"/>
            <c:spPr>
              <a:solidFill>
                <a:srgbClr val="009900"/>
              </a:solidFill>
            </c:spPr>
          </c:marker>
          <c:dLbls>
            <c:dLbl>
              <c:idx val="22"/>
              <c:layout>
                <c:manualLayout>
                  <c:x val="-2.3148148148148147E-2"/>
                  <c:y val="-2.7777777777777776E-2"/>
                </c:manualLayout>
              </c:layout>
              <c:spPr/>
              <c:txPr>
                <a:bodyPr/>
                <a:lstStyle/>
                <a:p>
                  <a:pPr>
                    <a:defRPr sz="800" b="1"/>
                  </a:pPr>
                  <a:endParaRPr lang="en-US"/>
                </a:p>
              </c:txP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Diagrams!$B$3:$B$25</c:f>
              <c:numCache>
                <c:formatCode>0</c:formatCode>
                <c:ptCount val="23"/>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numCache>
            </c:numRef>
          </c:cat>
          <c:val>
            <c:numRef>
              <c:f>Diagrams!$P$3:$P$25</c:f>
              <c:numCache>
                <c:formatCode>#,##0</c:formatCode>
                <c:ptCount val="23"/>
                <c:pt idx="0">
                  <c:v>663698</c:v>
                </c:pt>
                <c:pt idx="1">
                  <c:v>667698</c:v>
                </c:pt>
                <c:pt idx="2">
                  <c:v>680463</c:v>
                </c:pt>
                <c:pt idx="3">
                  <c:v>700258</c:v>
                </c:pt>
                <c:pt idx="4">
                  <c:v>725387</c:v>
                </c:pt>
                <c:pt idx="5">
                  <c:v>744557</c:v>
                </c:pt>
                <c:pt idx="6">
                  <c:v>751826</c:v>
                </c:pt>
                <c:pt idx="7">
                  <c:v>768596</c:v>
                </c:pt>
                <c:pt idx="8">
                  <c:v>783661</c:v>
                </c:pt>
                <c:pt idx="9">
                  <c:v>793052</c:v>
                </c:pt>
                <c:pt idx="10">
                  <c:v>810024</c:v>
                </c:pt>
                <c:pt idx="11">
                  <c:v>821003</c:v>
                </c:pt>
                <c:pt idx="12">
                  <c:v>823191</c:v>
                </c:pt>
                <c:pt idx="13">
                  <c:v>835835</c:v>
                </c:pt>
                <c:pt idx="14">
                  <c:v>849970</c:v>
                </c:pt>
                <c:pt idx="15">
                  <c:v>866349</c:v>
                </c:pt>
                <c:pt idx="16">
                  <c:v>886708</c:v>
                </c:pt>
                <c:pt idx="17">
                  <c:v>903919</c:v>
                </c:pt>
                <c:pt idx="18">
                  <c:v>904735</c:v>
                </c:pt>
                <c:pt idx="19">
                  <c:v>873960</c:v>
                </c:pt>
                <c:pt idx="20">
                  <c:v>861503</c:v>
                </c:pt>
                <c:pt idx="21">
                  <c:v>862043</c:v>
                </c:pt>
                <c:pt idx="22">
                  <c:v>871299</c:v>
                </c:pt>
              </c:numCache>
            </c:numRef>
          </c:val>
          <c:smooth val="0"/>
        </c:ser>
        <c:ser>
          <c:idx val="1"/>
          <c:order val="1"/>
          <c:tx>
            <c:strRef>
              <c:f>Diagrams!$Q$2</c:f>
              <c:strCache>
                <c:ptCount val="1"/>
                <c:pt idx="0">
                  <c:v>Labor Force</c:v>
                </c:pt>
              </c:strCache>
            </c:strRef>
          </c:tx>
          <c:marker>
            <c:symbol val="square"/>
            <c:size val="5"/>
          </c:marker>
          <c:dLbls>
            <c:dLbl>
              <c:idx val="22"/>
              <c:layout>
                <c:manualLayout>
                  <c:x val="-2.3148148148148147E-2"/>
                  <c:y val="-7.8703703703703692E-2"/>
                </c:manualLayout>
              </c:layout>
              <c:spPr/>
              <c:txPr>
                <a:bodyPr/>
                <a:lstStyle/>
                <a:p>
                  <a:pPr>
                    <a:defRPr sz="800" b="1"/>
                  </a:pPr>
                  <a:endParaRPr lang="en-US"/>
                </a:p>
              </c:txP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Diagrams!$B$3:$B$25</c:f>
              <c:numCache>
                <c:formatCode>0</c:formatCode>
                <c:ptCount val="23"/>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numCache>
            </c:numRef>
          </c:cat>
          <c:val>
            <c:numRef>
              <c:f>Diagrams!$Q$3:$Q$25</c:f>
              <c:numCache>
                <c:formatCode>#,##0</c:formatCode>
                <c:ptCount val="23"/>
                <c:pt idx="0">
                  <c:v>711891</c:v>
                </c:pt>
                <c:pt idx="1">
                  <c:v>719243</c:v>
                </c:pt>
                <c:pt idx="2">
                  <c:v>735447</c:v>
                </c:pt>
                <c:pt idx="3">
                  <c:v>755053</c:v>
                </c:pt>
                <c:pt idx="4">
                  <c:v>776827</c:v>
                </c:pt>
                <c:pt idx="5">
                  <c:v>798621</c:v>
                </c:pt>
                <c:pt idx="6">
                  <c:v>812862</c:v>
                </c:pt>
                <c:pt idx="7">
                  <c:v>822627</c:v>
                </c:pt>
                <c:pt idx="8">
                  <c:v>835879</c:v>
                </c:pt>
                <c:pt idx="9">
                  <c:v>839988</c:v>
                </c:pt>
                <c:pt idx="10">
                  <c:v>852293</c:v>
                </c:pt>
                <c:pt idx="11">
                  <c:v>863682</c:v>
                </c:pt>
                <c:pt idx="12">
                  <c:v>871512</c:v>
                </c:pt>
                <c:pt idx="13">
                  <c:v>888468</c:v>
                </c:pt>
                <c:pt idx="14">
                  <c:v>901833</c:v>
                </c:pt>
                <c:pt idx="15">
                  <c:v>913453</c:v>
                </c:pt>
                <c:pt idx="16">
                  <c:v>924516</c:v>
                </c:pt>
                <c:pt idx="17">
                  <c:v>936464</c:v>
                </c:pt>
                <c:pt idx="18">
                  <c:v>947435</c:v>
                </c:pt>
                <c:pt idx="19">
                  <c:v>937888</c:v>
                </c:pt>
                <c:pt idx="20">
                  <c:v>935512</c:v>
                </c:pt>
                <c:pt idx="21">
                  <c:v>931659</c:v>
                </c:pt>
                <c:pt idx="22">
                  <c:v>935890</c:v>
                </c:pt>
              </c:numCache>
            </c:numRef>
          </c:val>
          <c:smooth val="0"/>
        </c:ser>
        <c:dLbls>
          <c:showLegendKey val="0"/>
          <c:showVal val="0"/>
          <c:showCatName val="0"/>
          <c:showSerName val="0"/>
          <c:showPercent val="0"/>
          <c:showBubbleSize val="0"/>
        </c:dLbls>
        <c:marker val="1"/>
        <c:smooth val="0"/>
        <c:axId val="219725320"/>
        <c:axId val="219989360"/>
      </c:lineChart>
      <c:catAx>
        <c:axId val="219725320"/>
        <c:scaling>
          <c:orientation val="minMax"/>
        </c:scaling>
        <c:delete val="0"/>
        <c:axPos val="b"/>
        <c:numFmt formatCode="00" sourceLinked="0"/>
        <c:majorTickMark val="out"/>
        <c:minorTickMark val="none"/>
        <c:tickLblPos val="nextTo"/>
        <c:spPr>
          <a:ln w="3175">
            <a:solidFill>
              <a:srgbClr val="000000"/>
            </a:solidFill>
            <a:prstDash val="solid"/>
          </a:ln>
        </c:spPr>
        <c:txPr>
          <a:bodyPr rot="0" vert="horz"/>
          <a:lstStyle/>
          <a:p>
            <a:pPr>
              <a:defRPr sz="800" b="1" i="0" u="none" strike="noStrike" baseline="0">
                <a:solidFill>
                  <a:srgbClr val="000000"/>
                </a:solidFill>
                <a:latin typeface="Arial"/>
                <a:ea typeface="Arial"/>
                <a:cs typeface="Arial"/>
              </a:defRPr>
            </a:pPr>
            <a:endParaRPr lang="en-US"/>
          </a:p>
        </c:txPr>
        <c:crossAx val="219989360"/>
        <c:crosses val="autoZero"/>
        <c:auto val="1"/>
        <c:lblAlgn val="ctr"/>
        <c:lblOffset val="100"/>
        <c:tickLblSkip val="2"/>
        <c:tickMarkSkip val="2"/>
        <c:noMultiLvlLbl val="0"/>
      </c:catAx>
      <c:valAx>
        <c:axId val="219989360"/>
        <c:scaling>
          <c:orientation val="minMax"/>
          <c:min val="600000"/>
        </c:scaling>
        <c:delete val="0"/>
        <c:axPos val="l"/>
        <c:majorGridlines>
          <c:spPr>
            <a:ln w="3175">
              <a:solidFill>
                <a:srgbClr val="000000"/>
              </a:solidFill>
              <a:prstDash val="solid"/>
            </a:ln>
          </c:spPr>
        </c:majorGridlines>
        <c:numFmt formatCode="#,##0" sourceLinked="0"/>
        <c:majorTickMark val="out"/>
        <c:minorTickMark val="none"/>
        <c:tickLblPos val="nextTo"/>
        <c:spPr>
          <a:ln w="3175">
            <a:solidFill>
              <a:srgbClr val="000000"/>
            </a:solidFill>
            <a:prstDash val="solid"/>
          </a:ln>
        </c:spPr>
        <c:txPr>
          <a:bodyPr rot="0" vert="horz"/>
          <a:lstStyle/>
          <a:p>
            <a:pPr>
              <a:defRPr sz="800" b="1" i="0" u="none" strike="noStrike" baseline="0">
                <a:solidFill>
                  <a:srgbClr val="000000"/>
                </a:solidFill>
                <a:latin typeface="Arial"/>
                <a:ea typeface="Arial"/>
                <a:cs typeface="Arial"/>
              </a:defRPr>
            </a:pPr>
            <a:endParaRPr lang="en-US"/>
          </a:p>
        </c:txPr>
        <c:crossAx val="219725320"/>
        <c:crosses val="autoZero"/>
        <c:crossBetween val="between"/>
      </c:valAx>
      <c:spPr>
        <a:solidFill>
          <a:srgbClr val="FFFFE1"/>
        </a:solidFill>
        <a:ln w="12700">
          <a:solidFill>
            <a:srgbClr val="808080"/>
          </a:solidFill>
          <a:prstDash val="solid"/>
        </a:ln>
      </c:spPr>
    </c:plotArea>
    <c:legend>
      <c:legendPos val="b"/>
      <c:layout>
        <c:manualLayout>
          <c:xMode val="edge"/>
          <c:yMode val="edge"/>
          <c:x val="0.11562390638670167"/>
          <c:y val="0.9135414843977836"/>
          <c:w val="0.82973196191627607"/>
          <c:h val="7.5536891221930608E-2"/>
        </c:manualLayout>
      </c:layout>
      <c:overlay val="0"/>
      <c:spPr>
        <a:noFill/>
        <a:ln w="25400">
          <a:noFill/>
        </a:ln>
      </c:spPr>
      <c:txPr>
        <a:bodyPr/>
        <a:lstStyle/>
        <a:p>
          <a:pPr>
            <a:defRPr sz="800" b="1" i="0" u="none" strike="noStrike" baseline="0">
              <a:solidFill>
                <a:srgbClr val="000000"/>
              </a:solidFill>
              <a:latin typeface="Arial"/>
              <a:ea typeface="Arial"/>
              <a:cs typeface="Arial"/>
            </a:defRPr>
          </a:pPr>
          <a:endParaRPr lang="en-US"/>
        </a:p>
      </c:txPr>
    </c:legend>
    <c:plotVisOnly val="1"/>
    <c:dispBlanksAs val="gap"/>
    <c:showDLblsOverMax val="0"/>
  </c:chart>
  <c:spPr>
    <a:noFill/>
    <a:ln w="19050">
      <a:noFill/>
      <a:prstDash val="solid"/>
    </a:ln>
  </c:spPr>
  <c:txPr>
    <a:bodyPr/>
    <a:lstStyle/>
    <a:p>
      <a:pPr>
        <a:defRPr sz="1200" b="0" i="0" u="none" strike="noStrike" baseline="0">
          <a:solidFill>
            <a:srgbClr val="000000"/>
          </a:solidFill>
          <a:latin typeface="Arial"/>
          <a:ea typeface="Arial"/>
          <a:cs typeface="Arial"/>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681935478831972"/>
          <c:y val="7.3567137441153188E-2"/>
          <c:w val="0.85290718341047211"/>
          <c:h val="0.76928717243677869"/>
        </c:manualLayout>
      </c:layout>
      <c:lineChart>
        <c:grouping val="standard"/>
        <c:varyColors val="0"/>
        <c:ser>
          <c:idx val="0"/>
          <c:order val="0"/>
          <c:tx>
            <c:strRef>
              <c:f>Diagrams!$M$1</c:f>
              <c:strCache>
                <c:ptCount val="1"/>
                <c:pt idx="0">
                  <c:v>State of New Mexico</c:v>
                </c:pt>
              </c:strCache>
            </c:strRef>
          </c:tx>
          <c:spPr>
            <a:ln w="19050">
              <a:solidFill>
                <a:srgbClr val="009900"/>
              </a:solidFill>
            </a:ln>
          </c:spPr>
          <c:marker>
            <c:symbol val="circle"/>
            <c:size val="5"/>
            <c:spPr>
              <a:solidFill>
                <a:srgbClr val="009900"/>
              </a:solidFill>
              <a:ln>
                <a:solidFill>
                  <a:srgbClr val="009900"/>
                </a:solidFill>
              </a:ln>
            </c:spPr>
          </c:marker>
          <c:dLbls>
            <c:dLbl>
              <c:idx val="22"/>
              <c:layout>
                <c:manualLayout>
                  <c:x val="-2.7777777777777776E-2"/>
                  <c:y val="4.1666666666666664E-2"/>
                </c:manualLayout>
              </c:layout>
              <c:spPr/>
              <c:txPr>
                <a:bodyPr/>
                <a:lstStyle/>
                <a:p>
                  <a:pPr>
                    <a:defRPr sz="800" b="1"/>
                  </a:pPr>
                  <a:endParaRPr lang="en-US"/>
                </a:p>
              </c:txP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b="1"/>
                </a:pPr>
                <a:endParaRPr lang="en-US"/>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Diagrams!$B$3:$B$25</c:f>
              <c:numCache>
                <c:formatCode>0</c:formatCode>
                <c:ptCount val="23"/>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numCache>
            </c:numRef>
          </c:cat>
          <c:val>
            <c:numRef>
              <c:f>Diagrams!$R$3:$R$25</c:f>
              <c:numCache>
                <c:formatCode>0.0</c:formatCode>
                <c:ptCount val="23"/>
                <c:pt idx="0">
                  <c:v>6.8</c:v>
                </c:pt>
                <c:pt idx="1">
                  <c:v>7.2</c:v>
                </c:pt>
                <c:pt idx="2">
                  <c:v>7.5</c:v>
                </c:pt>
                <c:pt idx="3">
                  <c:v>7.3</c:v>
                </c:pt>
                <c:pt idx="4">
                  <c:v>6.6</c:v>
                </c:pt>
                <c:pt idx="5">
                  <c:v>6.8</c:v>
                </c:pt>
                <c:pt idx="6">
                  <c:v>7.5</c:v>
                </c:pt>
                <c:pt idx="7">
                  <c:v>6.6</c:v>
                </c:pt>
                <c:pt idx="8">
                  <c:v>6.2</c:v>
                </c:pt>
                <c:pt idx="9">
                  <c:v>5.6</c:v>
                </c:pt>
                <c:pt idx="10">
                  <c:v>5</c:v>
                </c:pt>
                <c:pt idx="11">
                  <c:v>4.9000000000000004</c:v>
                </c:pt>
                <c:pt idx="12">
                  <c:v>5.5</c:v>
                </c:pt>
                <c:pt idx="13">
                  <c:v>5.9</c:v>
                </c:pt>
                <c:pt idx="14">
                  <c:v>5.8</c:v>
                </c:pt>
                <c:pt idx="15">
                  <c:v>5.2</c:v>
                </c:pt>
                <c:pt idx="16">
                  <c:v>4.0999999999999996</c:v>
                </c:pt>
                <c:pt idx="17">
                  <c:v>3.5</c:v>
                </c:pt>
                <c:pt idx="18">
                  <c:v>4.5</c:v>
                </c:pt>
                <c:pt idx="19">
                  <c:v>6.8</c:v>
                </c:pt>
                <c:pt idx="20">
                  <c:v>7.9</c:v>
                </c:pt>
                <c:pt idx="21">
                  <c:v>7.5</c:v>
                </c:pt>
                <c:pt idx="22">
                  <c:v>6.9</c:v>
                </c:pt>
              </c:numCache>
            </c:numRef>
          </c:val>
          <c:smooth val="0"/>
        </c:ser>
        <c:ser>
          <c:idx val="1"/>
          <c:order val="1"/>
          <c:tx>
            <c:strRef>
              <c:f>Diagrams!$K$1</c:f>
              <c:strCache>
                <c:ptCount val="1"/>
                <c:pt idx="0">
                  <c:v>U.S.</c:v>
                </c:pt>
              </c:strCache>
            </c:strRef>
          </c:tx>
          <c:spPr>
            <a:ln w="19050">
              <a:solidFill>
                <a:srgbClr val="C00000"/>
              </a:solidFill>
            </a:ln>
          </c:spPr>
          <c:marker>
            <c:spPr>
              <a:solidFill>
                <a:srgbClr val="C00000"/>
              </a:solidFill>
              <a:ln>
                <a:solidFill>
                  <a:srgbClr val="C00000"/>
                </a:solidFill>
              </a:ln>
            </c:spPr>
          </c:marker>
          <c:dLbls>
            <c:dLbl>
              <c:idx val="22"/>
              <c:layout>
                <c:manualLayout>
                  <c:x val="-3.0092592592592591E-2"/>
                  <c:y val="-7.40740740740740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800" b="1"/>
                </a:pPr>
                <a:endParaRPr lang="en-US"/>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Diagrams!$B$3:$B$25</c:f>
              <c:numCache>
                <c:formatCode>0</c:formatCode>
                <c:ptCount val="23"/>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numCache>
            </c:numRef>
          </c:cat>
          <c:val>
            <c:numRef>
              <c:f>Diagrams!$K$3:$K$25</c:f>
              <c:numCache>
                <c:formatCode>General</c:formatCode>
                <c:ptCount val="23"/>
                <c:pt idx="0">
                  <c:v>5.6</c:v>
                </c:pt>
                <c:pt idx="1">
                  <c:v>6.8</c:v>
                </c:pt>
                <c:pt idx="2">
                  <c:v>7.5</c:v>
                </c:pt>
                <c:pt idx="3">
                  <c:v>6.9</c:v>
                </c:pt>
                <c:pt idx="4">
                  <c:v>6.1</c:v>
                </c:pt>
                <c:pt idx="5">
                  <c:v>5.6</c:v>
                </c:pt>
                <c:pt idx="6">
                  <c:v>5.4</c:v>
                </c:pt>
                <c:pt idx="7">
                  <c:v>4.9000000000000004</c:v>
                </c:pt>
                <c:pt idx="8">
                  <c:v>4.5</c:v>
                </c:pt>
                <c:pt idx="9">
                  <c:v>4.2</c:v>
                </c:pt>
                <c:pt idx="10">
                  <c:v>4</c:v>
                </c:pt>
                <c:pt idx="11">
                  <c:v>4.7</c:v>
                </c:pt>
                <c:pt idx="12">
                  <c:v>5.8</c:v>
                </c:pt>
                <c:pt idx="13">
                  <c:v>6</c:v>
                </c:pt>
                <c:pt idx="14">
                  <c:v>5.5</c:v>
                </c:pt>
                <c:pt idx="15">
                  <c:v>5.0999999999999996</c:v>
                </c:pt>
                <c:pt idx="16">
                  <c:v>4.5999999999999996</c:v>
                </c:pt>
                <c:pt idx="17">
                  <c:v>4.5999999999999996</c:v>
                </c:pt>
                <c:pt idx="18">
                  <c:v>5.8</c:v>
                </c:pt>
                <c:pt idx="19">
                  <c:v>9.3000000000000007</c:v>
                </c:pt>
                <c:pt idx="20">
                  <c:v>9.6</c:v>
                </c:pt>
                <c:pt idx="21">
                  <c:v>8.9</c:v>
                </c:pt>
                <c:pt idx="22">
                  <c:v>8.1</c:v>
                </c:pt>
              </c:numCache>
            </c:numRef>
          </c:val>
          <c:smooth val="0"/>
        </c:ser>
        <c:dLbls>
          <c:showLegendKey val="0"/>
          <c:showVal val="0"/>
          <c:showCatName val="0"/>
          <c:showSerName val="0"/>
          <c:showPercent val="0"/>
          <c:showBubbleSize val="0"/>
        </c:dLbls>
        <c:marker val="1"/>
        <c:smooth val="0"/>
        <c:axId val="219702416"/>
        <c:axId val="220087240"/>
      </c:lineChart>
      <c:catAx>
        <c:axId val="219702416"/>
        <c:scaling>
          <c:orientation val="minMax"/>
        </c:scaling>
        <c:delete val="0"/>
        <c:axPos val="b"/>
        <c:numFmt formatCode="00" sourceLinked="0"/>
        <c:majorTickMark val="out"/>
        <c:minorTickMark val="none"/>
        <c:tickLblPos val="nextTo"/>
        <c:spPr>
          <a:ln w="3175">
            <a:solidFill>
              <a:srgbClr val="000000"/>
            </a:solidFill>
            <a:prstDash val="solid"/>
          </a:ln>
        </c:spPr>
        <c:txPr>
          <a:bodyPr rot="0" vert="horz"/>
          <a:lstStyle/>
          <a:p>
            <a:pPr>
              <a:defRPr sz="800" b="1" i="0" u="none" strike="noStrike" baseline="0">
                <a:solidFill>
                  <a:srgbClr val="000000"/>
                </a:solidFill>
                <a:latin typeface="Arial"/>
                <a:ea typeface="Arial"/>
                <a:cs typeface="Arial"/>
              </a:defRPr>
            </a:pPr>
            <a:endParaRPr lang="en-US"/>
          </a:p>
        </c:txPr>
        <c:crossAx val="220087240"/>
        <c:crosses val="autoZero"/>
        <c:auto val="1"/>
        <c:lblAlgn val="ctr"/>
        <c:lblOffset val="100"/>
        <c:tickLblSkip val="2"/>
        <c:tickMarkSkip val="2"/>
        <c:noMultiLvlLbl val="0"/>
      </c:catAx>
      <c:valAx>
        <c:axId val="220087240"/>
        <c:scaling>
          <c:orientation val="minMax"/>
          <c:min val="3"/>
        </c:scaling>
        <c:delete val="0"/>
        <c:axPos val="l"/>
        <c:majorGridlines>
          <c:spPr>
            <a:ln w="3175">
              <a:solidFill>
                <a:srgbClr val="000000"/>
              </a:solidFill>
              <a:prstDash val="solid"/>
            </a:ln>
          </c:spPr>
        </c:majorGridlines>
        <c:title>
          <c:tx>
            <c:rich>
              <a:bodyPr rot="-5400000" vert="horz"/>
              <a:lstStyle/>
              <a:p>
                <a:pPr>
                  <a:defRPr/>
                </a:pPr>
                <a:r>
                  <a:rPr lang="en-US" sz="800" b="1"/>
                  <a:t>Unemployment Rate</a:t>
                </a:r>
              </a:p>
            </c:rich>
          </c:tx>
          <c:layout>
            <c:manualLayout>
              <c:xMode val="edge"/>
              <c:yMode val="edge"/>
              <c:x val="2.1892310690735668E-2"/>
              <c:y val="0.29873965754280718"/>
            </c:manualLayout>
          </c:layout>
          <c:overlay val="0"/>
        </c:title>
        <c:numFmt formatCode="#,##0.0" sourceLinked="0"/>
        <c:majorTickMark val="out"/>
        <c:minorTickMark val="none"/>
        <c:tickLblPos val="nextTo"/>
        <c:spPr>
          <a:ln w="3175">
            <a:solidFill>
              <a:srgbClr val="000000"/>
            </a:solidFill>
            <a:prstDash val="solid"/>
          </a:ln>
        </c:spPr>
        <c:txPr>
          <a:bodyPr rot="0" vert="horz"/>
          <a:lstStyle/>
          <a:p>
            <a:pPr>
              <a:defRPr sz="800" b="1" i="0" u="none" strike="noStrike" baseline="0">
                <a:solidFill>
                  <a:srgbClr val="000000"/>
                </a:solidFill>
                <a:latin typeface="Arial"/>
                <a:ea typeface="Arial"/>
                <a:cs typeface="Arial"/>
              </a:defRPr>
            </a:pPr>
            <a:endParaRPr lang="en-US"/>
          </a:p>
        </c:txPr>
        <c:crossAx val="219702416"/>
        <c:crosses val="autoZero"/>
        <c:crossBetween val="between"/>
      </c:valAx>
      <c:spPr>
        <a:solidFill>
          <a:srgbClr val="FFFFE1"/>
        </a:solidFill>
        <a:ln w="12700">
          <a:solidFill>
            <a:srgbClr val="808080"/>
          </a:solidFill>
          <a:prstDash val="solid"/>
        </a:ln>
      </c:spPr>
    </c:plotArea>
    <c:legend>
      <c:legendPos val="b"/>
      <c:layout>
        <c:manualLayout>
          <c:xMode val="edge"/>
          <c:yMode val="edge"/>
          <c:x val="0.11562390638670167"/>
          <c:y val="0.9135414843977836"/>
          <c:w val="0.81100831146106733"/>
          <c:h val="6.7284922717993578E-2"/>
        </c:manualLayout>
      </c:layout>
      <c:overlay val="0"/>
      <c:spPr>
        <a:noFill/>
        <a:ln w="25400">
          <a:noFill/>
        </a:ln>
      </c:spPr>
      <c:txPr>
        <a:bodyPr/>
        <a:lstStyle/>
        <a:p>
          <a:pPr>
            <a:defRPr sz="800" b="1" i="0" u="none" strike="noStrike" baseline="0">
              <a:solidFill>
                <a:srgbClr val="000000"/>
              </a:solidFill>
              <a:latin typeface="Arial"/>
              <a:ea typeface="Arial"/>
              <a:cs typeface="Arial"/>
            </a:defRPr>
          </a:pPr>
          <a:endParaRPr lang="en-US"/>
        </a:p>
      </c:txPr>
    </c:legend>
    <c:plotVisOnly val="1"/>
    <c:dispBlanksAs val="gap"/>
    <c:showDLblsOverMax val="0"/>
  </c:chart>
  <c:spPr>
    <a:noFill/>
    <a:ln w="19050">
      <a:noFill/>
      <a:prstDash val="solid"/>
    </a:ln>
  </c:spPr>
  <c:txPr>
    <a:bodyPr/>
    <a:lstStyle/>
    <a:p>
      <a:pPr>
        <a:defRPr sz="1200" b="0" i="0" u="none" strike="noStrike" baseline="0">
          <a:solidFill>
            <a:srgbClr val="000000"/>
          </a:solidFill>
          <a:latin typeface="Arial"/>
          <a:ea typeface="Arial"/>
          <a:cs typeface="Arial"/>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680774278215222"/>
          <c:y val="6.0868593723134252E-2"/>
          <c:w val="0.83445282881306504"/>
          <c:h val="0.77775277462377068"/>
        </c:manualLayout>
      </c:layout>
      <c:lineChart>
        <c:grouping val="standard"/>
        <c:varyColors val="0"/>
        <c:ser>
          <c:idx val="0"/>
          <c:order val="0"/>
          <c:tx>
            <c:strRef>
              <c:f>Diagrams!$N$2</c:f>
              <c:strCache>
                <c:ptCount val="1"/>
                <c:pt idx="0">
                  <c:v>Total Employment</c:v>
                </c:pt>
              </c:strCache>
            </c:strRef>
          </c:tx>
          <c:spPr>
            <a:ln w="19050">
              <a:solidFill>
                <a:srgbClr val="009900"/>
              </a:solidFill>
            </a:ln>
          </c:spPr>
          <c:marker>
            <c:symbol val="circle"/>
            <c:size val="5"/>
            <c:spPr>
              <a:solidFill>
                <a:srgbClr val="009900"/>
              </a:solidFill>
              <a:ln>
                <a:solidFill>
                  <a:srgbClr val="009900"/>
                </a:solidFill>
              </a:ln>
            </c:spPr>
          </c:marker>
          <c:dLbls>
            <c:dLbl>
              <c:idx val="43"/>
              <c:layout>
                <c:manualLayout>
                  <c:x val="-2.4858757062146894E-2"/>
                  <c:y val="6.9444444444444461E-2"/>
                </c:manualLayout>
              </c:layout>
              <c:spPr/>
              <c:txPr>
                <a:bodyPr/>
                <a:lstStyle/>
                <a:p>
                  <a:pPr>
                    <a:defRPr sz="800" b="1"/>
                  </a:pPr>
                  <a:endParaRPr lang="en-US"/>
                </a:p>
              </c:txP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Diagrams!$A$3:$A$46</c:f>
              <c:numCache>
                <c:formatCode>0</c:formatCode>
                <c:ptCount val="44"/>
                <c:pt idx="0">
                  <c:v>1969</c:v>
                </c:pt>
                <c:pt idx="1">
                  <c:v>1970</c:v>
                </c:pt>
                <c:pt idx="2">
                  <c:v>1971</c:v>
                </c:pt>
                <c:pt idx="3">
                  <c:v>1972</c:v>
                </c:pt>
                <c:pt idx="4">
                  <c:v>1973</c:v>
                </c:pt>
                <c:pt idx="5">
                  <c:v>1974</c:v>
                </c:pt>
                <c:pt idx="6">
                  <c:v>1975</c:v>
                </c:pt>
                <c:pt idx="7">
                  <c:v>1976</c:v>
                </c:pt>
                <c:pt idx="8">
                  <c:v>1977</c:v>
                </c:pt>
                <c:pt idx="9">
                  <c:v>1978</c:v>
                </c:pt>
                <c:pt idx="10">
                  <c:v>1979</c:v>
                </c:pt>
                <c:pt idx="11">
                  <c:v>1980</c:v>
                </c:pt>
                <c:pt idx="12">
                  <c:v>1981</c:v>
                </c:pt>
                <c:pt idx="13">
                  <c:v>1982</c:v>
                </c:pt>
                <c:pt idx="14">
                  <c:v>1983</c:v>
                </c:pt>
                <c:pt idx="15">
                  <c:v>1984</c:v>
                </c:pt>
                <c:pt idx="16">
                  <c:v>1985</c:v>
                </c:pt>
                <c:pt idx="17">
                  <c:v>1986</c:v>
                </c:pt>
                <c:pt idx="18">
                  <c:v>1987</c:v>
                </c:pt>
                <c:pt idx="19">
                  <c:v>1988</c:v>
                </c:pt>
                <c:pt idx="20">
                  <c:v>1989</c:v>
                </c:pt>
                <c:pt idx="21">
                  <c:v>1990</c:v>
                </c:pt>
                <c:pt idx="22">
                  <c:v>1991</c:v>
                </c:pt>
                <c:pt idx="23">
                  <c:v>1992</c:v>
                </c:pt>
                <c:pt idx="24">
                  <c:v>1993</c:v>
                </c:pt>
                <c:pt idx="25">
                  <c:v>1994</c:v>
                </c:pt>
                <c:pt idx="26">
                  <c:v>1995</c:v>
                </c:pt>
                <c:pt idx="27">
                  <c:v>1996</c:v>
                </c:pt>
                <c:pt idx="28">
                  <c:v>1997</c:v>
                </c:pt>
                <c:pt idx="29">
                  <c:v>1998</c:v>
                </c:pt>
                <c:pt idx="30">
                  <c:v>1999</c:v>
                </c:pt>
                <c:pt idx="31">
                  <c:v>2000</c:v>
                </c:pt>
                <c:pt idx="32">
                  <c:v>2001</c:v>
                </c:pt>
                <c:pt idx="33">
                  <c:v>2002</c:v>
                </c:pt>
                <c:pt idx="34">
                  <c:v>2003</c:v>
                </c:pt>
                <c:pt idx="35">
                  <c:v>2004</c:v>
                </c:pt>
                <c:pt idx="36">
                  <c:v>2005</c:v>
                </c:pt>
                <c:pt idx="37">
                  <c:v>2006</c:v>
                </c:pt>
                <c:pt idx="38">
                  <c:v>2007</c:v>
                </c:pt>
                <c:pt idx="39">
                  <c:v>2008</c:v>
                </c:pt>
                <c:pt idx="40">
                  <c:v>2009</c:v>
                </c:pt>
                <c:pt idx="41">
                  <c:v>2010</c:v>
                </c:pt>
                <c:pt idx="42">
                  <c:v>2011</c:v>
                </c:pt>
                <c:pt idx="43">
                  <c:v>2012</c:v>
                </c:pt>
              </c:numCache>
            </c:numRef>
          </c:cat>
          <c:val>
            <c:numRef>
              <c:f>Diagrams!$N$3:$N$46</c:f>
              <c:numCache>
                <c:formatCode>#,##0</c:formatCode>
                <c:ptCount val="44"/>
                <c:pt idx="0">
                  <c:v>394799</c:v>
                </c:pt>
                <c:pt idx="1">
                  <c:v>398899</c:v>
                </c:pt>
                <c:pt idx="2">
                  <c:v>416073</c:v>
                </c:pt>
                <c:pt idx="3">
                  <c:v>440381</c:v>
                </c:pt>
                <c:pt idx="4">
                  <c:v>460680</c:v>
                </c:pt>
                <c:pt idx="5">
                  <c:v>478009</c:v>
                </c:pt>
                <c:pt idx="6">
                  <c:v>490785</c:v>
                </c:pt>
                <c:pt idx="7">
                  <c:v>512389</c:v>
                </c:pt>
                <c:pt idx="8">
                  <c:v>538969</c:v>
                </c:pt>
                <c:pt idx="9">
                  <c:v>568233</c:v>
                </c:pt>
                <c:pt idx="10">
                  <c:v>592146</c:v>
                </c:pt>
                <c:pt idx="11">
                  <c:v>597040</c:v>
                </c:pt>
                <c:pt idx="12">
                  <c:v>610846</c:v>
                </c:pt>
                <c:pt idx="13">
                  <c:v>619089</c:v>
                </c:pt>
                <c:pt idx="14">
                  <c:v>631355</c:v>
                </c:pt>
                <c:pt idx="15">
                  <c:v>655141</c:v>
                </c:pt>
                <c:pt idx="16">
                  <c:v>674150</c:v>
                </c:pt>
                <c:pt idx="17">
                  <c:v>679909</c:v>
                </c:pt>
                <c:pt idx="18">
                  <c:v>698586</c:v>
                </c:pt>
                <c:pt idx="19">
                  <c:v>733303</c:v>
                </c:pt>
                <c:pt idx="20">
                  <c:v>748614</c:v>
                </c:pt>
                <c:pt idx="21">
                  <c:v>761396</c:v>
                </c:pt>
                <c:pt idx="22">
                  <c:v>784294</c:v>
                </c:pt>
                <c:pt idx="23">
                  <c:v>796829</c:v>
                </c:pt>
                <c:pt idx="24">
                  <c:v>825122</c:v>
                </c:pt>
                <c:pt idx="25">
                  <c:v>856994</c:v>
                </c:pt>
                <c:pt idx="26">
                  <c:v>898187</c:v>
                </c:pt>
                <c:pt idx="27">
                  <c:v>908725</c:v>
                </c:pt>
                <c:pt idx="28">
                  <c:v>922830</c:v>
                </c:pt>
                <c:pt idx="29">
                  <c:v>938675</c:v>
                </c:pt>
                <c:pt idx="30">
                  <c:v>942689</c:v>
                </c:pt>
                <c:pt idx="31">
                  <c:v>964673</c:v>
                </c:pt>
                <c:pt idx="32">
                  <c:v>974968</c:v>
                </c:pt>
                <c:pt idx="33">
                  <c:v>982927</c:v>
                </c:pt>
                <c:pt idx="34">
                  <c:v>1001654</c:v>
                </c:pt>
                <c:pt idx="35">
                  <c:v>1025906</c:v>
                </c:pt>
                <c:pt idx="36">
                  <c:v>1049656</c:v>
                </c:pt>
                <c:pt idx="37">
                  <c:v>1079057</c:v>
                </c:pt>
                <c:pt idx="38">
                  <c:v>1104513</c:v>
                </c:pt>
                <c:pt idx="39">
                  <c:v>1107052</c:v>
                </c:pt>
                <c:pt idx="40">
                  <c:v>1074041</c:v>
                </c:pt>
                <c:pt idx="41">
                  <c:v>1059328</c:v>
                </c:pt>
                <c:pt idx="42">
                  <c:v>1063280</c:v>
                </c:pt>
                <c:pt idx="43">
                  <c:v>1074538</c:v>
                </c:pt>
              </c:numCache>
            </c:numRef>
          </c:val>
          <c:smooth val="0"/>
        </c:ser>
        <c:dLbls>
          <c:showLegendKey val="0"/>
          <c:showVal val="0"/>
          <c:showCatName val="0"/>
          <c:showSerName val="0"/>
          <c:showPercent val="0"/>
          <c:showBubbleSize val="0"/>
        </c:dLbls>
        <c:marker val="1"/>
        <c:smooth val="0"/>
        <c:axId val="219932696"/>
        <c:axId val="219827904"/>
      </c:lineChart>
      <c:catAx>
        <c:axId val="219932696"/>
        <c:scaling>
          <c:orientation val="minMax"/>
        </c:scaling>
        <c:delete val="0"/>
        <c:axPos val="b"/>
        <c:numFmt formatCode="00" sourceLinked="0"/>
        <c:majorTickMark val="out"/>
        <c:minorTickMark val="none"/>
        <c:tickLblPos val="nextTo"/>
        <c:spPr>
          <a:ln w="3175">
            <a:solidFill>
              <a:srgbClr val="000000"/>
            </a:solidFill>
            <a:prstDash val="solid"/>
          </a:ln>
        </c:spPr>
        <c:txPr>
          <a:bodyPr rot="0" vert="horz"/>
          <a:lstStyle/>
          <a:p>
            <a:pPr>
              <a:defRPr sz="800" b="1" i="0" u="none" strike="noStrike" baseline="0">
                <a:solidFill>
                  <a:srgbClr val="000000"/>
                </a:solidFill>
                <a:latin typeface="Arial"/>
                <a:ea typeface="Arial"/>
                <a:cs typeface="Arial"/>
              </a:defRPr>
            </a:pPr>
            <a:endParaRPr lang="en-US"/>
          </a:p>
        </c:txPr>
        <c:crossAx val="219827904"/>
        <c:crosses val="autoZero"/>
        <c:auto val="1"/>
        <c:lblAlgn val="ctr"/>
        <c:lblOffset val="100"/>
        <c:tickLblSkip val="3"/>
        <c:tickMarkSkip val="2"/>
        <c:noMultiLvlLbl val="0"/>
      </c:catAx>
      <c:valAx>
        <c:axId val="219827904"/>
        <c:scaling>
          <c:orientation val="minMax"/>
          <c:min val="250000"/>
        </c:scaling>
        <c:delete val="0"/>
        <c:axPos val="l"/>
        <c:majorGridlines>
          <c:spPr>
            <a:ln w="3175">
              <a:solidFill>
                <a:srgbClr val="000000"/>
              </a:solidFill>
              <a:prstDash val="solid"/>
            </a:ln>
          </c:spPr>
        </c:majorGridlines>
        <c:numFmt formatCode="#,##0" sourceLinked="0"/>
        <c:majorTickMark val="out"/>
        <c:minorTickMark val="none"/>
        <c:tickLblPos val="nextTo"/>
        <c:spPr>
          <a:ln w="3175">
            <a:solidFill>
              <a:srgbClr val="000000"/>
            </a:solidFill>
            <a:prstDash val="solid"/>
          </a:ln>
        </c:spPr>
        <c:txPr>
          <a:bodyPr rot="0" vert="horz"/>
          <a:lstStyle/>
          <a:p>
            <a:pPr>
              <a:defRPr sz="800" b="1" i="0" u="none" strike="noStrike" baseline="0">
                <a:solidFill>
                  <a:srgbClr val="000000"/>
                </a:solidFill>
                <a:latin typeface="Arial"/>
                <a:ea typeface="Arial"/>
                <a:cs typeface="Arial"/>
              </a:defRPr>
            </a:pPr>
            <a:endParaRPr lang="en-US"/>
          </a:p>
        </c:txPr>
        <c:crossAx val="219932696"/>
        <c:crosses val="autoZero"/>
        <c:crossBetween val="between"/>
      </c:valAx>
      <c:spPr>
        <a:solidFill>
          <a:srgbClr val="FFFFE1"/>
        </a:solidFill>
        <a:ln w="12700">
          <a:solidFill>
            <a:srgbClr val="808080"/>
          </a:solidFill>
          <a:prstDash val="solid"/>
        </a:ln>
      </c:spPr>
    </c:plotArea>
    <c:legend>
      <c:legendPos val="b"/>
      <c:layout>
        <c:manualLayout>
          <c:xMode val="edge"/>
          <c:yMode val="edge"/>
          <c:x val="0.11562390638670167"/>
          <c:y val="0.9135414843977836"/>
          <c:w val="0.81100831146106733"/>
          <c:h val="6.7284922717993578E-2"/>
        </c:manualLayout>
      </c:layout>
      <c:overlay val="0"/>
      <c:spPr>
        <a:noFill/>
        <a:ln w="25400">
          <a:noFill/>
        </a:ln>
      </c:spPr>
      <c:txPr>
        <a:bodyPr/>
        <a:lstStyle/>
        <a:p>
          <a:pPr>
            <a:defRPr sz="800" b="1" i="0" u="none" strike="noStrike" baseline="0">
              <a:solidFill>
                <a:srgbClr val="000000"/>
              </a:solidFill>
              <a:latin typeface="Arial"/>
              <a:ea typeface="Arial"/>
              <a:cs typeface="Arial"/>
            </a:defRPr>
          </a:pPr>
          <a:endParaRPr lang="en-US"/>
        </a:p>
      </c:txPr>
    </c:legend>
    <c:plotVisOnly val="1"/>
    <c:dispBlanksAs val="gap"/>
    <c:showDLblsOverMax val="0"/>
  </c:chart>
  <c:spPr>
    <a:noFill/>
    <a:ln w="19050">
      <a:noFill/>
      <a:prstDash val="solid"/>
    </a:ln>
  </c:spPr>
  <c:txPr>
    <a:bodyPr/>
    <a:lstStyle/>
    <a:p>
      <a:pPr>
        <a:defRPr sz="1200" b="0" i="0" u="none" strike="noStrike" baseline="0">
          <a:solidFill>
            <a:srgbClr val="000000"/>
          </a:solidFill>
          <a:latin typeface="Arial"/>
          <a:ea typeface="Arial"/>
          <a:cs typeface="Arial"/>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680774278215222"/>
          <c:y val="2.6225302700091751E-2"/>
          <c:w val="0.83445282881306504"/>
          <c:h val="0.78674980391939375"/>
        </c:manualLayout>
      </c:layout>
      <c:lineChart>
        <c:grouping val="standard"/>
        <c:varyColors val="0"/>
        <c:ser>
          <c:idx val="0"/>
          <c:order val="0"/>
          <c:tx>
            <c:strRef>
              <c:f>Diagrams!$M$1</c:f>
              <c:strCache>
                <c:ptCount val="1"/>
                <c:pt idx="0">
                  <c:v>State of New Mexico</c:v>
                </c:pt>
              </c:strCache>
            </c:strRef>
          </c:tx>
          <c:spPr>
            <a:ln w="19050">
              <a:solidFill>
                <a:srgbClr val="009900"/>
              </a:solidFill>
            </a:ln>
          </c:spPr>
          <c:marker>
            <c:symbol val="circle"/>
            <c:size val="5"/>
            <c:spPr>
              <a:solidFill>
                <a:srgbClr val="009900"/>
              </a:solidFill>
              <a:ln>
                <a:solidFill>
                  <a:srgbClr val="009900"/>
                </a:solidFill>
              </a:ln>
            </c:spPr>
          </c:marker>
          <c:dLbls>
            <c:dLbl>
              <c:idx val="43"/>
              <c:layout>
                <c:manualLayout>
                  <c:x val="-2.7777777777777776E-2"/>
                  <c:y val="-4.6296296296296335E-2"/>
                </c:manualLayout>
              </c:layout>
              <c:spPr/>
              <c:txPr>
                <a:bodyPr/>
                <a:lstStyle/>
                <a:p>
                  <a:pPr>
                    <a:defRPr sz="800" b="1"/>
                  </a:pPr>
                  <a:endParaRPr lang="en-US"/>
                </a:p>
              </c:txP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Diagrams!$A$3:$A$46</c:f>
              <c:numCache>
                <c:formatCode>0</c:formatCode>
                <c:ptCount val="44"/>
                <c:pt idx="0">
                  <c:v>1969</c:v>
                </c:pt>
                <c:pt idx="1">
                  <c:v>1970</c:v>
                </c:pt>
                <c:pt idx="2">
                  <c:v>1971</c:v>
                </c:pt>
                <c:pt idx="3">
                  <c:v>1972</c:v>
                </c:pt>
                <c:pt idx="4">
                  <c:v>1973</c:v>
                </c:pt>
                <c:pt idx="5">
                  <c:v>1974</c:v>
                </c:pt>
                <c:pt idx="6">
                  <c:v>1975</c:v>
                </c:pt>
                <c:pt idx="7">
                  <c:v>1976</c:v>
                </c:pt>
                <c:pt idx="8">
                  <c:v>1977</c:v>
                </c:pt>
                <c:pt idx="9">
                  <c:v>1978</c:v>
                </c:pt>
                <c:pt idx="10">
                  <c:v>1979</c:v>
                </c:pt>
                <c:pt idx="11">
                  <c:v>1980</c:v>
                </c:pt>
                <c:pt idx="12">
                  <c:v>1981</c:v>
                </c:pt>
                <c:pt idx="13">
                  <c:v>1982</c:v>
                </c:pt>
                <c:pt idx="14">
                  <c:v>1983</c:v>
                </c:pt>
                <c:pt idx="15">
                  <c:v>1984</c:v>
                </c:pt>
                <c:pt idx="16">
                  <c:v>1985</c:v>
                </c:pt>
                <c:pt idx="17">
                  <c:v>1986</c:v>
                </c:pt>
                <c:pt idx="18">
                  <c:v>1987</c:v>
                </c:pt>
                <c:pt idx="19">
                  <c:v>1988</c:v>
                </c:pt>
                <c:pt idx="20">
                  <c:v>1989</c:v>
                </c:pt>
                <c:pt idx="21">
                  <c:v>1990</c:v>
                </c:pt>
                <c:pt idx="22">
                  <c:v>1991</c:v>
                </c:pt>
                <c:pt idx="23">
                  <c:v>1992</c:v>
                </c:pt>
                <c:pt idx="24">
                  <c:v>1993</c:v>
                </c:pt>
                <c:pt idx="25">
                  <c:v>1994</c:v>
                </c:pt>
                <c:pt idx="26">
                  <c:v>1995</c:v>
                </c:pt>
                <c:pt idx="27">
                  <c:v>1996</c:v>
                </c:pt>
                <c:pt idx="28">
                  <c:v>1997</c:v>
                </c:pt>
                <c:pt idx="29">
                  <c:v>1998</c:v>
                </c:pt>
                <c:pt idx="30">
                  <c:v>1999</c:v>
                </c:pt>
                <c:pt idx="31">
                  <c:v>2000</c:v>
                </c:pt>
                <c:pt idx="32">
                  <c:v>2001</c:v>
                </c:pt>
                <c:pt idx="33">
                  <c:v>2002</c:v>
                </c:pt>
                <c:pt idx="34">
                  <c:v>2003</c:v>
                </c:pt>
                <c:pt idx="35">
                  <c:v>2004</c:v>
                </c:pt>
                <c:pt idx="36">
                  <c:v>2005</c:v>
                </c:pt>
                <c:pt idx="37">
                  <c:v>2006</c:v>
                </c:pt>
                <c:pt idx="38">
                  <c:v>2007</c:v>
                </c:pt>
                <c:pt idx="39">
                  <c:v>2008</c:v>
                </c:pt>
                <c:pt idx="40">
                  <c:v>2009</c:v>
                </c:pt>
                <c:pt idx="41">
                  <c:v>2010</c:v>
                </c:pt>
                <c:pt idx="42">
                  <c:v>2011</c:v>
                </c:pt>
                <c:pt idx="43">
                  <c:v>2012</c:v>
                </c:pt>
              </c:numCache>
            </c:numRef>
          </c:cat>
          <c:val>
            <c:numRef>
              <c:f>Diagrams!$O$3:$O$46</c:f>
              <c:numCache>
                <c:formatCode>#,##0</c:formatCode>
                <c:ptCount val="44"/>
                <c:pt idx="0">
                  <c:v>31675.473852675288</c:v>
                </c:pt>
                <c:pt idx="1">
                  <c:v>32354.645410469227</c:v>
                </c:pt>
                <c:pt idx="2">
                  <c:v>32381.516787978398</c:v>
                </c:pt>
                <c:pt idx="3">
                  <c:v>33036.659789173573</c:v>
                </c:pt>
                <c:pt idx="4">
                  <c:v>33727.301677566109</c:v>
                </c:pt>
                <c:pt idx="5">
                  <c:v>33232.250244379276</c:v>
                </c:pt>
                <c:pt idx="6">
                  <c:v>33391.244083236583</c:v>
                </c:pt>
                <c:pt idx="7">
                  <c:v>34141.28550916411</c:v>
                </c:pt>
                <c:pt idx="8">
                  <c:v>34647.997247439329</c:v>
                </c:pt>
                <c:pt idx="9">
                  <c:v>35376.876468406081</c:v>
                </c:pt>
                <c:pt idx="10">
                  <c:v>35365.512580483126</c:v>
                </c:pt>
                <c:pt idx="11">
                  <c:v>35275.910527086686</c:v>
                </c:pt>
                <c:pt idx="12">
                  <c:v>35166.37153242778</c:v>
                </c:pt>
                <c:pt idx="13">
                  <c:v>34829.114120341153</c:v>
                </c:pt>
                <c:pt idx="14">
                  <c:v>34856.92083535697</c:v>
                </c:pt>
                <c:pt idx="15">
                  <c:v>35494.939565675311</c:v>
                </c:pt>
                <c:pt idx="16">
                  <c:v>36007.414811449344</c:v>
                </c:pt>
                <c:pt idx="17">
                  <c:v>35922.376212474795</c:v>
                </c:pt>
                <c:pt idx="18">
                  <c:v>35537.550409602118</c:v>
                </c:pt>
                <c:pt idx="19">
                  <c:v>34635.873877636252</c:v>
                </c:pt>
                <c:pt idx="20">
                  <c:v>34596.228063871684</c:v>
                </c:pt>
                <c:pt idx="21">
                  <c:v>35162.593894439684</c:v>
                </c:pt>
                <c:pt idx="22">
                  <c:v>35344.648775793867</c:v>
                </c:pt>
                <c:pt idx="23">
                  <c:v>36551.701088801274</c:v>
                </c:pt>
                <c:pt idx="24">
                  <c:v>37344.282028356101</c:v>
                </c:pt>
                <c:pt idx="25">
                  <c:v>37491.278458844135</c:v>
                </c:pt>
                <c:pt idx="26">
                  <c:v>37295.577285983883</c:v>
                </c:pt>
                <c:pt idx="27">
                  <c:v>37411.991967195368</c:v>
                </c:pt>
                <c:pt idx="28">
                  <c:v>38121.635392541473</c:v>
                </c:pt>
                <c:pt idx="29">
                  <c:v>39458.878295008413</c:v>
                </c:pt>
                <c:pt idx="30">
                  <c:v>40084.152829276158</c:v>
                </c:pt>
                <c:pt idx="31">
                  <c:v>40916.829232555254</c:v>
                </c:pt>
                <c:pt idx="32">
                  <c:v>43861.899544788204</c:v>
                </c:pt>
                <c:pt idx="33">
                  <c:v>44849.709748796042</c:v>
                </c:pt>
                <c:pt idx="34">
                  <c:v>44592.54984862166</c:v>
                </c:pt>
                <c:pt idx="35">
                  <c:v>44805.010642035006</c:v>
                </c:pt>
                <c:pt idx="36">
                  <c:v>44924.644800000002</c:v>
                </c:pt>
                <c:pt idx="37">
                  <c:v>44909.839873681354</c:v>
                </c:pt>
                <c:pt idx="38">
                  <c:v>44420.772873186659</c:v>
                </c:pt>
                <c:pt idx="39">
                  <c:v>45316.585069348512</c:v>
                </c:pt>
                <c:pt idx="40">
                  <c:v>44629.866428069276</c:v>
                </c:pt>
                <c:pt idx="41">
                  <c:v>45998.283855738649</c:v>
                </c:pt>
                <c:pt idx="42">
                  <c:v>46654.250654998723</c:v>
                </c:pt>
                <c:pt idx="43">
                  <c:v>46673</c:v>
                </c:pt>
              </c:numCache>
            </c:numRef>
          </c:val>
          <c:smooth val="0"/>
        </c:ser>
        <c:ser>
          <c:idx val="1"/>
          <c:order val="1"/>
          <c:tx>
            <c:strRef>
              <c:f>Diagrams!$I$1</c:f>
              <c:strCache>
                <c:ptCount val="1"/>
                <c:pt idx="0">
                  <c:v>U.S.</c:v>
                </c:pt>
              </c:strCache>
            </c:strRef>
          </c:tx>
          <c:spPr>
            <a:ln w="19050">
              <a:solidFill>
                <a:srgbClr val="C00000"/>
              </a:solidFill>
            </a:ln>
          </c:spPr>
          <c:marker>
            <c:symbol val="square"/>
            <c:size val="5"/>
            <c:spPr>
              <a:solidFill>
                <a:srgbClr val="C00000"/>
              </a:solidFill>
              <a:ln>
                <a:solidFill>
                  <a:srgbClr val="C00000"/>
                </a:solidFill>
              </a:ln>
            </c:spPr>
          </c:marker>
          <c:dLbls>
            <c:dLbl>
              <c:idx val="43"/>
              <c:layout>
                <c:manualLayout>
                  <c:x val="-2.0833333333333332E-2"/>
                  <c:y val="-5.555555555555558E-2"/>
                </c:manualLayout>
              </c:layout>
              <c:spPr/>
              <c:txPr>
                <a:bodyPr/>
                <a:lstStyle/>
                <a:p>
                  <a:pPr>
                    <a:defRPr sz="800" b="1"/>
                  </a:pPr>
                  <a:endParaRPr lang="en-US"/>
                </a:p>
              </c:txP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Diagrams!$A$3:$A$46</c:f>
              <c:numCache>
                <c:formatCode>0</c:formatCode>
                <c:ptCount val="44"/>
                <c:pt idx="0">
                  <c:v>1969</c:v>
                </c:pt>
                <c:pt idx="1">
                  <c:v>1970</c:v>
                </c:pt>
                <c:pt idx="2">
                  <c:v>1971</c:v>
                </c:pt>
                <c:pt idx="3">
                  <c:v>1972</c:v>
                </c:pt>
                <c:pt idx="4">
                  <c:v>1973</c:v>
                </c:pt>
                <c:pt idx="5">
                  <c:v>1974</c:v>
                </c:pt>
                <c:pt idx="6">
                  <c:v>1975</c:v>
                </c:pt>
                <c:pt idx="7">
                  <c:v>1976</c:v>
                </c:pt>
                <c:pt idx="8">
                  <c:v>1977</c:v>
                </c:pt>
                <c:pt idx="9">
                  <c:v>1978</c:v>
                </c:pt>
                <c:pt idx="10">
                  <c:v>1979</c:v>
                </c:pt>
                <c:pt idx="11">
                  <c:v>1980</c:v>
                </c:pt>
                <c:pt idx="12">
                  <c:v>1981</c:v>
                </c:pt>
                <c:pt idx="13">
                  <c:v>1982</c:v>
                </c:pt>
                <c:pt idx="14">
                  <c:v>1983</c:v>
                </c:pt>
                <c:pt idx="15">
                  <c:v>1984</c:v>
                </c:pt>
                <c:pt idx="16">
                  <c:v>1985</c:v>
                </c:pt>
                <c:pt idx="17">
                  <c:v>1986</c:v>
                </c:pt>
                <c:pt idx="18">
                  <c:v>1987</c:v>
                </c:pt>
                <c:pt idx="19">
                  <c:v>1988</c:v>
                </c:pt>
                <c:pt idx="20">
                  <c:v>1989</c:v>
                </c:pt>
                <c:pt idx="21">
                  <c:v>1990</c:v>
                </c:pt>
                <c:pt idx="22">
                  <c:v>1991</c:v>
                </c:pt>
                <c:pt idx="23">
                  <c:v>1992</c:v>
                </c:pt>
                <c:pt idx="24">
                  <c:v>1993</c:v>
                </c:pt>
                <c:pt idx="25">
                  <c:v>1994</c:v>
                </c:pt>
                <c:pt idx="26">
                  <c:v>1995</c:v>
                </c:pt>
                <c:pt idx="27">
                  <c:v>1996</c:v>
                </c:pt>
                <c:pt idx="28">
                  <c:v>1997</c:v>
                </c:pt>
                <c:pt idx="29">
                  <c:v>1998</c:v>
                </c:pt>
                <c:pt idx="30">
                  <c:v>1999</c:v>
                </c:pt>
                <c:pt idx="31">
                  <c:v>2000</c:v>
                </c:pt>
                <c:pt idx="32">
                  <c:v>2001</c:v>
                </c:pt>
                <c:pt idx="33">
                  <c:v>2002</c:v>
                </c:pt>
                <c:pt idx="34">
                  <c:v>2003</c:v>
                </c:pt>
                <c:pt idx="35">
                  <c:v>2004</c:v>
                </c:pt>
                <c:pt idx="36">
                  <c:v>2005</c:v>
                </c:pt>
                <c:pt idx="37">
                  <c:v>2006</c:v>
                </c:pt>
                <c:pt idx="38">
                  <c:v>2007</c:v>
                </c:pt>
                <c:pt idx="39">
                  <c:v>2008</c:v>
                </c:pt>
                <c:pt idx="40">
                  <c:v>2009</c:v>
                </c:pt>
                <c:pt idx="41">
                  <c:v>2010</c:v>
                </c:pt>
                <c:pt idx="42">
                  <c:v>2011</c:v>
                </c:pt>
                <c:pt idx="43">
                  <c:v>2012</c:v>
                </c:pt>
              </c:numCache>
            </c:numRef>
          </c:cat>
          <c:val>
            <c:numRef>
              <c:f>Diagrams!$J$3:$J$46</c:f>
              <c:numCache>
                <c:formatCode>#,##0</c:formatCode>
                <c:ptCount val="44"/>
                <c:pt idx="0">
                  <c:v>35547.585968251224</c:v>
                </c:pt>
                <c:pt idx="1">
                  <c:v>35781.602432410218</c:v>
                </c:pt>
                <c:pt idx="2">
                  <c:v>36336.097675510682</c:v>
                </c:pt>
                <c:pt idx="3">
                  <c:v>37407.50422027985</c:v>
                </c:pt>
                <c:pt idx="4">
                  <c:v>38298.896787034406</c:v>
                </c:pt>
                <c:pt idx="5">
                  <c:v>37498.578038448999</c:v>
                </c:pt>
                <c:pt idx="6">
                  <c:v>36911.353636390704</c:v>
                </c:pt>
                <c:pt idx="7">
                  <c:v>37902.283285002399</c:v>
                </c:pt>
                <c:pt idx="8">
                  <c:v>38366.825291797897</c:v>
                </c:pt>
                <c:pt idx="9">
                  <c:v>38911.711141337953</c:v>
                </c:pt>
                <c:pt idx="10">
                  <c:v>38900.220101374485</c:v>
                </c:pt>
                <c:pt idx="11">
                  <c:v>38363.216505199722</c:v>
                </c:pt>
                <c:pt idx="12">
                  <c:v>38216.448440788212</c:v>
                </c:pt>
                <c:pt idx="13">
                  <c:v>37965.897690185542</c:v>
                </c:pt>
                <c:pt idx="14">
                  <c:v>38332.608062166102</c:v>
                </c:pt>
                <c:pt idx="15">
                  <c:v>39433.036093418261</c:v>
                </c:pt>
                <c:pt idx="16">
                  <c:v>39964.561562925948</c:v>
                </c:pt>
                <c:pt idx="17">
                  <c:v>40713.247289295294</c:v>
                </c:pt>
                <c:pt idx="18">
                  <c:v>41414.202625773301</c:v>
                </c:pt>
                <c:pt idx="19">
                  <c:v>42166.982668615572</c:v>
                </c:pt>
                <c:pt idx="20">
                  <c:v>42209.852106299499</c:v>
                </c:pt>
                <c:pt idx="21">
                  <c:v>42410.309152805072</c:v>
                </c:pt>
                <c:pt idx="22">
                  <c:v>42427.454292740302</c:v>
                </c:pt>
                <c:pt idx="23">
                  <c:v>44140.659547246665</c:v>
                </c:pt>
                <c:pt idx="24">
                  <c:v>44275.60710180099</c:v>
                </c:pt>
                <c:pt idx="25">
                  <c:v>44608.56042031524</c:v>
                </c:pt>
                <c:pt idx="26">
                  <c:v>44797.666838222685</c:v>
                </c:pt>
                <c:pt idx="27">
                  <c:v>45582.729951057612</c:v>
                </c:pt>
                <c:pt idx="28">
                  <c:v>46658.995131634918</c:v>
                </c:pt>
                <c:pt idx="29">
                  <c:v>48519.566274069919</c:v>
                </c:pt>
                <c:pt idx="30">
                  <c:v>50081.612123166204</c:v>
                </c:pt>
                <c:pt idx="31">
                  <c:v>51897.242428682526</c:v>
                </c:pt>
                <c:pt idx="32">
                  <c:v>52840.009258544866</c:v>
                </c:pt>
                <c:pt idx="33">
                  <c:v>53099.183478675863</c:v>
                </c:pt>
                <c:pt idx="34">
                  <c:v>53564.245392255805</c:v>
                </c:pt>
                <c:pt idx="35">
                  <c:v>54265.183807575479</c:v>
                </c:pt>
                <c:pt idx="36">
                  <c:v>53892.731199999995</c:v>
                </c:pt>
                <c:pt idx="37">
                  <c:v>54206.270597010589</c:v>
                </c:pt>
                <c:pt idx="38">
                  <c:v>53565.778945089289</c:v>
                </c:pt>
                <c:pt idx="39">
                  <c:v>53839.341327291826</c:v>
                </c:pt>
                <c:pt idx="40">
                  <c:v>52905.149868984474</c:v>
                </c:pt>
                <c:pt idx="41">
                  <c:v>53980.452100582923</c:v>
                </c:pt>
                <c:pt idx="42">
                  <c:v>54371.104896832199</c:v>
                </c:pt>
                <c:pt idx="43">
                  <c:v>54680.999999999993</c:v>
                </c:pt>
              </c:numCache>
            </c:numRef>
          </c:val>
          <c:smooth val="0"/>
        </c:ser>
        <c:dLbls>
          <c:showLegendKey val="0"/>
          <c:showVal val="0"/>
          <c:showCatName val="0"/>
          <c:showSerName val="0"/>
          <c:showPercent val="0"/>
          <c:showBubbleSize val="0"/>
        </c:dLbls>
        <c:marker val="1"/>
        <c:smooth val="0"/>
        <c:axId val="219911744"/>
        <c:axId val="217716232"/>
      </c:lineChart>
      <c:catAx>
        <c:axId val="219911744"/>
        <c:scaling>
          <c:orientation val="minMax"/>
        </c:scaling>
        <c:delete val="0"/>
        <c:axPos val="b"/>
        <c:numFmt formatCode="00" sourceLinked="0"/>
        <c:majorTickMark val="out"/>
        <c:minorTickMark val="none"/>
        <c:tickLblPos val="nextTo"/>
        <c:spPr>
          <a:ln w="3175">
            <a:solidFill>
              <a:srgbClr val="000000"/>
            </a:solidFill>
            <a:prstDash val="solid"/>
          </a:ln>
        </c:spPr>
        <c:txPr>
          <a:bodyPr rot="0" vert="horz"/>
          <a:lstStyle/>
          <a:p>
            <a:pPr>
              <a:defRPr sz="800" b="1" i="0" u="none" strike="noStrike" baseline="0">
                <a:solidFill>
                  <a:srgbClr val="000000"/>
                </a:solidFill>
                <a:latin typeface="Arial"/>
                <a:ea typeface="Arial"/>
                <a:cs typeface="Arial"/>
              </a:defRPr>
            </a:pPr>
            <a:endParaRPr lang="en-US"/>
          </a:p>
        </c:txPr>
        <c:crossAx val="217716232"/>
        <c:crosses val="autoZero"/>
        <c:auto val="1"/>
        <c:lblAlgn val="ctr"/>
        <c:lblOffset val="100"/>
        <c:tickLblSkip val="3"/>
        <c:tickMarkSkip val="2"/>
        <c:noMultiLvlLbl val="0"/>
      </c:catAx>
      <c:valAx>
        <c:axId val="217716232"/>
        <c:scaling>
          <c:orientation val="minMax"/>
          <c:min val="30000"/>
        </c:scaling>
        <c:delete val="0"/>
        <c:axPos val="l"/>
        <c:majorGridlines>
          <c:spPr>
            <a:ln w="3175">
              <a:solidFill>
                <a:srgbClr val="000000"/>
              </a:solidFill>
              <a:prstDash val="solid"/>
            </a:ln>
          </c:spPr>
        </c:majorGridlines>
        <c:title>
          <c:tx>
            <c:rich>
              <a:bodyPr rot="-5400000" vert="horz"/>
              <a:lstStyle/>
              <a:p>
                <a:pPr>
                  <a:defRPr/>
                </a:pPr>
                <a:r>
                  <a:rPr lang="en-US" sz="800" b="1"/>
                  <a:t>Real 2012 Dollars</a:t>
                </a:r>
              </a:p>
            </c:rich>
          </c:tx>
          <c:layout>
            <c:manualLayout>
              <c:xMode val="edge"/>
              <c:yMode val="edge"/>
              <c:x val="2.4066012186298131E-2"/>
              <c:y val="0.30051006428641253"/>
            </c:manualLayout>
          </c:layout>
          <c:overlay val="0"/>
        </c:title>
        <c:numFmt formatCode="#,##0" sourceLinked="0"/>
        <c:majorTickMark val="out"/>
        <c:minorTickMark val="none"/>
        <c:tickLblPos val="nextTo"/>
        <c:spPr>
          <a:ln w="3175">
            <a:solidFill>
              <a:srgbClr val="000000"/>
            </a:solidFill>
            <a:prstDash val="solid"/>
          </a:ln>
        </c:spPr>
        <c:txPr>
          <a:bodyPr rot="0" vert="horz"/>
          <a:lstStyle/>
          <a:p>
            <a:pPr>
              <a:defRPr sz="800" b="1" i="0" u="none" strike="noStrike" baseline="0">
                <a:solidFill>
                  <a:srgbClr val="000000"/>
                </a:solidFill>
                <a:latin typeface="Arial"/>
                <a:ea typeface="Arial"/>
                <a:cs typeface="Arial"/>
              </a:defRPr>
            </a:pPr>
            <a:endParaRPr lang="en-US"/>
          </a:p>
        </c:txPr>
        <c:crossAx val="219911744"/>
        <c:crosses val="autoZero"/>
        <c:crossBetween val="between"/>
        <c:majorUnit val="5000"/>
      </c:valAx>
      <c:spPr>
        <a:solidFill>
          <a:srgbClr val="FFFFE1"/>
        </a:solidFill>
        <a:ln w="12700">
          <a:solidFill>
            <a:srgbClr val="808080"/>
          </a:solidFill>
          <a:prstDash val="solid"/>
        </a:ln>
      </c:spPr>
    </c:plotArea>
    <c:legend>
      <c:legendPos val="b"/>
      <c:layout>
        <c:manualLayout>
          <c:xMode val="edge"/>
          <c:yMode val="edge"/>
          <c:x val="0.11562390638670167"/>
          <c:y val="0.9135414843977836"/>
          <c:w val="0.81100831146106733"/>
          <c:h val="6.7284922717993578E-2"/>
        </c:manualLayout>
      </c:layout>
      <c:overlay val="0"/>
      <c:spPr>
        <a:noFill/>
        <a:ln w="25400">
          <a:noFill/>
        </a:ln>
      </c:spPr>
      <c:txPr>
        <a:bodyPr/>
        <a:lstStyle/>
        <a:p>
          <a:pPr>
            <a:defRPr sz="800" b="1" i="0" u="none" strike="noStrike" baseline="0">
              <a:solidFill>
                <a:srgbClr val="000000"/>
              </a:solidFill>
              <a:latin typeface="Arial"/>
              <a:ea typeface="Arial"/>
              <a:cs typeface="Arial"/>
            </a:defRPr>
          </a:pPr>
          <a:endParaRPr lang="en-US"/>
        </a:p>
      </c:txPr>
    </c:legend>
    <c:plotVisOnly val="1"/>
    <c:dispBlanksAs val="gap"/>
    <c:showDLblsOverMax val="0"/>
  </c:chart>
  <c:spPr>
    <a:noFill/>
    <a:ln w="19050">
      <a:noFill/>
      <a:prstDash val="solid"/>
    </a:ln>
  </c:spPr>
  <c:txPr>
    <a:bodyPr/>
    <a:lstStyle/>
    <a:p>
      <a:pPr>
        <a:defRPr sz="1200" b="0" i="0" u="none" strike="noStrike" baseline="0">
          <a:solidFill>
            <a:srgbClr val="000000"/>
          </a:solidFill>
          <a:latin typeface="Arial"/>
          <a:ea typeface="Arial"/>
          <a:cs typeface="Arial"/>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680774278215222"/>
          <c:y val="2.0682779235928841E-2"/>
          <c:w val="0.83445282881306504"/>
          <c:h val="0.81478966170895306"/>
        </c:manualLayout>
      </c:layout>
      <c:lineChart>
        <c:grouping val="standard"/>
        <c:varyColors val="0"/>
        <c:ser>
          <c:idx val="0"/>
          <c:order val="0"/>
          <c:tx>
            <c:strRef>
              <c:f>Diagrams!$M$1</c:f>
              <c:strCache>
                <c:ptCount val="1"/>
                <c:pt idx="0">
                  <c:v>State of New Mexico</c:v>
                </c:pt>
              </c:strCache>
            </c:strRef>
          </c:tx>
          <c:spPr>
            <a:ln w="19050">
              <a:solidFill>
                <a:srgbClr val="009900"/>
              </a:solidFill>
            </a:ln>
          </c:spPr>
          <c:marker>
            <c:symbol val="circle"/>
            <c:size val="5"/>
            <c:spPr>
              <a:solidFill>
                <a:srgbClr val="009900"/>
              </a:solidFill>
              <a:ln>
                <a:solidFill>
                  <a:srgbClr val="009900"/>
                </a:solidFill>
              </a:ln>
            </c:spPr>
          </c:marker>
          <c:dLbls>
            <c:dLbl>
              <c:idx val="43"/>
              <c:layout>
                <c:manualLayout>
                  <c:x val="-2.0833333333333332E-2"/>
                  <c:y val="-5.0925925925925923E-2"/>
                </c:manualLayout>
              </c:layout>
              <c:spPr/>
              <c:txPr>
                <a:bodyPr/>
                <a:lstStyle/>
                <a:p>
                  <a:pPr>
                    <a:defRPr sz="800" b="1"/>
                  </a:pPr>
                  <a:endParaRPr lang="en-US"/>
                </a:p>
              </c:txP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Diagrams!$A$3:$A$46</c:f>
              <c:numCache>
                <c:formatCode>0</c:formatCode>
                <c:ptCount val="44"/>
                <c:pt idx="0">
                  <c:v>1969</c:v>
                </c:pt>
                <c:pt idx="1">
                  <c:v>1970</c:v>
                </c:pt>
                <c:pt idx="2">
                  <c:v>1971</c:v>
                </c:pt>
                <c:pt idx="3">
                  <c:v>1972</c:v>
                </c:pt>
                <c:pt idx="4">
                  <c:v>1973</c:v>
                </c:pt>
                <c:pt idx="5">
                  <c:v>1974</c:v>
                </c:pt>
                <c:pt idx="6">
                  <c:v>1975</c:v>
                </c:pt>
                <c:pt idx="7">
                  <c:v>1976</c:v>
                </c:pt>
                <c:pt idx="8">
                  <c:v>1977</c:v>
                </c:pt>
                <c:pt idx="9">
                  <c:v>1978</c:v>
                </c:pt>
                <c:pt idx="10">
                  <c:v>1979</c:v>
                </c:pt>
                <c:pt idx="11">
                  <c:v>1980</c:v>
                </c:pt>
                <c:pt idx="12">
                  <c:v>1981</c:v>
                </c:pt>
                <c:pt idx="13">
                  <c:v>1982</c:v>
                </c:pt>
                <c:pt idx="14">
                  <c:v>1983</c:v>
                </c:pt>
                <c:pt idx="15">
                  <c:v>1984</c:v>
                </c:pt>
                <c:pt idx="16">
                  <c:v>1985</c:v>
                </c:pt>
                <c:pt idx="17">
                  <c:v>1986</c:v>
                </c:pt>
                <c:pt idx="18">
                  <c:v>1987</c:v>
                </c:pt>
                <c:pt idx="19">
                  <c:v>1988</c:v>
                </c:pt>
                <c:pt idx="20">
                  <c:v>1989</c:v>
                </c:pt>
                <c:pt idx="21">
                  <c:v>1990</c:v>
                </c:pt>
                <c:pt idx="22">
                  <c:v>1991</c:v>
                </c:pt>
                <c:pt idx="23">
                  <c:v>1992</c:v>
                </c:pt>
                <c:pt idx="24">
                  <c:v>1993</c:v>
                </c:pt>
                <c:pt idx="25">
                  <c:v>1994</c:v>
                </c:pt>
                <c:pt idx="26">
                  <c:v>1995</c:v>
                </c:pt>
                <c:pt idx="27">
                  <c:v>1996</c:v>
                </c:pt>
                <c:pt idx="28">
                  <c:v>1997</c:v>
                </c:pt>
                <c:pt idx="29">
                  <c:v>1998</c:v>
                </c:pt>
                <c:pt idx="30">
                  <c:v>1999</c:v>
                </c:pt>
                <c:pt idx="31">
                  <c:v>2000</c:v>
                </c:pt>
                <c:pt idx="32">
                  <c:v>2001</c:v>
                </c:pt>
                <c:pt idx="33">
                  <c:v>2002</c:v>
                </c:pt>
                <c:pt idx="34">
                  <c:v>2003</c:v>
                </c:pt>
                <c:pt idx="35">
                  <c:v>2004</c:v>
                </c:pt>
                <c:pt idx="36">
                  <c:v>2005</c:v>
                </c:pt>
                <c:pt idx="37">
                  <c:v>2006</c:v>
                </c:pt>
                <c:pt idx="38">
                  <c:v>2007</c:v>
                </c:pt>
                <c:pt idx="39">
                  <c:v>2008</c:v>
                </c:pt>
                <c:pt idx="40">
                  <c:v>2009</c:v>
                </c:pt>
                <c:pt idx="41">
                  <c:v>2010</c:v>
                </c:pt>
                <c:pt idx="42">
                  <c:v>2011</c:v>
                </c:pt>
                <c:pt idx="43">
                  <c:v>2012</c:v>
                </c:pt>
              </c:numCache>
            </c:numRef>
          </c:cat>
          <c:val>
            <c:numRef>
              <c:f>Diagrams!$M$3:$M$46</c:f>
              <c:numCache>
                <c:formatCode>#,##0</c:formatCode>
                <c:ptCount val="44"/>
                <c:pt idx="0">
                  <c:v>14570.318785414594</c:v>
                </c:pt>
                <c:pt idx="1">
                  <c:v>15115.582217109048</c:v>
                </c:pt>
                <c:pt idx="2">
                  <c:v>15421.059716678406</c:v>
                </c:pt>
                <c:pt idx="3">
                  <c:v>16219.727651273586</c:v>
                </c:pt>
                <c:pt idx="4">
                  <c:v>16888.251350582883</c:v>
                </c:pt>
                <c:pt idx="5">
                  <c:v>17106.658846529812</c:v>
                </c:pt>
                <c:pt idx="6">
                  <c:v>17342.97877407639</c:v>
                </c:pt>
                <c:pt idx="7">
                  <c:v>17928.072299332751</c:v>
                </c:pt>
                <c:pt idx="8">
                  <c:v>18499.490246936453</c:v>
                </c:pt>
                <c:pt idx="9">
                  <c:v>19405.928527265984</c:v>
                </c:pt>
                <c:pt idx="10">
                  <c:v>19872.852641673133</c:v>
                </c:pt>
                <c:pt idx="11">
                  <c:v>20109.731120922348</c:v>
                </c:pt>
                <c:pt idx="12">
                  <c:v>20494.221541993495</c:v>
                </c:pt>
                <c:pt idx="13">
                  <c:v>20626.224057411782</c:v>
                </c:pt>
                <c:pt idx="14">
                  <c:v>20878.135016998545</c:v>
                </c:pt>
                <c:pt idx="15">
                  <c:v>21663.388000066872</c:v>
                </c:pt>
                <c:pt idx="16">
                  <c:v>22385.770104497955</c:v>
                </c:pt>
                <c:pt idx="17">
                  <c:v>22373.880713117745</c:v>
                </c:pt>
                <c:pt idx="18">
                  <c:v>22492.165568737561</c:v>
                </c:pt>
                <c:pt idx="19">
                  <c:v>22758.504907078721</c:v>
                </c:pt>
                <c:pt idx="20">
                  <c:v>23227.190594593041</c:v>
                </c:pt>
                <c:pt idx="21">
                  <c:v>23663.630677257759</c:v>
                </c:pt>
                <c:pt idx="22">
                  <c:v>24015.860151822944</c:v>
                </c:pt>
                <c:pt idx="23">
                  <c:v>24488.284289407038</c:v>
                </c:pt>
                <c:pt idx="24">
                  <c:v>25106.89794354323</c:v>
                </c:pt>
                <c:pt idx="25">
                  <c:v>25646.4588441331</c:v>
                </c:pt>
                <c:pt idx="26">
                  <c:v>26317.392348601821</c:v>
                </c:pt>
                <c:pt idx="27">
                  <c:v>26758.126480597406</c:v>
                </c:pt>
                <c:pt idx="28">
                  <c:v>27219.223897528002</c:v>
                </c:pt>
                <c:pt idx="29">
                  <c:v>28385.752477098522</c:v>
                </c:pt>
                <c:pt idx="30">
                  <c:v>28508.566822505236</c:v>
                </c:pt>
                <c:pt idx="31">
                  <c:v>29574.953056141021</c:v>
                </c:pt>
                <c:pt idx="32">
                  <c:v>32061.044672478976</c:v>
                </c:pt>
                <c:pt idx="33">
                  <c:v>32245.895266605923</c:v>
                </c:pt>
                <c:pt idx="34">
                  <c:v>32238.545918096355</c:v>
                </c:pt>
                <c:pt idx="35">
                  <c:v>32741.710577976159</c:v>
                </c:pt>
                <c:pt idx="36">
                  <c:v>33563.991999999998</c:v>
                </c:pt>
                <c:pt idx="37">
                  <c:v>34206.484486249283</c:v>
                </c:pt>
                <c:pt idx="38">
                  <c:v>34711.059146921216</c:v>
                </c:pt>
                <c:pt idx="39">
                  <c:v>35483.861413493949</c:v>
                </c:pt>
                <c:pt idx="40">
                  <c:v>34220.724739566693</c:v>
                </c:pt>
                <c:pt idx="41">
                  <c:v>34475.067797068281</c:v>
                </c:pt>
                <c:pt idx="42">
                  <c:v>35395.967854338873</c:v>
                </c:pt>
                <c:pt idx="43">
                  <c:v>35682</c:v>
                </c:pt>
              </c:numCache>
            </c:numRef>
          </c:val>
          <c:smooth val="0"/>
        </c:ser>
        <c:ser>
          <c:idx val="1"/>
          <c:order val="1"/>
          <c:tx>
            <c:strRef>
              <c:f>Diagrams!$I$1</c:f>
              <c:strCache>
                <c:ptCount val="1"/>
                <c:pt idx="0">
                  <c:v>U.S.</c:v>
                </c:pt>
              </c:strCache>
            </c:strRef>
          </c:tx>
          <c:spPr>
            <a:ln w="19050">
              <a:solidFill>
                <a:srgbClr val="C00000"/>
              </a:solidFill>
            </a:ln>
          </c:spPr>
          <c:marker>
            <c:symbol val="square"/>
            <c:size val="5"/>
            <c:spPr>
              <a:solidFill>
                <a:srgbClr val="C00000"/>
              </a:solidFill>
              <a:ln>
                <a:solidFill>
                  <a:srgbClr val="C00000"/>
                </a:solidFill>
              </a:ln>
            </c:spPr>
          </c:marker>
          <c:dLbls>
            <c:dLbl>
              <c:idx val="43"/>
              <c:layout>
                <c:manualLayout>
                  <c:x val="-2.7777777777777776E-2"/>
                  <c:y val="-7.4074074074074084E-2"/>
                </c:manualLayout>
              </c:layout>
              <c:spPr/>
              <c:txPr>
                <a:bodyPr/>
                <a:lstStyle/>
                <a:p>
                  <a:pPr>
                    <a:defRPr sz="800" b="1"/>
                  </a:pPr>
                  <a:endParaRPr lang="en-US"/>
                </a:p>
              </c:txP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Diagrams!$A$3:$A$46</c:f>
              <c:numCache>
                <c:formatCode>0</c:formatCode>
                <c:ptCount val="44"/>
                <c:pt idx="0">
                  <c:v>1969</c:v>
                </c:pt>
                <c:pt idx="1">
                  <c:v>1970</c:v>
                </c:pt>
                <c:pt idx="2">
                  <c:v>1971</c:v>
                </c:pt>
                <c:pt idx="3">
                  <c:v>1972</c:v>
                </c:pt>
                <c:pt idx="4">
                  <c:v>1973</c:v>
                </c:pt>
                <c:pt idx="5">
                  <c:v>1974</c:v>
                </c:pt>
                <c:pt idx="6">
                  <c:v>1975</c:v>
                </c:pt>
                <c:pt idx="7">
                  <c:v>1976</c:v>
                </c:pt>
                <c:pt idx="8">
                  <c:v>1977</c:v>
                </c:pt>
                <c:pt idx="9">
                  <c:v>1978</c:v>
                </c:pt>
                <c:pt idx="10">
                  <c:v>1979</c:v>
                </c:pt>
                <c:pt idx="11">
                  <c:v>1980</c:v>
                </c:pt>
                <c:pt idx="12">
                  <c:v>1981</c:v>
                </c:pt>
                <c:pt idx="13">
                  <c:v>1982</c:v>
                </c:pt>
                <c:pt idx="14">
                  <c:v>1983</c:v>
                </c:pt>
                <c:pt idx="15">
                  <c:v>1984</c:v>
                </c:pt>
                <c:pt idx="16">
                  <c:v>1985</c:v>
                </c:pt>
                <c:pt idx="17">
                  <c:v>1986</c:v>
                </c:pt>
                <c:pt idx="18">
                  <c:v>1987</c:v>
                </c:pt>
                <c:pt idx="19">
                  <c:v>1988</c:v>
                </c:pt>
                <c:pt idx="20">
                  <c:v>1989</c:v>
                </c:pt>
                <c:pt idx="21">
                  <c:v>1990</c:v>
                </c:pt>
                <c:pt idx="22">
                  <c:v>1991</c:v>
                </c:pt>
                <c:pt idx="23">
                  <c:v>1992</c:v>
                </c:pt>
                <c:pt idx="24">
                  <c:v>1993</c:v>
                </c:pt>
                <c:pt idx="25">
                  <c:v>1994</c:v>
                </c:pt>
                <c:pt idx="26">
                  <c:v>1995</c:v>
                </c:pt>
                <c:pt idx="27">
                  <c:v>1996</c:v>
                </c:pt>
                <c:pt idx="28">
                  <c:v>1997</c:v>
                </c:pt>
                <c:pt idx="29">
                  <c:v>1998</c:v>
                </c:pt>
                <c:pt idx="30">
                  <c:v>1999</c:v>
                </c:pt>
                <c:pt idx="31">
                  <c:v>2000</c:v>
                </c:pt>
                <c:pt idx="32">
                  <c:v>2001</c:v>
                </c:pt>
                <c:pt idx="33">
                  <c:v>2002</c:v>
                </c:pt>
                <c:pt idx="34">
                  <c:v>2003</c:v>
                </c:pt>
                <c:pt idx="35">
                  <c:v>2004</c:v>
                </c:pt>
                <c:pt idx="36">
                  <c:v>2005</c:v>
                </c:pt>
                <c:pt idx="37">
                  <c:v>2006</c:v>
                </c:pt>
                <c:pt idx="38">
                  <c:v>2007</c:v>
                </c:pt>
                <c:pt idx="39">
                  <c:v>2008</c:v>
                </c:pt>
                <c:pt idx="40">
                  <c:v>2009</c:v>
                </c:pt>
                <c:pt idx="41">
                  <c:v>2010</c:v>
                </c:pt>
                <c:pt idx="42">
                  <c:v>2011</c:v>
                </c:pt>
                <c:pt idx="43">
                  <c:v>2012</c:v>
                </c:pt>
              </c:numCache>
            </c:numRef>
          </c:cat>
          <c:val>
            <c:numRef>
              <c:f>Diagrams!$I$3:$I$46</c:f>
              <c:numCache>
                <c:formatCode>#,##0</c:formatCode>
                <c:ptCount val="44"/>
                <c:pt idx="0">
                  <c:v>19141.007829058351</c:v>
                </c:pt>
                <c:pt idx="1">
                  <c:v>19357.804256717889</c:v>
                </c:pt>
                <c:pt idx="2">
                  <c:v>19592.32996791109</c:v>
                </c:pt>
                <c:pt idx="3">
                  <c:v>20413.141763889409</c:v>
                </c:pt>
                <c:pt idx="4">
                  <c:v>21443.446118851294</c:v>
                </c:pt>
                <c:pt idx="5">
                  <c:v>21455.681981101334</c:v>
                </c:pt>
                <c:pt idx="6">
                  <c:v>21196.210889821679</c:v>
                </c:pt>
                <c:pt idx="7">
                  <c:v>21935.905853205331</c:v>
                </c:pt>
                <c:pt idx="8">
                  <c:v>22599.971415716063</c:v>
                </c:pt>
                <c:pt idx="9">
                  <c:v>23517.063929763819</c:v>
                </c:pt>
                <c:pt idx="10">
                  <c:v>24068.671628841497</c:v>
                </c:pt>
                <c:pt idx="11">
                  <c:v>24358.095875792511</c:v>
                </c:pt>
                <c:pt idx="12">
                  <c:v>24738.286588865507</c:v>
                </c:pt>
                <c:pt idx="13">
                  <c:v>24755.213040263978</c:v>
                </c:pt>
                <c:pt idx="14">
                  <c:v>25178.22243807674</c:v>
                </c:pt>
                <c:pt idx="15">
                  <c:v>26627.472457662538</c:v>
                </c:pt>
                <c:pt idx="16">
                  <c:v>27398.655156746936</c:v>
                </c:pt>
                <c:pt idx="17">
                  <c:v>28089.595021511006</c:v>
                </c:pt>
                <c:pt idx="18">
                  <c:v>28719.423625788731</c:v>
                </c:pt>
                <c:pt idx="19">
                  <c:v>29670.194195030275</c:v>
                </c:pt>
                <c:pt idx="20">
                  <c:v>30510.868821593347</c:v>
                </c:pt>
                <c:pt idx="21">
                  <c:v>30896.978218150623</c:v>
                </c:pt>
                <c:pt idx="22">
                  <c:v>30554.427456431091</c:v>
                </c:pt>
                <c:pt idx="23">
                  <c:v>31324.220475730443</c:v>
                </c:pt>
                <c:pt idx="24">
                  <c:v>31510.711457401958</c:v>
                </c:pt>
                <c:pt idx="25">
                  <c:v>32176.406304728545</c:v>
                </c:pt>
                <c:pt idx="26">
                  <c:v>32883.664436438499</c:v>
                </c:pt>
                <c:pt idx="27">
                  <c:v>33906.481799925437</c:v>
                </c:pt>
                <c:pt idx="28">
                  <c:v>34970.050574278015</c:v>
                </c:pt>
                <c:pt idx="29">
                  <c:v>36741.480650588892</c:v>
                </c:pt>
                <c:pt idx="30">
                  <c:v>37637.259390617444</c:v>
                </c:pt>
                <c:pt idx="31">
                  <c:v>39421.568702591205</c:v>
                </c:pt>
                <c:pt idx="32">
                  <c:v>40082.981251446647</c:v>
                </c:pt>
                <c:pt idx="33">
                  <c:v>39787.163000564018</c:v>
                </c:pt>
                <c:pt idx="34">
                  <c:v>40043.590163063687</c:v>
                </c:pt>
                <c:pt idx="35">
                  <c:v>40882.441675448936</c:v>
                </c:pt>
                <c:pt idx="36">
                  <c:v>41400.396800000002</c:v>
                </c:pt>
                <c:pt idx="37">
                  <c:v>42606.685201150816</c:v>
                </c:pt>
                <c:pt idx="38">
                  <c:v>43226.198988957607</c:v>
                </c:pt>
                <c:pt idx="39">
                  <c:v>43424.409939032259</c:v>
                </c:pt>
                <c:pt idx="40">
                  <c:v>41452.250271617566</c:v>
                </c:pt>
                <c:pt idx="41">
                  <c:v>41743.206148135469</c:v>
                </c:pt>
                <c:pt idx="42">
                  <c:v>43044.639419896092</c:v>
                </c:pt>
                <c:pt idx="43">
                  <c:v>43735</c:v>
                </c:pt>
              </c:numCache>
            </c:numRef>
          </c:val>
          <c:smooth val="0"/>
        </c:ser>
        <c:dLbls>
          <c:showLegendKey val="0"/>
          <c:showVal val="0"/>
          <c:showCatName val="0"/>
          <c:showSerName val="0"/>
          <c:showPercent val="0"/>
          <c:showBubbleSize val="0"/>
        </c:dLbls>
        <c:marker val="1"/>
        <c:smooth val="0"/>
        <c:axId val="217717016"/>
        <c:axId val="217717408"/>
      </c:lineChart>
      <c:catAx>
        <c:axId val="217717016"/>
        <c:scaling>
          <c:orientation val="minMax"/>
        </c:scaling>
        <c:delete val="0"/>
        <c:axPos val="b"/>
        <c:numFmt formatCode="00" sourceLinked="0"/>
        <c:majorTickMark val="out"/>
        <c:minorTickMark val="none"/>
        <c:tickLblPos val="nextTo"/>
        <c:spPr>
          <a:ln w="3175">
            <a:solidFill>
              <a:srgbClr val="000000"/>
            </a:solidFill>
            <a:prstDash val="solid"/>
          </a:ln>
        </c:spPr>
        <c:txPr>
          <a:bodyPr rot="0" vert="horz"/>
          <a:lstStyle/>
          <a:p>
            <a:pPr>
              <a:defRPr sz="800" b="1" i="0" u="none" strike="noStrike" baseline="0">
                <a:solidFill>
                  <a:srgbClr val="000000"/>
                </a:solidFill>
                <a:latin typeface="Arial"/>
                <a:ea typeface="Arial"/>
                <a:cs typeface="Arial"/>
              </a:defRPr>
            </a:pPr>
            <a:endParaRPr lang="en-US"/>
          </a:p>
        </c:txPr>
        <c:crossAx val="217717408"/>
        <c:crosses val="autoZero"/>
        <c:auto val="1"/>
        <c:lblAlgn val="ctr"/>
        <c:lblOffset val="100"/>
        <c:tickLblSkip val="3"/>
        <c:tickMarkSkip val="2"/>
        <c:noMultiLvlLbl val="0"/>
      </c:catAx>
      <c:valAx>
        <c:axId val="217717408"/>
        <c:scaling>
          <c:orientation val="minMax"/>
          <c:min val="15000"/>
        </c:scaling>
        <c:delete val="0"/>
        <c:axPos val="l"/>
        <c:majorGridlines>
          <c:spPr>
            <a:ln w="3175">
              <a:solidFill>
                <a:srgbClr val="000000"/>
              </a:solidFill>
              <a:prstDash val="solid"/>
            </a:ln>
          </c:spPr>
        </c:majorGridlines>
        <c:title>
          <c:tx>
            <c:rich>
              <a:bodyPr rot="-5400000" vert="horz"/>
              <a:lstStyle/>
              <a:p>
                <a:pPr>
                  <a:defRPr/>
                </a:pPr>
                <a:r>
                  <a:rPr lang="en-US" sz="800" b="1"/>
                  <a:t>Real</a:t>
                </a:r>
                <a:r>
                  <a:rPr lang="en-US" sz="800" b="1" baseline="0"/>
                  <a:t> 2012 Dollars</a:t>
                </a:r>
                <a:endParaRPr lang="en-US" sz="800" b="1"/>
              </a:p>
            </c:rich>
          </c:tx>
          <c:layout>
            <c:manualLayout>
              <c:xMode val="edge"/>
              <c:yMode val="edge"/>
              <c:x val="1.9984432848852061E-2"/>
              <c:y val="0.29917500635001271"/>
            </c:manualLayout>
          </c:layout>
          <c:overlay val="0"/>
        </c:title>
        <c:numFmt formatCode="#,##0" sourceLinked="0"/>
        <c:majorTickMark val="out"/>
        <c:minorTickMark val="none"/>
        <c:tickLblPos val="nextTo"/>
        <c:spPr>
          <a:ln w="3175">
            <a:solidFill>
              <a:srgbClr val="000000"/>
            </a:solidFill>
            <a:prstDash val="solid"/>
          </a:ln>
        </c:spPr>
        <c:txPr>
          <a:bodyPr rot="0" vert="horz"/>
          <a:lstStyle/>
          <a:p>
            <a:pPr>
              <a:defRPr sz="800" b="1" i="0" u="none" strike="noStrike" baseline="0">
                <a:solidFill>
                  <a:srgbClr val="000000"/>
                </a:solidFill>
                <a:latin typeface="Arial"/>
                <a:ea typeface="Arial"/>
                <a:cs typeface="Arial"/>
              </a:defRPr>
            </a:pPr>
            <a:endParaRPr lang="en-US"/>
          </a:p>
        </c:txPr>
        <c:crossAx val="217717016"/>
        <c:crosses val="autoZero"/>
        <c:crossBetween val="between"/>
        <c:majorUnit val="5000"/>
      </c:valAx>
      <c:spPr>
        <a:solidFill>
          <a:srgbClr val="FFFFE1"/>
        </a:solidFill>
        <a:ln w="12700">
          <a:solidFill>
            <a:srgbClr val="808080"/>
          </a:solidFill>
          <a:prstDash val="solid"/>
        </a:ln>
      </c:spPr>
    </c:plotArea>
    <c:legend>
      <c:legendPos val="b"/>
      <c:layout>
        <c:manualLayout>
          <c:xMode val="edge"/>
          <c:yMode val="edge"/>
          <c:x val="0.11562390638670167"/>
          <c:y val="0.9135414843977836"/>
          <c:w val="0.81100831146106733"/>
          <c:h val="6.7284922717993578E-2"/>
        </c:manualLayout>
      </c:layout>
      <c:overlay val="0"/>
      <c:spPr>
        <a:noFill/>
        <a:ln w="25400">
          <a:noFill/>
        </a:ln>
      </c:spPr>
      <c:txPr>
        <a:bodyPr/>
        <a:lstStyle/>
        <a:p>
          <a:pPr>
            <a:defRPr sz="800" b="1" i="0" u="none" strike="noStrike" baseline="0">
              <a:solidFill>
                <a:srgbClr val="000000"/>
              </a:solidFill>
              <a:latin typeface="Arial"/>
              <a:ea typeface="Arial"/>
              <a:cs typeface="Arial"/>
            </a:defRPr>
          </a:pPr>
          <a:endParaRPr lang="en-US"/>
        </a:p>
      </c:txPr>
    </c:legend>
    <c:plotVisOnly val="1"/>
    <c:dispBlanksAs val="gap"/>
    <c:showDLblsOverMax val="0"/>
  </c:chart>
  <c:spPr>
    <a:noFill/>
    <a:ln w="19050">
      <a:noFill/>
      <a:prstDash val="solid"/>
    </a:ln>
  </c:spPr>
  <c:txPr>
    <a:bodyPr/>
    <a:lstStyle/>
    <a:p>
      <a:pPr>
        <a:defRPr sz="1200" b="0" i="0" u="none" strike="noStrike" baseline="0">
          <a:solidFill>
            <a:srgbClr val="000000"/>
          </a:solidFill>
          <a:latin typeface="Arial"/>
          <a:ea typeface="Arial"/>
          <a:cs typeface="Arial"/>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7629228638086906E-2"/>
          <c:y val="5.9829059829059832E-2"/>
          <c:w val="0.88690780839895011"/>
          <c:h val="0.76449895686116154"/>
        </c:manualLayout>
      </c:layout>
      <c:barChart>
        <c:barDir val="col"/>
        <c:grouping val="clustered"/>
        <c:varyColors val="0"/>
        <c:ser>
          <c:idx val="0"/>
          <c:order val="0"/>
          <c:tx>
            <c:strRef>
              <c:f>MFI!$B$1</c:f>
              <c:strCache>
                <c:ptCount val="1"/>
                <c:pt idx="0">
                  <c:v>New Mexico</c:v>
                </c:pt>
              </c:strCache>
            </c:strRef>
          </c:tx>
          <c:invertIfNegative val="0"/>
          <c:dLbls>
            <c:dLbl>
              <c:idx val="3"/>
              <c:layout>
                <c:manualLayout>
                  <c:x val="-6.9444444444444441E-3"/>
                  <c:y val="-2.564102564102564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0"/>
                  <c:y val="-2.9914529914529916E-2"/>
                </c:manualLayout>
              </c:layout>
              <c:showLegendKey val="0"/>
              <c:showVal val="1"/>
              <c:showCatName val="0"/>
              <c:showSerName val="0"/>
              <c:showPercent val="0"/>
              <c:showBubbleSize val="0"/>
              <c:extLst>
                <c:ext xmlns:c15="http://schemas.microsoft.com/office/drawing/2012/chart" uri="{CE6537A1-D6FC-4f65-9D91-7224C49458BB}"/>
              </c:extLst>
            </c:dLbl>
            <c:dLbl>
              <c:idx val="7"/>
              <c:layout>
                <c:manualLayout>
                  <c:x val="0"/>
                  <c:y val="-2.136752136752133E-2"/>
                </c:manualLayout>
              </c:layout>
              <c:showLegendKey val="0"/>
              <c:showVal val="1"/>
              <c:showCatName val="0"/>
              <c:showSerName val="0"/>
              <c:showPercent val="0"/>
              <c:showBubbleSize val="0"/>
              <c:extLst>
                <c:ext xmlns:c15="http://schemas.microsoft.com/office/drawing/2012/chart" uri="{CE6537A1-D6FC-4f65-9D91-7224C49458BB}"/>
              </c:extLst>
            </c:dLbl>
            <c:dLbl>
              <c:idx val="11"/>
              <c:layout>
                <c:manualLayout>
                  <c:x val="-8.4875562720133283E-17"/>
                  <c:y val="-8.5470085470085479E-3"/>
                </c:manualLayout>
              </c:layout>
              <c:showLegendKey val="0"/>
              <c:showVal val="1"/>
              <c:showCatName val="0"/>
              <c:showSerName val="0"/>
              <c:showPercent val="0"/>
              <c:showBubbleSize val="0"/>
              <c:extLst>
                <c:ext xmlns:c15="http://schemas.microsoft.com/office/drawing/2012/chart" uri="{CE6537A1-D6FC-4f65-9D91-7224C49458BB}"/>
              </c:extLst>
            </c:dLbl>
            <c:dLbl>
              <c:idx val="12"/>
              <c:layout>
                <c:manualLayout>
                  <c:x val="0"/>
                  <c:y val="-6.4102564102564097E-2"/>
                </c:manualLayout>
              </c:layout>
              <c:showLegendKey val="0"/>
              <c:showVal val="1"/>
              <c:showCatName val="0"/>
              <c:showSerName val="0"/>
              <c:showPercent val="0"/>
              <c:showBubbleSize val="0"/>
              <c:extLst>
                <c:ext xmlns:c15="http://schemas.microsoft.com/office/drawing/2012/chart" uri="{CE6537A1-D6FC-4f65-9D91-7224C49458BB}"/>
              </c:extLst>
            </c:dLbl>
            <c:dLbl>
              <c:idx val="13"/>
              <c:layout>
                <c:manualLayout>
                  <c:x val="0"/>
                  <c:y val="-1.7094017094017096E-2"/>
                </c:manualLayout>
              </c:layout>
              <c:showLegendKey val="0"/>
              <c:showVal val="1"/>
              <c:showCatName val="0"/>
              <c:showSerName val="0"/>
              <c:showPercent val="0"/>
              <c:showBubbleSize val="0"/>
              <c:extLst>
                <c:ext xmlns:c15="http://schemas.microsoft.com/office/drawing/2012/chart" uri="{CE6537A1-D6FC-4f65-9D91-7224C49458BB}"/>
              </c:extLst>
            </c:dLbl>
            <c:dLbl>
              <c:idx val="14"/>
              <c:layout>
                <c:manualLayout>
                  <c:x val="0"/>
                  <c:y val="-1.28205128205128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700" b="1">
                    <a:latin typeface="Arial" panose="020B0604020202020204" pitchFamily="34" charset="0"/>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MFI!$A$2:$A$16</c:f>
              <c:numCache>
                <c:formatCode>General</c:formatCode>
                <c:ptCount val="15"/>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numCache>
            </c:numRef>
          </c:cat>
          <c:val>
            <c:numRef>
              <c:f>MFI!$B$2:$B$16</c:f>
              <c:numCache>
                <c:formatCode>#,##0</c:formatCode>
                <c:ptCount val="15"/>
                <c:pt idx="0">
                  <c:v>40800</c:v>
                </c:pt>
                <c:pt idx="1">
                  <c:v>41700</c:v>
                </c:pt>
                <c:pt idx="2">
                  <c:v>42800</c:v>
                </c:pt>
                <c:pt idx="3">
                  <c:v>43800</c:v>
                </c:pt>
                <c:pt idx="4">
                  <c:v>46200</c:v>
                </c:pt>
                <c:pt idx="5">
                  <c:v>46200</c:v>
                </c:pt>
                <c:pt idx="6">
                  <c:v>46200</c:v>
                </c:pt>
                <c:pt idx="7">
                  <c:v>46600</c:v>
                </c:pt>
                <c:pt idx="8">
                  <c:v>50600</c:v>
                </c:pt>
                <c:pt idx="9">
                  <c:v>51700</c:v>
                </c:pt>
                <c:pt idx="10">
                  <c:v>52700</c:v>
                </c:pt>
                <c:pt idx="11">
                  <c:v>53800</c:v>
                </c:pt>
                <c:pt idx="12">
                  <c:v>54500</c:v>
                </c:pt>
                <c:pt idx="13">
                  <c:v>54200</c:v>
                </c:pt>
                <c:pt idx="14">
                  <c:v>53800</c:v>
                </c:pt>
              </c:numCache>
            </c:numRef>
          </c:val>
        </c:ser>
        <c:dLbls>
          <c:showLegendKey val="0"/>
          <c:showVal val="0"/>
          <c:showCatName val="0"/>
          <c:showSerName val="0"/>
          <c:showPercent val="0"/>
          <c:showBubbleSize val="0"/>
        </c:dLbls>
        <c:gapWidth val="75"/>
        <c:overlap val="-25"/>
        <c:axId val="168379056"/>
        <c:axId val="219638664"/>
      </c:barChart>
      <c:catAx>
        <c:axId val="168379056"/>
        <c:scaling>
          <c:orientation val="minMax"/>
        </c:scaling>
        <c:delete val="0"/>
        <c:axPos val="b"/>
        <c:numFmt formatCode="General" sourceLinked="1"/>
        <c:majorTickMark val="none"/>
        <c:minorTickMark val="none"/>
        <c:tickLblPos val="nextTo"/>
        <c:txPr>
          <a:bodyPr/>
          <a:lstStyle/>
          <a:p>
            <a:pPr>
              <a:defRPr sz="800" b="1">
                <a:latin typeface="Arial" panose="020B0604020202020204" pitchFamily="34" charset="0"/>
                <a:cs typeface="Arial" panose="020B0604020202020204" pitchFamily="34" charset="0"/>
              </a:defRPr>
            </a:pPr>
            <a:endParaRPr lang="en-US"/>
          </a:p>
        </c:txPr>
        <c:crossAx val="219638664"/>
        <c:crosses val="autoZero"/>
        <c:auto val="1"/>
        <c:lblAlgn val="ctr"/>
        <c:lblOffset val="100"/>
        <c:tickMarkSkip val="2"/>
        <c:noMultiLvlLbl val="0"/>
      </c:catAx>
      <c:valAx>
        <c:axId val="219638664"/>
        <c:scaling>
          <c:orientation val="minMax"/>
          <c:max val="60000"/>
          <c:min val="30000"/>
        </c:scaling>
        <c:delete val="0"/>
        <c:axPos val="l"/>
        <c:majorGridlines/>
        <c:numFmt formatCode="#,##0" sourceLinked="1"/>
        <c:majorTickMark val="none"/>
        <c:minorTickMark val="none"/>
        <c:tickLblPos val="nextTo"/>
        <c:spPr>
          <a:ln w="9525">
            <a:noFill/>
          </a:ln>
        </c:spPr>
        <c:txPr>
          <a:bodyPr/>
          <a:lstStyle/>
          <a:p>
            <a:pPr>
              <a:defRPr sz="800" b="1">
                <a:latin typeface="Arial" panose="020B0604020202020204" pitchFamily="34" charset="0"/>
                <a:cs typeface="Arial" panose="020B0604020202020204" pitchFamily="34" charset="0"/>
              </a:defRPr>
            </a:pPr>
            <a:endParaRPr lang="en-US"/>
          </a:p>
        </c:txPr>
        <c:crossAx val="168379056"/>
        <c:crosses val="autoZero"/>
        <c:crossBetween val="between"/>
      </c:valAx>
      <c:spPr>
        <a:solidFill>
          <a:schemeClr val="bg2"/>
        </a:solidFill>
      </c:spPr>
    </c:plotArea>
    <c:legend>
      <c:legendPos val="b"/>
      <c:overlay val="0"/>
      <c:txPr>
        <a:bodyPr/>
        <a:lstStyle/>
        <a:p>
          <a:pPr>
            <a:defRPr sz="800" b="1">
              <a:latin typeface="Arial" panose="020B0604020202020204" pitchFamily="34" charset="0"/>
              <a:cs typeface="Arial" panose="020B0604020202020204" pitchFamily="34" charset="0"/>
            </a:defRPr>
          </a:pPr>
          <a:endParaRPr lang="en-US"/>
        </a:p>
      </c:txPr>
    </c:legend>
    <c:plotVisOnly val="1"/>
    <c:dispBlanksAs val="gap"/>
    <c:showDLblsOverMax val="0"/>
  </c:chart>
  <c:spPr>
    <a:noFill/>
    <a:ln w="19050">
      <a:noFill/>
    </a:ln>
  </c:sp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921496792067659"/>
          <c:y val="5.5555555555555552E-2"/>
          <c:w val="0.8703577938174395"/>
          <c:h val="0.79767279090113741"/>
        </c:manualLayout>
      </c:layout>
      <c:lineChart>
        <c:grouping val="standard"/>
        <c:varyColors val="0"/>
        <c:ser>
          <c:idx val="0"/>
          <c:order val="0"/>
          <c:tx>
            <c:strRef>
              <c:f>CensusRate!$M$2</c:f>
              <c:strCache>
                <c:ptCount val="1"/>
                <c:pt idx="0">
                  <c:v>New Mexico</c:v>
                </c:pt>
              </c:strCache>
            </c:strRef>
          </c:tx>
          <c:marker>
            <c:symbol val="circle"/>
            <c:size val="5"/>
          </c:marker>
          <c:cat>
            <c:strRef>
              <c:f>CensusRate!$A$3:$A$30</c:f>
              <c:strCache>
                <c:ptCount val="28"/>
                <c:pt idx="0">
                  <c:v>86</c:v>
                </c:pt>
                <c:pt idx="1">
                  <c:v>87</c:v>
                </c:pt>
                <c:pt idx="2">
                  <c:v>88</c:v>
                </c:pt>
                <c:pt idx="3">
                  <c:v>89</c:v>
                </c:pt>
                <c:pt idx="4">
                  <c:v>90</c:v>
                </c:pt>
                <c:pt idx="5">
                  <c:v>91</c:v>
                </c:pt>
                <c:pt idx="6">
                  <c:v>92</c:v>
                </c:pt>
                <c:pt idx="7">
                  <c:v>93</c:v>
                </c:pt>
                <c:pt idx="8">
                  <c:v>94</c:v>
                </c:pt>
                <c:pt idx="9">
                  <c:v>95</c:v>
                </c:pt>
                <c:pt idx="10">
                  <c:v>96</c:v>
                </c:pt>
                <c:pt idx="11">
                  <c:v>97</c:v>
                </c:pt>
                <c:pt idx="12">
                  <c:v>98</c:v>
                </c:pt>
                <c:pt idx="13">
                  <c:v>99</c:v>
                </c:pt>
                <c:pt idx="14">
                  <c:v>00</c:v>
                </c:pt>
                <c:pt idx="15">
                  <c:v>01</c:v>
                </c:pt>
                <c:pt idx="16">
                  <c:v>02</c:v>
                </c:pt>
                <c:pt idx="17">
                  <c:v>03</c:v>
                </c:pt>
                <c:pt idx="18">
                  <c:v>04</c:v>
                </c:pt>
                <c:pt idx="19">
                  <c:v>05</c:v>
                </c:pt>
                <c:pt idx="20">
                  <c:v>06</c:v>
                </c:pt>
                <c:pt idx="21">
                  <c:v>07</c:v>
                </c:pt>
                <c:pt idx="22">
                  <c:v>08</c:v>
                </c:pt>
                <c:pt idx="23">
                  <c:v>09</c:v>
                </c:pt>
                <c:pt idx="24">
                  <c:v>10</c:v>
                </c:pt>
                <c:pt idx="25">
                  <c:v>11</c:v>
                </c:pt>
                <c:pt idx="26">
                  <c:v>12</c:v>
                </c:pt>
                <c:pt idx="27">
                  <c:v>13</c:v>
                </c:pt>
              </c:strCache>
            </c:strRef>
          </c:cat>
          <c:val>
            <c:numRef>
              <c:f>CensusRate!$M$3:$M$32</c:f>
              <c:numCache>
                <c:formatCode>0.0_)</c:formatCode>
                <c:ptCount val="30"/>
                <c:pt idx="0">
                  <c:v>68</c:v>
                </c:pt>
                <c:pt idx="1">
                  <c:v>68.2</c:v>
                </c:pt>
                <c:pt idx="2">
                  <c:v>67.8</c:v>
                </c:pt>
                <c:pt idx="3">
                  <c:v>67.2</c:v>
                </c:pt>
                <c:pt idx="4">
                  <c:v>65.400000000000006</c:v>
                </c:pt>
                <c:pt idx="5">
                  <c:v>65.5</c:v>
                </c:pt>
                <c:pt idx="6">
                  <c:v>68.599999999999994</c:v>
                </c:pt>
                <c:pt idx="7">
                  <c:v>69.5</c:v>
                </c:pt>
                <c:pt idx="8">
                  <c:v>70.5</c:v>
                </c:pt>
                <c:pt idx="9">
                  <c:v>69.5</c:v>
                </c:pt>
                <c:pt idx="10">
                  <c:v>69.099999999999994</c:v>
                </c:pt>
                <c:pt idx="11">
                  <c:v>66.8</c:v>
                </c:pt>
                <c:pt idx="12">
                  <c:v>67</c:v>
                </c:pt>
                <c:pt idx="13">
                  <c:v>67.099999999999994</c:v>
                </c:pt>
                <c:pt idx="14">
                  <c:v>69.599999999999994</c:v>
                </c:pt>
                <c:pt idx="15">
                  <c:v>71.3</c:v>
                </c:pt>
                <c:pt idx="16">
                  <c:v>72.599999999999994</c:v>
                </c:pt>
                <c:pt idx="17">
                  <c:v>73.7</c:v>
                </c:pt>
                <c:pt idx="18">
                  <c:v>70.8</c:v>
                </c:pt>
                <c:pt idx="19" formatCode="#,##0.0_);\(#,##0.0\)">
                  <c:v>70.3</c:v>
                </c:pt>
                <c:pt idx="20">
                  <c:v>71.5</c:v>
                </c:pt>
                <c:pt idx="21" formatCode="0.0">
                  <c:v>71.400000000000006</c:v>
                </c:pt>
                <c:pt idx="22" formatCode="0.0">
                  <c:v>72</c:v>
                </c:pt>
                <c:pt idx="23" formatCode="0.0">
                  <c:v>71.5</c:v>
                </c:pt>
                <c:pt idx="24" formatCode="0.0">
                  <c:v>70.400000000000006</c:v>
                </c:pt>
                <c:pt idx="25" formatCode="0.0">
                  <c:v>69.099999999999994</c:v>
                </c:pt>
                <c:pt idx="26" formatCode="0.0">
                  <c:v>68.599999999999994</c:v>
                </c:pt>
                <c:pt idx="27" formatCode="0.0">
                  <c:v>69.099999999999994</c:v>
                </c:pt>
                <c:pt idx="28" formatCode="0.0">
                  <c:v>66.8</c:v>
                </c:pt>
                <c:pt idx="29" formatCode="0.0">
                  <c:v>67.3</c:v>
                </c:pt>
              </c:numCache>
            </c:numRef>
          </c:val>
          <c:smooth val="0"/>
        </c:ser>
        <c:ser>
          <c:idx val="1"/>
          <c:order val="1"/>
          <c:tx>
            <c:strRef>
              <c:f>CensusRate!$O$2</c:f>
              <c:strCache>
                <c:ptCount val="1"/>
                <c:pt idx="0">
                  <c:v>U.S.</c:v>
                </c:pt>
              </c:strCache>
            </c:strRef>
          </c:tx>
          <c:marker>
            <c:symbol val="square"/>
            <c:size val="5"/>
          </c:marker>
          <c:cat>
            <c:strRef>
              <c:f>CensusRate!$A$3:$A$30</c:f>
              <c:strCache>
                <c:ptCount val="28"/>
                <c:pt idx="0">
                  <c:v>86</c:v>
                </c:pt>
                <c:pt idx="1">
                  <c:v>87</c:v>
                </c:pt>
                <c:pt idx="2">
                  <c:v>88</c:v>
                </c:pt>
                <c:pt idx="3">
                  <c:v>89</c:v>
                </c:pt>
                <c:pt idx="4">
                  <c:v>90</c:v>
                </c:pt>
                <c:pt idx="5">
                  <c:v>91</c:v>
                </c:pt>
                <c:pt idx="6">
                  <c:v>92</c:v>
                </c:pt>
                <c:pt idx="7">
                  <c:v>93</c:v>
                </c:pt>
                <c:pt idx="8">
                  <c:v>94</c:v>
                </c:pt>
                <c:pt idx="9">
                  <c:v>95</c:v>
                </c:pt>
                <c:pt idx="10">
                  <c:v>96</c:v>
                </c:pt>
                <c:pt idx="11">
                  <c:v>97</c:v>
                </c:pt>
                <c:pt idx="12">
                  <c:v>98</c:v>
                </c:pt>
                <c:pt idx="13">
                  <c:v>99</c:v>
                </c:pt>
                <c:pt idx="14">
                  <c:v>00</c:v>
                </c:pt>
                <c:pt idx="15">
                  <c:v>01</c:v>
                </c:pt>
                <c:pt idx="16">
                  <c:v>02</c:v>
                </c:pt>
                <c:pt idx="17">
                  <c:v>03</c:v>
                </c:pt>
                <c:pt idx="18">
                  <c:v>04</c:v>
                </c:pt>
                <c:pt idx="19">
                  <c:v>05</c:v>
                </c:pt>
                <c:pt idx="20">
                  <c:v>06</c:v>
                </c:pt>
                <c:pt idx="21">
                  <c:v>07</c:v>
                </c:pt>
                <c:pt idx="22">
                  <c:v>08</c:v>
                </c:pt>
                <c:pt idx="23">
                  <c:v>09</c:v>
                </c:pt>
                <c:pt idx="24">
                  <c:v>10</c:v>
                </c:pt>
                <c:pt idx="25">
                  <c:v>11</c:v>
                </c:pt>
                <c:pt idx="26">
                  <c:v>12</c:v>
                </c:pt>
                <c:pt idx="27">
                  <c:v>13</c:v>
                </c:pt>
              </c:strCache>
            </c:strRef>
          </c:cat>
          <c:val>
            <c:numRef>
              <c:f>CensusRate!$O$3:$O$32</c:f>
              <c:numCache>
                <c:formatCode>General</c:formatCode>
                <c:ptCount val="30"/>
                <c:pt idx="0">
                  <c:v>64.5</c:v>
                </c:pt>
                <c:pt idx="1">
                  <c:v>63.9</c:v>
                </c:pt>
                <c:pt idx="2">
                  <c:v>63.8</c:v>
                </c:pt>
                <c:pt idx="3">
                  <c:v>64</c:v>
                </c:pt>
                <c:pt idx="4">
                  <c:v>63.8</c:v>
                </c:pt>
                <c:pt idx="5">
                  <c:v>63.9</c:v>
                </c:pt>
                <c:pt idx="6">
                  <c:v>63.9</c:v>
                </c:pt>
                <c:pt idx="7" formatCode="0.0_)">
                  <c:v>64.099999999999994</c:v>
                </c:pt>
                <c:pt idx="8" formatCode="0.0_)">
                  <c:v>64.099999999999994</c:v>
                </c:pt>
                <c:pt idx="9" formatCode="0.0_)">
                  <c:v>64.5</c:v>
                </c:pt>
                <c:pt idx="10" formatCode="0.0_)">
                  <c:v>64</c:v>
                </c:pt>
                <c:pt idx="11" formatCode="0.0_)">
                  <c:v>64</c:v>
                </c:pt>
                <c:pt idx="12" formatCode="0.0_)">
                  <c:v>64.7</c:v>
                </c:pt>
                <c:pt idx="13" formatCode="0.0_)">
                  <c:v>65.400000000000006</c:v>
                </c:pt>
                <c:pt idx="14">
                  <c:v>65.7</c:v>
                </c:pt>
                <c:pt idx="15" formatCode="0.0_)">
                  <c:v>66.3</c:v>
                </c:pt>
                <c:pt idx="16" formatCode="0.0_)">
                  <c:v>66.8</c:v>
                </c:pt>
                <c:pt idx="17" formatCode="0.0_)">
                  <c:v>67.400000000000006</c:v>
                </c:pt>
                <c:pt idx="18" formatCode="0.0_)">
                  <c:v>67.8</c:v>
                </c:pt>
                <c:pt idx="19" formatCode="0.0_)">
                  <c:v>68.3</c:v>
                </c:pt>
                <c:pt idx="20" formatCode="0.0_)">
                  <c:v>69</c:v>
                </c:pt>
                <c:pt idx="21" formatCode="0.0">
                  <c:v>68.900000000000006</c:v>
                </c:pt>
                <c:pt idx="22" formatCode="0.0">
                  <c:v>68.8</c:v>
                </c:pt>
                <c:pt idx="23" formatCode="0.0">
                  <c:v>68.099999999999994</c:v>
                </c:pt>
                <c:pt idx="24" formatCode="0.0">
                  <c:v>67.8</c:v>
                </c:pt>
                <c:pt idx="25" formatCode="0.0">
                  <c:v>67.400000000000006</c:v>
                </c:pt>
                <c:pt idx="26" formatCode="0.0">
                  <c:v>66.900000000000006</c:v>
                </c:pt>
                <c:pt idx="27" formatCode="0.0">
                  <c:v>66.099999999999994</c:v>
                </c:pt>
                <c:pt idx="28" formatCode="0.0_)">
                  <c:v>65.400000000000006</c:v>
                </c:pt>
                <c:pt idx="29">
                  <c:v>65.099999999999994</c:v>
                </c:pt>
              </c:numCache>
            </c:numRef>
          </c:val>
          <c:smooth val="0"/>
        </c:ser>
        <c:dLbls>
          <c:showLegendKey val="0"/>
          <c:showVal val="0"/>
          <c:showCatName val="0"/>
          <c:showSerName val="0"/>
          <c:showPercent val="0"/>
          <c:showBubbleSize val="0"/>
        </c:dLbls>
        <c:marker val="1"/>
        <c:smooth val="0"/>
        <c:axId val="217715840"/>
        <c:axId val="219639448"/>
      </c:lineChart>
      <c:catAx>
        <c:axId val="217715840"/>
        <c:scaling>
          <c:orientation val="minMax"/>
        </c:scaling>
        <c:delete val="0"/>
        <c:axPos val="b"/>
        <c:numFmt formatCode="General" sourceLinked="1"/>
        <c:majorTickMark val="none"/>
        <c:minorTickMark val="none"/>
        <c:tickLblPos val="nextTo"/>
        <c:txPr>
          <a:bodyPr/>
          <a:lstStyle/>
          <a:p>
            <a:pPr>
              <a:defRPr sz="800" b="1">
                <a:latin typeface="Arial" panose="020B0604020202020204" pitchFamily="34" charset="0"/>
                <a:cs typeface="Arial" panose="020B0604020202020204" pitchFamily="34" charset="0"/>
              </a:defRPr>
            </a:pPr>
            <a:endParaRPr lang="en-US"/>
          </a:p>
        </c:txPr>
        <c:crossAx val="219639448"/>
        <c:crosses val="autoZero"/>
        <c:auto val="1"/>
        <c:lblAlgn val="ctr"/>
        <c:lblOffset val="100"/>
        <c:noMultiLvlLbl val="0"/>
      </c:catAx>
      <c:valAx>
        <c:axId val="219639448"/>
        <c:scaling>
          <c:orientation val="minMax"/>
          <c:max val="74"/>
          <c:min val="60"/>
        </c:scaling>
        <c:delete val="0"/>
        <c:axPos val="l"/>
        <c:majorGridlines/>
        <c:title>
          <c:tx>
            <c:rich>
              <a:bodyPr rot="-5400000" vert="horz"/>
              <a:lstStyle/>
              <a:p>
                <a:pPr>
                  <a:defRPr/>
                </a:pPr>
                <a:r>
                  <a:rPr lang="en-US"/>
                  <a:t>Homeownership</a:t>
                </a:r>
                <a:r>
                  <a:rPr lang="en-US" baseline="0"/>
                  <a:t> Rate</a:t>
                </a:r>
                <a:endParaRPr lang="en-US"/>
              </a:p>
            </c:rich>
          </c:tx>
          <c:layout>
            <c:manualLayout>
              <c:xMode val="edge"/>
              <c:yMode val="edge"/>
              <c:x val="8.7846310877806935E-3"/>
              <c:y val="0.24897503196715795"/>
            </c:manualLayout>
          </c:layout>
          <c:overlay val="0"/>
        </c:title>
        <c:numFmt formatCode="0.0_)" sourceLinked="1"/>
        <c:majorTickMark val="none"/>
        <c:minorTickMark val="none"/>
        <c:tickLblPos val="nextTo"/>
        <c:spPr>
          <a:ln w="9525">
            <a:noFill/>
          </a:ln>
        </c:spPr>
        <c:txPr>
          <a:bodyPr/>
          <a:lstStyle/>
          <a:p>
            <a:pPr>
              <a:defRPr sz="800" b="1">
                <a:latin typeface="Arial" panose="020B0604020202020204" pitchFamily="34" charset="0"/>
                <a:cs typeface="Arial" panose="020B0604020202020204" pitchFamily="34" charset="0"/>
              </a:defRPr>
            </a:pPr>
            <a:endParaRPr lang="en-US"/>
          </a:p>
        </c:txPr>
        <c:crossAx val="217715840"/>
        <c:crosses val="autoZero"/>
        <c:crossBetween val="between"/>
      </c:valAx>
      <c:spPr>
        <a:solidFill>
          <a:schemeClr val="bg2"/>
        </a:solidFill>
      </c:spPr>
    </c:plotArea>
    <c:legend>
      <c:legendPos val="b"/>
      <c:layout>
        <c:manualLayout>
          <c:xMode val="edge"/>
          <c:yMode val="edge"/>
          <c:x val="6.9056576261300684E-2"/>
          <c:y val="0.91417558382125308"/>
          <c:w val="0.87770268299795862"/>
          <c:h val="7.7277407631738335E-2"/>
        </c:manualLayout>
      </c:layout>
      <c:overlay val="0"/>
      <c:txPr>
        <a:bodyPr/>
        <a:lstStyle/>
        <a:p>
          <a:pPr>
            <a:defRPr b="1"/>
          </a:pPr>
          <a:endParaRPr lang="en-US"/>
        </a:p>
      </c:txPr>
    </c:legend>
    <c:plotVisOnly val="1"/>
    <c:dispBlanksAs val="gap"/>
    <c:showDLblsOverMax val="0"/>
  </c:chart>
  <c:spPr>
    <a:noFill/>
    <a:ln>
      <a:noFill/>
    </a:ln>
  </c:sp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913385826771654E-2"/>
          <c:y val="5.5555555555555552E-2"/>
          <c:w val="0.88540317876932051"/>
          <c:h val="0.79767279090113741"/>
        </c:manualLayout>
      </c:layout>
      <c:lineChart>
        <c:grouping val="standard"/>
        <c:varyColors val="0"/>
        <c:ser>
          <c:idx val="0"/>
          <c:order val="0"/>
          <c:tx>
            <c:strRef>
              <c:f>CensusRate!$C$2</c:f>
              <c:strCache>
                <c:ptCount val="1"/>
                <c:pt idx="0">
                  <c:v>New Mexico</c:v>
                </c:pt>
              </c:strCache>
            </c:strRef>
          </c:tx>
          <c:marker>
            <c:symbol val="circle"/>
            <c:size val="5"/>
          </c:marker>
          <c:cat>
            <c:strRef>
              <c:f>CensusRate!$A$3:$A$30</c:f>
              <c:strCache>
                <c:ptCount val="28"/>
                <c:pt idx="0">
                  <c:v>86</c:v>
                </c:pt>
                <c:pt idx="1">
                  <c:v>87</c:v>
                </c:pt>
                <c:pt idx="2">
                  <c:v>88</c:v>
                </c:pt>
                <c:pt idx="3">
                  <c:v>89</c:v>
                </c:pt>
                <c:pt idx="4">
                  <c:v>90</c:v>
                </c:pt>
                <c:pt idx="5">
                  <c:v>91</c:v>
                </c:pt>
                <c:pt idx="6">
                  <c:v>92</c:v>
                </c:pt>
                <c:pt idx="7">
                  <c:v>93</c:v>
                </c:pt>
                <c:pt idx="8">
                  <c:v>94</c:v>
                </c:pt>
                <c:pt idx="9">
                  <c:v>95</c:v>
                </c:pt>
                <c:pt idx="10">
                  <c:v>96</c:v>
                </c:pt>
                <c:pt idx="11">
                  <c:v>97</c:v>
                </c:pt>
                <c:pt idx="12">
                  <c:v>98</c:v>
                </c:pt>
                <c:pt idx="13">
                  <c:v>99</c:v>
                </c:pt>
                <c:pt idx="14">
                  <c:v>00</c:v>
                </c:pt>
                <c:pt idx="15">
                  <c:v>01</c:v>
                </c:pt>
                <c:pt idx="16">
                  <c:v>02</c:v>
                </c:pt>
                <c:pt idx="17">
                  <c:v>03</c:v>
                </c:pt>
                <c:pt idx="18">
                  <c:v>04</c:v>
                </c:pt>
                <c:pt idx="19">
                  <c:v>05</c:v>
                </c:pt>
                <c:pt idx="20">
                  <c:v>06</c:v>
                </c:pt>
                <c:pt idx="21">
                  <c:v>07</c:v>
                </c:pt>
                <c:pt idx="22">
                  <c:v>08</c:v>
                </c:pt>
                <c:pt idx="23">
                  <c:v>09</c:v>
                </c:pt>
                <c:pt idx="24">
                  <c:v>10</c:v>
                </c:pt>
                <c:pt idx="25">
                  <c:v>11</c:v>
                </c:pt>
                <c:pt idx="26">
                  <c:v>12</c:v>
                </c:pt>
                <c:pt idx="27">
                  <c:v>13</c:v>
                </c:pt>
              </c:strCache>
            </c:strRef>
          </c:cat>
          <c:val>
            <c:numRef>
              <c:f>CensusRate!$C$3:$C$30</c:f>
              <c:numCache>
                <c:formatCode>0.0</c:formatCode>
                <c:ptCount val="28"/>
                <c:pt idx="0">
                  <c:v>1.7</c:v>
                </c:pt>
                <c:pt idx="1">
                  <c:v>2.2999999999999998</c:v>
                </c:pt>
                <c:pt idx="2">
                  <c:v>2.4</c:v>
                </c:pt>
                <c:pt idx="3">
                  <c:v>2.4</c:v>
                </c:pt>
                <c:pt idx="4">
                  <c:v>2.4</c:v>
                </c:pt>
                <c:pt idx="5">
                  <c:v>1.8</c:v>
                </c:pt>
                <c:pt idx="6">
                  <c:v>1.4</c:v>
                </c:pt>
                <c:pt idx="7">
                  <c:v>0.9</c:v>
                </c:pt>
                <c:pt idx="8">
                  <c:v>1.1000000000000001</c:v>
                </c:pt>
                <c:pt idx="9">
                  <c:v>1.1000000000000001</c:v>
                </c:pt>
                <c:pt idx="10">
                  <c:v>1.3</c:v>
                </c:pt>
                <c:pt idx="11">
                  <c:v>2.2000000000000002</c:v>
                </c:pt>
                <c:pt idx="12">
                  <c:v>1.8</c:v>
                </c:pt>
                <c:pt idx="13">
                  <c:v>2.4</c:v>
                </c:pt>
                <c:pt idx="14">
                  <c:v>2.4</c:v>
                </c:pt>
                <c:pt idx="15">
                  <c:v>2.4</c:v>
                </c:pt>
                <c:pt idx="16">
                  <c:v>2.1</c:v>
                </c:pt>
                <c:pt idx="17">
                  <c:v>2</c:v>
                </c:pt>
                <c:pt idx="18" formatCode="General">
                  <c:v>1.6</c:v>
                </c:pt>
                <c:pt idx="19" formatCode="General">
                  <c:v>1.5</c:v>
                </c:pt>
                <c:pt idx="20" formatCode="General">
                  <c:v>1.7</c:v>
                </c:pt>
                <c:pt idx="21" formatCode="General">
                  <c:v>2.8</c:v>
                </c:pt>
                <c:pt idx="22" formatCode="General">
                  <c:v>2</c:v>
                </c:pt>
                <c:pt idx="23" formatCode="General">
                  <c:v>1.9</c:v>
                </c:pt>
                <c:pt idx="24" formatCode="General">
                  <c:v>1.8</c:v>
                </c:pt>
                <c:pt idx="25" formatCode="General">
                  <c:v>1.4</c:v>
                </c:pt>
                <c:pt idx="26" formatCode="General">
                  <c:v>2.1</c:v>
                </c:pt>
                <c:pt idx="27" formatCode="General">
                  <c:v>2.5</c:v>
                </c:pt>
              </c:numCache>
            </c:numRef>
          </c:val>
          <c:smooth val="0"/>
        </c:ser>
        <c:ser>
          <c:idx val="1"/>
          <c:order val="1"/>
          <c:tx>
            <c:strRef>
              <c:f>CensusRate!$E$2</c:f>
              <c:strCache>
                <c:ptCount val="1"/>
                <c:pt idx="0">
                  <c:v>U.S.</c:v>
                </c:pt>
              </c:strCache>
            </c:strRef>
          </c:tx>
          <c:marker>
            <c:symbol val="square"/>
            <c:size val="5"/>
          </c:marker>
          <c:cat>
            <c:strRef>
              <c:f>CensusRate!$A$3:$A$30</c:f>
              <c:strCache>
                <c:ptCount val="28"/>
                <c:pt idx="0">
                  <c:v>86</c:v>
                </c:pt>
                <c:pt idx="1">
                  <c:v>87</c:v>
                </c:pt>
                <c:pt idx="2">
                  <c:v>88</c:v>
                </c:pt>
                <c:pt idx="3">
                  <c:v>89</c:v>
                </c:pt>
                <c:pt idx="4">
                  <c:v>90</c:v>
                </c:pt>
                <c:pt idx="5">
                  <c:v>91</c:v>
                </c:pt>
                <c:pt idx="6">
                  <c:v>92</c:v>
                </c:pt>
                <c:pt idx="7">
                  <c:v>93</c:v>
                </c:pt>
                <c:pt idx="8">
                  <c:v>94</c:v>
                </c:pt>
                <c:pt idx="9">
                  <c:v>95</c:v>
                </c:pt>
                <c:pt idx="10">
                  <c:v>96</c:v>
                </c:pt>
                <c:pt idx="11">
                  <c:v>97</c:v>
                </c:pt>
                <c:pt idx="12">
                  <c:v>98</c:v>
                </c:pt>
                <c:pt idx="13">
                  <c:v>99</c:v>
                </c:pt>
                <c:pt idx="14">
                  <c:v>00</c:v>
                </c:pt>
                <c:pt idx="15">
                  <c:v>01</c:v>
                </c:pt>
                <c:pt idx="16">
                  <c:v>02</c:v>
                </c:pt>
                <c:pt idx="17">
                  <c:v>03</c:v>
                </c:pt>
                <c:pt idx="18">
                  <c:v>04</c:v>
                </c:pt>
                <c:pt idx="19">
                  <c:v>05</c:v>
                </c:pt>
                <c:pt idx="20">
                  <c:v>06</c:v>
                </c:pt>
                <c:pt idx="21">
                  <c:v>07</c:v>
                </c:pt>
                <c:pt idx="22">
                  <c:v>08</c:v>
                </c:pt>
                <c:pt idx="23">
                  <c:v>09</c:v>
                </c:pt>
                <c:pt idx="24">
                  <c:v>10</c:v>
                </c:pt>
                <c:pt idx="25">
                  <c:v>11</c:v>
                </c:pt>
                <c:pt idx="26">
                  <c:v>12</c:v>
                </c:pt>
                <c:pt idx="27">
                  <c:v>13</c:v>
                </c:pt>
              </c:strCache>
            </c:strRef>
          </c:cat>
          <c:val>
            <c:numRef>
              <c:f>CensusRate!$E$3:$E$30</c:f>
              <c:numCache>
                <c:formatCode>0.0</c:formatCode>
                <c:ptCount val="28"/>
                <c:pt idx="0">
                  <c:v>1.6</c:v>
                </c:pt>
                <c:pt idx="1">
                  <c:v>1.7</c:v>
                </c:pt>
                <c:pt idx="2">
                  <c:v>1.6</c:v>
                </c:pt>
                <c:pt idx="3">
                  <c:v>1.8</c:v>
                </c:pt>
                <c:pt idx="4">
                  <c:v>1.7</c:v>
                </c:pt>
                <c:pt idx="5">
                  <c:v>1.7</c:v>
                </c:pt>
                <c:pt idx="6">
                  <c:v>1.5</c:v>
                </c:pt>
                <c:pt idx="7">
                  <c:v>1.4</c:v>
                </c:pt>
                <c:pt idx="8">
                  <c:v>1.5</c:v>
                </c:pt>
                <c:pt idx="9">
                  <c:v>1.5</c:v>
                </c:pt>
                <c:pt idx="10">
                  <c:v>1.6</c:v>
                </c:pt>
                <c:pt idx="11">
                  <c:v>1.6</c:v>
                </c:pt>
                <c:pt idx="12">
                  <c:v>1.7</c:v>
                </c:pt>
                <c:pt idx="13">
                  <c:v>1.7</c:v>
                </c:pt>
                <c:pt idx="14">
                  <c:v>1.6</c:v>
                </c:pt>
                <c:pt idx="15">
                  <c:v>1.8</c:v>
                </c:pt>
                <c:pt idx="16">
                  <c:v>1.7</c:v>
                </c:pt>
                <c:pt idx="17">
                  <c:v>1.8</c:v>
                </c:pt>
                <c:pt idx="18">
                  <c:v>1.7</c:v>
                </c:pt>
                <c:pt idx="19">
                  <c:v>1.9</c:v>
                </c:pt>
                <c:pt idx="20">
                  <c:v>2.4</c:v>
                </c:pt>
                <c:pt idx="21">
                  <c:v>2.7</c:v>
                </c:pt>
                <c:pt idx="22">
                  <c:v>2.8</c:v>
                </c:pt>
                <c:pt idx="23">
                  <c:v>2.6</c:v>
                </c:pt>
                <c:pt idx="24">
                  <c:v>2.6</c:v>
                </c:pt>
                <c:pt idx="25">
                  <c:v>2.5</c:v>
                </c:pt>
                <c:pt idx="26">
                  <c:v>2</c:v>
                </c:pt>
                <c:pt idx="27">
                  <c:v>2</c:v>
                </c:pt>
              </c:numCache>
            </c:numRef>
          </c:val>
          <c:smooth val="0"/>
        </c:ser>
        <c:dLbls>
          <c:showLegendKey val="0"/>
          <c:showVal val="0"/>
          <c:showCatName val="0"/>
          <c:showSerName val="0"/>
          <c:showPercent val="0"/>
          <c:showBubbleSize val="0"/>
        </c:dLbls>
        <c:marker val="1"/>
        <c:smooth val="0"/>
        <c:axId val="219640232"/>
        <c:axId val="219640624"/>
      </c:lineChart>
      <c:catAx>
        <c:axId val="219640232"/>
        <c:scaling>
          <c:orientation val="minMax"/>
        </c:scaling>
        <c:delete val="0"/>
        <c:axPos val="b"/>
        <c:numFmt formatCode="General" sourceLinked="1"/>
        <c:majorTickMark val="none"/>
        <c:minorTickMark val="none"/>
        <c:tickLblPos val="nextTo"/>
        <c:txPr>
          <a:bodyPr/>
          <a:lstStyle/>
          <a:p>
            <a:pPr>
              <a:defRPr sz="800" b="1">
                <a:latin typeface="Arial" panose="020B0604020202020204" pitchFamily="34" charset="0"/>
                <a:cs typeface="Arial" panose="020B0604020202020204" pitchFamily="34" charset="0"/>
              </a:defRPr>
            </a:pPr>
            <a:endParaRPr lang="en-US"/>
          </a:p>
        </c:txPr>
        <c:crossAx val="219640624"/>
        <c:crosses val="autoZero"/>
        <c:auto val="1"/>
        <c:lblAlgn val="ctr"/>
        <c:lblOffset val="100"/>
        <c:noMultiLvlLbl val="0"/>
      </c:catAx>
      <c:valAx>
        <c:axId val="219640624"/>
        <c:scaling>
          <c:orientation val="minMax"/>
          <c:min val="0.5"/>
        </c:scaling>
        <c:delete val="0"/>
        <c:axPos val="l"/>
        <c:majorGridlines/>
        <c:title>
          <c:tx>
            <c:rich>
              <a:bodyPr rot="-5400000" vert="horz"/>
              <a:lstStyle/>
              <a:p>
                <a:pPr>
                  <a:defRPr/>
                </a:pPr>
                <a:r>
                  <a:rPr lang="en-US"/>
                  <a:t>Homeowner Vacancy Rate</a:t>
                </a:r>
              </a:p>
            </c:rich>
          </c:tx>
          <c:overlay val="0"/>
        </c:title>
        <c:numFmt formatCode="0.0" sourceLinked="1"/>
        <c:majorTickMark val="none"/>
        <c:minorTickMark val="none"/>
        <c:tickLblPos val="nextTo"/>
        <c:spPr>
          <a:ln w="9525">
            <a:noFill/>
          </a:ln>
        </c:spPr>
        <c:txPr>
          <a:bodyPr/>
          <a:lstStyle/>
          <a:p>
            <a:pPr>
              <a:defRPr sz="800" b="1">
                <a:latin typeface="Arial" panose="020B0604020202020204" pitchFamily="34" charset="0"/>
                <a:cs typeface="Arial" panose="020B0604020202020204" pitchFamily="34" charset="0"/>
              </a:defRPr>
            </a:pPr>
            <a:endParaRPr lang="en-US"/>
          </a:p>
        </c:txPr>
        <c:crossAx val="219640232"/>
        <c:crosses val="autoZero"/>
        <c:crossBetween val="between"/>
        <c:majorUnit val="0.25"/>
      </c:valAx>
      <c:spPr>
        <a:solidFill>
          <a:schemeClr val="bg2"/>
        </a:solidFill>
      </c:spPr>
    </c:plotArea>
    <c:legend>
      <c:legendPos val="b"/>
      <c:layout>
        <c:manualLayout>
          <c:xMode val="edge"/>
          <c:yMode val="edge"/>
          <c:x val="6.9056576261300684E-2"/>
          <c:y val="0.91417558382125308"/>
          <c:w val="0.87770268299795862"/>
          <c:h val="7.7277407631738335E-2"/>
        </c:manualLayout>
      </c:layout>
      <c:overlay val="0"/>
      <c:txPr>
        <a:bodyPr/>
        <a:lstStyle/>
        <a:p>
          <a:pPr>
            <a:defRPr b="1"/>
          </a:pPr>
          <a:endParaRPr lang="en-US"/>
        </a:p>
      </c:txPr>
    </c:legend>
    <c:plotVisOnly val="1"/>
    <c:dispBlanksAs val="gap"/>
    <c:showDLblsOverMax val="0"/>
  </c:chart>
  <c:spPr>
    <a:noFill/>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Custom 1">
    <a:dk1>
      <a:sysClr val="windowText" lastClr="000000"/>
    </a:dk1>
    <a:lt1>
      <a:sysClr val="window" lastClr="FFFFFF"/>
    </a:lt1>
    <a:dk2>
      <a:srgbClr val="1F497D"/>
    </a:dk2>
    <a:lt2>
      <a:srgbClr val="FFFFE1"/>
    </a:lt2>
    <a:accent1>
      <a:srgbClr val="009900"/>
    </a:accent1>
    <a:accent2>
      <a:srgbClr val="C0504D"/>
    </a:accent2>
    <a:accent3>
      <a:srgbClr val="9BBB59"/>
    </a:accent3>
    <a:accent4>
      <a:srgbClr val="DED6AE"/>
    </a:accent4>
    <a:accent5>
      <a:srgbClr val="4BACC6"/>
    </a:accent5>
    <a:accent6>
      <a:srgbClr val="FFCC6E"/>
    </a:accent6>
    <a:hlink>
      <a:srgbClr val="DED6AE"/>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Custom 1">
    <a:dk1>
      <a:sysClr val="windowText" lastClr="000000"/>
    </a:dk1>
    <a:lt1>
      <a:sysClr val="window" lastClr="FFFFFF"/>
    </a:lt1>
    <a:dk2>
      <a:srgbClr val="1F497D"/>
    </a:dk2>
    <a:lt2>
      <a:srgbClr val="FFFFE1"/>
    </a:lt2>
    <a:accent1>
      <a:srgbClr val="009900"/>
    </a:accent1>
    <a:accent2>
      <a:srgbClr val="C0504D"/>
    </a:accent2>
    <a:accent3>
      <a:srgbClr val="9BBB59"/>
    </a:accent3>
    <a:accent4>
      <a:srgbClr val="DED6AE"/>
    </a:accent4>
    <a:accent5>
      <a:srgbClr val="4BACC6"/>
    </a:accent5>
    <a:accent6>
      <a:srgbClr val="FFCC6E"/>
    </a:accent6>
    <a:hlink>
      <a:srgbClr val="DED6AE"/>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Custom 1">
    <a:dk1>
      <a:sysClr val="windowText" lastClr="000000"/>
    </a:dk1>
    <a:lt1>
      <a:sysClr val="window" lastClr="FFFFFF"/>
    </a:lt1>
    <a:dk2>
      <a:srgbClr val="1F497D"/>
    </a:dk2>
    <a:lt2>
      <a:srgbClr val="FFFFE1"/>
    </a:lt2>
    <a:accent1>
      <a:srgbClr val="009900"/>
    </a:accent1>
    <a:accent2>
      <a:srgbClr val="C0504D"/>
    </a:accent2>
    <a:accent3>
      <a:srgbClr val="9BBB59"/>
    </a:accent3>
    <a:accent4>
      <a:srgbClr val="DED6AE"/>
    </a:accent4>
    <a:accent5>
      <a:srgbClr val="4BACC6"/>
    </a:accent5>
    <a:accent6>
      <a:srgbClr val="FFCC6E"/>
    </a:accent6>
    <a:hlink>
      <a:srgbClr val="DED6AE"/>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Custom 1">
    <a:dk1>
      <a:sysClr val="windowText" lastClr="000000"/>
    </a:dk1>
    <a:lt1>
      <a:sysClr val="window" lastClr="FFFFFF"/>
    </a:lt1>
    <a:dk2>
      <a:srgbClr val="1F497D"/>
    </a:dk2>
    <a:lt2>
      <a:srgbClr val="FFFFE1"/>
    </a:lt2>
    <a:accent1>
      <a:srgbClr val="009900"/>
    </a:accent1>
    <a:accent2>
      <a:srgbClr val="C0504D"/>
    </a:accent2>
    <a:accent3>
      <a:srgbClr val="9BBB59"/>
    </a:accent3>
    <a:accent4>
      <a:srgbClr val="DED6AE"/>
    </a:accent4>
    <a:accent5>
      <a:srgbClr val="4BACC6"/>
    </a:accent5>
    <a:accent6>
      <a:srgbClr val="FFCC6E"/>
    </a:accent6>
    <a:hlink>
      <a:srgbClr val="DED6AE"/>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Custom 1">
    <a:dk1>
      <a:sysClr val="windowText" lastClr="000000"/>
    </a:dk1>
    <a:lt1>
      <a:sysClr val="window" lastClr="FFFFFF"/>
    </a:lt1>
    <a:dk2>
      <a:srgbClr val="1F497D"/>
    </a:dk2>
    <a:lt2>
      <a:srgbClr val="FFFFE1"/>
    </a:lt2>
    <a:accent1>
      <a:srgbClr val="009900"/>
    </a:accent1>
    <a:accent2>
      <a:srgbClr val="C0504D"/>
    </a:accent2>
    <a:accent3>
      <a:srgbClr val="9BBB59"/>
    </a:accent3>
    <a:accent4>
      <a:srgbClr val="DED6AE"/>
    </a:accent4>
    <a:accent5>
      <a:srgbClr val="4BACC6"/>
    </a:accent5>
    <a:accent6>
      <a:srgbClr val="FFCC6E"/>
    </a:accent6>
    <a:hlink>
      <a:srgbClr val="DED6AE"/>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Custom 1">
    <a:dk1>
      <a:sysClr val="windowText" lastClr="000000"/>
    </a:dk1>
    <a:lt1>
      <a:sysClr val="window" lastClr="FFFFFF"/>
    </a:lt1>
    <a:dk2>
      <a:srgbClr val="1F497D"/>
    </a:dk2>
    <a:lt2>
      <a:srgbClr val="FFFFE1"/>
    </a:lt2>
    <a:accent1>
      <a:srgbClr val="009900"/>
    </a:accent1>
    <a:accent2>
      <a:srgbClr val="C0504D"/>
    </a:accent2>
    <a:accent3>
      <a:srgbClr val="9BBB59"/>
    </a:accent3>
    <a:accent4>
      <a:srgbClr val="DED6AE"/>
    </a:accent4>
    <a:accent5>
      <a:srgbClr val="4BACC6"/>
    </a:accent5>
    <a:accent6>
      <a:srgbClr val="FFCC6E"/>
    </a:accent6>
    <a:hlink>
      <a:srgbClr val="DED6AE"/>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Custom 1">
    <a:dk1>
      <a:sysClr val="windowText" lastClr="000000"/>
    </a:dk1>
    <a:lt1>
      <a:sysClr val="window" lastClr="FFFFFF"/>
    </a:lt1>
    <a:dk2>
      <a:srgbClr val="1F497D"/>
    </a:dk2>
    <a:lt2>
      <a:srgbClr val="FFFFE1"/>
    </a:lt2>
    <a:accent1>
      <a:srgbClr val="009900"/>
    </a:accent1>
    <a:accent2>
      <a:srgbClr val="C0504D"/>
    </a:accent2>
    <a:accent3>
      <a:srgbClr val="9BBB59"/>
    </a:accent3>
    <a:accent4>
      <a:srgbClr val="DED6AE"/>
    </a:accent4>
    <a:accent5>
      <a:srgbClr val="4BACC6"/>
    </a:accent5>
    <a:accent6>
      <a:srgbClr val="FFCC6E"/>
    </a:accent6>
    <a:hlink>
      <a:srgbClr val="DED6AE"/>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Custom 1">
    <a:dk1>
      <a:sysClr val="windowText" lastClr="000000"/>
    </a:dk1>
    <a:lt1>
      <a:sysClr val="window" lastClr="FFFFFF"/>
    </a:lt1>
    <a:dk2>
      <a:srgbClr val="1F497D"/>
    </a:dk2>
    <a:lt2>
      <a:srgbClr val="FFFFE1"/>
    </a:lt2>
    <a:accent1>
      <a:srgbClr val="009900"/>
    </a:accent1>
    <a:accent2>
      <a:srgbClr val="C0504D"/>
    </a:accent2>
    <a:accent3>
      <a:srgbClr val="9BBB59"/>
    </a:accent3>
    <a:accent4>
      <a:srgbClr val="DED6AE"/>
    </a:accent4>
    <a:accent5>
      <a:srgbClr val="4BACC6"/>
    </a:accent5>
    <a:accent6>
      <a:srgbClr val="FFCC6E"/>
    </a:accent6>
    <a:hlink>
      <a:srgbClr val="DED6AE"/>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Custom 1">
    <a:dk1>
      <a:sysClr val="windowText" lastClr="000000"/>
    </a:dk1>
    <a:lt1>
      <a:sysClr val="window" lastClr="FFFFFF"/>
    </a:lt1>
    <a:dk2>
      <a:srgbClr val="1F497D"/>
    </a:dk2>
    <a:lt2>
      <a:srgbClr val="FFFFE1"/>
    </a:lt2>
    <a:accent1>
      <a:srgbClr val="009900"/>
    </a:accent1>
    <a:accent2>
      <a:srgbClr val="C0504D"/>
    </a:accent2>
    <a:accent3>
      <a:srgbClr val="9BBB59"/>
    </a:accent3>
    <a:accent4>
      <a:srgbClr val="DED6AE"/>
    </a:accent4>
    <a:accent5>
      <a:srgbClr val="4BACC6"/>
    </a:accent5>
    <a:accent6>
      <a:srgbClr val="FFCC6E"/>
    </a:accent6>
    <a:hlink>
      <a:srgbClr val="DED6AE"/>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Custom 1">
    <a:dk1>
      <a:sysClr val="windowText" lastClr="000000"/>
    </a:dk1>
    <a:lt1>
      <a:sysClr val="window" lastClr="FFFFFF"/>
    </a:lt1>
    <a:dk2>
      <a:srgbClr val="1F497D"/>
    </a:dk2>
    <a:lt2>
      <a:srgbClr val="FFFFE1"/>
    </a:lt2>
    <a:accent1>
      <a:srgbClr val="009900"/>
    </a:accent1>
    <a:accent2>
      <a:srgbClr val="C0504D"/>
    </a:accent2>
    <a:accent3>
      <a:srgbClr val="9BBB59"/>
    </a:accent3>
    <a:accent4>
      <a:srgbClr val="DED6AE"/>
    </a:accent4>
    <a:accent5>
      <a:srgbClr val="4BACC6"/>
    </a:accent5>
    <a:accent6>
      <a:srgbClr val="FFCC6E"/>
    </a:accent6>
    <a:hlink>
      <a:srgbClr val="DED6AE"/>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Custom 1">
    <a:dk1>
      <a:sysClr val="windowText" lastClr="000000"/>
    </a:dk1>
    <a:lt1>
      <a:sysClr val="window" lastClr="FFFFFF"/>
    </a:lt1>
    <a:dk2>
      <a:srgbClr val="1F497D"/>
    </a:dk2>
    <a:lt2>
      <a:srgbClr val="FFFFE1"/>
    </a:lt2>
    <a:accent1>
      <a:srgbClr val="009900"/>
    </a:accent1>
    <a:accent2>
      <a:srgbClr val="C0504D"/>
    </a:accent2>
    <a:accent3>
      <a:srgbClr val="9BBB59"/>
    </a:accent3>
    <a:accent4>
      <a:srgbClr val="DED6AE"/>
    </a:accent4>
    <a:accent5>
      <a:srgbClr val="4BACC6"/>
    </a:accent5>
    <a:accent6>
      <a:srgbClr val="FFCC6E"/>
    </a:accent6>
    <a:hlink>
      <a:srgbClr val="DED6AE"/>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Custom 1">
    <a:dk1>
      <a:sysClr val="windowText" lastClr="000000"/>
    </a:dk1>
    <a:lt1>
      <a:sysClr val="window" lastClr="FFFFFF"/>
    </a:lt1>
    <a:dk2>
      <a:srgbClr val="1F497D"/>
    </a:dk2>
    <a:lt2>
      <a:srgbClr val="FFFFE1"/>
    </a:lt2>
    <a:accent1>
      <a:srgbClr val="009900"/>
    </a:accent1>
    <a:accent2>
      <a:srgbClr val="C0504D"/>
    </a:accent2>
    <a:accent3>
      <a:srgbClr val="9BBB59"/>
    </a:accent3>
    <a:accent4>
      <a:srgbClr val="DED6AE"/>
    </a:accent4>
    <a:accent5>
      <a:srgbClr val="4BACC6"/>
    </a:accent5>
    <a:accent6>
      <a:srgbClr val="FFCC6E"/>
    </a:accent6>
    <a:hlink>
      <a:srgbClr val="DED6AE"/>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86D900-3C95-4ED4-9196-621F3EA6A9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50</Pages>
  <Words>61166</Words>
  <Characters>348650</Characters>
  <Application>Microsoft Office Word</Application>
  <DocSecurity>0</DocSecurity>
  <Lines>2905</Lines>
  <Paragraphs>817</Paragraphs>
  <ScaleCrop>false</ScaleCrop>
  <HeadingPairs>
    <vt:vector size="2" baseType="variant">
      <vt:variant>
        <vt:lpstr>Title</vt:lpstr>
      </vt:variant>
      <vt:variant>
        <vt:i4>1</vt:i4>
      </vt:variant>
    </vt:vector>
  </HeadingPairs>
  <TitlesOfParts>
    <vt:vector size="1" baseType="lpstr">
      <vt:lpstr>SUGGESTED CONSOLIDATED PLAN OUTLINE</vt:lpstr>
    </vt:vector>
  </TitlesOfParts>
  <Company>Western Economic Services, LLC</Company>
  <LinksUpToDate>false</LinksUpToDate>
  <CharactersWithSpaces>408999</CharactersWithSpaces>
  <SharedDoc>false</SharedDoc>
  <HLinks>
    <vt:vector size="306" baseType="variant">
      <vt:variant>
        <vt:i4>6094864</vt:i4>
      </vt:variant>
      <vt:variant>
        <vt:i4>354</vt:i4>
      </vt:variant>
      <vt:variant>
        <vt:i4>0</vt:i4>
      </vt:variant>
      <vt:variant>
        <vt:i4>5</vt:i4>
      </vt:variant>
      <vt:variant>
        <vt:lpwstr>http://www.housingnm.org/</vt:lpwstr>
      </vt:variant>
      <vt:variant>
        <vt:lpwstr/>
      </vt:variant>
      <vt:variant>
        <vt:i4>1966142</vt:i4>
      </vt:variant>
      <vt:variant>
        <vt:i4>287</vt:i4>
      </vt:variant>
      <vt:variant>
        <vt:i4>0</vt:i4>
      </vt:variant>
      <vt:variant>
        <vt:i4>5</vt:i4>
      </vt:variant>
      <vt:variant>
        <vt:lpwstr/>
      </vt:variant>
      <vt:variant>
        <vt:lpwstr>_Toc274299155</vt:lpwstr>
      </vt:variant>
      <vt:variant>
        <vt:i4>1966142</vt:i4>
      </vt:variant>
      <vt:variant>
        <vt:i4>281</vt:i4>
      </vt:variant>
      <vt:variant>
        <vt:i4>0</vt:i4>
      </vt:variant>
      <vt:variant>
        <vt:i4>5</vt:i4>
      </vt:variant>
      <vt:variant>
        <vt:lpwstr/>
      </vt:variant>
      <vt:variant>
        <vt:lpwstr>_Toc274299154</vt:lpwstr>
      </vt:variant>
      <vt:variant>
        <vt:i4>1966142</vt:i4>
      </vt:variant>
      <vt:variant>
        <vt:i4>275</vt:i4>
      </vt:variant>
      <vt:variant>
        <vt:i4>0</vt:i4>
      </vt:variant>
      <vt:variant>
        <vt:i4>5</vt:i4>
      </vt:variant>
      <vt:variant>
        <vt:lpwstr/>
      </vt:variant>
      <vt:variant>
        <vt:lpwstr>_Toc274299153</vt:lpwstr>
      </vt:variant>
      <vt:variant>
        <vt:i4>1966142</vt:i4>
      </vt:variant>
      <vt:variant>
        <vt:i4>269</vt:i4>
      </vt:variant>
      <vt:variant>
        <vt:i4>0</vt:i4>
      </vt:variant>
      <vt:variant>
        <vt:i4>5</vt:i4>
      </vt:variant>
      <vt:variant>
        <vt:lpwstr/>
      </vt:variant>
      <vt:variant>
        <vt:lpwstr>_Toc274299152</vt:lpwstr>
      </vt:variant>
      <vt:variant>
        <vt:i4>1966142</vt:i4>
      </vt:variant>
      <vt:variant>
        <vt:i4>263</vt:i4>
      </vt:variant>
      <vt:variant>
        <vt:i4>0</vt:i4>
      </vt:variant>
      <vt:variant>
        <vt:i4>5</vt:i4>
      </vt:variant>
      <vt:variant>
        <vt:lpwstr/>
      </vt:variant>
      <vt:variant>
        <vt:lpwstr>_Toc274299151</vt:lpwstr>
      </vt:variant>
      <vt:variant>
        <vt:i4>1966142</vt:i4>
      </vt:variant>
      <vt:variant>
        <vt:i4>257</vt:i4>
      </vt:variant>
      <vt:variant>
        <vt:i4>0</vt:i4>
      </vt:variant>
      <vt:variant>
        <vt:i4>5</vt:i4>
      </vt:variant>
      <vt:variant>
        <vt:lpwstr/>
      </vt:variant>
      <vt:variant>
        <vt:lpwstr>_Toc274299150</vt:lpwstr>
      </vt:variant>
      <vt:variant>
        <vt:i4>2031678</vt:i4>
      </vt:variant>
      <vt:variant>
        <vt:i4>251</vt:i4>
      </vt:variant>
      <vt:variant>
        <vt:i4>0</vt:i4>
      </vt:variant>
      <vt:variant>
        <vt:i4>5</vt:i4>
      </vt:variant>
      <vt:variant>
        <vt:lpwstr/>
      </vt:variant>
      <vt:variant>
        <vt:lpwstr>_Toc274299149</vt:lpwstr>
      </vt:variant>
      <vt:variant>
        <vt:i4>2031678</vt:i4>
      </vt:variant>
      <vt:variant>
        <vt:i4>245</vt:i4>
      </vt:variant>
      <vt:variant>
        <vt:i4>0</vt:i4>
      </vt:variant>
      <vt:variant>
        <vt:i4>5</vt:i4>
      </vt:variant>
      <vt:variant>
        <vt:lpwstr/>
      </vt:variant>
      <vt:variant>
        <vt:lpwstr>_Toc274299148</vt:lpwstr>
      </vt:variant>
      <vt:variant>
        <vt:i4>2031678</vt:i4>
      </vt:variant>
      <vt:variant>
        <vt:i4>239</vt:i4>
      </vt:variant>
      <vt:variant>
        <vt:i4>0</vt:i4>
      </vt:variant>
      <vt:variant>
        <vt:i4>5</vt:i4>
      </vt:variant>
      <vt:variant>
        <vt:lpwstr/>
      </vt:variant>
      <vt:variant>
        <vt:lpwstr>_Toc274299147</vt:lpwstr>
      </vt:variant>
      <vt:variant>
        <vt:i4>2031678</vt:i4>
      </vt:variant>
      <vt:variant>
        <vt:i4>233</vt:i4>
      </vt:variant>
      <vt:variant>
        <vt:i4>0</vt:i4>
      </vt:variant>
      <vt:variant>
        <vt:i4>5</vt:i4>
      </vt:variant>
      <vt:variant>
        <vt:lpwstr/>
      </vt:variant>
      <vt:variant>
        <vt:lpwstr>_Toc274299146</vt:lpwstr>
      </vt:variant>
      <vt:variant>
        <vt:i4>2031678</vt:i4>
      </vt:variant>
      <vt:variant>
        <vt:i4>227</vt:i4>
      </vt:variant>
      <vt:variant>
        <vt:i4>0</vt:i4>
      </vt:variant>
      <vt:variant>
        <vt:i4>5</vt:i4>
      </vt:variant>
      <vt:variant>
        <vt:lpwstr/>
      </vt:variant>
      <vt:variant>
        <vt:lpwstr>_Toc274299145</vt:lpwstr>
      </vt:variant>
      <vt:variant>
        <vt:i4>2031678</vt:i4>
      </vt:variant>
      <vt:variant>
        <vt:i4>221</vt:i4>
      </vt:variant>
      <vt:variant>
        <vt:i4>0</vt:i4>
      </vt:variant>
      <vt:variant>
        <vt:i4>5</vt:i4>
      </vt:variant>
      <vt:variant>
        <vt:lpwstr/>
      </vt:variant>
      <vt:variant>
        <vt:lpwstr>_Toc274299144</vt:lpwstr>
      </vt:variant>
      <vt:variant>
        <vt:i4>2031678</vt:i4>
      </vt:variant>
      <vt:variant>
        <vt:i4>215</vt:i4>
      </vt:variant>
      <vt:variant>
        <vt:i4>0</vt:i4>
      </vt:variant>
      <vt:variant>
        <vt:i4>5</vt:i4>
      </vt:variant>
      <vt:variant>
        <vt:lpwstr/>
      </vt:variant>
      <vt:variant>
        <vt:lpwstr>_Toc274299143</vt:lpwstr>
      </vt:variant>
      <vt:variant>
        <vt:i4>2031678</vt:i4>
      </vt:variant>
      <vt:variant>
        <vt:i4>209</vt:i4>
      </vt:variant>
      <vt:variant>
        <vt:i4>0</vt:i4>
      </vt:variant>
      <vt:variant>
        <vt:i4>5</vt:i4>
      </vt:variant>
      <vt:variant>
        <vt:lpwstr/>
      </vt:variant>
      <vt:variant>
        <vt:lpwstr>_Toc274299142</vt:lpwstr>
      </vt:variant>
      <vt:variant>
        <vt:i4>2031678</vt:i4>
      </vt:variant>
      <vt:variant>
        <vt:i4>203</vt:i4>
      </vt:variant>
      <vt:variant>
        <vt:i4>0</vt:i4>
      </vt:variant>
      <vt:variant>
        <vt:i4>5</vt:i4>
      </vt:variant>
      <vt:variant>
        <vt:lpwstr/>
      </vt:variant>
      <vt:variant>
        <vt:lpwstr>_Toc274299141</vt:lpwstr>
      </vt:variant>
      <vt:variant>
        <vt:i4>2031678</vt:i4>
      </vt:variant>
      <vt:variant>
        <vt:i4>197</vt:i4>
      </vt:variant>
      <vt:variant>
        <vt:i4>0</vt:i4>
      </vt:variant>
      <vt:variant>
        <vt:i4>5</vt:i4>
      </vt:variant>
      <vt:variant>
        <vt:lpwstr/>
      </vt:variant>
      <vt:variant>
        <vt:lpwstr>_Toc274299140</vt:lpwstr>
      </vt:variant>
      <vt:variant>
        <vt:i4>1572926</vt:i4>
      </vt:variant>
      <vt:variant>
        <vt:i4>191</vt:i4>
      </vt:variant>
      <vt:variant>
        <vt:i4>0</vt:i4>
      </vt:variant>
      <vt:variant>
        <vt:i4>5</vt:i4>
      </vt:variant>
      <vt:variant>
        <vt:lpwstr/>
      </vt:variant>
      <vt:variant>
        <vt:lpwstr>_Toc274299139</vt:lpwstr>
      </vt:variant>
      <vt:variant>
        <vt:i4>1572926</vt:i4>
      </vt:variant>
      <vt:variant>
        <vt:i4>185</vt:i4>
      </vt:variant>
      <vt:variant>
        <vt:i4>0</vt:i4>
      </vt:variant>
      <vt:variant>
        <vt:i4>5</vt:i4>
      </vt:variant>
      <vt:variant>
        <vt:lpwstr/>
      </vt:variant>
      <vt:variant>
        <vt:lpwstr>_Toc274299138</vt:lpwstr>
      </vt:variant>
      <vt:variant>
        <vt:i4>1572926</vt:i4>
      </vt:variant>
      <vt:variant>
        <vt:i4>179</vt:i4>
      </vt:variant>
      <vt:variant>
        <vt:i4>0</vt:i4>
      </vt:variant>
      <vt:variant>
        <vt:i4>5</vt:i4>
      </vt:variant>
      <vt:variant>
        <vt:lpwstr/>
      </vt:variant>
      <vt:variant>
        <vt:lpwstr>_Toc274299137</vt:lpwstr>
      </vt:variant>
      <vt:variant>
        <vt:i4>1572926</vt:i4>
      </vt:variant>
      <vt:variant>
        <vt:i4>173</vt:i4>
      </vt:variant>
      <vt:variant>
        <vt:i4>0</vt:i4>
      </vt:variant>
      <vt:variant>
        <vt:i4>5</vt:i4>
      </vt:variant>
      <vt:variant>
        <vt:lpwstr/>
      </vt:variant>
      <vt:variant>
        <vt:lpwstr>_Toc274299136</vt:lpwstr>
      </vt:variant>
      <vt:variant>
        <vt:i4>1572926</vt:i4>
      </vt:variant>
      <vt:variant>
        <vt:i4>167</vt:i4>
      </vt:variant>
      <vt:variant>
        <vt:i4>0</vt:i4>
      </vt:variant>
      <vt:variant>
        <vt:i4>5</vt:i4>
      </vt:variant>
      <vt:variant>
        <vt:lpwstr/>
      </vt:variant>
      <vt:variant>
        <vt:lpwstr>_Toc274299135</vt:lpwstr>
      </vt:variant>
      <vt:variant>
        <vt:i4>1572926</vt:i4>
      </vt:variant>
      <vt:variant>
        <vt:i4>161</vt:i4>
      </vt:variant>
      <vt:variant>
        <vt:i4>0</vt:i4>
      </vt:variant>
      <vt:variant>
        <vt:i4>5</vt:i4>
      </vt:variant>
      <vt:variant>
        <vt:lpwstr/>
      </vt:variant>
      <vt:variant>
        <vt:lpwstr>_Toc274299134</vt:lpwstr>
      </vt:variant>
      <vt:variant>
        <vt:i4>1572926</vt:i4>
      </vt:variant>
      <vt:variant>
        <vt:i4>155</vt:i4>
      </vt:variant>
      <vt:variant>
        <vt:i4>0</vt:i4>
      </vt:variant>
      <vt:variant>
        <vt:i4>5</vt:i4>
      </vt:variant>
      <vt:variant>
        <vt:lpwstr/>
      </vt:variant>
      <vt:variant>
        <vt:lpwstr>_Toc274299133</vt:lpwstr>
      </vt:variant>
      <vt:variant>
        <vt:i4>1572926</vt:i4>
      </vt:variant>
      <vt:variant>
        <vt:i4>149</vt:i4>
      </vt:variant>
      <vt:variant>
        <vt:i4>0</vt:i4>
      </vt:variant>
      <vt:variant>
        <vt:i4>5</vt:i4>
      </vt:variant>
      <vt:variant>
        <vt:lpwstr/>
      </vt:variant>
      <vt:variant>
        <vt:lpwstr>_Toc274299132</vt:lpwstr>
      </vt:variant>
      <vt:variant>
        <vt:i4>1572926</vt:i4>
      </vt:variant>
      <vt:variant>
        <vt:i4>143</vt:i4>
      </vt:variant>
      <vt:variant>
        <vt:i4>0</vt:i4>
      </vt:variant>
      <vt:variant>
        <vt:i4>5</vt:i4>
      </vt:variant>
      <vt:variant>
        <vt:lpwstr/>
      </vt:variant>
      <vt:variant>
        <vt:lpwstr>_Toc274299131</vt:lpwstr>
      </vt:variant>
      <vt:variant>
        <vt:i4>1572926</vt:i4>
      </vt:variant>
      <vt:variant>
        <vt:i4>137</vt:i4>
      </vt:variant>
      <vt:variant>
        <vt:i4>0</vt:i4>
      </vt:variant>
      <vt:variant>
        <vt:i4>5</vt:i4>
      </vt:variant>
      <vt:variant>
        <vt:lpwstr/>
      </vt:variant>
      <vt:variant>
        <vt:lpwstr>_Toc274299130</vt:lpwstr>
      </vt:variant>
      <vt:variant>
        <vt:i4>1638462</vt:i4>
      </vt:variant>
      <vt:variant>
        <vt:i4>131</vt:i4>
      </vt:variant>
      <vt:variant>
        <vt:i4>0</vt:i4>
      </vt:variant>
      <vt:variant>
        <vt:i4>5</vt:i4>
      </vt:variant>
      <vt:variant>
        <vt:lpwstr/>
      </vt:variant>
      <vt:variant>
        <vt:lpwstr>_Toc274299129</vt:lpwstr>
      </vt:variant>
      <vt:variant>
        <vt:i4>1638462</vt:i4>
      </vt:variant>
      <vt:variant>
        <vt:i4>125</vt:i4>
      </vt:variant>
      <vt:variant>
        <vt:i4>0</vt:i4>
      </vt:variant>
      <vt:variant>
        <vt:i4>5</vt:i4>
      </vt:variant>
      <vt:variant>
        <vt:lpwstr/>
      </vt:variant>
      <vt:variant>
        <vt:lpwstr>_Toc274299128</vt:lpwstr>
      </vt:variant>
      <vt:variant>
        <vt:i4>1638462</vt:i4>
      </vt:variant>
      <vt:variant>
        <vt:i4>119</vt:i4>
      </vt:variant>
      <vt:variant>
        <vt:i4>0</vt:i4>
      </vt:variant>
      <vt:variant>
        <vt:i4>5</vt:i4>
      </vt:variant>
      <vt:variant>
        <vt:lpwstr/>
      </vt:variant>
      <vt:variant>
        <vt:lpwstr>_Toc274299127</vt:lpwstr>
      </vt:variant>
      <vt:variant>
        <vt:i4>1638462</vt:i4>
      </vt:variant>
      <vt:variant>
        <vt:i4>113</vt:i4>
      </vt:variant>
      <vt:variant>
        <vt:i4>0</vt:i4>
      </vt:variant>
      <vt:variant>
        <vt:i4>5</vt:i4>
      </vt:variant>
      <vt:variant>
        <vt:lpwstr/>
      </vt:variant>
      <vt:variant>
        <vt:lpwstr>_Toc274299126</vt:lpwstr>
      </vt:variant>
      <vt:variant>
        <vt:i4>1638462</vt:i4>
      </vt:variant>
      <vt:variant>
        <vt:i4>107</vt:i4>
      </vt:variant>
      <vt:variant>
        <vt:i4>0</vt:i4>
      </vt:variant>
      <vt:variant>
        <vt:i4>5</vt:i4>
      </vt:variant>
      <vt:variant>
        <vt:lpwstr/>
      </vt:variant>
      <vt:variant>
        <vt:lpwstr>_Toc274299125</vt:lpwstr>
      </vt:variant>
      <vt:variant>
        <vt:i4>1638462</vt:i4>
      </vt:variant>
      <vt:variant>
        <vt:i4>101</vt:i4>
      </vt:variant>
      <vt:variant>
        <vt:i4>0</vt:i4>
      </vt:variant>
      <vt:variant>
        <vt:i4>5</vt:i4>
      </vt:variant>
      <vt:variant>
        <vt:lpwstr/>
      </vt:variant>
      <vt:variant>
        <vt:lpwstr>_Toc274299124</vt:lpwstr>
      </vt:variant>
      <vt:variant>
        <vt:i4>1638462</vt:i4>
      </vt:variant>
      <vt:variant>
        <vt:i4>95</vt:i4>
      </vt:variant>
      <vt:variant>
        <vt:i4>0</vt:i4>
      </vt:variant>
      <vt:variant>
        <vt:i4>5</vt:i4>
      </vt:variant>
      <vt:variant>
        <vt:lpwstr/>
      </vt:variant>
      <vt:variant>
        <vt:lpwstr>_Toc274299123</vt:lpwstr>
      </vt:variant>
      <vt:variant>
        <vt:i4>1638462</vt:i4>
      </vt:variant>
      <vt:variant>
        <vt:i4>89</vt:i4>
      </vt:variant>
      <vt:variant>
        <vt:i4>0</vt:i4>
      </vt:variant>
      <vt:variant>
        <vt:i4>5</vt:i4>
      </vt:variant>
      <vt:variant>
        <vt:lpwstr/>
      </vt:variant>
      <vt:variant>
        <vt:lpwstr>_Toc274299122</vt:lpwstr>
      </vt:variant>
      <vt:variant>
        <vt:i4>1638462</vt:i4>
      </vt:variant>
      <vt:variant>
        <vt:i4>83</vt:i4>
      </vt:variant>
      <vt:variant>
        <vt:i4>0</vt:i4>
      </vt:variant>
      <vt:variant>
        <vt:i4>5</vt:i4>
      </vt:variant>
      <vt:variant>
        <vt:lpwstr/>
      </vt:variant>
      <vt:variant>
        <vt:lpwstr>_Toc274299121</vt:lpwstr>
      </vt:variant>
      <vt:variant>
        <vt:i4>1638462</vt:i4>
      </vt:variant>
      <vt:variant>
        <vt:i4>77</vt:i4>
      </vt:variant>
      <vt:variant>
        <vt:i4>0</vt:i4>
      </vt:variant>
      <vt:variant>
        <vt:i4>5</vt:i4>
      </vt:variant>
      <vt:variant>
        <vt:lpwstr/>
      </vt:variant>
      <vt:variant>
        <vt:lpwstr>_Toc274299120</vt:lpwstr>
      </vt:variant>
      <vt:variant>
        <vt:i4>1703998</vt:i4>
      </vt:variant>
      <vt:variant>
        <vt:i4>71</vt:i4>
      </vt:variant>
      <vt:variant>
        <vt:i4>0</vt:i4>
      </vt:variant>
      <vt:variant>
        <vt:i4>5</vt:i4>
      </vt:variant>
      <vt:variant>
        <vt:lpwstr/>
      </vt:variant>
      <vt:variant>
        <vt:lpwstr>_Toc274299119</vt:lpwstr>
      </vt:variant>
      <vt:variant>
        <vt:i4>1703998</vt:i4>
      </vt:variant>
      <vt:variant>
        <vt:i4>65</vt:i4>
      </vt:variant>
      <vt:variant>
        <vt:i4>0</vt:i4>
      </vt:variant>
      <vt:variant>
        <vt:i4>5</vt:i4>
      </vt:variant>
      <vt:variant>
        <vt:lpwstr/>
      </vt:variant>
      <vt:variant>
        <vt:lpwstr>_Toc274299118</vt:lpwstr>
      </vt:variant>
      <vt:variant>
        <vt:i4>1703998</vt:i4>
      </vt:variant>
      <vt:variant>
        <vt:i4>59</vt:i4>
      </vt:variant>
      <vt:variant>
        <vt:i4>0</vt:i4>
      </vt:variant>
      <vt:variant>
        <vt:i4>5</vt:i4>
      </vt:variant>
      <vt:variant>
        <vt:lpwstr/>
      </vt:variant>
      <vt:variant>
        <vt:lpwstr>_Toc274299117</vt:lpwstr>
      </vt:variant>
      <vt:variant>
        <vt:i4>1703998</vt:i4>
      </vt:variant>
      <vt:variant>
        <vt:i4>53</vt:i4>
      </vt:variant>
      <vt:variant>
        <vt:i4>0</vt:i4>
      </vt:variant>
      <vt:variant>
        <vt:i4>5</vt:i4>
      </vt:variant>
      <vt:variant>
        <vt:lpwstr/>
      </vt:variant>
      <vt:variant>
        <vt:lpwstr>_Toc274299116</vt:lpwstr>
      </vt:variant>
      <vt:variant>
        <vt:i4>1703998</vt:i4>
      </vt:variant>
      <vt:variant>
        <vt:i4>47</vt:i4>
      </vt:variant>
      <vt:variant>
        <vt:i4>0</vt:i4>
      </vt:variant>
      <vt:variant>
        <vt:i4>5</vt:i4>
      </vt:variant>
      <vt:variant>
        <vt:lpwstr/>
      </vt:variant>
      <vt:variant>
        <vt:lpwstr>_Toc274299115</vt:lpwstr>
      </vt:variant>
      <vt:variant>
        <vt:i4>1703998</vt:i4>
      </vt:variant>
      <vt:variant>
        <vt:i4>41</vt:i4>
      </vt:variant>
      <vt:variant>
        <vt:i4>0</vt:i4>
      </vt:variant>
      <vt:variant>
        <vt:i4>5</vt:i4>
      </vt:variant>
      <vt:variant>
        <vt:lpwstr/>
      </vt:variant>
      <vt:variant>
        <vt:lpwstr>_Toc274299114</vt:lpwstr>
      </vt:variant>
      <vt:variant>
        <vt:i4>1703998</vt:i4>
      </vt:variant>
      <vt:variant>
        <vt:i4>35</vt:i4>
      </vt:variant>
      <vt:variant>
        <vt:i4>0</vt:i4>
      </vt:variant>
      <vt:variant>
        <vt:i4>5</vt:i4>
      </vt:variant>
      <vt:variant>
        <vt:lpwstr/>
      </vt:variant>
      <vt:variant>
        <vt:lpwstr>_Toc274299113</vt:lpwstr>
      </vt:variant>
      <vt:variant>
        <vt:i4>1703998</vt:i4>
      </vt:variant>
      <vt:variant>
        <vt:i4>29</vt:i4>
      </vt:variant>
      <vt:variant>
        <vt:i4>0</vt:i4>
      </vt:variant>
      <vt:variant>
        <vt:i4>5</vt:i4>
      </vt:variant>
      <vt:variant>
        <vt:lpwstr/>
      </vt:variant>
      <vt:variant>
        <vt:lpwstr>_Toc274299112</vt:lpwstr>
      </vt:variant>
      <vt:variant>
        <vt:i4>1703998</vt:i4>
      </vt:variant>
      <vt:variant>
        <vt:i4>23</vt:i4>
      </vt:variant>
      <vt:variant>
        <vt:i4>0</vt:i4>
      </vt:variant>
      <vt:variant>
        <vt:i4>5</vt:i4>
      </vt:variant>
      <vt:variant>
        <vt:lpwstr/>
      </vt:variant>
      <vt:variant>
        <vt:lpwstr>_Toc274299111</vt:lpwstr>
      </vt:variant>
      <vt:variant>
        <vt:i4>1703998</vt:i4>
      </vt:variant>
      <vt:variant>
        <vt:i4>17</vt:i4>
      </vt:variant>
      <vt:variant>
        <vt:i4>0</vt:i4>
      </vt:variant>
      <vt:variant>
        <vt:i4>5</vt:i4>
      </vt:variant>
      <vt:variant>
        <vt:lpwstr/>
      </vt:variant>
      <vt:variant>
        <vt:lpwstr>_Toc274299110</vt:lpwstr>
      </vt:variant>
      <vt:variant>
        <vt:i4>1769534</vt:i4>
      </vt:variant>
      <vt:variant>
        <vt:i4>11</vt:i4>
      </vt:variant>
      <vt:variant>
        <vt:i4>0</vt:i4>
      </vt:variant>
      <vt:variant>
        <vt:i4>5</vt:i4>
      </vt:variant>
      <vt:variant>
        <vt:lpwstr/>
      </vt:variant>
      <vt:variant>
        <vt:lpwstr>_Toc274299109</vt:lpwstr>
      </vt:variant>
      <vt:variant>
        <vt:i4>1769534</vt:i4>
      </vt:variant>
      <vt:variant>
        <vt:i4>5</vt:i4>
      </vt:variant>
      <vt:variant>
        <vt:i4>0</vt:i4>
      </vt:variant>
      <vt:variant>
        <vt:i4>5</vt:i4>
      </vt:variant>
      <vt:variant>
        <vt:lpwstr/>
      </vt:variant>
      <vt:variant>
        <vt:lpwstr>_Toc274299108</vt:lpwstr>
      </vt:variant>
      <vt:variant>
        <vt:i4>2555974</vt:i4>
      </vt:variant>
      <vt:variant>
        <vt:i4>-1</vt:i4>
      </vt:variant>
      <vt:variant>
        <vt:i4>1219</vt:i4>
      </vt:variant>
      <vt:variant>
        <vt:i4>1</vt:i4>
      </vt:variant>
      <vt:variant>
        <vt:lpwstr>N:\WES\NMMFA02\From NMMFA\VerticalImage_withTextSmalll.gif</vt:lpwstr>
      </vt:variant>
      <vt:variant>
        <vt:lpwstr/>
      </vt:variant>
      <vt:variant>
        <vt:i4>2555974</vt:i4>
      </vt:variant>
      <vt:variant>
        <vt:i4>-1</vt:i4>
      </vt:variant>
      <vt:variant>
        <vt:i4>1253</vt:i4>
      </vt:variant>
      <vt:variant>
        <vt:i4>1</vt:i4>
      </vt:variant>
      <vt:variant>
        <vt:lpwstr>N:\WES\NMMFA02\From NMMFA\VerticalImage_withTextSmalll.gif</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SUGGESTED CONSOLIDATED PLAN OUTLINE</dc:title>
  <dc:creator>Robert M. Gaudin</dc:creator>
  <cp:lastModifiedBy>Morris Madrid</cp:lastModifiedBy>
  <cp:revision>2</cp:revision>
  <cp:lastPrinted>2014-09-30T16:00:00Z</cp:lastPrinted>
  <dcterms:created xsi:type="dcterms:W3CDTF">2014-10-28T17:43:00Z</dcterms:created>
  <dcterms:modified xsi:type="dcterms:W3CDTF">2014-10-28T17:43:00Z</dcterms:modified>
</cp:coreProperties>
</file>