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396" w:rsidRDefault="0009762A" w:rsidP="006D3396">
      <w:r>
        <w:t>August 31, 20</w:t>
      </w:r>
      <w:r w:rsidRPr="0009762A">
        <w:rPr>
          <w:color w:val="C00000"/>
        </w:rPr>
        <w:t>XX</w:t>
      </w:r>
    </w:p>
    <w:p w:rsidR="006D3396" w:rsidRDefault="006D3396" w:rsidP="006D3396"/>
    <w:p w:rsidR="006D3396" w:rsidRDefault="006D3396" w:rsidP="006D3396"/>
    <w:p w:rsidR="006D3396" w:rsidRDefault="006D3396" w:rsidP="006D3396">
      <w:r>
        <w:t>State Controller</w:t>
      </w:r>
    </w:p>
    <w:p w:rsidR="006D3396" w:rsidRDefault="006D3396" w:rsidP="006D3396">
      <w:r>
        <w:t xml:space="preserve">State of </w:t>
      </w:r>
      <w:smartTag w:uri="urn:schemas-microsoft-com:office:smarttags" w:element="State">
        <w:smartTag w:uri="urn:schemas-microsoft-com:office:smarttags" w:element="place">
          <w:r>
            <w:t>New Mexico</w:t>
          </w:r>
        </w:smartTag>
      </w:smartTag>
    </w:p>
    <w:p w:rsidR="006D3396" w:rsidRDefault="006D3396" w:rsidP="006D3396">
      <w:r>
        <w:t>Department of Finance and Administration</w:t>
      </w:r>
    </w:p>
    <w:p w:rsidR="006D3396" w:rsidRDefault="006D3396" w:rsidP="006D3396">
      <w:r>
        <w:t>Financial Control Division</w:t>
      </w:r>
    </w:p>
    <w:p w:rsidR="006D3396" w:rsidRDefault="006D3396" w:rsidP="006D3396">
      <w:smartTag w:uri="urn:schemas-microsoft-com:office:smarttags" w:element="Street">
        <w:smartTag w:uri="urn:schemas-microsoft-com:office:smarttags" w:element="address">
          <w:r>
            <w:t>407 Galisteo Street</w:t>
          </w:r>
        </w:smartTag>
      </w:smartTag>
    </w:p>
    <w:p w:rsidR="006D3396" w:rsidRDefault="006D3396" w:rsidP="006D3396">
      <w:smartTag w:uri="urn:schemas-microsoft-com:office:smarttags" w:element="place">
        <w:smartTag w:uri="urn:schemas-microsoft-com:office:smarttags" w:element="PlaceName">
          <w:r>
            <w:t>Bataan</w:t>
          </w:r>
        </w:smartTag>
        <w:r>
          <w:t xml:space="preserve"> </w:t>
        </w:r>
        <w:smartTag w:uri="urn:schemas-microsoft-com:office:smarttags" w:element="PlaceName">
          <w:r>
            <w:t>Memorial</w:t>
          </w:r>
        </w:smartTag>
        <w:r>
          <w:t xml:space="preserve"> </w:t>
        </w:r>
        <w:smartTag w:uri="urn:schemas-microsoft-com:office:smarttags" w:element="PlaceType">
          <w:r>
            <w:t>Building</w:t>
          </w:r>
        </w:smartTag>
      </w:smartTag>
      <w:r>
        <w:t>, Room 166</w:t>
      </w:r>
    </w:p>
    <w:p w:rsidR="006D3396" w:rsidRDefault="006D3396" w:rsidP="006D3396">
      <w:smartTag w:uri="urn:schemas-microsoft-com:office:smarttags" w:element="place">
        <w:smartTag w:uri="urn:schemas-microsoft-com:office:smarttags" w:element="City">
          <w:r>
            <w:t>Santa Fe</w:t>
          </w:r>
        </w:smartTag>
        <w:r>
          <w:t xml:space="preserve">, </w:t>
        </w:r>
        <w:smartTag w:uri="urn:schemas-microsoft-com:office:smarttags" w:element="State">
          <w:r>
            <w:t>NM</w:t>
          </w:r>
        </w:smartTag>
        <w:r>
          <w:t xml:space="preserve"> </w:t>
        </w:r>
        <w:smartTag w:uri="urn:schemas-microsoft-com:office:smarttags" w:element="PostalCode">
          <w:r>
            <w:t>87501</w:t>
          </w:r>
        </w:smartTag>
      </w:smartTag>
    </w:p>
    <w:p w:rsidR="006D3396" w:rsidRDefault="006D3396" w:rsidP="006D3396"/>
    <w:p w:rsidR="006D3396" w:rsidRDefault="006D3396" w:rsidP="006D3396">
      <w:r>
        <w:t>Re:</w:t>
      </w:r>
      <w:r>
        <w:tab/>
        <w:t xml:space="preserve">Agency </w:t>
      </w:r>
      <w:r w:rsidR="0009762A">
        <w:rPr>
          <w:color w:val="C00000"/>
        </w:rPr>
        <w:t>XXXXX</w:t>
      </w:r>
    </w:p>
    <w:p w:rsidR="006D3396" w:rsidRDefault="0009762A" w:rsidP="006D3396">
      <w:r>
        <w:tab/>
        <w:t>Fiscal Year 20</w:t>
      </w:r>
      <w:r w:rsidRPr="0009762A">
        <w:rPr>
          <w:color w:val="C00000"/>
        </w:rPr>
        <w:t>XX</w:t>
      </w:r>
    </w:p>
    <w:p w:rsidR="006D3396" w:rsidRDefault="006D3396" w:rsidP="006D3396"/>
    <w:p w:rsidR="006D3396" w:rsidRPr="00F969CF" w:rsidRDefault="00C558C9" w:rsidP="006D3396">
      <w:pPr>
        <w:rPr>
          <w:sz w:val="22"/>
          <w:szCs w:val="22"/>
        </w:rPr>
      </w:pPr>
      <w:r>
        <w:rPr>
          <w:sz w:val="22"/>
          <w:szCs w:val="22"/>
        </w:rPr>
        <w:t>Dear State Controller</w:t>
      </w:r>
      <w:bookmarkStart w:id="0" w:name="_GoBack"/>
      <w:bookmarkEnd w:id="0"/>
      <w:r w:rsidR="006D3396" w:rsidRPr="00F969CF">
        <w:rPr>
          <w:sz w:val="22"/>
          <w:szCs w:val="22"/>
        </w:rPr>
        <w:t>:</w:t>
      </w:r>
    </w:p>
    <w:p w:rsidR="006D3396" w:rsidRPr="00F969CF" w:rsidRDefault="006D3396" w:rsidP="006D3396">
      <w:pPr>
        <w:rPr>
          <w:sz w:val="22"/>
          <w:szCs w:val="22"/>
        </w:rPr>
      </w:pPr>
    </w:p>
    <w:p w:rsidR="006D3396" w:rsidRPr="00F969CF" w:rsidRDefault="006D3396" w:rsidP="00B253DA">
      <w:pPr>
        <w:jc w:val="both"/>
        <w:rPr>
          <w:sz w:val="22"/>
          <w:szCs w:val="22"/>
        </w:rPr>
      </w:pPr>
      <w:r w:rsidRPr="00F969CF">
        <w:rPr>
          <w:sz w:val="22"/>
          <w:szCs w:val="22"/>
        </w:rPr>
        <w:t xml:space="preserve">We confirm that we are responsible for conforming to U.S. generally accepted accounting principles. We are also responsible for adopting sound accounting policies, establishing and maintaining effective internal control, and preventing and detecting fraud. </w:t>
      </w:r>
    </w:p>
    <w:p w:rsidR="006D3396" w:rsidRPr="00F969CF" w:rsidRDefault="006D3396" w:rsidP="00B253DA">
      <w:pPr>
        <w:jc w:val="both"/>
        <w:rPr>
          <w:sz w:val="22"/>
          <w:szCs w:val="22"/>
        </w:rPr>
      </w:pPr>
    </w:p>
    <w:p w:rsidR="006D3396" w:rsidRPr="00F969CF" w:rsidRDefault="006D3396" w:rsidP="00B253DA">
      <w:pPr>
        <w:jc w:val="both"/>
        <w:rPr>
          <w:sz w:val="22"/>
          <w:szCs w:val="22"/>
        </w:rPr>
      </w:pPr>
      <w:r w:rsidRPr="00F969CF">
        <w:rPr>
          <w:sz w:val="22"/>
          <w:szCs w:val="22"/>
        </w:rPr>
        <w:t>We confirm, to the best of our knowledg</w:t>
      </w:r>
      <w:r w:rsidR="0009762A">
        <w:rPr>
          <w:sz w:val="22"/>
          <w:szCs w:val="22"/>
        </w:rPr>
        <w:t>e and belief as of June 30, 20</w:t>
      </w:r>
      <w:r w:rsidR="0009762A" w:rsidRPr="0009762A">
        <w:rPr>
          <w:color w:val="C00000"/>
          <w:sz w:val="22"/>
          <w:szCs w:val="22"/>
        </w:rPr>
        <w:t>XX</w:t>
      </w:r>
      <w:r w:rsidRPr="00F969CF">
        <w:rPr>
          <w:sz w:val="22"/>
          <w:szCs w:val="22"/>
        </w:rPr>
        <w:t>, the following:</w:t>
      </w:r>
    </w:p>
    <w:p w:rsidR="006D3396" w:rsidRPr="00F969CF" w:rsidRDefault="006D3396" w:rsidP="00B253DA">
      <w:pPr>
        <w:jc w:val="both"/>
        <w:rPr>
          <w:sz w:val="22"/>
          <w:szCs w:val="22"/>
        </w:rPr>
      </w:pPr>
    </w:p>
    <w:p w:rsidR="006D3396" w:rsidRPr="00F969CF" w:rsidRDefault="006D3396" w:rsidP="00B253DA">
      <w:pPr>
        <w:numPr>
          <w:ilvl w:val="0"/>
          <w:numId w:val="1"/>
        </w:numPr>
        <w:jc w:val="both"/>
        <w:rPr>
          <w:sz w:val="22"/>
          <w:szCs w:val="22"/>
        </w:rPr>
      </w:pPr>
      <w:r w:rsidRPr="00F969CF">
        <w:rPr>
          <w:sz w:val="22"/>
          <w:szCs w:val="22"/>
        </w:rPr>
        <w:t>All transactions for our agency have been properly recorded in SHARE in conformity with U.S. generally accepted accounting principles.</w:t>
      </w:r>
    </w:p>
    <w:p w:rsidR="006D3396" w:rsidRPr="00F969CF" w:rsidRDefault="006D3396" w:rsidP="00B253DA">
      <w:pPr>
        <w:ind w:left="720"/>
        <w:jc w:val="both"/>
        <w:rPr>
          <w:sz w:val="22"/>
          <w:szCs w:val="22"/>
        </w:rPr>
      </w:pPr>
    </w:p>
    <w:p w:rsidR="006D3396" w:rsidRPr="00F969CF" w:rsidRDefault="006D3396" w:rsidP="00B253DA">
      <w:pPr>
        <w:numPr>
          <w:ilvl w:val="0"/>
          <w:numId w:val="1"/>
        </w:numPr>
        <w:jc w:val="both"/>
        <w:rPr>
          <w:sz w:val="22"/>
          <w:szCs w:val="22"/>
        </w:rPr>
      </w:pPr>
      <w:r w:rsidRPr="00F969CF">
        <w:rPr>
          <w:sz w:val="22"/>
          <w:szCs w:val="22"/>
        </w:rPr>
        <w:t xml:space="preserve">The financial transactions recorded in SHARE accurately reflect the results of our operations for the accounting period.  </w:t>
      </w:r>
    </w:p>
    <w:p w:rsidR="006D3396" w:rsidRPr="00F969CF" w:rsidRDefault="006D3396" w:rsidP="00B253DA">
      <w:pPr>
        <w:ind w:left="720"/>
        <w:jc w:val="both"/>
        <w:rPr>
          <w:sz w:val="22"/>
          <w:szCs w:val="22"/>
        </w:rPr>
      </w:pPr>
    </w:p>
    <w:p w:rsidR="006D3396" w:rsidRPr="00F969CF" w:rsidRDefault="006D3396" w:rsidP="00B253DA">
      <w:pPr>
        <w:numPr>
          <w:ilvl w:val="0"/>
          <w:numId w:val="1"/>
        </w:numPr>
        <w:jc w:val="both"/>
        <w:rPr>
          <w:sz w:val="22"/>
          <w:szCs w:val="22"/>
        </w:rPr>
      </w:pPr>
      <w:r w:rsidRPr="00F969CF">
        <w:rPr>
          <w:sz w:val="22"/>
          <w:szCs w:val="22"/>
        </w:rPr>
        <w:t>All revenue has been properly recognized and classified in SHARE in conformity with U.S. generally accepted accounting principles.</w:t>
      </w:r>
    </w:p>
    <w:p w:rsidR="006D3396" w:rsidRPr="00F969CF" w:rsidRDefault="006D3396" w:rsidP="00B253DA">
      <w:pPr>
        <w:jc w:val="both"/>
        <w:rPr>
          <w:sz w:val="22"/>
          <w:szCs w:val="22"/>
        </w:rPr>
      </w:pPr>
    </w:p>
    <w:p w:rsidR="006D3396" w:rsidRPr="00F969CF" w:rsidRDefault="006D3396" w:rsidP="00B253DA">
      <w:pPr>
        <w:numPr>
          <w:ilvl w:val="0"/>
          <w:numId w:val="1"/>
        </w:numPr>
        <w:jc w:val="both"/>
        <w:rPr>
          <w:sz w:val="22"/>
          <w:szCs w:val="22"/>
        </w:rPr>
      </w:pPr>
      <w:r w:rsidRPr="00F969CF">
        <w:rPr>
          <w:sz w:val="22"/>
          <w:szCs w:val="22"/>
        </w:rPr>
        <w:t xml:space="preserve">Expenses have been properly recorded and classified in SHARE in conformity with U.S. generally accepted accounting principles. </w:t>
      </w:r>
    </w:p>
    <w:p w:rsidR="006D3396" w:rsidRPr="00F969CF" w:rsidRDefault="006D3396" w:rsidP="00B253DA">
      <w:pPr>
        <w:jc w:val="both"/>
        <w:rPr>
          <w:sz w:val="22"/>
          <w:szCs w:val="22"/>
        </w:rPr>
      </w:pPr>
    </w:p>
    <w:p w:rsidR="006D3396" w:rsidRPr="00F969CF" w:rsidRDefault="006D3396" w:rsidP="00B253DA">
      <w:pPr>
        <w:numPr>
          <w:ilvl w:val="0"/>
          <w:numId w:val="1"/>
        </w:numPr>
        <w:jc w:val="both"/>
        <w:rPr>
          <w:sz w:val="22"/>
          <w:szCs w:val="22"/>
        </w:rPr>
      </w:pPr>
      <w:r w:rsidRPr="00F969CF">
        <w:rPr>
          <w:sz w:val="22"/>
          <w:szCs w:val="22"/>
        </w:rPr>
        <w:t xml:space="preserve">We have no plans or intentions that would materially affect the carrying value or classification of assets, liabilities or fund equity. </w:t>
      </w:r>
    </w:p>
    <w:p w:rsidR="006D3396" w:rsidRPr="00F969CF" w:rsidRDefault="006D3396" w:rsidP="00B253DA">
      <w:pPr>
        <w:jc w:val="both"/>
        <w:rPr>
          <w:sz w:val="22"/>
          <w:szCs w:val="22"/>
        </w:rPr>
      </w:pPr>
    </w:p>
    <w:p w:rsidR="006D3396" w:rsidRPr="00F969CF" w:rsidRDefault="006D3396" w:rsidP="00B253DA">
      <w:pPr>
        <w:numPr>
          <w:ilvl w:val="0"/>
          <w:numId w:val="1"/>
        </w:numPr>
        <w:jc w:val="both"/>
        <w:rPr>
          <w:sz w:val="22"/>
          <w:szCs w:val="22"/>
        </w:rPr>
      </w:pPr>
      <w:r w:rsidRPr="00F969CF">
        <w:rPr>
          <w:sz w:val="22"/>
          <w:szCs w:val="22"/>
        </w:rPr>
        <w:t xml:space="preserve">Provisions for uncollectible receivables have been properly identified and recorded. </w:t>
      </w:r>
    </w:p>
    <w:p w:rsidR="006D3396" w:rsidRPr="00F969CF" w:rsidRDefault="006D3396" w:rsidP="00B253DA">
      <w:pPr>
        <w:jc w:val="both"/>
        <w:rPr>
          <w:sz w:val="22"/>
          <w:szCs w:val="22"/>
        </w:rPr>
      </w:pPr>
    </w:p>
    <w:p w:rsidR="006D3396" w:rsidRPr="00F969CF" w:rsidRDefault="006D3396" w:rsidP="00B253DA">
      <w:pPr>
        <w:numPr>
          <w:ilvl w:val="0"/>
          <w:numId w:val="1"/>
        </w:numPr>
        <w:jc w:val="both"/>
        <w:rPr>
          <w:sz w:val="22"/>
          <w:szCs w:val="22"/>
        </w:rPr>
      </w:pPr>
      <w:r w:rsidRPr="00F969CF">
        <w:rPr>
          <w:sz w:val="22"/>
          <w:szCs w:val="22"/>
        </w:rPr>
        <w:t xml:space="preserve">All non-timing difference reconciling items for our agency identified by the FCD Cash Control Bureau or the State Treasurer’s Office have been cleared with the following exceptions: </w:t>
      </w:r>
    </w:p>
    <w:p w:rsidR="006D3396" w:rsidRPr="00F969CF" w:rsidRDefault="006D3396" w:rsidP="00B253DA">
      <w:pPr>
        <w:jc w:val="both"/>
        <w:rPr>
          <w:sz w:val="22"/>
          <w:szCs w:val="22"/>
        </w:rPr>
      </w:pPr>
    </w:p>
    <w:p w:rsidR="006D3396" w:rsidRPr="00F969CF" w:rsidRDefault="006D3396" w:rsidP="00B253DA">
      <w:pPr>
        <w:numPr>
          <w:ilvl w:val="0"/>
          <w:numId w:val="1"/>
        </w:numPr>
        <w:jc w:val="both"/>
        <w:rPr>
          <w:sz w:val="22"/>
          <w:szCs w:val="22"/>
        </w:rPr>
      </w:pPr>
      <w:r w:rsidRPr="00F969CF">
        <w:rPr>
          <w:sz w:val="22"/>
          <w:szCs w:val="22"/>
        </w:rPr>
        <w:t>Interfund, internal, and intra-entity activity and balances have been appropriately recorded, classified and reported.</w:t>
      </w:r>
    </w:p>
    <w:p w:rsidR="006D3396" w:rsidRPr="00F969CF" w:rsidRDefault="006D3396" w:rsidP="00B253DA">
      <w:pPr>
        <w:numPr>
          <w:ilvl w:val="0"/>
          <w:numId w:val="1"/>
        </w:numPr>
        <w:jc w:val="both"/>
        <w:rPr>
          <w:sz w:val="22"/>
          <w:szCs w:val="22"/>
        </w:rPr>
      </w:pPr>
      <w:r w:rsidRPr="00F969CF">
        <w:rPr>
          <w:sz w:val="22"/>
          <w:szCs w:val="22"/>
        </w:rPr>
        <w:lastRenderedPageBreak/>
        <w:t>Capital assets, including infrastructure and intangible assets, are properly capitalized, reported, and, if applicable depreciated.</w:t>
      </w:r>
    </w:p>
    <w:p w:rsidR="006D3396" w:rsidRPr="00F969CF" w:rsidRDefault="006D3396" w:rsidP="00B253DA">
      <w:pPr>
        <w:pStyle w:val="ListParagraph"/>
        <w:jc w:val="both"/>
        <w:rPr>
          <w:sz w:val="22"/>
          <w:szCs w:val="22"/>
        </w:rPr>
      </w:pPr>
    </w:p>
    <w:p w:rsidR="006D3396" w:rsidRPr="00F969CF" w:rsidRDefault="006D3396" w:rsidP="00B253DA">
      <w:pPr>
        <w:numPr>
          <w:ilvl w:val="0"/>
          <w:numId w:val="1"/>
        </w:numPr>
        <w:jc w:val="both"/>
        <w:rPr>
          <w:sz w:val="22"/>
          <w:szCs w:val="22"/>
        </w:rPr>
      </w:pPr>
      <w:r w:rsidRPr="00F969CF">
        <w:rPr>
          <w:sz w:val="22"/>
          <w:szCs w:val="22"/>
        </w:rPr>
        <w:t xml:space="preserve">We have properly classified all funds and activities with the following exceptions: </w:t>
      </w:r>
    </w:p>
    <w:p w:rsidR="006D3396" w:rsidRPr="00F969CF" w:rsidRDefault="006D3396" w:rsidP="00B253DA">
      <w:pPr>
        <w:jc w:val="both"/>
        <w:rPr>
          <w:sz w:val="22"/>
          <w:szCs w:val="22"/>
        </w:rPr>
      </w:pPr>
    </w:p>
    <w:p w:rsidR="006D3396" w:rsidRPr="00F969CF" w:rsidRDefault="006D3396" w:rsidP="00B253DA">
      <w:pPr>
        <w:numPr>
          <w:ilvl w:val="0"/>
          <w:numId w:val="1"/>
        </w:numPr>
        <w:jc w:val="both"/>
        <w:rPr>
          <w:sz w:val="22"/>
          <w:szCs w:val="22"/>
        </w:rPr>
      </w:pPr>
      <w:r w:rsidRPr="00F969CF">
        <w:rPr>
          <w:sz w:val="22"/>
          <w:szCs w:val="22"/>
        </w:rPr>
        <w:t xml:space="preserve">All material transactions have been properly recorded in our accounting records contained within SHARE with the following exceptions: </w:t>
      </w:r>
    </w:p>
    <w:p w:rsidR="006D3396" w:rsidRPr="00F969CF" w:rsidRDefault="006D3396" w:rsidP="00B253DA">
      <w:pPr>
        <w:pStyle w:val="ListParagraph"/>
        <w:jc w:val="both"/>
        <w:rPr>
          <w:sz w:val="22"/>
          <w:szCs w:val="22"/>
        </w:rPr>
      </w:pPr>
    </w:p>
    <w:p w:rsidR="006D3396" w:rsidRPr="00F969CF" w:rsidRDefault="006D3396" w:rsidP="00B253DA">
      <w:pPr>
        <w:numPr>
          <w:ilvl w:val="0"/>
          <w:numId w:val="1"/>
        </w:numPr>
        <w:jc w:val="both"/>
        <w:rPr>
          <w:sz w:val="22"/>
          <w:szCs w:val="22"/>
        </w:rPr>
      </w:pPr>
      <w:r w:rsidRPr="00F969CF">
        <w:rPr>
          <w:sz w:val="22"/>
          <w:szCs w:val="22"/>
        </w:rPr>
        <w:t xml:space="preserve">We have included the schedule of deliverables and agreed to milestones as required in Subsection A (1) 2.2.2.12 NMAC. As required, if we become aware of any changes to the schedule of audit deliverables and milestones we will immediately notify FCD in writing. </w:t>
      </w:r>
    </w:p>
    <w:p w:rsidR="006D3396" w:rsidRPr="00F969CF" w:rsidRDefault="006D3396" w:rsidP="00B253DA">
      <w:pPr>
        <w:pStyle w:val="ListParagraph"/>
        <w:jc w:val="both"/>
        <w:rPr>
          <w:sz w:val="22"/>
          <w:szCs w:val="22"/>
        </w:rPr>
      </w:pPr>
    </w:p>
    <w:p w:rsidR="006D3396" w:rsidRPr="00F969CF" w:rsidRDefault="006D3396" w:rsidP="00B253DA">
      <w:pPr>
        <w:numPr>
          <w:ilvl w:val="0"/>
          <w:numId w:val="1"/>
        </w:numPr>
        <w:jc w:val="both"/>
        <w:rPr>
          <w:sz w:val="22"/>
          <w:szCs w:val="22"/>
        </w:rPr>
      </w:pPr>
      <w:r w:rsidRPr="00F969CF">
        <w:rPr>
          <w:sz w:val="22"/>
          <w:szCs w:val="22"/>
        </w:rPr>
        <w:t>We certify that our general ledger in SHARE accurately reflects our agency’s activity for th</w:t>
      </w:r>
      <w:r w:rsidR="0009762A">
        <w:rPr>
          <w:sz w:val="22"/>
          <w:szCs w:val="22"/>
        </w:rPr>
        <w:t>e fiscal year ended June 30, 20</w:t>
      </w:r>
      <w:r w:rsidR="0009762A" w:rsidRPr="0009762A">
        <w:rPr>
          <w:color w:val="C00000"/>
          <w:sz w:val="22"/>
          <w:szCs w:val="22"/>
        </w:rPr>
        <w:t>XX</w:t>
      </w:r>
      <w:r w:rsidRPr="00F969CF">
        <w:rPr>
          <w:sz w:val="22"/>
          <w:szCs w:val="22"/>
        </w:rPr>
        <w:t xml:space="preserve"> and we are ready for the year-end audit by our selected Independent Public Accountants.  </w:t>
      </w:r>
    </w:p>
    <w:p w:rsidR="006D3396" w:rsidRPr="00F969CF" w:rsidRDefault="006D3396" w:rsidP="00B253DA">
      <w:pPr>
        <w:pStyle w:val="ListParagraph"/>
        <w:jc w:val="both"/>
        <w:rPr>
          <w:sz w:val="22"/>
          <w:szCs w:val="22"/>
        </w:rPr>
      </w:pPr>
    </w:p>
    <w:p w:rsidR="006D3396" w:rsidRPr="00952924" w:rsidRDefault="00952924" w:rsidP="00B253DA">
      <w:pPr>
        <w:numPr>
          <w:ilvl w:val="0"/>
          <w:numId w:val="1"/>
        </w:numPr>
        <w:jc w:val="both"/>
      </w:pPr>
      <w:r w:rsidRPr="00952924">
        <w:t xml:space="preserve">Our auditor has agreed with the dates in the schedule of deliverables and milestones and received our certification that our books are ready for the year-end audit as evidenced by their signature below. </w:t>
      </w:r>
    </w:p>
    <w:p w:rsidR="006D3396" w:rsidRDefault="006D3396" w:rsidP="00B253DA">
      <w:pPr>
        <w:jc w:val="both"/>
      </w:pPr>
    </w:p>
    <w:p w:rsidR="006D3396" w:rsidRPr="00C2605D" w:rsidRDefault="006D3396" w:rsidP="006D3396"/>
    <w:p w:rsidR="006D3396" w:rsidRDefault="006D3396" w:rsidP="006D3396">
      <w:pPr>
        <w:tabs>
          <w:tab w:val="left" w:pos="1080"/>
          <w:tab w:val="left" w:pos="4479"/>
        </w:tabs>
        <w:ind w:right="4881"/>
        <w:rPr>
          <w:u w:val="single"/>
        </w:rPr>
      </w:pPr>
      <w:r w:rsidRPr="00C2605D">
        <w:t>Signature</w:t>
      </w:r>
      <w:r>
        <w:tab/>
      </w:r>
      <w:r w:rsidRPr="00C2605D">
        <w:rPr>
          <w:u w:val="single"/>
        </w:rPr>
        <w:tab/>
      </w:r>
    </w:p>
    <w:p w:rsidR="006D3396" w:rsidRDefault="006D3396" w:rsidP="006D3396">
      <w:pPr>
        <w:tabs>
          <w:tab w:val="left" w:pos="1080"/>
          <w:tab w:val="left" w:pos="4479"/>
        </w:tabs>
        <w:ind w:right="4881"/>
      </w:pPr>
      <w:r w:rsidRPr="00C2605D">
        <w:tab/>
      </w:r>
    </w:p>
    <w:p w:rsidR="006D3396" w:rsidRPr="00C2605D" w:rsidRDefault="006D3396" w:rsidP="006D3396">
      <w:pPr>
        <w:tabs>
          <w:tab w:val="left" w:pos="1080"/>
          <w:tab w:val="left" w:pos="4479"/>
        </w:tabs>
        <w:ind w:right="4881"/>
      </w:pPr>
      <w:r>
        <w:tab/>
      </w:r>
      <w:r w:rsidRPr="00C2605D">
        <w:t>__</w:t>
      </w:r>
      <w:r>
        <w:t>___</w:t>
      </w:r>
      <w:r w:rsidRPr="00C2605D">
        <w:t>_________________</w:t>
      </w:r>
      <w:r>
        <w:t>____</w:t>
      </w:r>
      <w:r w:rsidRPr="00C2605D">
        <w:t>__</w:t>
      </w:r>
    </w:p>
    <w:p w:rsidR="006D3396" w:rsidRPr="00C2605D" w:rsidRDefault="006D3396" w:rsidP="006D3396">
      <w:pPr>
        <w:tabs>
          <w:tab w:val="left" w:pos="1080"/>
          <w:tab w:val="left" w:pos="4479"/>
        </w:tabs>
        <w:ind w:left="720" w:right="4881" w:firstLine="720"/>
      </w:pPr>
      <w:r>
        <w:t xml:space="preserve">           </w:t>
      </w:r>
      <w:r w:rsidRPr="00C2605D">
        <w:t>Agency CFO</w:t>
      </w:r>
    </w:p>
    <w:p w:rsidR="006D3396" w:rsidRPr="00C2605D" w:rsidRDefault="006D3396" w:rsidP="006D3396">
      <w:pPr>
        <w:tabs>
          <w:tab w:val="left" w:pos="1080"/>
          <w:tab w:val="left" w:pos="4479"/>
        </w:tabs>
        <w:ind w:left="720" w:right="4881" w:firstLine="720"/>
      </w:pPr>
    </w:p>
    <w:p w:rsidR="006D3396" w:rsidRDefault="006D3396" w:rsidP="006D3396">
      <w:pPr>
        <w:tabs>
          <w:tab w:val="left" w:pos="1080"/>
          <w:tab w:val="left" w:pos="4479"/>
        </w:tabs>
        <w:ind w:right="4881"/>
      </w:pPr>
      <w:r w:rsidRPr="00C2605D">
        <w:t>Date</w:t>
      </w:r>
      <w:r>
        <w:tab/>
      </w:r>
      <w:r w:rsidRPr="00C2605D">
        <w:t>________________________</w:t>
      </w:r>
      <w:r>
        <w:t>___</w:t>
      </w:r>
      <w:r w:rsidRPr="00C2605D">
        <w:t xml:space="preserve">_    </w:t>
      </w:r>
    </w:p>
    <w:p w:rsidR="006D3396" w:rsidRDefault="006D3396" w:rsidP="006D3396">
      <w:pPr>
        <w:tabs>
          <w:tab w:val="left" w:pos="1080"/>
          <w:tab w:val="left" w:pos="4479"/>
        </w:tabs>
        <w:ind w:left="720" w:right="4881" w:firstLine="720"/>
      </w:pPr>
    </w:p>
    <w:p w:rsidR="006D3396" w:rsidRDefault="006D3396" w:rsidP="006D3396">
      <w:pPr>
        <w:tabs>
          <w:tab w:val="left" w:pos="1080"/>
          <w:tab w:val="left" w:pos="4479"/>
        </w:tabs>
        <w:ind w:left="720" w:right="4881" w:firstLine="720"/>
      </w:pPr>
    </w:p>
    <w:p w:rsidR="00D938DB" w:rsidRDefault="00D938DB" w:rsidP="00D938DB">
      <w:pPr>
        <w:rPr>
          <w:sz w:val="22"/>
          <w:szCs w:val="22"/>
        </w:rPr>
      </w:pPr>
    </w:p>
    <w:p w:rsidR="00D938DB" w:rsidRPr="00F969CF" w:rsidRDefault="00D938DB" w:rsidP="00B253DA">
      <w:pPr>
        <w:jc w:val="both"/>
        <w:rPr>
          <w:sz w:val="22"/>
          <w:szCs w:val="22"/>
        </w:rPr>
      </w:pPr>
      <w:r w:rsidRPr="00F969CF">
        <w:rPr>
          <w:sz w:val="22"/>
          <w:szCs w:val="22"/>
        </w:rPr>
        <w:t>The Independent Public Auditor is not certifying to any representations made within this management r</w:t>
      </w:r>
      <w:r>
        <w:rPr>
          <w:sz w:val="22"/>
          <w:szCs w:val="22"/>
        </w:rPr>
        <w:t xml:space="preserve">epresentation letter EXCEPT FOR </w:t>
      </w:r>
      <w:r w:rsidR="002F0FC4">
        <w:rPr>
          <w:sz w:val="22"/>
          <w:szCs w:val="22"/>
        </w:rPr>
        <w:t xml:space="preserve">ACKNOWLEDGING </w:t>
      </w:r>
      <w:r>
        <w:rPr>
          <w:sz w:val="22"/>
          <w:szCs w:val="22"/>
        </w:rPr>
        <w:t>SCHEDULE AND DELIVE</w:t>
      </w:r>
      <w:r w:rsidR="001811F7">
        <w:rPr>
          <w:sz w:val="22"/>
          <w:szCs w:val="22"/>
        </w:rPr>
        <w:t>R</w:t>
      </w:r>
      <w:r>
        <w:rPr>
          <w:sz w:val="22"/>
          <w:szCs w:val="22"/>
        </w:rPr>
        <w:t>Y DATES IN ITEM 14</w:t>
      </w:r>
      <w:r w:rsidRPr="00F969CF">
        <w:rPr>
          <w:sz w:val="22"/>
          <w:szCs w:val="22"/>
        </w:rPr>
        <w:t xml:space="preserve">.  </w:t>
      </w:r>
    </w:p>
    <w:p w:rsidR="00D938DB" w:rsidRDefault="00D938DB" w:rsidP="006D3396">
      <w:pPr>
        <w:tabs>
          <w:tab w:val="left" w:pos="1080"/>
          <w:tab w:val="left" w:pos="4479"/>
        </w:tabs>
        <w:ind w:left="720" w:right="4881" w:firstLine="720"/>
      </w:pPr>
    </w:p>
    <w:p w:rsidR="006D3396" w:rsidRPr="00C2605D" w:rsidRDefault="006D3396" w:rsidP="006D3396">
      <w:pPr>
        <w:tabs>
          <w:tab w:val="left" w:pos="1080"/>
          <w:tab w:val="left" w:pos="4479"/>
        </w:tabs>
        <w:ind w:left="720" w:right="4881" w:firstLine="720"/>
      </w:pPr>
    </w:p>
    <w:p w:rsidR="006D3396" w:rsidRDefault="006D3396" w:rsidP="006D3396">
      <w:pPr>
        <w:tabs>
          <w:tab w:val="left" w:pos="1080"/>
          <w:tab w:val="left" w:pos="4479"/>
        </w:tabs>
        <w:ind w:right="4881"/>
        <w:rPr>
          <w:u w:val="single"/>
        </w:rPr>
      </w:pPr>
      <w:r w:rsidRPr="00C2605D">
        <w:t>Signature</w:t>
      </w:r>
      <w:r>
        <w:tab/>
      </w:r>
      <w:r w:rsidRPr="00C2605D">
        <w:rPr>
          <w:u w:val="single"/>
        </w:rPr>
        <w:tab/>
      </w:r>
    </w:p>
    <w:p w:rsidR="006D3396" w:rsidRPr="00C2605D" w:rsidRDefault="006D3396" w:rsidP="006D3396">
      <w:pPr>
        <w:tabs>
          <w:tab w:val="left" w:pos="1080"/>
          <w:tab w:val="left" w:pos="4479"/>
        </w:tabs>
        <w:ind w:right="4881"/>
      </w:pPr>
      <w:r w:rsidRPr="00C2605D">
        <w:tab/>
      </w:r>
    </w:p>
    <w:p w:rsidR="006D3396" w:rsidRDefault="006D3396" w:rsidP="006D3396">
      <w:pPr>
        <w:tabs>
          <w:tab w:val="left" w:pos="1080"/>
          <w:tab w:val="left" w:pos="4479"/>
        </w:tabs>
        <w:ind w:right="4881"/>
      </w:pPr>
      <w:r w:rsidRPr="00C2605D">
        <w:t>Date</w:t>
      </w:r>
      <w:r>
        <w:tab/>
      </w:r>
      <w:r w:rsidRPr="00C2605D">
        <w:t>________________________</w:t>
      </w:r>
      <w:r>
        <w:t>___</w:t>
      </w:r>
      <w:r w:rsidRPr="00C2605D">
        <w:t xml:space="preserve">_    </w:t>
      </w:r>
    </w:p>
    <w:p w:rsidR="006D3396" w:rsidRDefault="006D3396" w:rsidP="006D3396">
      <w:pPr>
        <w:tabs>
          <w:tab w:val="left" w:pos="1080"/>
          <w:tab w:val="left" w:pos="4479"/>
        </w:tabs>
        <w:ind w:right="4881"/>
      </w:pPr>
    </w:p>
    <w:p w:rsidR="006D3396" w:rsidRDefault="006D3396" w:rsidP="006D3396">
      <w:pPr>
        <w:tabs>
          <w:tab w:val="left" w:pos="1080"/>
          <w:tab w:val="left" w:pos="4479"/>
        </w:tabs>
        <w:ind w:right="4881"/>
      </w:pPr>
      <w:r>
        <w:t>Name</w:t>
      </w:r>
      <w:r>
        <w:tab/>
        <w:t>____________________________</w:t>
      </w:r>
    </w:p>
    <w:p w:rsidR="006D3396" w:rsidRDefault="006D3396" w:rsidP="006D3396">
      <w:pPr>
        <w:tabs>
          <w:tab w:val="left" w:pos="1080"/>
          <w:tab w:val="left" w:pos="4479"/>
        </w:tabs>
        <w:ind w:right="4881"/>
      </w:pPr>
    </w:p>
    <w:p w:rsidR="00286C91" w:rsidRDefault="006D3396" w:rsidP="00D938DB">
      <w:pPr>
        <w:tabs>
          <w:tab w:val="left" w:pos="1080"/>
          <w:tab w:val="left" w:pos="4479"/>
        </w:tabs>
        <w:ind w:right="4881"/>
      </w:pPr>
      <w:r>
        <w:t>Firm</w:t>
      </w:r>
      <w:r>
        <w:tab/>
        <w:t>____________________________</w:t>
      </w:r>
      <w:r w:rsidRPr="00C2605D">
        <w:t xml:space="preserve">              </w:t>
      </w:r>
      <w:r>
        <w:tab/>
        <w:t xml:space="preserve">   </w:t>
      </w:r>
      <w:r w:rsidRPr="00C2605D">
        <w:t xml:space="preserve">Independent Public Accountant </w:t>
      </w:r>
    </w:p>
    <w:sectPr w:rsidR="00286C9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4C5" w:rsidRDefault="005034C5" w:rsidP="006D3396">
      <w:r>
        <w:separator/>
      </w:r>
    </w:p>
  </w:endnote>
  <w:endnote w:type="continuationSeparator" w:id="0">
    <w:p w:rsidR="005034C5" w:rsidRDefault="005034C5" w:rsidP="006D3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CA3" w:rsidRDefault="002A1C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CA3" w:rsidRDefault="002A1C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CA3" w:rsidRDefault="002A1C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4C5" w:rsidRDefault="005034C5" w:rsidP="006D3396">
      <w:r>
        <w:separator/>
      </w:r>
    </w:p>
  </w:footnote>
  <w:footnote w:type="continuationSeparator" w:id="0">
    <w:p w:rsidR="005034C5" w:rsidRDefault="005034C5" w:rsidP="006D33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CA3" w:rsidRDefault="002A1C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396" w:rsidRDefault="006D3396" w:rsidP="006D3396">
    <w:pPr>
      <w:jc w:val="center"/>
    </w:pPr>
    <w:r>
      <w:t>SAMPLE</w:t>
    </w:r>
  </w:p>
  <w:p w:rsidR="006D3396" w:rsidRDefault="006D3396" w:rsidP="006D3396">
    <w:pPr>
      <w:jc w:val="center"/>
    </w:pPr>
    <w:r>
      <w:t>ATTACHMENT I -</w:t>
    </w:r>
  </w:p>
  <w:p w:rsidR="006D3396" w:rsidRDefault="006D3396" w:rsidP="006D3396">
    <w:pPr>
      <w:jc w:val="center"/>
    </w:pPr>
    <w:r>
      <w:t>AGENCY REPRESENTATION LETTER</w:t>
    </w:r>
  </w:p>
  <w:p w:rsidR="006D3396" w:rsidRDefault="006D3396" w:rsidP="006D3396">
    <w:pPr>
      <w:jc w:val="center"/>
    </w:pPr>
    <w:r>
      <w:t>(</w:t>
    </w:r>
    <w:r w:rsidR="0009762A" w:rsidRPr="002A1CA3">
      <w:rPr>
        <w:color w:val="C00000"/>
      </w:rPr>
      <w:t xml:space="preserve">To Be Printed on </w:t>
    </w:r>
    <w:r w:rsidRPr="002A1CA3">
      <w:rPr>
        <w:color w:val="C00000"/>
      </w:rPr>
      <w:t>Agency Letterhead</w:t>
    </w:r>
    <w:r w:rsidR="002A1CA3">
      <w:rPr>
        <w:color w:val="C00000"/>
      </w:rPr>
      <w:t xml:space="preserve"> and Submitted E</w:t>
    </w:r>
    <w:r w:rsidR="002A1CA3" w:rsidRPr="002A1CA3">
      <w:rPr>
        <w:color w:val="C00000"/>
      </w:rPr>
      <w:t>lectronically</w:t>
    </w:r>
    <w:r>
      <w:t>)</w:t>
    </w:r>
  </w:p>
  <w:p w:rsidR="006D3396" w:rsidRDefault="006D3396" w:rsidP="006D3396"/>
  <w:p w:rsidR="006D3396" w:rsidRDefault="006D33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CA3" w:rsidRDefault="002A1C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06FC9"/>
    <w:multiLevelType w:val="hybridMultilevel"/>
    <w:tmpl w:val="0CF2F296"/>
    <w:lvl w:ilvl="0" w:tplc="B4BAF90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7A9A3E5C"/>
    <w:multiLevelType w:val="hybridMultilevel"/>
    <w:tmpl w:val="0CF2F296"/>
    <w:lvl w:ilvl="0" w:tplc="B4BAF90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396"/>
    <w:rsid w:val="00065277"/>
    <w:rsid w:val="0009762A"/>
    <w:rsid w:val="001811F7"/>
    <w:rsid w:val="00286C91"/>
    <w:rsid w:val="002A1CA3"/>
    <w:rsid w:val="002F0FC4"/>
    <w:rsid w:val="004D0950"/>
    <w:rsid w:val="005034C5"/>
    <w:rsid w:val="006D3396"/>
    <w:rsid w:val="00952924"/>
    <w:rsid w:val="00B138FA"/>
    <w:rsid w:val="00B253DA"/>
    <w:rsid w:val="00C558C9"/>
    <w:rsid w:val="00D938DB"/>
    <w:rsid w:val="00DD4159"/>
    <w:rsid w:val="00EC7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434DCA1-F837-4C70-A857-153E5AAEC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3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D3396"/>
    <w:pPr>
      <w:ind w:left="720"/>
      <w:contextualSpacing/>
    </w:pPr>
  </w:style>
  <w:style w:type="paragraph" w:styleId="Header">
    <w:name w:val="header"/>
    <w:basedOn w:val="Normal"/>
    <w:link w:val="HeaderChar"/>
    <w:uiPriority w:val="99"/>
    <w:unhideWhenUsed/>
    <w:rsid w:val="006D3396"/>
    <w:pPr>
      <w:tabs>
        <w:tab w:val="center" w:pos="4680"/>
        <w:tab w:val="right" w:pos="9360"/>
      </w:tabs>
    </w:pPr>
  </w:style>
  <w:style w:type="character" w:customStyle="1" w:styleId="HeaderChar">
    <w:name w:val="Header Char"/>
    <w:basedOn w:val="DefaultParagraphFont"/>
    <w:link w:val="Header"/>
    <w:uiPriority w:val="99"/>
    <w:rsid w:val="006D33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D3396"/>
    <w:pPr>
      <w:tabs>
        <w:tab w:val="center" w:pos="4680"/>
        <w:tab w:val="right" w:pos="9360"/>
      </w:tabs>
    </w:pPr>
  </w:style>
  <w:style w:type="character" w:customStyle="1" w:styleId="FooterChar">
    <w:name w:val="Footer Char"/>
    <w:basedOn w:val="DefaultParagraphFont"/>
    <w:link w:val="Footer"/>
    <w:uiPriority w:val="99"/>
    <w:rsid w:val="006D339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57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Spilman</dc:creator>
  <cp:keywords/>
  <dc:description/>
  <cp:lastModifiedBy>Mark S. Melhoff</cp:lastModifiedBy>
  <cp:revision>3</cp:revision>
  <dcterms:created xsi:type="dcterms:W3CDTF">2019-03-25T19:06:00Z</dcterms:created>
  <dcterms:modified xsi:type="dcterms:W3CDTF">2019-03-27T19:33:00Z</dcterms:modified>
</cp:coreProperties>
</file>